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944827958"/>
        <w:docPartObj>
          <w:docPartGallery w:val="Cover Pages"/>
          <w:docPartUnique/>
        </w:docPartObj>
      </w:sdtPr>
      <w:sdtEndPr>
        <w:rPr>
          <w:rFonts w:eastAsiaTheme="majorEastAsia" w:cs="Arial"/>
          <w:b/>
          <w:bCs/>
          <w:color w:val="003865"/>
          <w:sz w:val="24"/>
          <w:szCs w:val="28"/>
        </w:rPr>
      </w:sdtEndPr>
      <w:sdtContent>
        <w:p w14:paraId="731E60ED" w14:textId="34323EC9" w:rsidR="00A8056A" w:rsidRDefault="00A8056A">
          <w:r>
            <w:rPr>
              <w:noProof/>
              <w:lang w:eastAsia="en-AU"/>
            </w:rPr>
            <mc:AlternateContent>
              <mc:Choice Requires="wpg">
                <w:drawing>
                  <wp:anchor distT="0" distB="0" distL="114300" distR="114300" simplePos="0" relativeHeight="251662336" behindDoc="0" locked="0" layoutInCell="1" allowOverlap="1" wp14:anchorId="6F7969EB" wp14:editId="1FE14619">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6FCE699"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2" o:title="" recolor="t" rotate="t" type="frame"/>
                    </v:rect>
                    <w10:wrap anchorx="page" anchory="page"/>
                  </v:group>
                </w:pict>
              </mc:Fallback>
            </mc:AlternateContent>
          </w:r>
          <w:r>
            <w:rPr>
              <w:noProof/>
              <w:lang w:eastAsia="en-AU"/>
            </w:rPr>
            <mc:AlternateContent>
              <mc:Choice Requires="wps">
                <w:drawing>
                  <wp:anchor distT="0" distB="0" distL="114300" distR="114300" simplePos="0" relativeHeight="251659264" behindDoc="0" locked="0" layoutInCell="1" allowOverlap="1" wp14:anchorId="4EB1EC67" wp14:editId="069F7F9D">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DFE1EF" w14:textId="564108BD" w:rsidR="007C5D4C" w:rsidRDefault="007C5D4C">
                                <w:pPr>
                                  <w:jc w:val="right"/>
                                  <w:rPr>
                                    <w:color w:val="5B9BD5" w:themeColor="accent1"/>
                                    <w:sz w:val="64"/>
                                    <w:szCs w:val="64"/>
                                  </w:rPr>
                                </w:pPr>
                                <w:r>
                                  <w:rPr>
                                    <w:caps/>
                                    <w:color w:val="5B9BD5" w:themeColor="accent1"/>
                                    <w:sz w:val="64"/>
                                    <w:szCs w:val="64"/>
                                  </w:rPr>
                                  <w:t>impact analysis - Voluntary patient registration</w:t>
                                </w:r>
                              </w:p>
                              <w:p w14:paraId="75EB58F9" w14:textId="4CBD3F44" w:rsidR="007C5D4C" w:rsidRDefault="007C5D4C">
                                <w:pPr>
                                  <w:jc w:val="right"/>
                                  <w:rPr>
                                    <w:smallCaps/>
                                    <w:color w:val="404040" w:themeColor="text1" w:themeTint="BF"/>
                                    <w:sz w:val="36"/>
                                    <w:szCs w:val="36"/>
                                  </w:rPr>
                                </w:pPr>
                                <w:r>
                                  <w:rPr>
                                    <w:color w:val="404040" w:themeColor="text1" w:themeTint="BF"/>
                                    <w:sz w:val="36"/>
                                    <w:szCs w:val="36"/>
                                  </w:rPr>
                                  <w:t>Primary Health Care Reform</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4EB1EC67" id="_x0000_t202" coordsize="21600,21600" o:spt="202" path="m,l,21600r21600,l21600,xe">
                    <v:stroke joinstyle="miter"/>
                    <v:path gradientshapeok="t" o:connecttype="rect"/>
                  </v:shapetype>
                  <v:shape id="Text Box 154" o:spid="_x0000_s1026"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" filled="f" stroked="f" strokeweight=".5pt">
                    <v:textbox inset="126pt,0,54pt,0">
                      <w:txbxContent>
                        <w:p w14:paraId="26DFE1EF" w14:textId="564108BD" w:rsidR="007C5D4C" w:rsidRDefault="007C5D4C">
                          <w:pPr>
                            <w:jc w:val="right"/>
                            <w:rPr>
                              <w:color w:val="5B9BD5" w:themeColor="accent1"/>
                              <w:sz w:val="64"/>
                              <w:szCs w:val="64"/>
                            </w:rPr>
                          </w:pPr>
                          <w:r>
                            <w:rPr>
                              <w:caps/>
                              <w:color w:val="5B9BD5" w:themeColor="accent1"/>
                              <w:sz w:val="64"/>
                              <w:szCs w:val="64"/>
                            </w:rPr>
                            <w:t>impact analysis - Voluntary patient registration</w:t>
                          </w:r>
                        </w:p>
                        <w:p w14:paraId="75EB58F9" w14:textId="4CBD3F44" w:rsidR="007C5D4C" w:rsidRDefault="007C5D4C">
                          <w:pPr>
                            <w:jc w:val="right"/>
                            <w:rPr>
                              <w:smallCaps/>
                              <w:color w:val="404040" w:themeColor="text1" w:themeTint="BF"/>
                              <w:sz w:val="36"/>
                              <w:szCs w:val="36"/>
                            </w:rPr>
                          </w:pPr>
                          <w:r>
                            <w:rPr>
                              <w:color w:val="404040" w:themeColor="text1" w:themeTint="BF"/>
                              <w:sz w:val="36"/>
                              <w:szCs w:val="36"/>
                            </w:rPr>
                            <w:t>Primary Health Care Reform</w:t>
                          </w:r>
                        </w:p>
                      </w:txbxContent>
                    </v:textbox>
                    <w10:wrap type="square" anchorx="page" anchory="page"/>
                  </v:shape>
                </w:pict>
              </mc:Fallback>
            </mc:AlternateContent>
          </w:r>
        </w:p>
        <w:p w14:paraId="46CBF9F7" w14:textId="15FE0AEB" w:rsidR="00A8056A" w:rsidRDefault="00A8056A">
          <w:pPr>
            <w:spacing w:after="160" w:line="259" w:lineRule="auto"/>
            <w:rPr>
              <w:rFonts w:eastAsiaTheme="majorEastAsia" w:cs="Arial"/>
              <w:b/>
              <w:bCs/>
              <w:color w:val="003865"/>
              <w:sz w:val="24"/>
              <w:szCs w:val="28"/>
            </w:rPr>
          </w:pPr>
          <w:r>
            <w:rPr>
              <w:rFonts w:eastAsiaTheme="majorEastAsia" w:cs="Arial"/>
              <w:b/>
              <w:bCs/>
              <w:color w:val="003865"/>
              <w:sz w:val="24"/>
              <w:szCs w:val="28"/>
            </w:rPr>
            <w:br w:type="page"/>
          </w:r>
        </w:p>
      </w:sdtContent>
    </w:sdt>
    <w:p w14:paraId="4F13F843" w14:textId="36827B96" w:rsidR="00776FE2" w:rsidRPr="00450A17" w:rsidRDefault="001213D1" w:rsidP="00776FE2">
      <w:pPr>
        <w:pStyle w:val="Header"/>
        <w:jc w:val="center"/>
        <w:rPr>
          <w:b/>
        </w:rPr>
      </w:pPr>
      <w:r w:rsidRPr="00450A17">
        <w:rPr>
          <w:rFonts w:eastAsiaTheme="majorEastAsia" w:cs="Arial"/>
          <w:b/>
          <w:bCs/>
          <w:color w:val="003865"/>
          <w:sz w:val="24"/>
          <w:szCs w:val="28"/>
        </w:rPr>
        <w:lastRenderedPageBreak/>
        <w:t>Impact Analysis</w:t>
      </w:r>
      <w:r w:rsidR="00776FE2" w:rsidRPr="00450A17">
        <w:rPr>
          <w:rFonts w:eastAsiaTheme="majorEastAsia" w:cs="Arial"/>
          <w:b/>
          <w:bCs/>
          <w:color w:val="003865"/>
          <w:sz w:val="24"/>
          <w:szCs w:val="28"/>
        </w:rPr>
        <w:t xml:space="preserve"> - </w:t>
      </w:r>
      <w:r w:rsidR="00776FE2" w:rsidRPr="00450A17">
        <w:rPr>
          <w:b/>
        </w:rPr>
        <w:t>(OBPR22-03028)</w:t>
      </w:r>
    </w:p>
    <w:p w14:paraId="4C280458" w14:textId="77777777" w:rsidR="009065F5" w:rsidRPr="00450A17" w:rsidRDefault="009065F5" w:rsidP="009065F5">
      <w:pPr>
        <w:pStyle w:val="CAB-NumberedParagraph"/>
        <w:spacing w:line="276" w:lineRule="auto"/>
        <w:ind w:left="360" w:firstLine="0"/>
        <w:jc w:val="center"/>
        <w:rPr>
          <w:rFonts w:eastAsiaTheme="majorEastAsia" w:cs="Arial"/>
          <w:b/>
          <w:bCs/>
          <w:color w:val="003865"/>
          <w:sz w:val="24"/>
          <w:szCs w:val="28"/>
        </w:rPr>
      </w:pPr>
    </w:p>
    <w:p w14:paraId="363B944A" w14:textId="520917FB" w:rsidR="009065F5" w:rsidRPr="006A753D" w:rsidRDefault="009065F5" w:rsidP="006A753D">
      <w:pPr>
        <w:pStyle w:val="NoSpacing"/>
        <w:rPr>
          <w:b/>
        </w:rPr>
      </w:pPr>
      <w:r w:rsidRPr="006A753D">
        <w:rPr>
          <w:b/>
        </w:rPr>
        <w:t xml:space="preserve">Primary Health Care Reform </w:t>
      </w:r>
    </w:p>
    <w:p w14:paraId="41E9E069" w14:textId="77777777" w:rsidR="006A753D" w:rsidRPr="00450A17" w:rsidRDefault="006A753D" w:rsidP="006A753D">
      <w:pPr>
        <w:pStyle w:val="NoSpacing"/>
      </w:pPr>
    </w:p>
    <w:p w14:paraId="26B49913" w14:textId="77777777" w:rsidR="009065F5" w:rsidRPr="00450A17" w:rsidRDefault="009065F5" w:rsidP="006A753D">
      <w:pPr>
        <w:pStyle w:val="NoSpacing"/>
      </w:pPr>
      <w:r w:rsidRPr="00450A17">
        <w:t xml:space="preserve">Office of </w:t>
      </w:r>
      <w:r w:rsidR="00776FE2" w:rsidRPr="00450A17">
        <w:t xml:space="preserve">Impact Analysis (OIA) - </w:t>
      </w:r>
      <w:r w:rsidRPr="00450A17">
        <w:t>ID number: 43909, 43935</w:t>
      </w:r>
    </w:p>
    <w:p w14:paraId="48C254D2" w14:textId="77777777" w:rsidR="006A753D" w:rsidRDefault="006A753D" w:rsidP="006A753D">
      <w:pPr>
        <w:pStyle w:val="NoSpacing"/>
      </w:pPr>
    </w:p>
    <w:p w14:paraId="79613E99" w14:textId="65CB7131" w:rsidR="009065F5" w:rsidRPr="00450A17" w:rsidRDefault="009065F5" w:rsidP="006A753D">
      <w:pPr>
        <w:pStyle w:val="NoSpacing"/>
      </w:pPr>
      <w:r w:rsidRPr="00450A17">
        <w:t xml:space="preserve">This </w:t>
      </w:r>
      <w:r w:rsidR="00776FE2" w:rsidRPr="00450A17">
        <w:t>Impact Analysis</w:t>
      </w:r>
      <w:r w:rsidRPr="00450A17">
        <w:t xml:space="preserve"> has been developed to inform the ongoing consideration of issues by Government and was formally assessed by </w:t>
      </w:r>
      <w:r w:rsidR="00776FE2" w:rsidRPr="00450A17">
        <w:t>Office of Impact Analysis (OIA)</w:t>
      </w:r>
      <w:r w:rsidRPr="00450A17">
        <w:t xml:space="preserve"> before the announcement of Government policy.</w:t>
      </w:r>
    </w:p>
    <w:p w14:paraId="22AB657A" w14:textId="77777777" w:rsidR="009065F5" w:rsidRPr="00450A17" w:rsidRDefault="009065F5" w:rsidP="0030442F">
      <w:pPr>
        <w:pStyle w:val="Heading1"/>
        <w:numPr>
          <w:ilvl w:val="0"/>
          <w:numId w:val="7"/>
        </w:numPr>
        <w:spacing w:line="276" w:lineRule="auto"/>
        <w:rPr>
          <w:rFonts w:cs="Arial"/>
          <w:b/>
          <w:bCs/>
        </w:rPr>
      </w:pPr>
      <w:r w:rsidRPr="00450A17">
        <w:rPr>
          <w:rFonts w:cs="Arial"/>
          <w:b/>
          <w:bCs/>
        </w:rPr>
        <w:t>Background</w:t>
      </w:r>
    </w:p>
    <w:p w14:paraId="2460B065" w14:textId="77777777" w:rsidR="009065F5" w:rsidRPr="00450A17" w:rsidRDefault="00F57186" w:rsidP="009065F5">
      <w:pPr>
        <w:pStyle w:val="NoSpacing"/>
        <w:spacing w:line="276" w:lineRule="auto"/>
        <w:outlineLvl w:val="1"/>
        <w:rPr>
          <w:rStyle w:val="Strong"/>
        </w:rPr>
      </w:pPr>
      <w:r w:rsidRPr="00450A17">
        <w:rPr>
          <w:rStyle w:val="Strong"/>
          <w:rFonts w:cs="Arial"/>
          <w:bCs w:val="0"/>
        </w:rPr>
        <w:t xml:space="preserve">Australia’s </w:t>
      </w:r>
      <w:r w:rsidR="009065F5" w:rsidRPr="00450A17">
        <w:rPr>
          <w:rStyle w:val="Strong"/>
          <w:rFonts w:cs="Arial"/>
          <w:bCs w:val="0"/>
        </w:rPr>
        <w:t xml:space="preserve">Primary Care System </w:t>
      </w:r>
    </w:p>
    <w:p w14:paraId="2C5BD993" w14:textId="771E420C" w:rsidR="009065F5" w:rsidRPr="00450A17" w:rsidRDefault="00F57186" w:rsidP="009065F5">
      <w:pPr>
        <w:pStyle w:val="CABParagraph"/>
        <w:spacing w:after="120" w:line="276" w:lineRule="auto"/>
      </w:pPr>
      <w:r w:rsidRPr="00450A17">
        <w:rPr>
          <w:rFonts w:cs="Arial"/>
        </w:rPr>
        <w:t xml:space="preserve">Primary care provides the foundation for universal health care, working hard to keep all Australians healthy and well in the community, and to deliver care that meets the needs of people and communities at all stages of life, no matter where they live. </w:t>
      </w:r>
      <w:r w:rsidR="00C03F91" w:rsidRPr="00450A17">
        <w:rPr>
          <w:rFonts w:cs="Arial"/>
        </w:rPr>
        <w:t>It</w:t>
      </w:r>
      <w:r w:rsidRPr="00450A17">
        <w:rPr>
          <w:rFonts w:cs="Arial"/>
        </w:rPr>
        <w:t xml:space="preserve"> is generally the first contact a person has with Australia’s health system, and</w:t>
      </w:r>
      <w:r w:rsidR="009065F5" w:rsidRPr="00450A17">
        <w:rPr>
          <w:rFonts w:cs="Arial"/>
        </w:rPr>
        <w:t xml:space="preserve"> relates to a broad range of </w:t>
      </w:r>
      <w:r w:rsidR="009065F5" w:rsidRPr="00450A17" w:rsidDel="00A35F77">
        <w:rPr>
          <w:rFonts w:cs="Arial"/>
        </w:rPr>
        <w:t xml:space="preserve">care provided </w:t>
      </w:r>
      <w:r w:rsidR="00C03F91" w:rsidRPr="00450A17">
        <w:rPr>
          <w:rFonts w:cs="Arial"/>
        </w:rPr>
        <w:t xml:space="preserve">in the community </w:t>
      </w:r>
      <w:r w:rsidR="009065F5" w:rsidRPr="00450A17" w:rsidDel="00A35F77">
        <w:rPr>
          <w:rFonts w:cs="Arial"/>
        </w:rPr>
        <w:t xml:space="preserve">by </w:t>
      </w:r>
      <w:r w:rsidR="00A35F77" w:rsidRPr="00450A17">
        <w:rPr>
          <w:rFonts w:cs="Arial"/>
        </w:rPr>
        <w:t>general practitioners</w:t>
      </w:r>
      <w:r w:rsidR="009C2779" w:rsidRPr="00450A17">
        <w:rPr>
          <w:rFonts w:cs="Arial"/>
        </w:rPr>
        <w:t xml:space="preserve"> </w:t>
      </w:r>
      <w:r w:rsidR="00A35F77" w:rsidRPr="00450A17">
        <w:rPr>
          <w:rFonts w:cs="Arial"/>
        </w:rPr>
        <w:t>(</w:t>
      </w:r>
      <w:r w:rsidR="009065F5" w:rsidRPr="00450A17">
        <w:rPr>
          <w:rFonts w:cs="Arial"/>
        </w:rPr>
        <w:t>GP</w:t>
      </w:r>
      <w:r w:rsidR="00A35F77" w:rsidRPr="00450A17">
        <w:rPr>
          <w:rFonts w:cs="Arial"/>
        </w:rPr>
        <w:t>s)</w:t>
      </w:r>
      <w:r w:rsidR="009065F5" w:rsidRPr="00450A17">
        <w:rPr>
          <w:rFonts w:cs="Arial"/>
        </w:rPr>
        <w:t xml:space="preserve">, nurses (such as general practice nurses, community nurses and nurse practitioners), midwives, allied health professionals, dentists, pharmacists and Aboriginal health workers and practitioners. </w:t>
      </w:r>
      <w:r w:rsidR="002D63AA" w:rsidRPr="00450A17">
        <w:rPr>
          <w:rFonts w:cs="Arial"/>
        </w:rPr>
        <w:t>T</w:t>
      </w:r>
      <w:r w:rsidR="009065F5" w:rsidRPr="00450A17">
        <w:rPr>
          <w:rFonts w:cs="Arial"/>
        </w:rPr>
        <w:t>ypes of services delivered under primary care include prevention and screening, early intervention, treatment, management, and health promotion.</w:t>
      </w:r>
    </w:p>
    <w:p w14:paraId="5AB6AFCC" w14:textId="021E29B7" w:rsidR="009065F5" w:rsidRPr="00450A17" w:rsidRDefault="009065F5" w:rsidP="009065F5">
      <w:pPr>
        <w:pStyle w:val="CABParagraph"/>
        <w:spacing w:after="120" w:line="276" w:lineRule="auto"/>
        <w:rPr>
          <w:rFonts w:cs="Arial"/>
        </w:rPr>
      </w:pPr>
      <w:r w:rsidRPr="00450A17">
        <w:rPr>
          <w:rFonts w:cs="Arial"/>
        </w:rPr>
        <w:t>Primary care can be provided in home or community-based settings such as general practices, other private medical and allied health practices, community health centres, local government</w:t>
      </w:r>
      <w:r w:rsidR="00F57186" w:rsidRPr="00450A17">
        <w:rPr>
          <w:rFonts w:cs="Arial"/>
        </w:rPr>
        <w:t xml:space="preserve"> settings</w:t>
      </w:r>
      <w:r w:rsidRPr="00450A17">
        <w:rPr>
          <w:rFonts w:cs="Arial"/>
        </w:rPr>
        <w:t>, and non-government service settings such as Aboriginal Community Controlled Health Services</w:t>
      </w:r>
      <w:r w:rsidR="003A7DD5" w:rsidRPr="00450A17">
        <w:rPr>
          <w:rFonts w:cs="Arial"/>
        </w:rPr>
        <w:t xml:space="preserve"> (ACCHS)</w:t>
      </w:r>
      <w:r w:rsidRPr="00450A17">
        <w:rPr>
          <w:rFonts w:cs="Arial"/>
        </w:rPr>
        <w:t xml:space="preserve">. </w:t>
      </w:r>
    </w:p>
    <w:p w14:paraId="2D830552" w14:textId="77777777" w:rsidR="009065F5" w:rsidRPr="00450A17" w:rsidRDefault="009065F5" w:rsidP="009065F5">
      <w:pPr>
        <w:pStyle w:val="NoSpacing"/>
        <w:spacing w:after="240" w:line="276" w:lineRule="auto"/>
        <w:outlineLvl w:val="1"/>
        <w:rPr>
          <w:rStyle w:val="Strong"/>
          <w:bCs w:val="0"/>
        </w:rPr>
      </w:pPr>
      <w:r w:rsidRPr="00450A17">
        <w:rPr>
          <w:rStyle w:val="Strong"/>
          <w:rFonts w:cs="Arial"/>
          <w:bCs w:val="0"/>
        </w:rPr>
        <w:t>The need for reform</w:t>
      </w:r>
    </w:p>
    <w:p w14:paraId="139E0614" w14:textId="77777777" w:rsidR="00C56CE3" w:rsidRPr="00450A17" w:rsidRDefault="00F57186" w:rsidP="008215EF">
      <w:r w:rsidRPr="00450A17">
        <w:t>The Medicare system has underpinned Australia’s safe, affordable, fair health care system for the last 40 years</w:t>
      </w:r>
      <w:r w:rsidR="009065F5" w:rsidRPr="00450A17">
        <w:t>. However, Medicare has struggled to keep pace with the evolving needs of Australians in the context of an ageing population and increasing rate</w:t>
      </w:r>
      <w:r w:rsidRPr="00450A17">
        <w:t>s</w:t>
      </w:r>
      <w:r w:rsidR="009065F5" w:rsidRPr="00450A17">
        <w:t xml:space="preserve"> of chronic disease. </w:t>
      </w:r>
      <w:r w:rsidR="00E26FD1" w:rsidRPr="00450A17">
        <w:t>Public h</w:t>
      </w:r>
      <w:r w:rsidR="009065F5" w:rsidRPr="00450A17">
        <w:t>ospital</w:t>
      </w:r>
      <w:r w:rsidR="00E26FD1" w:rsidRPr="00450A17">
        <w:t xml:space="preserve">s </w:t>
      </w:r>
      <w:r w:rsidR="009065F5" w:rsidRPr="00450A17">
        <w:t>are strained</w:t>
      </w:r>
      <w:r w:rsidR="001A0D0E" w:rsidRPr="00450A17">
        <w:t xml:space="preserve"> and</w:t>
      </w:r>
      <w:r w:rsidR="009065F5" w:rsidRPr="00450A17">
        <w:t xml:space="preserve"> the cost of delivering primary care is increasing.</w:t>
      </w:r>
      <w:r w:rsidR="001A0D0E" w:rsidRPr="00450A17">
        <w:t xml:space="preserve"> For patients, seeing a GP and receiving primary care services is now harder and more expensive than at any time since the introduction of Medicare.</w:t>
      </w:r>
      <w:r w:rsidR="009065F5" w:rsidRPr="00450A17">
        <w:t xml:space="preserve"> </w:t>
      </w:r>
    </w:p>
    <w:p w14:paraId="4883C06C" w14:textId="4A8AD590" w:rsidR="00C56CE3" w:rsidRPr="00450A17" w:rsidRDefault="009065F5" w:rsidP="008215EF">
      <w:r w:rsidRPr="00450A17">
        <w:t>In 2022, in response to the challenges</w:t>
      </w:r>
      <w:r w:rsidR="00C56CE3" w:rsidRPr="00450A17">
        <w:t xml:space="preserve"> outlined above</w:t>
      </w:r>
      <w:r w:rsidRPr="00450A17">
        <w:t xml:space="preserve">, the Minister for Health and Aged Care </w:t>
      </w:r>
      <w:r w:rsidR="000B355F" w:rsidRPr="00450A17">
        <w:t xml:space="preserve">brought together a group of health leaders to form </w:t>
      </w:r>
      <w:r w:rsidRPr="00450A17">
        <w:t>the Strengthening Medicare Taskforce (</w:t>
      </w:r>
      <w:r w:rsidR="002D63AA" w:rsidRPr="00450A17">
        <w:t xml:space="preserve">the </w:t>
      </w:r>
      <w:r w:rsidRPr="00450A17">
        <w:t>Taskforce)</w:t>
      </w:r>
      <w:r w:rsidR="000B355F" w:rsidRPr="00450A17">
        <w:t>. The Taskforce was charged with</w:t>
      </w:r>
      <w:r w:rsidRPr="00450A17">
        <w:t xml:space="preserve"> identify</w:t>
      </w:r>
      <w:r w:rsidR="00E26FD1" w:rsidRPr="00450A17">
        <w:t xml:space="preserve">ing </w:t>
      </w:r>
      <w:r w:rsidRPr="00450A17" w:rsidDel="004C3B3E">
        <w:t xml:space="preserve">the most pressing </w:t>
      </w:r>
      <w:r w:rsidRPr="00450A17">
        <w:t>investments</w:t>
      </w:r>
      <w:r w:rsidR="004C3B3E" w:rsidRPr="00450A17">
        <w:t xml:space="preserve"> </w:t>
      </w:r>
      <w:r w:rsidRPr="00450A17">
        <w:t>in primary care, building on the direction outlined in Australia’s Primary Health Care 10 Year Plan (the 10 Year Plan)</w:t>
      </w:r>
      <w:r w:rsidR="00ED19F5" w:rsidRPr="00450A17">
        <w:t xml:space="preserve"> and previous national policy work on primary health care reform </w:t>
      </w:r>
      <w:r w:rsidR="00C56CE3" w:rsidRPr="00450A17">
        <w:t>(</w:t>
      </w:r>
      <w:r w:rsidR="00ED19F5" w:rsidRPr="00450A17">
        <w:t>see Appendix 1</w:t>
      </w:r>
      <w:r w:rsidR="00C56CE3" w:rsidRPr="00450A17">
        <w:t>)</w:t>
      </w:r>
      <w:r w:rsidRPr="00450A17">
        <w:t xml:space="preserve">. </w:t>
      </w:r>
    </w:p>
    <w:p w14:paraId="166FD6F6" w14:textId="0CCF0107" w:rsidR="009065F5" w:rsidRPr="00450A17" w:rsidRDefault="00E26FD1" w:rsidP="008215EF">
      <w:r w:rsidRPr="00450A17">
        <w:t xml:space="preserve">In February 2023, </w:t>
      </w:r>
      <w:r w:rsidR="0065743D" w:rsidRPr="00450A17">
        <w:t xml:space="preserve">the Government released the </w:t>
      </w:r>
      <w:r w:rsidR="002D63AA" w:rsidRPr="00450A17">
        <w:t>Strengthening Medicare</w:t>
      </w:r>
      <w:r w:rsidR="0065743D" w:rsidRPr="00450A17">
        <w:t xml:space="preserve"> </w:t>
      </w:r>
      <w:r w:rsidR="009065F5" w:rsidRPr="00450A17">
        <w:t>Taskforce</w:t>
      </w:r>
      <w:r w:rsidR="0065743D" w:rsidRPr="00450A17">
        <w:t xml:space="preserve"> </w:t>
      </w:r>
      <w:r w:rsidR="002D63AA" w:rsidRPr="00450A17">
        <w:t xml:space="preserve">Report, which </w:t>
      </w:r>
      <w:r w:rsidR="0065743D" w:rsidRPr="00450A17">
        <w:t>outlin</w:t>
      </w:r>
      <w:r w:rsidR="002D63AA" w:rsidRPr="00450A17">
        <w:t>ed</w:t>
      </w:r>
      <w:r w:rsidR="0065743D" w:rsidRPr="00450A17">
        <w:t xml:space="preserve"> a vision for Australia’s primary care system of the future. </w:t>
      </w:r>
      <w:r w:rsidR="009065F5" w:rsidRPr="00450A17">
        <w:t>The Taskforce recommended</w:t>
      </w:r>
      <w:r w:rsidRPr="00450A17">
        <w:t xml:space="preserve"> the introduction of Voluntary Patient Registration (VPR) to</w:t>
      </w:r>
      <w:r w:rsidR="009065F5" w:rsidRPr="00450A17">
        <w:t xml:space="preserve"> </w:t>
      </w:r>
      <w:r w:rsidR="000B355F" w:rsidRPr="00450A17">
        <w:t>‘</w:t>
      </w:r>
      <w:r w:rsidR="009065F5" w:rsidRPr="00450A17">
        <w:t>support</w:t>
      </w:r>
      <w:r w:rsidR="000B355F" w:rsidRPr="00450A17">
        <w:t xml:space="preserve"> </w:t>
      </w:r>
      <w:r w:rsidR="009065F5" w:rsidRPr="00450A17">
        <w:t xml:space="preserve">better continuity of care, a strengthened relationship between the patient and their care team, </w:t>
      </w:r>
      <w:r w:rsidR="000B355F" w:rsidRPr="00450A17">
        <w:t xml:space="preserve">and </w:t>
      </w:r>
      <w:r w:rsidR="009065F5" w:rsidRPr="00450A17">
        <w:t>more integrated,</w:t>
      </w:r>
      <w:r w:rsidR="00861971" w:rsidRPr="00450A17">
        <w:t xml:space="preserve"> </w:t>
      </w:r>
      <w:r w:rsidR="009065F5" w:rsidRPr="00450A17">
        <w:t>person-centred care</w:t>
      </w:r>
      <w:r w:rsidR="000B355F" w:rsidRPr="00450A17">
        <w:t>’</w:t>
      </w:r>
      <w:r w:rsidR="00211754" w:rsidRPr="00450A17">
        <w:t xml:space="preserve"> (see </w:t>
      </w:r>
      <w:hyperlink r:id="rId13" w:history="1">
        <w:r w:rsidR="00211754" w:rsidRPr="00450A17">
          <w:rPr>
            <w:rStyle w:val="Hyperlink"/>
            <w:rFonts w:cs="Arial"/>
          </w:rPr>
          <w:t>Strengthening Medicare Taskforce Report | Australian Government Department of Health and Aged Care</w:t>
        </w:r>
      </w:hyperlink>
      <w:r w:rsidR="00211754" w:rsidRPr="00450A17">
        <w:rPr>
          <w:rStyle w:val="Hyperlink"/>
          <w:rFonts w:cs="Arial"/>
        </w:rPr>
        <w:t>)</w:t>
      </w:r>
      <w:r w:rsidR="009065F5" w:rsidRPr="00450A17">
        <w:t>.</w:t>
      </w:r>
      <w:r w:rsidR="00C56CE3" w:rsidRPr="00450A17">
        <w:t xml:space="preserve"> </w:t>
      </w:r>
    </w:p>
    <w:p w14:paraId="7A6F137F" w14:textId="529818C1" w:rsidR="00766B7D" w:rsidRPr="00450A17" w:rsidRDefault="00C56CE3" w:rsidP="008215EF">
      <w:r w:rsidRPr="00450A17">
        <w:t xml:space="preserve">By way of definition, </w:t>
      </w:r>
      <w:r w:rsidR="007732CC" w:rsidRPr="00450A17">
        <w:t xml:space="preserve">VPR </w:t>
      </w:r>
      <w:r w:rsidR="00013673" w:rsidRPr="00450A17">
        <w:t>is</w:t>
      </w:r>
      <w:r w:rsidR="006365C7" w:rsidRPr="00450A17">
        <w:t xml:space="preserve"> a proposed new model of general practice care that formalises the relationship between patient, provider and practice. </w:t>
      </w:r>
      <w:r w:rsidR="00766B7D" w:rsidRPr="00450A17">
        <w:t>The proposed implementation of VPR provides a registration process via a digital platform that is designed to support future funding reform, and improvements in digital health and data infrastructure.</w:t>
      </w:r>
    </w:p>
    <w:p w14:paraId="5021BA73" w14:textId="1DB7E369" w:rsidR="009065F5" w:rsidRPr="00450A17" w:rsidRDefault="0085410F" w:rsidP="008215EF">
      <w:r w:rsidRPr="00450A17">
        <w:t xml:space="preserve">This </w:t>
      </w:r>
      <w:r w:rsidR="00E26FD1" w:rsidRPr="00450A17">
        <w:t xml:space="preserve">Taskforce </w:t>
      </w:r>
      <w:r w:rsidRPr="00450A17">
        <w:t xml:space="preserve">recommendation </w:t>
      </w:r>
      <w:r w:rsidR="00E26FD1" w:rsidRPr="00450A17">
        <w:t>builds</w:t>
      </w:r>
      <w:r w:rsidR="009065F5" w:rsidRPr="00450A17">
        <w:t xml:space="preserve"> upon several years of national primary health care reform</w:t>
      </w:r>
      <w:r w:rsidRPr="00450A17">
        <w:t xml:space="preserve"> </w:t>
      </w:r>
      <w:r w:rsidR="00E26FD1" w:rsidRPr="00450A17">
        <w:t>policy</w:t>
      </w:r>
      <w:r w:rsidR="00B37570" w:rsidRPr="00450A17">
        <w:t xml:space="preserve"> and consultation</w:t>
      </w:r>
      <w:r w:rsidRPr="00450A17">
        <w:t xml:space="preserve"> </w:t>
      </w:r>
      <w:r w:rsidR="00C56CE3" w:rsidRPr="00450A17">
        <w:t>(</w:t>
      </w:r>
      <w:r w:rsidR="009065F5" w:rsidRPr="00450A17">
        <w:t>see</w:t>
      </w:r>
      <w:r w:rsidR="00B37570" w:rsidRPr="00450A17">
        <w:t xml:space="preserve"> Section </w:t>
      </w:r>
      <w:r w:rsidR="003259EF" w:rsidRPr="00450A17">
        <w:t>6</w:t>
      </w:r>
      <w:r w:rsidR="00B37570" w:rsidRPr="00450A17">
        <w:t xml:space="preserve"> </w:t>
      </w:r>
      <w:r w:rsidR="00DD6119" w:rsidRPr="00450A17">
        <w:t>for further detail on c</w:t>
      </w:r>
      <w:r w:rsidR="00B37570" w:rsidRPr="00450A17">
        <w:t>onsultation</w:t>
      </w:r>
      <w:r w:rsidR="00C56CE3" w:rsidRPr="00450A17">
        <w:t>)</w:t>
      </w:r>
      <w:r w:rsidR="00B37570" w:rsidRPr="00450A17">
        <w:t xml:space="preserve">. </w:t>
      </w:r>
      <w:r w:rsidR="009065F5" w:rsidRPr="00450A17">
        <w:t xml:space="preserve"> </w:t>
      </w:r>
    </w:p>
    <w:p w14:paraId="38FAA705" w14:textId="77777777" w:rsidR="009065F5" w:rsidRPr="00450A17" w:rsidRDefault="009065F5" w:rsidP="0030442F">
      <w:pPr>
        <w:pStyle w:val="Heading1"/>
        <w:numPr>
          <w:ilvl w:val="0"/>
          <w:numId w:val="7"/>
        </w:numPr>
        <w:spacing w:line="276" w:lineRule="auto"/>
        <w:rPr>
          <w:rFonts w:cs="Arial"/>
          <w:b/>
          <w:bCs/>
        </w:rPr>
      </w:pPr>
      <w:r w:rsidRPr="00450A17">
        <w:rPr>
          <w:rFonts w:cs="Arial"/>
          <w:b/>
          <w:bCs/>
        </w:rPr>
        <w:t>Problem Definition</w:t>
      </w:r>
    </w:p>
    <w:p w14:paraId="02E62B1C" w14:textId="77777777" w:rsidR="005C54C0" w:rsidRPr="00450A17" w:rsidRDefault="007B6A55" w:rsidP="008215EF">
      <w:r w:rsidRPr="00450A17">
        <w:t>The primary care system in Australia lacks a mechanism to formally link patients to care providers</w:t>
      </w:r>
      <w:r w:rsidR="003A7DD5" w:rsidRPr="00450A17">
        <w:t xml:space="preserve"> and practices</w:t>
      </w:r>
      <w:r w:rsidRPr="00450A17">
        <w:t xml:space="preserve">. This reduces Australian patients’ ability to experience continuity of care, and </w:t>
      </w:r>
      <w:r w:rsidR="00DD6119" w:rsidRPr="00450A17">
        <w:t>exacerbates negative impacts from</w:t>
      </w:r>
      <w:r w:rsidRPr="00450A17">
        <w:t xml:space="preserve"> fragmentation of care.  </w:t>
      </w:r>
    </w:p>
    <w:p w14:paraId="53107ECD" w14:textId="77777777" w:rsidR="007B5544" w:rsidRPr="00450A17" w:rsidRDefault="009065F5" w:rsidP="0065743D">
      <w:pPr>
        <w:rPr>
          <w:rFonts w:cs="Arial"/>
        </w:rPr>
      </w:pPr>
      <w:r w:rsidRPr="00450A17">
        <w:rPr>
          <w:rFonts w:cs="Arial"/>
          <w:b/>
        </w:rPr>
        <w:t xml:space="preserve">Not all Australians experience </w:t>
      </w:r>
      <w:r w:rsidR="007B5544" w:rsidRPr="00450A17">
        <w:rPr>
          <w:rFonts w:cs="Arial"/>
          <w:b/>
        </w:rPr>
        <w:t>continuity of care, resulting in worse health outcomes</w:t>
      </w:r>
    </w:p>
    <w:p w14:paraId="3ADD7011" w14:textId="77777777" w:rsidR="00E4026A" w:rsidRPr="00450A17" w:rsidRDefault="00E26FD1" w:rsidP="0065743D">
      <w:pPr>
        <w:rPr>
          <w:rFonts w:cs="Arial"/>
        </w:rPr>
      </w:pPr>
      <w:r w:rsidRPr="00450A17">
        <w:rPr>
          <w:rFonts w:cs="Arial"/>
        </w:rPr>
        <w:t>Aus</w:t>
      </w:r>
      <w:r w:rsidR="00DD71CF" w:rsidRPr="00450A17">
        <w:rPr>
          <w:rFonts w:cs="Arial"/>
        </w:rPr>
        <w:t xml:space="preserve">tralia enjoys access to a world </w:t>
      </w:r>
      <w:r w:rsidRPr="00450A17">
        <w:rPr>
          <w:rFonts w:cs="Arial"/>
        </w:rPr>
        <w:t>class health system with primary care at its centre</w:t>
      </w:r>
      <w:sdt>
        <w:sdtPr>
          <w:rPr>
            <w:rFonts w:cs="Arial"/>
          </w:rPr>
          <w:id w:val="-459569367"/>
          <w:citation/>
        </w:sdtPr>
        <w:sdtEndPr/>
        <w:sdtContent>
          <w:r w:rsidR="00DD6119" w:rsidRPr="00450A17">
            <w:rPr>
              <w:rFonts w:cs="Arial"/>
            </w:rPr>
            <w:fldChar w:fldCharType="begin"/>
          </w:r>
          <w:r w:rsidR="00ED7C71" w:rsidRPr="00450A17">
            <w:rPr>
              <w:rFonts w:cs="Arial"/>
            </w:rPr>
            <w:instrText xml:space="preserve">CITATION Sch21 \l 3081 </w:instrText>
          </w:r>
          <w:r w:rsidR="00DD6119" w:rsidRPr="00450A17">
            <w:rPr>
              <w:rFonts w:cs="Arial"/>
            </w:rPr>
            <w:fldChar w:fldCharType="separate"/>
          </w:r>
          <w:r w:rsidR="00ED7C71" w:rsidRPr="00450A17">
            <w:rPr>
              <w:rFonts w:cs="Arial"/>
              <w:noProof/>
            </w:rPr>
            <w:t xml:space="preserve"> (Schneider, 2021)</w:t>
          </w:r>
          <w:r w:rsidR="00DD6119" w:rsidRPr="00450A17">
            <w:rPr>
              <w:rFonts w:cs="Arial"/>
            </w:rPr>
            <w:fldChar w:fldCharType="end"/>
          </w:r>
        </w:sdtContent>
      </w:sdt>
      <w:r w:rsidRPr="00450A17">
        <w:rPr>
          <w:rFonts w:cs="Arial"/>
        </w:rPr>
        <w:t xml:space="preserve">. This is a strong basis to build on, </w:t>
      </w:r>
      <w:r w:rsidR="00220D97" w:rsidRPr="00450A17">
        <w:rPr>
          <w:rFonts w:cs="Arial"/>
        </w:rPr>
        <w:t>but</w:t>
      </w:r>
      <w:r w:rsidR="009065F5" w:rsidRPr="00450A17">
        <w:rPr>
          <w:rFonts w:cs="Arial"/>
        </w:rPr>
        <w:t xml:space="preserve"> more needs to be done to improve </w:t>
      </w:r>
      <w:r w:rsidR="00220D97" w:rsidRPr="00450A17">
        <w:rPr>
          <w:rFonts w:cs="Arial"/>
        </w:rPr>
        <w:t>patient access t</w:t>
      </w:r>
      <w:r w:rsidR="00462F03" w:rsidRPr="00450A17">
        <w:rPr>
          <w:rFonts w:cs="Arial"/>
        </w:rPr>
        <w:t xml:space="preserve">o </w:t>
      </w:r>
      <w:r w:rsidR="00DD71CF" w:rsidRPr="00450A17">
        <w:rPr>
          <w:rFonts w:cs="Arial"/>
        </w:rPr>
        <w:t>continu</w:t>
      </w:r>
      <w:r w:rsidR="002B0678" w:rsidRPr="00450A17">
        <w:rPr>
          <w:rFonts w:cs="Arial"/>
        </w:rPr>
        <w:t>ity of care</w:t>
      </w:r>
      <w:r w:rsidR="00220D97" w:rsidRPr="00450A17">
        <w:rPr>
          <w:rFonts w:cs="Arial"/>
        </w:rPr>
        <w:t xml:space="preserve">. </w:t>
      </w:r>
    </w:p>
    <w:p w14:paraId="5C2114BD" w14:textId="77777777" w:rsidR="00203788" w:rsidRPr="00450A17" w:rsidRDefault="00E4026A" w:rsidP="00203788">
      <w:pPr>
        <w:pStyle w:val="CABParagraph"/>
        <w:spacing w:after="120" w:line="276" w:lineRule="auto"/>
        <w:rPr>
          <w:rFonts w:cs="Arial"/>
        </w:rPr>
      </w:pPr>
      <w:r w:rsidRPr="00450A17">
        <w:rPr>
          <w:rFonts w:cs="Arial"/>
        </w:rPr>
        <w:t>There is strong evidence that improved continuity of care leads to higher quality care, improvements in preventative</w:t>
      </w:r>
      <w:r w:rsidR="009065F5" w:rsidRPr="00450A17">
        <w:rPr>
          <w:rFonts w:cs="Arial"/>
        </w:rPr>
        <w:t xml:space="preserve"> health</w:t>
      </w:r>
      <w:r w:rsidRPr="00450A17">
        <w:rPr>
          <w:rFonts w:cs="Arial"/>
        </w:rPr>
        <w:t>, increased patient satisfaction, decreased emergency department attendances and hospitalisations, and reductions in mortality.</w:t>
      </w:r>
      <w:r w:rsidR="00203788" w:rsidRPr="00450A17">
        <w:rPr>
          <w:rFonts w:cs="Arial"/>
        </w:rPr>
        <w:t xml:space="preserve"> Evidence suggests that c</w:t>
      </w:r>
      <w:r w:rsidR="00203788" w:rsidRPr="00450A17">
        <w:rPr>
          <w:rStyle w:val="normaltextrun"/>
          <w:rFonts w:cs="Arial"/>
          <w:color w:val="000000"/>
          <w:shd w:val="clear" w:color="auto" w:fill="FFFFFF"/>
        </w:rPr>
        <w:t>ontinuity of care is best achieved through three core components</w:t>
      </w:r>
      <w:sdt>
        <w:sdtPr>
          <w:rPr>
            <w:rStyle w:val="normaltextrun"/>
            <w:rFonts w:cs="Arial"/>
            <w:color w:val="000000"/>
            <w:shd w:val="clear" w:color="auto" w:fill="FFFFFF"/>
          </w:rPr>
          <w:id w:val="-956871955"/>
          <w:citation/>
        </w:sdtPr>
        <w:sdtEndPr>
          <w:rPr>
            <w:rStyle w:val="normaltextrun"/>
          </w:rPr>
        </w:sdtEndPr>
        <w:sdtContent>
          <w:r w:rsidR="00ED7C71" w:rsidRPr="00450A17">
            <w:rPr>
              <w:rStyle w:val="normaltextrun"/>
              <w:rFonts w:cs="Arial"/>
              <w:color w:val="000000"/>
              <w:shd w:val="clear" w:color="auto" w:fill="FFFFFF"/>
            </w:rPr>
            <w:fldChar w:fldCharType="begin"/>
          </w:r>
          <w:r w:rsidR="00ED7C71" w:rsidRPr="00450A17">
            <w:rPr>
              <w:rStyle w:val="normaltextrun"/>
              <w:rFonts w:cs="Arial"/>
              <w:color w:val="000000"/>
              <w:shd w:val="clear" w:color="auto" w:fill="FFFFFF"/>
            </w:rPr>
            <w:instrText xml:space="preserve">CITATION Hag03 \l 3081 </w:instrText>
          </w:r>
          <w:r w:rsidR="00ED7C71" w:rsidRPr="00450A17">
            <w:rPr>
              <w:rStyle w:val="normaltextrun"/>
              <w:rFonts w:cs="Arial"/>
              <w:color w:val="000000"/>
              <w:shd w:val="clear" w:color="auto" w:fill="FFFFFF"/>
            </w:rPr>
            <w:fldChar w:fldCharType="separate"/>
          </w:r>
          <w:r w:rsidR="00ED7C71" w:rsidRPr="00450A17">
            <w:rPr>
              <w:rStyle w:val="normaltextrun"/>
              <w:rFonts w:cs="Arial"/>
              <w:noProof/>
              <w:color w:val="000000"/>
              <w:shd w:val="clear" w:color="auto" w:fill="FFFFFF"/>
            </w:rPr>
            <w:t xml:space="preserve"> </w:t>
          </w:r>
          <w:r w:rsidR="00ED7C71" w:rsidRPr="00450A17">
            <w:rPr>
              <w:rFonts w:cs="Arial"/>
              <w:noProof/>
              <w:color w:val="000000"/>
              <w:shd w:val="clear" w:color="auto" w:fill="FFFFFF"/>
            </w:rPr>
            <w:t>(Haggerty, 2003)</w:t>
          </w:r>
          <w:r w:rsidR="00ED7C71" w:rsidRPr="00450A17">
            <w:rPr>
              <w:rStyle w:val="normaltextrun"/>
              <w:rFonts w:cs="Arial"/>
              <w:color w:val="000000"/>
              <w:shd w:val="clear" w:color="auto" w:fill="FFFFFF"/>
            </w:rPr>
            <w:fldChar w:fldCharType="end"/>
          </w:r>
        </w:sdtContent>
      </w:sdt>
      <w:r w:rsidR="00203788" w:rsidRPr="00450A17">
        <w:rPr>
          <w:rStyle w:val="normaltextrun"/>
          <w:rFonts w:cs="Arial"/>
          <w:color w:val="000000"/>
          <w:shd w:val="clear" w:color="auto" w:fill="FFFFFF"/>
        </w:rPr>
        <w:t>:</w:t>
      </w:r>
    </w:p>
    <w:p w14:paraId="7C258B52" w14:textId="77777777" w:rsidR="00203788" w:rsidRPr="00450A17" w:rsidRDefault="00203788" w:rsidP="00203788">
      <w:pPr>
        <w:pStyle w:val="CABParagraph"/>
        <w:numPr>
          <w:ilvl w:val="0"/>
          <w:numId w:val="14"/>
        </w:numPr>
        <w:spacing w:after="120"/>
        <w:rPr>
          <w:rFonts w:cs="Arial"/>
        </w:rPr>
      </w:pPr>
      <w:r w:rsidRPr="00450A17">
        <w:rPr>
          <w:rFonts w:cs="Arial"/>
        </w:rPr>
        <w:t>relational continuity (preferred provider)</w:t>
      </w:r>
    </w:p>
    <w:p w14:paraId="475EC1E0" w14:textId="77777777" w:rsidR="00203788" w:rsidRPr="00450A17" w:rsidRDefault="00203788" w:rsidP="00203788">
      <w:pPr>
        <w:pStyle w:val="CABParagraph"/>
        <w:numPr>
          <w:ilvl w:val="0"/>
          <w:numId w:val="14"/>
        </w:numPr>
        <w:spacing w:after="120"/>
        <w:rPr>
          <w:rFonts w:cs="Arial"/>
        </w:rPr>
      </w:pPr>
      <w:r w:rsidRPr="00450A17">
        <w:rPr>
          <w:rFonts w:cs="Arial"/>
        </w:rPr>
        <w:t>management continuity (</w:t>
      </w:r>
      <w:r w:rsidR="006B2B16" w:rsidRPr="00450A17">
        <w:rPr>
          <w:rFonts w:cs="Arial"/>
        </w:rPr>
        <w:t>coordination</w:t>
      </w:r>
      <w:r w:rsidRPr="00450A17">
        <w:rPr>
          <w:rFonts w:cs="Arial"/>
        </w:rPr>
        <w:t xml:space="preserve"> across care team)</w:t>
      </w:r>
    </w:p>
    <w:p w14:paraId="1940763C" w14:textId="77777777" w:rsidR="00203788" w:rsidRPr="00450A17" w:rsidRDefault="00203788" w:rsidP="00203788">
      <w:pPr>
        <w:pStyle w:val="CABParagraph"/>
        <w:numPr>
          <w:ilvl w:val="0"/>
          <w:numId w:val="14"/>
        </w:numPr>
        <w:spacing w:after="120"/>
        <w:rPr>
          <w:rFonts w:cs="Arial"/>
        </w:rPr>
      </w:pPr>
      <w:r w:rsidRPr="00450A17">
        <w:rPr>
          <w:rFonts w:cs="Arial"/>
        </w:rPr>
        <w:t>informational continuity (exchange of relevant information)</w:t>
      </w:r>
    </w:p>
    <w:p w14:paraId="590496B0" w14:textId="44907C22" w:rsidR="00E4026A" w:rsidRPr="00450A17" w:rsidRDefault="00462F03" w:rsidP="007B5544">
      <w:pPr>
        <w:pStyle w:val="CABParagraph"/>
        <w:spacing w:after="120" w:line="276" w:lineRule="auto"/>
        <w:rPr>
          <w:rFonts w:cs="Arial"/>
        </w:rPr>
      </w:pPr>
      <w:r w:rsidRPr="00450A17">
        <w:rPr>
          <w:rFonts w:cs="Arial"/>
        </w:rPr>
        <w:t xml:space="preserve">However, data indicates that </w:t>
      </w:r>
      <w:r w:rsidR="002443EF" w:rsidRPr="00450A17">
        <w:rPr>
          <w:rFonts w:cs="Arial"/>
        </w:rPr>
        <w:t xml:space="preserve">these core components are not being delivered and </w:t>
      </w:r>
      <w:r w:rsidRPr="00450A17">
        <w:rPr>
          <w:rFonts w:cs="Arial"/>
        </w:rPr>
        <w:t>continuity of care is limited for many Australians. W</w:t>
      </w:r>
      <w:r w:rsidR="00E4026A" w:rsidRPr="00450A17">
        <w:rPr>
          <w:rFonts w:cs="Arial"/>
        </w:rPr>
        <w:t xml:space="preserve">hile 79% of Australians self-report having a preferred </w:t>
      </w:r>
      <w:r w:rsidR="002D63AA" w:rsidRPr="00450A17">
        <w:rPr>
          <w:rFonts w:cs="Arial"/>
        </w:rPr>
        <w:t>general practitioner (</w:t>
      </w:r>
      <w:r w:rsidR="00E4026A" w:rsidRPr="00450A17">
        <w:rPr>
          <w:rFonts w:cs="Arial"/>
        </w:rPr>
        <w:t>GP</w:t>
      </w:r>
      <w:r w:rsidR="002D63AA" w:rsidRPr="00450A17">
        <w:rPr>
          <w:rFonts w:cs="Arial"/>
        </w:rPr>
        <w:t>)</w:t>
      </w:r>
      <w:r w:rsidR="00E4026A" w:rsidRPr="00450A17">
        <w:rPr>
          <w:rFonts w:cs="Arial"/>
        </w:rPr>
        <w:t>, service data indicates that</w:t>
      </w:r>
      <w:r w:rsidR="002443EF" w:rsidRPr="00450A17">
        <w:rPr>
          <w:rFonts w:cs="Arial"/>
        </w:rPr>
        <w:t xml:space="preserve"> 50% of patients visit three or more practice</w:t>
      </w:r>
      <w:r w:rsidR="003A7DD5" w:rsidRPr="00450A17">
        <w:rPr>
          <w:rFonts w:cs="Arial"/>
        </w:rPr>
        <w:t>s</w:t>
      </w:r>
      <w:r w:rsidR="002443EF" w:rsidRPr="00450A17">
        <w:rPr>
          <w:rFonts w:cs="Arial"/>
        </w:rPr>
        <w:t xml:space="preserve"> in a three-year period and</w:t>
      </w:r>
      <w:r w:rsidR="00E4026A" w:rsidRPr="00450A17">
        <w:rPr>
          <w:rFonts w:cs="Arial"/>
        </w:rPr>
        <w:t xml:space="preserve"> 79% of patients see three or more GPs </w:t>
      </w:r>
      <w:r w:rsidR="00B73145" w:rsidRPr="00450A17">
        <w:rPr>
          <w:rFonts w:cs="Arial"/>
        </w:rPr>
        <w:t>in this same period</w:t>
      </w:r>
      <w:sdt>
        <w:sdtPr>
          <w:rPr>
            <w:rFonts w:cs="Arial"/>
          </w:rPr>
          <w:id w:val="-1685350935"/>
          <w:citation/>
        </w:sdtPr>
        <w:sdtEndPr/>
        <w:sdtContent>
          <w:r w:rsidR="00ED7C71" w:rsidRPr="00450A17">
            <w:rPr>
              <w:rFonts w:cs="Arial"/>
            </w:rPr>
            <w:fldChar w:fldCharType="begin"/>
          </w:r>
          <w:r w:rsidR="006B2B16" w:rsidRPr="00450A17">
            <w:rPr>
              <w:rFonts w:cs="Arial"/>
            </w:rPr>
            <w:instrText xml:space="preserve">CITATION Dep \l 3081 </w:instrText>
          </w:r>
          <w:r w:rsidR="00ED7C71" w:rsidRPr="00450A17">
            <w:rPr>
              <w:rFonts w:cs="Arial"/>
            </w:rPr>
            <w:fldChar w:fldCharType="separate"/>
          </w:r>
          <w:r w:rsidR="006B2B16" w:rsidRPr="00450A17">
            <w:rPr>
              <w:rFonts w:cs="Arial"/>
              <w:noProof/>
            </w:rPr>
            <w:t xml:space="preserve"> (Department of Health and Aged Care, 2022)</w:t>
          </w:r>
          <w:r w:rsidR="00ED7C71" w:rsidRPr="00450A17">
            <w:rPr>
              <w:rFonts w:cs="Arial"/>
            </w:rPr>
            <w:fldChar w:fldCharType="end"/>
          </w:r>
        </w:sdtContent>
      </w:sdt>
      <w:r w:rsidR="00E4026A" w:rsidRPr="00450A17">
        <w:rPr>
          <w:rFonts w:cs="Arial"/>
        </w:rPr>
        <w:t>.</w:t>
      </w:r>
      <w:r w:rsidR="002443EF" w:rsidRPr="00450A17">
        <w:rPr>
          <w:rFonts w:cs="Arial"/>
        </w:rPr>
        <w:t xml:space="preserve"> Currently, there is also limited system </w:t>
      </w:r>
      <w:r w:rsidR="00E45D5A" w:rsidRPr="00450A17">
        <w:rPr>
          <w:rFonts w:cs="Arial"/>
        </w:rPr>
        <w:t>infrastructure</w:t>
      </w:r>
      <w:r w:rsidR="002443EF" w:rsidRPr="00450A17">
        <w:rPr>
          <w:rFonts w:cs="Arial"/>
        </w:rPr>
        <w:t xml:space="preserve"> for </w:t>
      </w:r>
      <w:r w:rsidR="00644DE9" w:rsidRPr="00450A17">
        <w:rPr>
          <w:rFonts w:cs="Arial"/>
        </w:rPr>
        <w:t>multiple providers</w:t>
      </w:r>
      <w:r w:rsidR="002443EF" w:rsidRPr="00450A17">
        <w:rPr>
          <w:rFonts w:cs="Arial"/>
        </w:rPr>
        <w:t xml:space="preserve"> to coordinate across a patient’s care team and exchange</w:t>
      </w:r>
      <w:r w:rsidR="007451FE" w:rsidRPr="00450A17">
        <w:rPr>
          <w:rFonts w:cs="Arial"/>
        </w:rPr>
        <w:t xml:space="preserve"> or </w:t>
      </w:r>
      <w:r w:rsidR="002443EF" w:rsidRPr="00450A17">
        <w:rPr>
          <w:rFonts w:cs="Arial"/>
        </w:rPr>
        <w:t xml:space="preserve">access relevant </w:t>
      </w:r>
      <w:r w:rsidR="00644DE9" w:rsidRPr="00450A17">
        <w:rPr>
          <w:rFonts w:cs="Arial"/>
        </w:rPr>
        <w:t xml:space="preserve">patient </w:t>
      </w:r>
      <w:r w:rsidR="002443EF" w:rsidRPr="00450A17">
        <w:rPr>
          <w:rFonts w:cs="Arial"/>
        </w:rPr>
        <w:t>information.</w:t>
      </w:r>
      <w:r w:rsidRPr="00450A17">
        <w:rPr>
          <w:rFonts w:cs="Arial"/>
        </w:rPr>
        <w:t xml:space="preserve"> </w:t>
      </w:r>
    </w:p>
    <w:p w14:paraId="2015D54D" w14:textId="41DC8658" w:rsidR="002B0678" w:rsidRPr="00450A17" w:rsidRDefault="00206693" w:rsidP="00DD71CF">
      <w:pPr>
        <w:pStyle w:val="CABParagraph"/>
        <w:spacing w:after="120" w:line="276" w:lineRule="auto"/>
        <w:rPr>
          <w:rFonts w:cs="Arial"/>
        </w:rPr>
      </w:pPr>
      <w:r w:rsidRPr="00450A17">
        <w:rPr>
          <w:rStyle w:val="normaltextrun"/>
          <w:rFonts w:cs="Arial"/>
          <w:color w:val="000000"/>
          <w:shd w:val="clear" w:color="auto" w:fill="FFFFFF"/>
        </w:rPr>
        <w:t>The</w:t>
      </w:r>
      <w:r w:rsidR="00E4026A" w:rsidRPr="00450A17">
        <w:rPr>
          <w:rStyle w:val="normaltextrun"/>
          <w:rFonts w:cs="Arial"/>
          <w:color w:val="000000"/>
          <w:shd w:val="clear" w:color="auto" w:fill="FFFFFF"/>
        </w:rPr>
        <w:t xml:space="preserve"> dominant fee-for-service Medicare Benefits Schedule (MBS) funding mechanism</w:t>
      </w:r>
      <w:r w:rsidR="00462F03" w:rsidRPr="00450A17">
        <w:rPr>
          <w:rStyle w:val="normaltextrun"/>
          <w:rFonts w:cs="Arial"/>
          <w:color w:val="000000"/>
          <w:shd w:val="clear" w:color="auto" w:fill="FFFFFF"/>
        </w:rPr>
        <w:t xml:space="preserve"> </w:t>
      </w:r>
      <w:r w:rsidR="00E4026A" w:rsidRPr="00450A17">
        <w:rPr>
          <w:rStyle w:val="normaltextrun"/>
          <w:rFonts w:cs="Arial"/>
          <w:color w:val="000000"/>
          <w:shd w:val="clear" w:color="auto" w:fill="FFFFFF"/>
        </w:rPr>
        <w:t>comprises 90</w:t>
      </w:r>
      <w:r w:rsidR="00644DE9" w:rsidRPr="00450A17">
        <w:rPr>
          <w:rStyle w:val="normaltextrun"/>
          <w:rFonts w:cs="Arial"/>
          <w:color w:val="000000"/>
          <w:shd w:val="clear" w:color="auto" w:fill="FFFFFF"/>
        </w:rPr>
        <w:t>%</w:t>
      </w:r>
      <w:r w:rsidR="00E4026A" w:rsidRPr="00450A17">
        <w:rPr>
          <w:rStyle w:val="normaltextrun"/>
          <w:rFonts w:cs="Arial"/>
          <w:color w:val="000000"/>
          <w:shd w:val="clear" w:color="auto" w:fill="FFFFFF"/>
        </w:rPr>
        <w:t xml:space="preserve"> of general practice funding in Australia. This mechanism incentivises volume-based care over integrated, team-based </w:t>
      </w:r>
      <w:r w:rsidR="0076568A" w:rsidRPr="00450A17">
        <w:rPr>
          <w:rStyle w:val="normaltextrun"/>
          <w:rFonts w:cs="Arial"/>
          <w:color w:val="000000"/>
          <w:shd w:val="clear" w:color="auto" w:fill="FFFFFF"/>
        </w:rPr>
        <w:t xml:space="preserve">and longitudinal </w:t>
      </w:r>
      <w:r w:rsidR="00E4026A" w:rsidRPr="00450A17">
        <w:rPr>
          <w:rStyle w:val="normaltextrun"/>
          <w:rFonts w:cs="Arial"/>
          <w:color w:val="000000"/>
          <w:shd w:val="clear" w:color="auto" w:fill="FFFFFF"/>
        </w:rPr>
        <w:t>care models</w:t>
      </w:r>
      <w:r w:rsidR="003A4A59" w:rsidRPr="00450A17">
        <w:rPr>
          <w:rStyle w:val="normaltextrun"/>
          <w:rFonts w:cs="Arial"/>
          <w:color w:val="000000"/>
          <w:shd w:val="clear" w:color="auto" w:fill="FFFFFF"/>
        </w:rPr>
        <w:t xml:space="preserve">, as it </w:t>
      </w:r>
      <w:r w:rsidR="006B2B16" w:rsidRPr="00450A17">
        <w:rPr>
          <w:rStyle w:val="normaltextrun"/>
          <w:rFonts w:cs="Arial"/>
          <w:color w:val="000000"/>
          <w:shd w:val="clear" w:color="auto" w:fill="FFFFFF"/>
        </w:rPr>
        <w:t>allows</w:t>
      </w:r>
      <w:r w:rsidR="003A4A59" w:rsidRPr="00450A17">
        <w:rPr>
          <w:rStyle w:val="normaltextrun"/>
          <w:rFonts w:cs="Arial"/>
          <w:color w:val="000000"/>
          <w:shd w:val="clear" w:color="auto" w:fill="FFFFFF"/>
        </w:rPr>
        <w:t xml:space="preserve"> higher remuneration for providers if they see more patients, which may encourage providers to shorten consultation times to increase the volume of patients they are able to see</w:t>
      </w:r>
      <w:r w:rsidR="00E4026A" w:rsidRPr="00450A17">
        <w:rPr>
          <w:rStyle w:val="normaltextrun"/>
          <w:rFonts w:cs="Arial"/>
          <w:color w:val="000000"/>
          <w:shd w:val="clear" w:color="auto" w:fill="FFFFFF"/>
        </w:rPr>
        <w:t>.</w:t>
      </w:r>
      <w:r w:rsidR="007B5544" w:rsidRPr="00450A17">
        <w:rPr>
          <w:rStyle w:val="normaltextrun"/>
          <w:rFonts w:cs="Arial"/>
          <w:color w:val="000000"/>
          <w:shd w:val="clear" w:color="auto" w:fill="FFFFFF"/>
        </w:rPr>
        <w:t xml:space="preserve"> This results in</w:t>
      </w:r>
      <w:r w:rsidR="002443EF" w:rsidRPr="00450A17">
        <w:rPr>
          <w:rStyle w:val="normaltextrun"/>
          <w:rFonts w:cs="Arial"/>
          <w:color w:val="000000"/>
          <w:shd w:val="clear" w:color="auto" w:fill="FFFFFF"/>
        </w:rPr>
        <w:t xml:space="preserve"> ad-hoc </w:t>
      </w:r>
      <w:r w:rsidR="007B5544" w:rsidRPr="00450A17">
        <w:rPr>
          <w:rStyle w:val="normaltextrun"/>
          <w:rFonts w:cs="Arial"/>
          <w:color w:val="000000"/>
          <w:shd w:val="clear" w:color="auto" w:fill="FFFFFF"/>
        </w:rPr>
        <w:t>care where GPs and general practices</w:t>
      </w:r>
      <w:r w:rsidR="002B0678" w:rsidRPr="00450A17">
        <w:rPr>
          <w:rStyle w:val="normaltextrun"/>
          <w:rFonts w:cs="Arial"/>
          <w:color w:val="000000"/>
          <w:shd w:val="clear" w:color="auto" w:fill="FFFFFF"/>
        </w:rPr>
        <w:t xml:space="preserve"> </w:t>
      </w:r>
      <w:r w:rsidR="00917318" w:rsidRPr="00450A17">
        <w:rPr>
          <w:rStyle w:val="normaltextrun"/>
          <w:rFonts w:cs="Arial"/>
          <w:color w:val="000000"/>
          <w:shd w:val="clear" w:color="auto" w:fill="FFFFFF"/>
        </w:rPr>
        <w:t>may treat</w:t>
      </w:r>
      <w:r w:rsidR="00656115" w:rsidRPr="00450A17">
        <w:rPr>
          <w:rStyle w:val="normaltextrun"/>
          <w:rFonts w:cs="Arial"/>
          <w:color w:val="000000"/>
          <w:shd w:val="clear" w:color="auto" w:fill="FFFFFF"/>
        </w:rPr>
        <w:t xml:space="preserve"> </w:t>
      </w:r>
      <w:r w:rsidR="00917318" w:rsidRPr="00450A17">
        <w:rPr>
          <w:rStyle w:val="normaltextrun"/>
          <w:rFonts w:cs="Arial"/>
          <w:color w:val="000000"/>
          <w:shd w:val="clear" w:color="auto" w:fill="FFFFFF"/>
        </w:rPr>
        <w:t>more</w:t>
      </w:r>
      <w:r w:rsidR="00656115" w:rsidRPr="00450A17">
        <w:rPr>
          <w:rStyle w:val="normaltextrun"/>
          <w:rFonts w:cs="Arial"/>
          <w:color w:val="000000"/>
          <w:shd w:val="clear" w:color="auto" w:fill="FFFFFF"/>
        </w:rPr>
        <w:t xml:space="preserve"> patients, yet </w:t>
      </w:r>
      <w:r w:rsidR="002B0678" w:rsidRPr="00450A17">
        <w:rPr>
          <w:rStyle w:val="normaltextrun"/>
          <w:rFonts w:cs="Arial"/>
          <w:color w:val="000000"/>
          <w:shd w:val="clear" w:color="auto" w:fill="FFFFFF"/>
        </w:rPr>
        <w:t>have</w:t>
      </w:r>
      <w:r w:rsidR="007B5544" w:rsidRPr="00450A17">
        <w:rPr>
          <w:rStyle w:val="normaltextrun"/>
          <w:rFonts w:cs="Arial"/>
          <w:color w:val="000000"/>
          <w:shd w:val="clear" w:color="auto" w:fill="FFFFFF"/>
        </w:rPr>
        <w:t xml:space="preserve"> </w:t>
      </w:r>
      <w:r w:rsidR="007B5544" w:rsidRPr="00450A17">
        <w:rPr>
          <w:rFonts w:cs="Arial"/>
        </w:rPr>
        <w:t xml:space="preserve">limited visibility of </w:t>
      </w:r>
      <w:r w:rsidR="002B0678" w:rsidRPr="00450A17">
        <w:rPr>
          <w:rFonts w:cs="Arial"/>
        </w:rPr>
        <w:t xml:space="preserve">what services their regular patients are receiving, leading to worse health outcomes. </w:t>
      </w:r>
    </w:p>
    <w:p w14:paraId="4867BC0A" w14:textId="7F95C9E3" w:rsidR="00480067" w:rsidRPr="00450A17" w:rsidRDefault="002B0678" w:rsidP="00245778">
      <w:pPr>
        <w:pStyle w:val="CABParagraph"/>
        <w:spacing w:after="120" w:line="276" w:lineRule="auto"/>
        <w:rPr>
          <w:rFonts w:cs="Arial"/>
          <w:b/>
          <w:bCs/>
          <w:iCs/>
        </w:rPr>
      </w:pPr>
      <w:r w:rsidRPr="00450A17">
        <w:rPr>
          <w:rStyle w:val="normaltextrun"/>
          <w:rFonts w:cs="Arial"/>
          <w:color w:val="000000"/>
          <w:shd w:val="clear" w:color="auto" w:fill="FFFFFF"/>
        </w:rPr>
        <w:t>In recognition of the</w:t>
      </w:r>
      <w:r w:rsidR="009D233E" w:rsidRPr="00450A17">
        <w:rPr>
          <w:rStyle w:val="normaltextrun"/>
          <w:rFonts w:cs="Arial"/>
          <w:color w:val="000000"/>
          <w:shd w:val="clear" w:color="auto" w:fill="FFFFFF"/>
        </w:rPr>
        <w:t>se</w:t>
      </w:r>
      <w:r w:rsidRPr="00450A17">
        <w:rPr>
          <w:rStyle w:val="normaltextrun"/>
          <w:rFonts w:cs="Arial"/>
          <w:color w:val="000000"/>
          <w:shd w:val="clear" w:color="auto" w:fill="FFFFFF"/>
        </w:rPr>
        <w:t xml:space="preserve"> interconnected challenges in increasing continuity of care, t</w:t>
      </w:r>
      <w:r w:rsidR="003E5145" w:rsidRPr="00450A17">
        <w:rPr>
          <w:rStyle w:val="normaltextrun"/>
          <w:rFonts w:cs="Arial"/>
          <w:color w:val="000000"/>
          <w:shd w:val="clear" w:color="auto" w:fill="FFFFFF"/>
        </w:rPr>
        <w:t xml:space="preserve">he Taskforce recommended </w:t>
      </w:r>
      <w:r w:rsidR="00462F03" w:rsidRPr="00450A17">
        <w:rPr>
          <w:rStyle w:val="normaltextrun"/>
          <w:rFonts w:cs="Arial"/>
          <w:color w:val="000000"/>
          <w:shd w:val="clear" w:color="auto" w:fill="FFFFFF"/>
        </w:rPr>
        <w:t>t</w:t>
      </w:r>
      <w:r w:rsidR="003E5145" w:rsidRPr="00450A17">
        <w:rPr>
          <w:rStyle w:val="normaltextrun"/>
          <w:rFonts w:cs="Arial"/>
          <w:color w:val="000000"/>
          <w:shd w:val="clear" w:color="auto" w:fill="FFFFFF"/>
        </w:rPr>
        <w:t xml:space="preserve">he development of </w:t>
      </w:r>
      <w:r w:rsidR="00A852F6" w:rsidRPr="00450A17">
        <w:rPr>
          <w:rStyle w:val="normaltextrun"/>
          <w:rFonts w:cs="Arial"/>
          <w:color w:val="000000"/>
          <w:shd w:val="clear" w:color="auto" w:fill="FFFFFF"/>
        </w:rPr>
        <w:t xml:space="preserve">VPR and </w:t>
      </w:r>
      <w:r w:rsidR="003E5145" w:rsidRPr="00450A17">
        <w:rPr>
          <w:rStyle w:val="normaltextrun"/>
          <w:rFonts w:cs="Arial"/>
          <w:color w:val="000000"/>
          <w:shd w:val="clear" w:color="auto" w:fill="FFFFFF"/>
        </w:rPr>
        <w:t>new funding models</w:t>
      </w:r>
      <w:r w:rsidR="007B5544" w:rsidRPr="00450A17">
        <w:rPr>
          <w:rStyle w:val="normaltextrun"/>
          <w:rFonts w:cs="Arial"/>
          <w:color w:val="000000"/>
          <w:shd w:val="clear" w:color="auto" w:fill="FFFFFF"/>
        </w:rPr>
        <w:t>, alongside fee-for-service</w:t>
      </w:r>
      <w:r w:rsidR="00644DE9" w:rsidRPr="00450A17">
        <w:rPr>
          <w:rStyle w:val="normaltextrun"/>
          <w:rFonts w:cs="Arial"/>
          <w:color w:val="000000"/>
          <w:shd w:val="clear" w:color="auto" w:fill="FFFFFF"/>
        </w:rPr>
        <w:t xml:space="preserve">. A </w:t>
      </w:r>
      <w:r w:rsidR="003E5145" w:rsidRPr="00450A17">
        <w:rPr>
          <w:rStyle w:val="normaltextrun"/>
          <w:rFonts w:cs="Arial"/>
          <w:color w:val="000000"/>
          <w:shd w:val="clear" w:color="auto" w:fill="FFFFFF"/>
        </w:rPr>
        <w:t xml:space="preserve">shift towards blended funding </w:t>
      </w:r>
      <w:r w:rsidR="00644DE9" w:rsidRPr="00450A17">
        <w:rPr>
          <w:rStyle w:val="normaltextrun"/>
          <w:rFonts w:cs="Arial"/>
          <w:color w:val="000000"/>
          <w:shd w:val="clear" w:color="auto" w:fill="FFFFFF"/>
        </w:rPr>
        <w:t xml:space="preserve">would </w:t>
      </w:r>
      <w:r w:rsidR="003E5145" w:rsidRPr="00450A17">
        <w:rPr>
          <w:rStyle w:val="normaltextrun"/>
          <w:rFonts w:cs="Arial"/>
          <w:color w:val="000000"/>
          <w:shd w:val="clear" w:color="auto" w:fill="FFFFFF"/>
        </w:rPr>
        <w:t>reward providers for</w:t>
      </w:r>
      <w:r w:rsidRPr="00450A17">
        <w:rPr>
          <w:rStyle w:val="normaltextrun"/>
          <w:rFonts w:cs="Arial"/>
          <w:color w:val="000000"/>
          <w:shd w:val="clear" w:color="auto" w:fill="FFFFFF"/>
        </w:rPr>
        <w:t xml:space="preserve"> working in a team to provide</w:t>
      </w:r>
      <w:r w:rsidR="003E5145" w:rsidRPr="00450A17">
        <w:rPr>
          <w:rStyle w:val="normaltextrun"/>
          <w:rFonts w:cs="Arial"/>
          <w:color w:val="000000"/>
          <w:shd w:val="clear" w:color="auto" w:fill="FFFFFF"/>
        </w:rPr>
        <w:t xml:space="preserve"> </w:t>
      </w:r>
      <w:r w:rsidR="006C79ED" w:rsidRPr="00450A17">
        <w:rPr>
          <w:rStyle w:val="normaltextrun"/>
          <w:rFonts w:cs="Arial"/>
          <w:color w:val="000000"/>
          <w:shd w:val="clear" w:color="auto" w:fill="FFFFFF"/>
        </w:rPr>
        <w:t xml:space="preserve">continuous </w:t>
      </w:r>
      <w:r w:rsidR="003E5145" w:rsidRPr="00450A17">
        <w:rPr>
          <w:rStyle w:val="normaltextrun"/>
          <w:rFonts w:cs="Arial"/>
          <w:color w:val="000000"/>
          <w:shd w:val="clear" w:color="auto" w:fill="FFFFFF"/>
        </w:rPr>
        <w:t>person-centred care.</w:t>
      </w:r>
      <w:r w:rsidR="00462F03" w:rsidRPr="00450A17">
        <w:rPr>
          <w:rStyle w:val="normaltextrun"/>
          <w:rFonts w:cs="Arial"/>
          <w:color w:val="000000"/>
          <w:shd w:val="clear" w:color="auto" w:fill="FFFFFF"/>
        </w:rPr>
        <w:t xml:space="preserve"> The Taskforce </w:t>
      </w:r>
      <w:r w:rsidRPr="00450A17">
        <w:rPr>
          <w:rStyle w:val="normaltextrun"/>
          <w:rFonts w:cs="Arial"/>
          <w:color w:val="000000"/>
          <w:shd w:val="clear" w:color="auto" w:fill="FFFFFF"/>
        </w:rPr>
        <w:t>noted</w:t>
      </w:r>
      <w:r w:rsidR="00462F03" w:rsidRPr="00450A17">
        <w:rPr>
          <w:rStyle w:val="normaltextrun"/>
          <w:rFonts w:cs="Arial"/>
          <w:color w:val="000000"/>
          <w:shd w:val="clear" w:color="auto" w:fill="FFFFFF"/>
        </w:rPr>
        <w:t xml:space="preserve"> that VPR</w:t>
      </w:r>
      <w:r w:rsidR="007B5544" w:rsidRPr="00450A17">
        <w:rPr>
          <w:rStyle w:val="normaltextrun"/>
          <w:rFonts w:cs="Arial"/>
          <w:color w:val="000000"/>
          <w:shd w:val="clear" w:color="auto" w:fill="FFFFFF"/>
        </w:rPr>
        <w:t xml:space="preserve"> </w:t>
      </w:r>
      <w:r w:rsidR="00644DE9" w:rsidRPr="00450A17">
        <w:rPr>
          <w:rStyle w:val="normaltextrun"/>
          <w:rFonts w:cs="Arial"/>
          <w:color w:val="000000"/>
          <w:shd w:val="clear" w:color="auto" w:fill="FFFFFF"/>
        </w:rPr>
        <w:t>would be</w:t>
      </w:r>
      <w:r w:rsidR="007B5544" w:rsidRPr="00450A17">
        <w:rPr>
          <w:rStyle w:val="normaltextrun"/>
          <w:rFonts w:cs="Arial"/>
          <w:color w:val="000000"/>
          <w:shd w:val="clear" w:color="auto" w:fill="FFFFFF"/>
        </w:rPr>
        <w:t xml:space="preserve"> </w:t>
      </w:r>
      <w:r w:rsidR="00212A43" w:rsidRPr="00450A17">
        <w:rPr>
          <w:rStyle w:val="normaltextrun"/>
          <w:rFonts w:cs="Arial"/>
          <w:color w:val="000000"/>
          <w:shd w:val="clear" w:color="auto" w:fill="FFFFFF"/>
        </w:rPr>
        <w:t xml:space="preserve">a </w:t>
      </w:r>
      <w:r w:rsidR="007B5544" w:rsidRPr="00450A17">
        <w:rPr>
          <w:rStyle w:val="normaltextrun"/>
          <w:rFonts w:cs="Arial"/>
          <w:color w:val="000000"/>
          <w:shd w:val="clear" w:color="auto" w:fill="FFFFFF"/>
        </w:rPr>
        <w:t>key enabler to shifting to these more blended funding models</w:t>
      </w:r>
      <w:r w:rsidRPr="00450A17">
        <w:rPr>
          <w:rStyle w:val="normaltextrun"/>
          <w:rFonts w:cs="Arial"/>
          <w:color w:val="000000"/>
          <w:shd w:val="clear" w:color="auto" w:fill="FFFFFF"/>
        </w:rPr>
        <w:t xml:space="preserve">, </w:t>
      </w:r>
      <w:r w:rsidR="00644DE9" w:rsidRPr="00450A17">
        <w:rPr>
          <w:rStyle w:val="normaltextrun"/>
          <w:rFonts w:cs="Arial"/>
          <w:color w:val="000000"/>
          <w:shd w:val="clear" w:color="auto" w:fill="FFFFFF"/>
        </w:rPr>
        <w:t xml:space="preserve">and </w:t>
      </w:r>
      <w:r w:rsidRPr="00450A17">
        <w:rPr>
          <w:rStyle w:val="normaltextrun"/>
          <w:rFonts w:cs="Arial"/>
          <w:color w:val="000000"/>
          <w:shd w:val="clear" w:color="auto" w:fill="FFFFFF"/>
        </w:rPr>
        <w:t>provid</w:t>
      </w:r>
      <w:r w:rsidR="00644DE9" w:rsidRPr="00450A17">
        <w:rPr>
          <w:rStyle w:val="normaltextrun"/>
          <w:rFonts w:cs="Arial"/>
          <w:color w:val="000000"/>
          <w:shd w:val="clear" w:color="auto" w:fill="FFFFFF"/>
        </w:rPr>
        <w:t xml:space="preserve">e </w:t>
      </w:r>
      <w:r w:rsidRPr="00450A17">
        <w:rPr>
          <w:rStyle w:val="normaltextrun"/>
          <w:rFonts w:cs="Arial"/>
          <w:color w:val="000000"/>
          <w:shd w:val="clear" w:color="auto" w:fill="FFFFFF"/>
        </w:rPr>
        <w:t xml:space="preserve">the system </w:t>
      </w:r>
      <w:r w:rsidR="00B73145" w:rsidRPr="00450A17">
        <w:rPr>
          <w:rStyle w:val="normaltextrun"/>
          <w:rFonts w:cs="Arial"/>
          <w:color w:val="000000"/>
          <w:shd w:val="clear" w:color="auto" w:fill="FFFFFF"/>
        </w:rPr>
        <w:t>infrastructure</w:t>
      </w:r>
      <w:r w:rsidRPr="00450A17">
        <w:rPr>
          <w:rStyle w:val="normaltextrun"/>
          <w:rFonts w:cs="Arial"/>
          <w:color w:val="000000"/>
          <w:shd w:val="clear" w:color="auto" w:fill="FFFFFF"/>
        </w:rPr>
        <w:t xml:space="preserve"> required for providers to deliver continuity of care</w:t>
      </w:r>
      <w:r w:rsidR="007B5544" w:rsidRPr="00450A17">
        <w:rPr>
          <w:rStyle w:val="normaltextrun"/>
          <w:rFonts w:cs="Arial"/>
          <w:color w:val="000000"/>
          <w:shd w:val="clear" w:color="auto" w:fill="FFFFFF"/>
        </w:rPr>
        <w:t>.</w:t>
      </w:r>
    </w:p>
    <w:p w14:paraId="4EA5BA61" w14:textId="77777777" w:rsidR="009065F5" w:rsidRPr="00450A17" w:rsidRDefault="003A75A2" w:rsidP="00480067">
      <w:pPr>
        <w:pStyle w:val="CABParagraph"/>
        <w:rPr>
          <w:rFonts w:cs="Arial"/>
          <w:b/>
          <w:bCs/>
          <w:iCs/>
        </w:rPr>
      </w:pPr>
      <w:r w:rsidRPr="00450A17">
        <w:rPr>
          <w:rFonts w:cs="Arial"/>
          <w:b/>
          <w:bCs/>
          <w:iCs/>
        </w:rPr>
        <w:t xml:space="preserve">Inadequate oversight leads to </w:t>
      </w:r>
      <w:r w:rsidR="001D7014" w:rsidRPr="00450A17">
        <w:rPr>
          <w:rFonts w:cs="Arial"/>
          <w:b/>
          <w:bCs/>
          <w:iCs/>
        </w:rPr>
        <w:t>fragmented service delivery</w:t>
      </w:r>
      <w:r w:rsidRPr="00450A17">
        <w:rPr>
          <w:rFonts w:cs="Arial"/>
          <w:b/>
          <w:bCs/>
          <w:iCs/>
        </w:rPr>
        <w:t xml:space="preserve"> and poor patient outcomes</w:t>
      </w:r>
    </w:p>
    <w:p w14:paraId="46EBEC03" w14:textId="77777777" w:rsidR="009866F8" w:rsidRPr="00450A17" w:rsidRDefault="009866F8" w:rsidP="009866F8">
      <w:pPr>
        <w:pStyle w:val="CABParagraph"/>
        <w:spacing w:after="120" w:line="276" w:lineRule="auto"/>
        <w:rPr>
          <w:rFonts w:cs="Arial"/>
        </w:rPr>
      </w:pPr>
      <w:r w:rsidRPr="00450A17">
        <w:rPr>
          <w:rFonts w:cs="Arial"/>
        </w:rPr>
        <w:t xml:space="preserve">Fragmented </w:t>
      </w:r>
      <w:r w:rsidR="00BF1894" w:rsidRPr="00450A17">
        <w:rPr>
          <w:rFonts w:cs="Arial"/>
        </w:rPr>
        <w:t xml:space="preserve">health </w:t>
      </w:r>
      <w:r w:rsidRPr="00450A17">
        <w:rPr>
          <w:rFonts w:cs="Arial"/>
        </w:rPr>
        <w:t>care occurs when providers work in isolation</w:t>
      </w:r>
      <w:r w:rsidR="001B6107" w:rsidRPr="00450A17">
        <w:rPr>
          <w:rFonts w:cs="Arial"/>
        </w:rPr>
        <w:t xml:space="preserve">, </w:t>
      </w:r>
      <w:r w:rsidR="009865BE" w:rsidRPr="00450A17">
        <w:rPr>
          <w:rFonts w:cs="Arial"/>
        </w:rPr>
        <w:t xml:space="preserve">often leading to duplication of effort </w:t>
      </w:r>
      <w:r w:rsidR="00844ECA" w:rsidRPr="00450A17">
        <w:rPr>
          <w:rFonts w:cs="Arial"/>
        </w:rPr>
        <w:t>or miscommunication</w:t>
      </w:r>
      <w:r w:rsidR="009865BE" w:rsidRPr="00450A17">
        <w:rPr>
          <w:rFonts w:cs="Arial"/>
        </w:rPr>
        <w:t xml:space="preserve"> across th</w:t>
      </w:r>
      <w:r w:rsidR="001B6107" w:rsidRPr="00450A17">
        <w:rPr>
          <w:rFonts w:cs="Arial"/>
        </w:rPr>
        <w:t xml:space="preserve">e care team. This </w:t>
      </w:r>
      <w:r w:rsidR="00BF1894" w:rsidRPr="00450A17">
        <w:rPr>
          <w:rFonts w:cs="Arial"/>
        </w:rPr>
        <w:t>is</w:t>
      </w:r>
      <w:r w:rsidR="00957023" w:rsidRPr="00450A17">
        <w:rPr>
          <w:rFonts w:cs="Arial"/>
        </w:rPr>
        <w:t xml:space="preserve"> </w:t>
      </w:r>
      <w:r w:rsidRPr="00450A17">
        <w:rPr>
          <w:rFonts w:cs="Arial"/>
        </w:rPr>
        <w:t xml:space="preserve">exacerbated by </w:t>
      </w:r>
      <w:r w:rsidR="0007588E" w:rsidRPr="00450A17">
        <w:rPr>
          <w:rFonts w:cs="Arial"/>
        </w:rPr>
        <w:t>poor data management and information sharing</w:t>
      </w:r>
      <w:r w:rsidRPr="00450A17">
        <w:rPr>
          <w:rFonts w:cs="Arial"/>
        </w:rPr>
        <w:t xml:space="preserve">. </w:t>
      </w:r>
    </w:p>
    <w:p w14:paraId="63CA0196" w14:textId="3F7EE9C8" w:rsidR="00140E0D" w:rsidRPr="00450A17" w:rsidRDefault="0007588E" w:rsidP="00C83657">
      <w:pPr>
        <w:pStyle w:val="CABParagraph"/>
        <w:spacing w:after="120" w:line="276" w:lineRule="auto"/>
        <w:rPr>
          <w:rFonts w:cs="Arial"/>
        </w:rPr>
      </w:pPr>
      <w:r w:rsidRPr="00450A17">
        <w:rPr>
          <w:rFonts w:cs="Arial"/>
        </w:rPr>
        <w:t>In Australia,</w:t>
      </w:r>
      <w:r w:rsidR="009065F5" w:rsidRPr="00450A17">
        <w:rPr>
          <w:rFonts w:cs="Arial"/>
        </w:rPr>
        <w:t xml:space="preserve"> </w:t>
      </w:r>
      <w:r w:rsidR="00480067" w:rsidRPr="00450A17">
        <w:rPr>
          <w:rFonts w:cs="Arial"/>
        </w:rPr>
        <w:t>patients</w:t>
      </w:r>
      <w:r w:rsidR="009065F5" w:rsidRPr="00450A17">
        <w:rPr>
          <w:rFonts w:cs="Arial"/>
        </w:rPr>
        <w:t xml:space="preserve"> access care from a range of providers</w:t>
      </w:r>
      <w:r w:rsidRPr="00450A17">
        <w:rPr>
          <w:rFonts w:cs="Arial"/>
        </w:rPr>
        <w:t xml:space="preserve"> </w:t>
      </w:r>
      <w:r w:rsidR="009065F5" w:rsidRPr="00450A17">
        <w:rPr>
          <w:rFonts w:cs="Arial"/>
        </w:rPr>
        <w:t xml:space="preserve">funded from </w:t>
      </w:r>
      <w:r w:rsidRPr="00450A17">
        <w:rPr>
          <w:rFonts w:cs="Arial"/>
        </w:rPr>
        <w:t xml:space="preserve">various </w:t>
      </w:r>
      <w:r w:rsidR="009065F5" w:rsidRPr="00450A17">
        <w:rPr>
          <w:rFonts w:cs="Arial"/>
        </w:rPr>
        <w:t xml:space="preserve">sources, either </w:t>
      </w:r>
      <w:r w:rsidRPr="00450A17">
        <w:rPr>
          <w:rFonts w:cs="Arial"/>
        </w:rPr>
        <w:t>in</w:t>
      </w:r>
      <w:r w:rsidR="009065F5" w:rsidRPr="00450A17">
        <w:rPr>
          <w:rFonts w:cs="Arial"/>
        </w:rPr>
        <w:t xml:space="preserve"> community or in hospital settings.</w:t>
      </w:r>
      <w:r w:rsidR="00767F51" w:rsidRPr="00450A17">
        <w:rPr>
          <w:rFonts w:cs="Arial"/>
        </w:rPr>
        <w:t xml:space="preserve"> This can lead </w:t>
      </w:r>
      <w:r w:rsidR="00EF28B3" w:rsidRPr="00450A17">
        <w:rPr>
          <w:rFonts w:cs="Arial"/>
        </w:rPr>
        <w:t>to</w:t>
      </w:r>
      <w:r w:rsidR="00767F51" w:rsidRPr="00450A17">
        <w:rPr>
          <w:rFonts w:cs="Arial"/>
        </w:rPr>
        <w:t xml:space="preserve"> pro</w:t>
      </w:r>
      <w:r w:rsidR="00BD784F" w:rsidRPr="00450A17">
        <w:rPr>
          <w:rFonts w:cs="Arial"/>
        </w:rPr>
        <w:t>viders operating in silos</w:t>
      </w:r>
      <w:r w:rsidR="00821059" w:rsidRPr="00450A17">
        <w:rPr>
          <w:rFonts w:cs="Arial"/>
        </w:rPr>
        <w:t>, with their scope of service determined by the programs and incentives their practice applies for, the scope of practice of the health care professional and organisational priorities,</w:t>
      </w:r>
      <w:r w:rsidR="00BD784F" w:rsidRPr="00450A17">
        <w:rPr>
          <w:rFonts w:cs="Arial"/>
        </w:rPr>
        <w:t xml:space="preserve"> </w:t>
      </w:r>
      <w:r w:rsidR="00821059" w:rsidRPr="00450A17">
        <w:rPr>
          <w:rFonts w:cs="Arial"/>
        </w:rPr>
        <w:t>resulting in some</w:t>
      </w:r>
      <w:r w:rsidR="00BD784F" w:rsidRPr="00450A17">
        <w:rPr>
          <w:rFonts w:cs="Arial"/>
        </w:rPr>
        <w:t xml:space="preserve"> </w:t>
      </w:r>
      <w:r w:rsidR="00767F51" w:rsidRPr="00450A17">
        <w:rPr>
          <w:rFonts w:cs="Arial"/>
        </w:rPr>
        <w:t>patient</w:t>
      </w:r>
      <w:r w:rsidR="00BD784F" w:rsidRPr="00450A17">
        <w:rPr>
          <w:rFonts w:cs="Arial"/>
        </w:rPr>
        <w:t>’</w:t>
      </w:r>
      <w:r w:rsidR="00767F51" w:rsidRPr="00450A17">
        <w:rPr>
          <w:rFonts w:cs="Arial"/>
        </w:rPr>
        <w:t xml:space="preserve">s care not being </w:t>
      </w:r>
      <w:r w:rsidR="00821059" w:rsidRPr="00450A17">
        <w:rPr>
          <w:rFonts w:cs="Arial"/>
        </w:rPr>
        <w:t xml:space="preserve">holistic or </w:t>
      </w:r>
      <w:r w:rsidR="00767F51" w:rsidRPr="00450A17">
        <w:rPr>
          <w:rFonts w:cs="Arial"/>
        </w:rPr>
        <w:t xml:space="preserve">cohesive. </w:t>
      </w:r>
      <w:r w:rsidR="00EA13DE" w:rsidRPr="00450A17">
        <w:rPr>
          <w:rFonts w:cs="Arial"/>
        </w:rPr>
        <w:t>This fragmented service delivery can negatively impact the quality of care provided to patients, leading to worse health outcomes and system inefficiencies. For example</w:t>
      </w:r>
      <w:r w:rsidR="009D233E" w:rsidRPr="00450A17">
        <w:rPr>
          <w:rFonts w:cs="Arial"/>
        </w:rPr>
        <w:t xml:space="preserve"> p</w:t>
      </w:r>
      <w:r w:rsidR="001D7014" w:rsidRPr="00450A17">
        <w:rPr>
          <w:rFonts w:cs="Arial"/>
        </w:rPr>
        <w:t>eople with chronic disease who don’t have a regular GP</w:t>
      </w:r>
      <w:r w:rsidR="00B73145" w:rsidRPr="00450A17">
        <w:rPr>
          <w:rFonts w:cs="Arial"/>
        </w:rPr>
        <w:t xml:space="preserve"> are more likely receive more hospital care than those with a regular GP, with</w:t>
      </w:r>
      <w:r w:rsidR="001D7014" w:rsidRPr="00450A17">
        <w:rPr>
          <w:rFonts w:cs="Arial"/>
        </w:rPr>
        <w:t xml:space="preserve"> 22% more likely to present at an emergency department and 33% more likely to have a non-elective hospital admission</w:t>
      </w:r>
      <w:r w:rsidR="00140AA8" w:rsidRPr="00450A17">
        <w:rPr>
          <w:rFonts w:cs="Arial"/>
          <w:noProof/>
        </w:rPr>
        <w:t xml:space="preserve"> (Glazier et al 2008)</w:t>
      </w:r>
      <w:r w:rsidR="001D7014" w:rsidRPr="00450A17">
        <w:rPr>
          <w:rFonts w:cs="Arial"/>
        </w:rPr>
        <w:t xml:space="preserve">. </w:t>
      </w:r>
      <w:r w:rsidR="000469E7" w:rsidRPr="00450A17">
        <w:rPr>
          <w:rFonts w:cs="Arial"/>
        </w:rPr>
        <w:t xml:space="preserve"> </w:t>
      </w:r>
    </w:p>
    <w:p w14:paraId="57ABB0CE" w14:textId="54F9DD85" w:rsidR="00116B0E" w:rsidRPr="00450A17" w:rsidRDefault="00116B0E" w:rsidP="00805034">
      <w:pPr>
        <w:rPr>
          <w:rFonts w:cs="Arial"/>
        </w:rPr>
      </w:pPr>
      <w:r w:rsidRPr="00450A17">
        <w:t>Currently</w:t>
      </w:r>
      <w:r w:rsidR="00A519EE" w:rsidRPr="00450A17">
        <w:t>, without VPR</w:t>
      </w:r>
      <w:r w:rsidR="009D233E" w:rsidRPr="00450A17">
        <w:rPr>
          <w:rFonts w:cs="Arial"/>
        </w:rPr>
        <w:t xml:space="preserve"> there is a lack of infrastructure to</w:t>
      </w:r>
      <w:r w:rsidR="006D2893" w:rsidRPr="00450A17">
        <w:rPr>
          <w:rFonts w:cs="Arial"/>
        </w:rPr>
        <w:t xml:space="preserve"> address fragmented health care. </w:t>
      </w:r>
      <w:r w:rsidR="009D233E" w:rsidRPr="00450A17">
        <w:rPr>
          <w:rFonts w:cs="Arial"/>
        </w:rPr>
        <w:t xml:space="preserve"> </w:t>
      </w:r>
      <w:r w:rsidR="002A3490" w:rsidRPr="00450A17">
        <w:rPr>
          <w:rFonts w:cs="Arial"/>
        </w:rPr>
        <w:t>For example, My Health Record </w:t>
      </w:r>
      <w:r w:rsidR="00962F86" w:rsidRPr="00450A17">
        <w:rPr>
          <w:rFonts w:cs="Arial"/>
        </w:rPr>
        <w:t xml:space="preserve">can currently </w:t>
      </w:r>
      <w:r w:rsidR="007B35EE" w:rsidRPr="00450A17">
        <w:rPr>
          <w:rFonts w:cs="Arial"/>
        </w:rPr>
        <w:t>display a</w:t>
      </w:r>
      <w:r w:rsidR="00962F86" w:rsidRPr="00450A17">
        <w:rPr>
          <w:rFonts w:cs="Arial"/>
        </w:rPr>
        <w:t xml:space="preserve"> patient’s</w:t>
      </w:r>
      <w:r w:rsidR="002A3490" w:rsidRPr="00450A17">
        <w:rPr>
          <w:rFonts w:cs="Arial"/>
        </w:rPr>
        <w:t xml:space="preserve"> health information including details of medical conditions and treatments, test or scan results. It </w:t>
      </w:r>
      <w:r w:rsidR="005E53BC" w:rsidRPr="00450A17">
        <w:rPr>
          <w:rFonts w:cs="Arial"/>
        </w:rPr>
        <w:t>will</w:t>
      </w:r>
      <w:r w:rsidR="002A3490" w:rsidRPr="00450A17">
        <w:rPr>
          <w:rFonts w:cs="Arial"/>
        </w:rPr>
        <w:t xml:space="preserve"> not however</w:t>
      </w:r>
      <w:r w:rsidR="00210197" w:rsidRPr="00450A17">
        <w:rPr>
          <w:rFonts w:cs="Arial"/>
        </w:rPr>
        <w:t xml:space="preserve"> identify the patient’s preferred providers,</w:t>
      </w:r>
      <w:r w:rsidR="002A3490" w:rsidRPr="00450A17">
        <w:rPr>
          <w:rFonts w:cs="Arial"/>
        </w:rPr>
        <w:t xml:space="preserve"> have the </w:t>
      </w:r>
      <w:r w:rsidR="0011733D" w:rsidRPr="00450A17">
        <w:rPr>
          <w:rFonts w:cs="Arial"/>
        </w:rPr>
        <w:t xml:space="preserve">interactive </w:t>
      </w:r>
      <w:r w:rsidR="002A3490" w:rsidRPr="00450A17">
        <w:rPr>
          <w:rFonts w:cs="Arial"/>
        </w:rPr>
        <w:t xml:space="preserve">functionality to enable patient registration to a </w:t>
      </w:r>
      <w:r w:rsidR="00962F86" w:rsidRPr="00450A17">
        <w:rPr>
          <w:rFonts w:cs="Arial"/>
        </w:rPr>
        <w:t xml:space="preserve">specific </w:t>
      </w:r>
      <w:r w:rsidR="002A3490" w:rsidRPr="00450A17">
        <w:rPr>
          <w:rFonts w:cs="Arial"/>
        </w:rPr>
        <w:t xml:space="preserve">provider and practice, </w:t>
      </w:r>
      <w:r w:rsidR="00323027" w:rsidRPr="00450A17">
        <w:rPr>
          <w:rFonts w:cs="Arial"/>
        </w:rPr>
        <w:t xml:space="preserve">provide a practice with visibility of their </w:t>
      </w:r>
      <w:r w:rsidR="007B35EE" w:rsidRPr="00450A17">
        <w:rPr>
          <w:rFonts w:cs="Arial"/>
        </w:rPr>
        <w:t xml:space="preserve">regular patient </w:t>
      </w:r>
      <w:r w:rsidR="00323027" w:rsidRPr="00450A17">
        <w:rPr>
          <w:rFonts w:cs="Arial"/>
        </w:rPr>
        <w:t>population</w:t>
      </w:r>
      <w:r w:rsidR="0011733D" w:rsidRPr="00450A17">
        <w:rPr>
          <w:rFonts w:cs="Arial"/>
        </w:rPr>
        <w:t xml:space="preserve"> collectively</w:t>
      </w:r>
      <w:r w:rsidR="00323027" w:rsidRPr="00450A17">
        <w:rPr>
          <w:rFonts w:cs="Arial"/>
        </w:rPr>
        <w:t xml:space="preserve">, </w:t>
      </w:r>
      <w:r w:rsidR="002A3490" w:rsidRPr="00450A17">
        <w:rPr>
          <w:rFonts w:cs="Arial"/>
        </w:rPr>
        <w:t xml:space="preserve">or link </w:t>
      </w:r>
      <w:r w:rsidR="000242B9" w:rsidRPr="00450A17">
        <w:rPr>
          <w:rFonts w:cs="Arial"/>
        </w:rPr>
        <w:t xml:space="preserve">a patient’s </w:t>
      </w:r>
      <w:r w:rsidR="002A3490" w:rsidRPr="00450A17">
        <w:rPr>
          <w:rFonts w:cs="Arial"/>
        </w:rPr>
        <w:t>registration</w:t>
      </w:r>
      <w:r w:rsidR="0011733D" w:rsidRPr="00450A17">
        <w:rPr>
          <w:rFonts w:cs="Arial"/>
        </w:rPr>
        <w:t xml:space="preserve"> </w:t>
      </w:r>
      <w:r w:rsidR="00210197" w:rsidRPr="00450A17">
        <w:rPr>
          <w:rFonts w:cs="Arial"/>
        </w:rPr>
        <w:t xml:space="preserve">with a provider </w:t>
      </w:r>
      <w:r w:rsidR="002A3490" w:rsidRPr="00450A17">
        <w:rPr>
          <w:rFonts w:cs="Arial"/>
        </w:rPr>
        <w:t xml:space="preserve">to MBS payments </w:t>
      </w:r>
      <w:r w:rsidR="00210197" w:rsidRPr="00450A17">
        <w:rPr>
          <w:rFonts w:cs="Arial"/>
        </w:rPr>
        <w:t xml:space="preserve">available to a patient’s ‘usual provider’ </w:t>
      </w:r>
      <w:r w:rsidR="002A3490" w:rsidRPr="00450A17">
        <w:rPr>
          <w:rFonts w:cs="Arial"/>
        </w:rPr>
        <w:t xml:space="preserve">or </w:t>
      </w:r>
      <w:r w:rsidR="00210197" w:rsidRPr="00450A17">
        <w:rPr>
          <w:rFonts w:cs="Arial"/>
        </w:rPr>
        <w:t xml:space="preserve">to targeted provider or practice </w:t>
      </w:r>
      <w:r w:rsidR="002A3490" w:rsidRPr="00450A17">
        <w:rPr>
          <w:rFonts w:cs="Arial"/>
        </w:rPr>
        <w:t>incentives</w:t>
      </w:r>
      <w:r w:rsidR="00210197" w:rsidRPr="00450A17">
        <w:rPr>
          <w:rFonts w:cs="Arial"/>
        </w:rPr>
        <w:t xml:space="preserve"> to support patient-centred care</w:t>
      </w:r>
      <w:r w:rsidR="002A3490" w:rsidRPr="00450A17">
        <w:rPr>
          <w:rFonts w:cs="Arial"/>
        </w:rPr>
        <w:t xml:space="preserve">. </w:t>
      </w:r>
      <w:r w:rsidR="005C7F64" w:rsidRPr="00450A17">
        <w:rPr>
          <w:rFonts w:cs="Arial"/>
        </w:rPr>
        <w:t xml:space="preserve">When a patient unexpectedly is treated in a new health care setting, such as through an emergency hospital admission or visit to an urgent care clinic, there is currently no national and patient-controlled record of who can be contacted about their case history and for handover to ongoing treatment. </w:t>
      </w:r>
      <w:r w:rsidR="00996AFF" w:rsidRPr="00450A17">
        <w:rPr>
          <w:rFonts w:cs="Arial"/>
        </w:rPr>
        <w:t xml:space="preserve">The lack of a link between the patient’s health care information available through </w:t>
      </w:r>
      <w:r w:rsidR="00F265B1" w:rsidRPr="00450A17">
        <w:rPr>
          <w:rFonts w:cs="Arial"/>
        </w:rPr>
        <w:t xml:space="preserve">My Health Record </w:t>
      </w:r>
      <w:r w:rsidR="00996AFF" w:rsidRPr="00450A17">
        <w:rPr>
          <w:rFonts w:cs="Arial"/>
        </w:rPr>
        <w:t>and the registration information regarding their health care team responsible for their primary care creates further fragmentation in health care delivery.</w:t>
      </w:r>
      <w:r w:rsidR="005C7F64" w:rsidRPr="00450A17">
        <w:rPr>
          <w:rFonts w:cs="Arial"/>
        </w:rPr>
        <w:t xml:space="preserve"> Further, while My Health Record can provide a historical picture of care, </w:t>
      </w:r>
      <w:r w:rsidR="00210197" w:rsidRPr="00450A17">
        <w:rPr>
          <w:rFonts w:cs="Arial"/>
        </w:rPr>
        <w:t xml:space="preserve">without </w:t>
      </w:r>
      <w:r w:rsidR="005C7F64" w:rsidRPr="00450A17">
        <w:rPr>
          <w:rFonts w:cs="Arial"/>
        </w:rPr>
        <w:t xml:space="preserve">voluntary patient registration </w:t>
      </w:r>
      <w:r w:rsidR="00210197" w:rsidRPr="00450A17">
        <w:rPr>
          <w:rFonts w:cs="Arial"/>
        </w:rPr>
        <w:t xml:space="preserve">it does not provide </w:t>
      </w:r>
      <w:r w:rsidR="005C7F64" w:rsidRPr="00450A17">
        <w:rPr>
          <w:rFonts w:cs="Arial"/>
        </w:rPr>
        <w:t>an opportunity for the patient to express their preferences on who they want as their current care team.</w:t>
      </w:r>
      <w:r w:rsidR="00996AFF" w:rsidRPr="00450A17">
        <w:rPr>
          <w:rFonts w:cs="Arial"/>
        </w:rPr>
        <w:t xml:space="preserve">  </w:t>
      </w:r>
      <w:r w:rsidR="0018661C" w:rsidRPr="00450A17">
        <w:rPr>
          <w:rFonts w:cs="Arial"/>
        </w:rPr>
        <w:t>These limitations</w:t>
      </w:r>
      <w:r w:rsidR="005C7F64" w:rsidRPr="00450A17">
        <w:rPr>
          <w:rFonts w:cs="Arial"/>
        </w:rPr>
        <w:t xml:space="preserve"> in the current infrastructure</w:t>
      </w:r>
      <w:r w:rsidR="0018661C" w:rsidRPr="00450A17">
        <w:rPr>
          <w:rFonts w:cs="Arial"/>
        </w:rPr>
        <w:t xml:space="preserve"> hinder </w:t>
      </w:r>
      <w:r w:rsidR="005B7FDB" w:rsidRPr="00450A17">
        <w:rPr>
          <w:rFonts w:cs="Arial"/>
        </w:rPr>
        <w:t xml:space="preserve">the ability of </w:t>
      </w:r>
      <w:r w:rsidR="00A519EE" w:rsidRPr="00450A17">
        <w:rPr>
          <w:rFonts w:cs="Arial"/>
        </w:rPr>
        <w:t xml:space="preserve">Australia’s </w:t>
      </w:r>
      <w:r w:rsidR="005B7FDB" w:rsidRPr="00450A17">
        <w:rPr>
          <w:rFonts w:cs="Arial"/>
        </w:rPr>
        <w:t>primary care</w:t>
      </w:r>
      <w:r w:rsidR="00A519EE" w:rsidRPr="00450A17">
        <w:rPr>
          <w:rFonts w:cs="Arial"/>
        </w:rPr>
        <w:t xml:space="preserve"> system </w:t>
      </w:r>
      <w:r w:rsidR="005B7FDB" w:rsidRPr="00450A17">
        <w:rPr>
          <w:rFonts w:cs="Arial"/>
        </w:rPr>
        <w:t xml:space="preserve">to </w:t>
      </w:r>
      <w:r w:rsidR="00A519EE" w:rsidRPr="00450A17">
        <w:rPr>
          <w:rFonts w:cs="Arial"/>
        </w:rPr>
        <w:t>addre</w:t>
      </w:r>
      <w:r w:rsidR="005B7FDB" w:rsidRPr="00450A17">
        <w:rPr>
          <w:rFonts w:cs="Arial"/>
        </w:rPr>
        <w:t>ss</w:t>
      </w:r>
      <w:r w:rsidR="00A519EE" w:rsidRPr="00450A17">
        <w:rPr>
          <w:rFonts w:cs="Arial"/>
        </w:rPr>
        <w:t xml:space="preserve"> </w:t>
      </w:r>
      <w:r w:rsidR="00210197" w:rsidRPr="00450A17">
        <w:rPr>
          <w:rFonts w:cs="Arial"/>
        </w:rPr>
        <w:t xml:space="preserve">patient activation and consumer-led care and </w:t>
      </w:r>
      <w:r w:rsidR="00A519EE" w:rsidRPr="00450A17">
        <w:rPr>
          <w:rFonts w:cs="Arial"/>
        </w:rPr>
        <w:t xml:space="preserve">major health challenges, </w:t>
      </w:r>
      <w:r w:rsidR="000469E7" w:rsidRPr="00450A17">
        <w:rPr>
          <w:rFonts w:cs="Arial"/>
        </w:rPr>
        <w:t>such as an ageing</w:t>
      </w:r>
      <w:r w:rsidR="000469E7" w:rsidRPr="00450A17">
        <w:t xml:space="preserve"> population, the increasing prevalence of chronic conditions, and the increased expectations of patients</w:t>
      </w:r>
      <w:r w:rsidR="00212A43" w:rsidRPr="00450A17">
        <w:t>.</w:t>
      </w:r>
    </w:p>
    <w:p w14:paraId="70AABC74" w14:textId="15BEE13B" w:rsidR="000469E7" w:rsidRPr="00450A17" w:rsidRDefault="00116B0E" w:rsidP="00C83657">
      <w:pPr>
        <w:pStyle w:val="CABParagraph"/>
        <w:spacing w:after="120" w:line="276" w:lineRule="auto"/>
        <w:rPr>
          <w:rFonts w:cs="Arial"/>
        </w:rPr>
      </w:pPr>
      <w:r w:rsidRPr="00450A17">
        <w:rPr>
          <w:rFonts w:cs="Arial"/>
        </w:rPr>
        <w:t>Similarly, without VPR there are limited mechanisms to facilitate the systematic collection of de-identified patient-level primary care data</w:t>
      </w:r>
      <w:r w:rsidR="00006EBD" w:rsidRPr="00450A17">
        <w:rPr>
          <w:rFonts w:cs="Arial"/>
        </w:rPr>
        <w:t xml:space="preserve"> and feedback to practices about quality improvement in care for their regular patient populations</w:t>
      </w:r>
      <w:r w:rsidRPr="00450A17">
        <w:rPr>
          <w:rFonts w:cs="Arial"/>
        </w:rPr>
        <w:t xml:space="preserve">. At the provider and practice level, this undermines continuous quality improvement. In the broader primary care system, this inhibits support service planning and health system integration at local, regional, jurisdictional and national levels </w:t>
      </w:r>
      <w:r w:rsidR="00CC6021" w:rsidRPr="00450A17">
        <w:rPr>
          <w:rFonts w:cs="Arial"/>
        </w:rPr>
        <w:t>to</w:t>
      </w:r>
      <w:r w:rsidRPr="00450A17">
        <w:rPr>
          <w:rFonts w:cs="Arial"/>
        </w:rPr>
        <w:t xml:space="preserve"> allow for population health needs analysis. </w:t>
      </w:r>
    </w:p>
    <w:p w14:paraId="610CA460" w14:textId="77777777" w:rsidR="009065F5" w:rsidRPr="00450A17" w:rsidRDefault="009065F5" w:rsidP="00C83657">
      <w:pPr>
        <w:pStyle w:val="Heading1"/>
        <w:numPr>
          <w:ilvl w:val="0"/>
          <w:numId w:val="7"/>
        </w:numPr>
        <w:spacing w:line="276" w:lineRule="auto"/>
        <w:rPr>
          <w:rFonts w:cs="Arial"/>
          <w:b/>
          <w:bCs/>
        </w:rPr>
      </w:pPr>
      <w:r w:rsidRPr="00450A17">
        <w:rPr>
          <w:rFonts w:cs="Arial"/>
          <w:b/>
          <w:bCs/>
        </w:rPr>
        <w:t>Objective of Government Action</w:t>
      </w:r>
    </w:p>
    <w:p w14:paraId="6C050236" w14:textId="0464A877" w:rsidR="00366378" w:rsidRPr="00450A17" w:rsidRDefault="003A75A2" w:rsidP="00137ADD">
      <w:pPr>
        <w:rPr>
          <w:rFonts w:cs="Arial"/>
          <w:bCs/>
          <w:iCs/>
        </w:rPr>
      </w:pPr>
      <w:r w:rsidRPr="00450A17">
        <w:rPr>
          <w:rFonts w:cs="Arial"/>
          <w:bCs/>
          <w:iCs/>
        </w:rPr>
        <w:t>The Government is committed to ensuring that Australians can access a world class primary care system that is designed and funded to meet the population’s increasingly complex health needs</w:t>
      </w:r>
      <w:r w:rsidR="004C0744" w:rsidRPr="00450A17">
        <w:rPr>
          <w:rFonts w:cs="Arial"/>
          <w:bCs/>
          <w:iCs/>
        </w:rPr>
        <w:t xml:space="preserve"> (</w:t>
      </w:r>
      <w:r w:rsidR="00762313" w:rsidRPr="00450A17">
        <w:rPr>
          <w:rFonts w:cs="Arial"/>
        </w:rPr>
        <w:t xml:space="preserve">see </w:t>
      </w:r>
      <w:r w:rsidR="004C0744" w:rsidRPr="00450A17">
        <w:rPr>
          <w:rFonts w:cs="Arial"/>
        </w:rPr>
        <w:t>Section 2)</w:t>
      </w:r>
      <w:r w:rsidRPr="00450A17">
        <w:rPr>
          <w:rFonts w:cs="Arial"/>
          <w:bCs/>
          <w:iCs/>
        </w:rPr>
        <w:t>.</w:t>
      </w:r>
      <w:r w:rsidR="009065F5" w:rsidRPr="00450A17">
        <w:rPr>
          <w:rFonts w:cs="Arial"/>
          <w:bCs/>
          <w:iCs/>
        </w:rPr>
        <w:t xml:space="preserve"> </w:t>
      </w:r>
      <w:r w:rsidR="004178EE" w:rsidRPr="00450A17">
        <w:rPr>
          <w:rFonts w:cs="Arial"/>
          <w:bCs/>
          <w:iCs/>
        </w:rPr>
        <w:t>Responding to</w:t>
      </w:r>
      <w:r w:rsidR="009065F5" w:rsidRPr="00450A17">
        <w:rPr>
          <w:rFonts w:cs="Arial"/>
          <w:bCs/>
          <w:iCs/>
        </w:rPr>
        <w:t xml:space="preserve"> the recommendations of the </w:t>
      </w:r>
      <w:r w:rsidR="0085410F" w:rsidRPr="00450A17">
        <w:rPr>
          <w:rFonts w:cs="Arial"/>
          <w:bCs/>
          <w:iCs/>
        </w:rPr>
        <w:t>Taskforce</w:t>
      </w:r>
      <w:r w:rsidR="009065F5" w:rsidRPr="00450A17">
        <w:rPr>
          <w:rFonts w:cs="Arial"/>
          <w:bCs/>
          <w:iCs/>
        </w:rPr>
        <w:t xml:space="preserve">, the Government </w:t>
      </w:r>
      <w:r w:rsidR="004178EE" w:rsidRPr="00450A17">
        <w:rPr>
          <w:rFonts w:cs="Arial"/>
          <w:bCs/>
          <w:iCs/>
        </w:rPr>
        <w:t>will introduce</w:t>
      </w:r>
      <w:r w:rsidR="009065F5" w:rsidRPr="00450A17">
        <w:rPr>
          <w:rFonts w:cs="Arial"/>
          <w:bCs/>
          <w:iCs/>
        </w:rPr>
        <w:t xml:space="preserve"> a range of reforms centred </w:t>
      </w:r>
      <w:r w:rsidR="0085410F" w:rsidRPr="00450A17">
        <w:rPr>
          <w:rFonts w:cs="Arial"/>
          <w:bCs/>
          <w:iCs/>
        </w:rPr>
        <w:t>on</w:t>
      </w:r>
      <w:r w:rsidR="009065F5" w:rsidRPr="00450A17">
        <w:rPr>
          <w:rFonts w:cs="Arial"/>
          <w:bCs/>
          <w:iCs/>
        </w:rPr>
        <w:t xml:space="preserve"> </w:t>
      </w:r>
      <w:r w:rsidR="004178EE" w:rsidRPr="00450A17">
        <w:rPr>
          <w:rFonts w:cs="Arial"/>
          <w:bCs/>
          <w:iCs/>
        </w:rPr>
        <w:t xml:space="preserve">improving patient </w:t>
      </w:r>
      <w:r w:rsidR="009065F5" w:rsidRPr="00450A17">
        <w:rPr>
          <w:rFonts w:cs="Arial"/>
          <w:bCs/>
          <w:iCs/>
        </w:rPr>
        <w:t xml:space="preserve">access to </w:t>
      </w:r>
      <w:r w:rsidR="004178EE" w:rsidRPr="00450A17">
        <w:rPr>
          <w:rFonts w:cs="Arial"/>
          <w:bCs/>
          <w:iCs/>
        </w:rPr>
        <w:t xml:space="preserve">person-centred </w:t>
      </w:r>
      <w:r w:rsidR="009065F5" w:rsidRPr="00450A17">
        <w:rPr>
          <w:rFonts w:cs="Arial"/>
          <w:bCs/>
          <w:iCs/>
        </w:rPr>
        <w:t xml:space="preserve">care, </w:t>
      </w:r>
      <w:r w:rsidR="004178EE" w:rsidRPr="00450A17">
        <w:rPr>
          <w:rFonts w:cs="Arial"/>
          <w:bCs/>
          <w:iCs/>
        </w:rPr>
        <w:t>encouraging coordinated multidisciplinary teams</w:t>
      </w:r>
      <w:r w:rsidR="009065F5" w:rsidRPr="00450A17">
        <w:rPr>
          <w:rFonts w:cs="Arial"/>
          <w:bCs/>
          <w:iCs/>
        </w:rPr>
        <w:t xml:space="preserve">, </w:t>
      </w:r>
      <w:r w:rsidR="004178EE" w:rsidRPr="00450A17">
        <w:rPr>
          <w:rFonts w:cs="Arial"/>
          <w:bCs/>
          <w:iCs/>
        </w:rPr>
        <w:t>enhancing data and digital technology for value-based care</w:t>
      </w:r>
      <w:r w:rsidR="009065F5" w:rsidRPr="00450A17">
        <w:rPr>
          <w:rFonts w:cs="Arial"/>
          <w:bCs/>
          <w:iCs/>
        </w:rPr>
        <w:t xml:space="preserve">, and supporting </w:t>
      </w:r>
      <w:r w:rsidR="004178EE" w:rsidRPr="00450A17">
        <w:rPr>
          <w:rFonts w:cs="Arial"/>
          <w:bCs/>
          <w:iCs/>
        </w:rPr>
        <w:t>the primary care sector to embrace organisational and cultural change.</w:t>
      </w:r>
    </w:p>
    <w:p w14:paraId="249F8BC3" w14:textId="676C8B69" w:rsidR="000A3A28" w:rsidRPr="00450A17" w:rsidRDefault="00006EBD" w:rsidP="00137ADD">
      <w:pPr>
        <w:rPr>
          <w:rFonts w:ascii="Calibri" w:hAnsi="Calibri"/>
        </w:rPr>
      </w:pPr>
      <w:r w:rsidRPr="00450A17">
        <w:rPr>
          <w:rFonts w:cs="Arial"/>
          <w:bCs/>
          <w:iCs/>
        </w:rPr>
        <w:t xml:space="preserve">The option of implementing </w:t>
      </w:r>
      <w:r w:rsidR="000A3A28" w:rsidRPr="00450A17">
        <w:rPr>
          <w:rFonts w:cs="Arial"/>
          <w:bCs/>
          <w:iCs/>
        </w:rPr>
        <w:t xml:space="preserve">VPR </w:t>
      </w:r>
      <w:r w:rsidR="001F1A2D" w:rsidRPr="00450A17">
        <w:rPr>
          <w:rFonts w:cs="Arial"/>
          <w:bCs/>
          <w:iCs/>
        </w:rPr>
        <w:t>provide</w:t>
      </w:r>
      <w:r w:rsidRPr="00450A17">
        <w:rPr>
          <w:rFonts w:cs="Arial"/>
          <w:bCs/>
          <w:iCs/>
        </w:rPr>
        <w:t xml:space="preserve">s </w:t>
      </w:r>
      <w:r w:rsidR="00BD76C9" w:rsidRPr="00450A17">
        <w:rPr>
          <w:rFonts w:cs="Arial"/>
          <w:bCs/>
          <w:iCs/>
        </w:rPr>
        <w:t xml:space="preserve">an </w:t>
      </w:r>
      <w:r w:rsidRPr="00450A17">
        <w:rPr>
          <w:rFonts w:cs="Arial"/>
          <w:bCs/>
          <w:iCs/>
        </w:rPr>
        <w:t xml:space="preserve">opportunity </w:t>
      </w:r>
      <w:r w:rsidR="001F1A2D" w:rsidRPr="00450A17">
        <w:rPr>
          <w:rFonts w:cs="Arial"/>
          <w:bCs/>
          <w:iCs/>
        </w:rPr>
        <w:t xml:space="preserve">to invest </w:t>
      </w:r>
      <w:r w:rsidR="00BD76C9" w:rsidRPr="00450A17">
        <w:rPr>
          <w:rFonts w:cs="Arial"/>
          <w:bCs/>
          <w:iCs/>
        </w:rPr>
        <w:t xml:space="preserve">in </w:t>
      </w:r>
      <w:r w:rsidR="00BD76C9" w:rsidRPr="00450A17">
        <w:t>improved continuity of care, which leads to higher quality care, improvements in preventative health, increased patient satisfaction, decreases in emergency department attendance and hospitalisations, and reductions in mortality.</w:t>
      </w:r>
    </w:p>
    <w:p w14:paraId="5298DAC9" w14:textId="18960C3E" w:rsidR="000A3A28" w:rsidRPr="00450A17" w:rsidRDefault="001F1A2D" w:rsidP="000A3A28">
      <w:pPr>
        <w:rPr>
          <w:rFonts w:cs="Arial"/>
        </w:rPr>
      </w:pPr>
      <w:r w:rsidRPr="00450A17">
        <w:rPr>
          <w:rFonts w:cs="Arial"/>
          <w:bCs/>
          <w:iCs/>
        </w:rPr>
        <w:t>If</w:t>
      </w:r>
      <w:r w:rsidRPr="00450A17">
        <w:rPr>
          <w:rFonts w:eastAsiaTheme="minorEastAsia" w:cs="Arial"/>
        </w:rPr>
        <w:t xml:space="preserve"> </w:t>
      </w:r>
      <w:r w:rsidR="004714BE" w:rsidRPr="00450A17">
        <w:rPr>
          <w:rFonts w:eastAsiaTheme="minorEastAsia" w:cs="Arial"/>
        </w:rPr>
        <w:t>introduced alongside funding reform, VPR</w:t>
      </w:r>
      <w:r w:rsidRPr="00450A17">
        <w:rPr>
          <w:rFonts w:eastAsiaTheme="minorEastAsia" w:cs="Arial"/>
        </w:rPr>
        <w:t xml:space="preserve"> could also </w:t>
      </w:r>
      <w:r w:rsidR="004714BE" w:rsidRPr="00450A17">
        <w:rPr>
          <w:rFonts w:eastAsiaTheme="minorEastAsia" w:cs="Arial"/>
        </w:rPr>
        <w:t>enable delivery of a range of reforms, including better targeting of funding to need, improved equity, driving better quality care linked to quality measures and improvements in data collection and sharing.</w:t>
      </w:r>
      <w:r w:rsidR="00587B39" w:rsidRPr="00450A17">
        <w:rPr>
          <w:rFonts w:cs="Arial"/>
        </w:rPr>
        <w:t xml:space="preserve"> </w:t>
      </w:r>
      <w:r w:rsidR="00462F03" w:rsidRPr="00450A17">
        <w:rPr>
          <w:rFonts w:cs="Arial"/>
        </w:rPr>
        <w:t xml:space="preserve">Over time, VPR </w:t>
      </w:r>
      <w:r w:rsidRPr="00450A17">
        <w:rPr>
          <w:rFonts w:cs="Arial"/>
        </w:rPr>
        <w:t xml:space="preserve">could </w:t>
      </w:r>
      <w:r w:rsidR="00462F03" w:rsidRPr="00450A17">
        <w:rPr>
          <w:rFonts w:cs="Arial"/>
        </w:rPr>
        <w:t xml:space="preserve">be expanded to include additional health and care professionals and new models of care. VPR </w:t>
      </w:r>
      <w:r w:rsidRPr="00450A17">
        <w:rPr>
          <w:rFonts w:cs="Arial"/>
        </w:rPr>
        <w:t xml:space="preserve">could </w:t>
      </w:r>
      <w:r w:rsidR="00462F03" w:rsidRPr="00450A17">
        <w:rPr>
          <w:rFonts w:cs="Arial"/>
        </w:rPr>
        <w:t xml:space="preserve">provide a mechanism to target incentive payments to improve the quality of care for registered cohorts </w:t>
      </w:r>
      <w:r w:rsidR="00432DE6" w:rsidRPr="00450A17">
        <w:rPr>
          <w:rFonts w:cs="Arial"/>
        </w:rPr>
        <w:t xml:space="preserve">with </w:t>
      </w:r>
      <w:r w:rsidR="00587B39" w:rsidRPr="00450A17">
        <w:rPr>
          <w:rFonts w:cs="Arial"/>
        </w:rPr>
        <w:t xml:space="preserve">more complex needs and </w:t>
      </w:r>
      <w:r w:rsidR="00462F03" w:rsidRPr="00450A17">
        <w:rPr>
          <w:rFonts w:cs="Arial"/>
        </w:rPr>
        <w:t xml:space="preserve">at risk of poorer health outcomes. VPR </w:t>
      </w:r>
      <w:r w:rsidRPr="00450A17">
        <w:rPr>
          <w:rFonts w:cs="Arial"/>
        </w:rPr>
        <w:t xml:space="preserve">could </w:t>
      </w:r>
      <w:r w:rsidR="000A3A28" w:rsidRPr="00450A17">
        <w:rPr>
          <w:rFonts w:cs="Arial"/>
        </w:rPr>
        <w:t xml:space="preserve">also </w:t>
      </w:r>
      <w:r w:rsidR="00462F03" w:rsidRPr="00450A17">
        <w:rPr>
          <w:rFonts w:cs="Arial"/>
        </w:rPr>
        <w:t xml:space="preserve">allow appropriate </w:t>
      </w:r>
      <w:r w:rsidRPr="00450A17">
        <w:rPr>
          <w:rFonts w:cs="Arial"/>
        </w:rPr>
        <w:t xml:space="preserve">monitoring </w:t>
      </w:r>
      <w:r w:rsidR="00462F03" w:rsidRPr="00450A17">
        <w:rPr>
          <w:rFonts w:cs="Arial"/>
        </w:rPr>
        <w:t>to ensure practices are adequately resourced to provide high quality</w:t>
      </w:r>
      <w:r w:rsidR="00587B39" w:rsidRPr="00450A17">
        <w:rPr>
          <w:rFonts w:cs="Arial"/>
        </w:rPr>
        <w:t>,</w:t>
      </w:r>
      <w:r w:rsidR="00462F03" w:rsidRPr="00450A17">
        <w:rPr>
          <w:rFonts w:cs="Arial"/>
        </w:rPr>
        <w:t xml:space="preserve"> </w:t>
      </w:r>
      <w:r w:rsidR="00587B39" w:rsidRPr="00450A17">
        <w:rPr>
          <w:rFonts w:cs="Arial"/>
        </w:rPr>
        <w:t xml:space="preserve">multidisciplinary team based </w:t>
      </w:r>
      <w:r w:rsidR="00462F03" w:rsidRPr="00450A17">
        <w:rPr>
          <w:rFonts w:cs="Arial"/>
        </w:rPr>
        <w:t xml:space="preserve">care.  </w:t>
      </w:r>
    </w:p>
    <w:p w14:paraId="4B565933" w14:textId="369D61AD" w:rsidR="000A3A28" w:rsidRPr="00450A17" w:rsidRDefault="000A3A28" w:rsidP="000A3A28">
      <w:pPr>
        <w:rPr>
          <w:rFonts w:cs="Arial"/>
          <w:bCs/>
          <w:iCs/>
        </w:rPr>
      </w:pPr>
      <w:r w:rsidRPr="00450A17">
        <w:rPr>
          <w:rFonts w:cs="Arial"/>
          <w:bCs/>
          <w:iCs/>
        </w:rPr>
        <w:t xml:space="preserve">In order to achieve this objective, potential barriers need to be considered including </w:t>
      </w:r>
      <w:r w:rsidR="001F1A2D" w:rsidRPr="00450A17">
        <w:rPr>
          <w:rFonts w:cs="Arial"/>
          <w:bCs/>
          <w:iCs/>
        </w:rPr>
        <w:t>the need for</w:t>
      </w:r>
      <w:r w:rsidRPr="00450A17">
        <w:rPr>
          <w:rFonts w:cs="Arial"/>
          <w:bCs/>
          <w:iCs/>
        </w:rPr>
        <w:t xml:space="preserve"> infrastructure and supporting data, practice capacity issues (including workforce pressures and an already crowded curriculum), low patient activation and health literacy (among individuals that are not routinely engaged in their health care), and the ability for some individuals to effectively use digital technology (such as Older Australians).</w:t>
      </w:r>
      <w:r w:rsidRPr="00450A17">
        <w:t xml:space="preserve"> </w:t>
      </w:r>
      <w:r w:rsidRPr="00450A17">
        <w:rPr>
          <w:rFonts w:cs="Arial"/>
          <w:bCs/>
          <w:iCs/>
        </w:rPr>
        <w:t xml:space="preserve"> </w:t>
      </w:r>
    </w:p>
    <w:p w14:paraId="1C108C23" w14:textId="366848B5" w:rsidR="009065F5" w:rsidRPr="00450A17" w:rsidRDefault="00C83657" w:rsidP="000A3A28">
      <w:pPr>
        <w:pStyle w:val="Heading1"/>
        <w:spacing w:line="276" w:lineRule="auto"/>
        <w:rPr>
          <w:rFonts w:cs="Arial"/>
          <w:b/>
          <w:bCs/>
        </w:rPr>
      </w:pPr>
      <w:r w:rsidRPr="00450A17">
        <w:rPr>
          <w:rFonts w:cs="Arial"/>
          <w:b/>
          <w:bCs/>
        </w:rPr>
        <w:t xml:space="preserve">4. </w:t>
      </w:r>
      <w:r w:rsidR="009065F5" w:rsidRPr="00450A17">
        <w:rPr>
          <w:rFonts w:cs="Arial"/>
          <w:b/>
          <w:bCs/>
        </w:rPr>
        <w:t>Policy Options</w:t>
      </w:r>
      <w:r w:rsidRPr="00450A17">
        <w:rPr>
          <w:rFonts w:cs="Arial"/>
          <w:b/>
          <w:bCs/>
        </w:rPr>
        <w:t xml:space="preserve">  </w:t>
      </w:r>
    </w:p>
    <w:p w14:paraId="41DCC8DF" w14:textId="23127874" w:rsidR="00281057" w:rsidRPr="00450A17" w:rsidRDefault="00281057" w:rsidP="008215EF">
      <w:r w:rsidRPr="00450A17">
        <w:t>Two policy options</w:t>
      </w:r>
      <w:r w:rsidR="002C5C98" w:rsidRPr="00450A17">
        <w:t xml:space="preserve"> </w:t>
      </w:r>
      <w:r w:rsidR="009971E7" w:rsidRPr="00450A17">
        <w:t>(implement VPR or not implement VPR)</w:t>
      </w:r>
      <w:r w:rsidRPr="00450A17">
        <w:t xml:space="preserve"> </w:t>
      </w:r>
      <w:r w:rsidR="00522CB1" w:rsidRPr="00450A17">
        <w:t>will be</w:t>
      </w:r>
      <w:r w:rsidRPr="00450A17">
        <w:t xml:space="preserve"> considered by Government </w:t>
      </w:r>
      <w:r w:rsidR="009B1488" w:rsidRPr="00450A17">
        <w:t xml:space="preserve">on the basis of significant consultation with the primary </w:t>
      </w:r>
      <w:r w:rsidR="00631521" w:rsidRPr="00450A17">
        <w:t xml:space="preserve">health </w:t>
      </w:r>
      <w:r w:rsidR="009B1488" w:rsidRPr="00450A17">
        <w:t>care sector</w:t>
      </w:r>
      <w:r w:rsidR="00631521" w:rsidRPr="00450A17">
        <w:t>,</w:t>
      </w:r>
      <w:r w:rsidR="009B1488" w:rsidRPr="00450A17">
        <w:t xml:space="preserve"> and most recently, </w:t>
      </w:r>
      <w:r w:rsidRPr="00450A17">
        <w:t xml:space="preserve">the recommendation from the </w:t>
      </w:r>
      <w:r w:rsidR="008B7A7A" w:rsidRPr="00450A17">
        <w:t>Taskforce</w:t>
      </w:r>
      <w:r w:rsidRPr="00450A17">
        <w:t xml:space="preserve"> to </w:t>
      </w:r>
      <w:r w:rsidR="00166DF4" w:rsidRPr="00450A17">
        <w:t>introduce VPR</w:t>
      </w:r>
      <w:r w:rsidRPr="00450A17">
        <w:t xml:space="preserve">. </w:t>
      </w:r>
      <w:r w:rsidR="004E2BA1" w:rsidRPr="00450A17">
        <w:t xml:space="preserve">Further detail </w:t>
      </w:r>
      <w:r w:rsidR="00166DF4" w:rsidRPr="00450A17">
        <w:t xml:space="preserve">regarding </w:t>
      </w:r>
      <w:r w:rsidR="004E2BA1" w:rsidRPr="00450A17">
        <w:t>consultations and Taskforce recommendations are below in Section </w:t>
      </w:r>
      <w:r w:rsidR="00BC5833" w:rsidRPr="00450A17">
        <w:t>6</w:t>
      </w:r>
      <w:r w:rsidR="004E2BA1" w:rsidRPr="00450A17">
        <w:t>.</w:t>
      </w:r>
      <w:r w:rsidR="00E9239B" w:rsidRPr="00450A17">
        <w:t xml:space="preserve"> </w:t>
      </w:r>
    </w:p>
    <w:p w14:paraId="4E12E8A7" w14:textId="77777777" w:rsidR="009065F5" w:rsidRPr="00450A17" w:rsidRDefault="009065F5" w:rsidP="009065F5">
      <w:pPr>
        <w:pStyle w:val="Heading2"/>
        <w:spacing w:line="276" w:lineRule="auto"/>
        <w:rPr>
          <w:rFonts w:cs="Arial"/>
          <w:b/>
          <w:bCs/>
        </w:rPr>
      </w:pPr>
      <w:r w:rsidRPr="00450A17">
        <w:rPr>
          <w:rFonts w:cs="Arial"/>
          <w:b/>
          <w:bCs/>
        </w:rPr>
        <w:t>Option 1 - Status Quo – Do Nothing</w:t>
      </w:r>
    </w:p>
    <w:p w14:paraId="4674401C" w14:textId="77777777" w:rsidR="009065F5" w:rsidRPr="00450A17" w:rsidRDefault="009065F5" w:rsidP="009065F5">
      <w:pPr>
        <w:outlineLvl w:val="2"/>
        <w:rPr>
          <w:rFonts w:cs="Arial"/>
          <w:b/>
        </w:rPr>
      </w:pPr>
      <w:r w:rsidRPr="00450A17">
        <w:rPr>
          <w:rFonts w:cs="Arial"/>
          <w:b/>
        </w:rPr>
        <w:t>Option Overview</w:t>
      </w:r>
    </w:p>
    <w:p w14:paraId="18A3B680" w14:textId="441AA7EC" w:rsidR="00407EEC" w:rsidRPr="00450A17" w:rsidRDefault="009065F5" w:rsidP="00407EEC">
      <w:pPr>
        <w:spacing w:before="120" w:after="120"/>
        <w:rPr>
          <w:rFonts w:cs="Arial"/>
        </w:rPr>
      </w:pPr>
      <w:r w:rsidRPr="00450A17">
        <w:rPr>
          <w:rFonts w:cs="Arial"/>
        </w:rPr>
        <w:t xml:space="preserve">Under this option, </w:t>
      </w:r>
      <w:r w:rsidR="00982513" w:rsidRPr="00450A17">
        <w:rPr>
          <w:rFonts w:cs="Arial"/>
        </w:rPr>
        <w:t>VPR</w:t>
      </w:r>
      <w:r w:rsidRPr="00450A17">
        <w:rPr>
          <w:rFonts w:cs="Arial"/>
        </w:rPr>
        <w:t xml:space="preserve"> </w:t>
      </w:r>
      <w:r w:rsidR="00496D05" w:rsidRPr="00450A17">
        <w:rPr>
          <w:rFonts w:cs="Arial"/>
        </w:rPr>
        <w:t xml:space="preserve">will </w:t>
      </w:r>
      <w:r w:rsidRPr="00450A17">
        <w:rPr>
          <w:rFonts w:cs="Arial"/>
        </w:rPr>
        <w:t>not be implemented</w:t>
      </w:r>
      <w:r w:rsidR="00BE465B" w:rsidRPr="00450A17">
        <w:rPr>
          <w:rFonts w:cs="Arial"/>
        </w:rPr>
        <w:t>. This w</w:t>
      </w:r>
      <w:r w:rsidR="00496D05" w:rsidRPr="00450A17">
        <w:rPr>
          <w:rFonts w:cs="Arial"/>
        </w:rPr>
        <w:t>ill</w:t>
      </w:r>
      <w:r w:rsidR="00BE465B" w:rsidRPr="00450A17">
        <w:rPr>
          <w:rFonts w:cs="Arial"/>
        </w:rPr>
        <w:t xml:space="preserve"> signal a government decision to not invest in patient-centred continuous care, particularly following the Taskforce’s explicit recommendation to implement VPR. T</w:t>
      </w:r>
      <w:r w:rsidR="006D41EA" w:rsidRPr="00450A17">
        <w:rPr>
          <w:rFonts w:cs="Arial"/>
        </w:rPr>
        <w:t>here w</w:t>
      </w:r>
      <w:r w:rsidR="00496D05" w:rsidRPr="00450A17">
        <w:rPr>
          <w:rFonts w:cs="Arial"/>
        </w:rPr>
        <w:t>ill</w:t>
      </w:r>
      <w:r w:rsidR="006D41EA" w:rsidRPr="00450A17">
        <w:rPr>
          <w:rFonts w:cs="Arial"/>
        </w:rPr>
        <w:t xml:space="preserve"> be no infrastructure </w:t>
      </w:r>
      <w:r w:rsidR="00166DF4" w:rsidRPr="00450A17">
        <w:rPr>
          <w:rFonts w:cs="Arial"/>
        </w:rPr>
        <w:t>linking</w:t>
      </w:r>
      <w:r w:rsidR="006D41EA" w:rsidRPr="00450A17">
        <w:rPr>
          <w:rFonts w:cs="Arial"/>
        </w:rPr>
        <w:t xml:space="preserve"> a patient with their </w:t>
      </w:r>
      <w:r w:rsidR="00ED4F7D" w:rsidRPr="00450A17">
        <w:rPr>
          <w:rFonts w:cs="Arial"/>
        </w:rPr>
        <w:t xml:space="preserve">preferred </w:t>
      </w:r>
      <w:r w:rsidR="006D41EA" w:rsidRPr="00450A17">
        <w:rPr>
          <w:rFonts w:cs="Arial"/>
        </w:rPr>
        <w:t>provider</w:t>
      </w:r>
      <w:r w:rsidR="00BE465B" w:rsidRPr="00450A17">
        <w:rPr>
          <w:rFonts w:cs="Arial"/>
        </w:rPr>
        <w:t xml:space="preserve"> and</w:t>
      </w:r>
      <w:r w:rsidR="006D41EA" w:rsidRPr="00450A17">
        <w:rPr>
          <w:rFonts w:cs="Arial"/>
        </w:rPr>
        <w:t xml:space="preserve"> practice</w:t>
      </w:r>
      <w:r w:rsidR="00C226CA" w:rsidRPr="00450A17">
        <w:rPr>
          <w:rFonts w:cs="Arial"/>
        </w:rPr>
        <w:t xml:space="preserve">. Providers will not be </w:t>
      </w:r>
      <w:r w:rsidR="001611DE" w:rsidRPr="00450A17">
        <w:rPr>
          <w:rFonts w:cs="Arial"/>
        </w:rPr>
        <w:t>able to formally identify who their regular patients are</w:t>
      </w:r>
      <w:r w:rsidR="000A3A28" w:rsidRPr="00450A17">
        <w:rPr>
          <w:rFonts w:cs="Arial"/>
        </w:rPr>
        <w:t xml:space="preserve"> without local registration</w:t>
      </w:r>
      <w:r w:rsidR="00BE465B" w:rsidRPr="00450A17">
        <w:rPr>
          <w:rFonts w:cs="Arial"/>
        </w:rPr>
        <w:t>.</w:t>
      </w:r>
      <w:r w:rsidR="001611DE" w:rsidRPr="00450A17">
        <w:rPr>
          <w:rFonts w:cs="Arial"/>
        </w:rPr>
        <w:t xml:space="preserve"> </w:t>
      </w:r>
      <w:r w:rsidR="000327C6" w:rsidRPr="00450A17">
        <w:rPr>
          <w:rFonts w:cs="Arial"/>
        </w:rPr>
        <w:t xml:space="preserve">Not implementing VPR </w:t>
      </w:r>
      <w:r w:rsidR="00BE465B" w:rsidRPr="00450A17">
        <w:rPr>
          <w:rFonts w:cs="Arial"/>
        </w:rPr>
        <w:t>w</w:t>
      </w:r>
      <w:r w:rsidR="00496D05" w:rsidRPr="00450A17">
        <w:rPr>
          <w:rFonts w:cs="Arial"/>
        </w:rPr>
        <w:t>ill</w:t>
      </w:r>
      <w:r w:rsidR="00BE465B" w:rsidRPr="00450A17">
        <w:rPr>
          <w:rFonts w:cs="Arial"/>
        </w:rPr>
        <w:t xml:space="preserve"> </w:t>
      </w:r>
      <w:r w:rsidR="001611DE" w:rsidRPr="00450A17">
        <w:rPr>
          <w:rFonts w:cs="Arial"/>
        </w:rPr>
        <w:t xml:space="preserve">also </w:t>
      </w:r>
      <w:r w:rsidR="00BE465B" w:rsidRPr="00450A17">
        <w:rPr>
          <w:rFonts w:cs="Arial"/>
        </w:rPr>
        <w:t xml:space="preserve">limit the effectiveness of </w:t>
      </w:r>
      <w:r w:rsidR="00ED4F7D" w:rsidRPr="00450A17">
        <w:rPr>
          <w:rFonts w:cs="Arial"/>
        </w:rPr>
        <w:t>associated funding reform proposals</w:t>
      </w:r>
      <w:r w:rsidR="00F17B07" w:rsidRPr="00450A17">
        <w:rPr>
          <w:rFonts w:cs="Arial"/>
        </w:rPr>
        <w:t xml:space="preserve"> and will reduce the capacity to deliver on the broader goal of the primary care reform agenda to improve patient outcomes.</w:t>
      </w:r>
      <w:r w:rsidR="0085548B" w:rsidRPr="00450A17">
        <w:rPr>
          <w:rFonts w:cs="Arial"/>
        </w:rPr>
        <w:t xml:space="preserve"> </w:t>
      </w:r>
      <w:r w:rsidR="00F17B07" w:rsidRPr="00450A17">
        <w:rPr>
          <w:rFonts w:cs="Arial"/>
        </w:rPr>
        <w:t>For example, w</w:t>
      </w:r>
      <w:r w:rsidR="00DE6C2A" w:rsidRPr="00450A17">
        <w:rPr>
          <w:rFonts w:cs="Arial"/>
        </w:rPr>
        <w:t xml:space="preserve">ithout introducing VPR as a way of targeting incentivised </w:t>
      </w:r>
      <w:r w:rsidR="000327C6" w:rsidRPr="00450A17">
        <w:rPr>
          <w:rFonts w:cs="Arial"/>
        </w:rPr>
        <w:t xml:space="preserve">quality </w:t>
      </w:r>
      <w:r w:rsidR="00DE6C2A" w:rsidRPr="00450A17">
        <w:rPr>
          <w:rFonts w:cs="Arial"/>
        </w:rPr>
        <w:t>care packages to registered pa</w:t>
      </w:r>
      <w:r w:rsidR="00587B39" w:rsidRPr="00450A17">
        <w:rPr>
          <w:rFonts w:cs="Arial"/>
        </w:rPr>
        <w:t>tients</w:t>
      </w:r>
      <w:r w:rsidR="00DE6C2A" w:rsidRPr="00450A17">
        <w:rPr>
          <w:rFonts w:cs="Arial"/>
        </w:rPr>
        <w:t xml:space="preserve">, the effectiveness and efficiency of </w:t>
      </w:r>
      <w:r w:rsidR="001C325F" w:rsidRPr="00450A17">
        <w:rPr>
          <w:rFonts w:cs="Arial"/>
        </w:rPr>
        <w:t xml:space="preserve">payment </w:t>
      </w:r>
      <w:r w:rsidR="00DE6C2A" w:rsidRPr="00450A17">
        <w:rPr>
          <w:rFonts w:cs="Arial"/>
        </w:rPr>
        <w:t xml:space="preserve">models </w:t>
      </w:r>
      <w:r w:rsidR="001611DE" w:rsidRPr="00450A17">
        <w:rPr>
          <w:rFonts w:cs="Arial"/>
        </w:rPr>
        <w:t>such as the</w:t>
      </w:r>
      <w:r w:rsidR="0097714B" w:rsidRPr="00450A17">
        <w:rPr>
          <w:rFonts w:cs="Arial"/>
        </w:rPr>
        <w:t xml:space="preserve"> new </w:t>
      </w:r>
      <w:r w:rsidR="001611DE" w:rsidRPr="00450A17">
        <w:rPr>
          <w:rFonts w:cs="Arial"/>
        </w:rPr>
        <w:t>General Practice Aged Care Incentive (GPACI)</w:t>
      </w:r>
      <w:r w:rsidR="003A4D45" w:rsidRPr="00450A17">
        <w:rPr>
          <w:rFonts w:cs="Arial"/>
        </w:rPr>
        <w:t xml:space="preserve"> or the </w:t>
      </w:r>
      <w:r w:rsidR="0062154F" w:rsidRPr="00450A17">
        <w:rPr>
          <w:rFonts w:cs="Arial"/>
        </w:rPr>
        <w:t>Wrap-around C</w:t>
      </w:r>
      <w:r w:rsidR="00E92B9E" w:rsidRPr="00450A17">
        <w:rPr>
          <w:rFonts w:cs="Arial"/>
        </w:rPr>
        <w:t>are for Frequent Hospital Users</w:t>
      </w:r>
      <w:r w:rsidR="0062154F" w:rsidRPr="00450A17">
        <w:rPr>
          <w:rFonts w:cs="Arial"/>
        </w:rPr>
        <w:t xml:space="preserve"> program</w:t>
      </w:r>
      <w:r w:rsidR="003D05B7" w:rsidRPr="00450A17">
        <w:rPr>
          <w:rFonts w:cs="Arial"/>
        </w:rPr>
        <w:t xml:space="preserve"> </w:t>
      </w:r>
      <w:r w:rsidR="00DE6C2A" w:rsidRPr="00450A17">
        <w:rPr>
          <w:rFonts w:cs="Arial"/>
        </w:rPr>
        <w:t xml:space="preserve">will be </w:t>
      </w:r>
      <w:r w:rsidR="00166DF4" w:rsidRPr="00450A17">
        <w:rPr>
          <w:rFonts w:cs="Arial"/>
        </w:rPr>
        <w:t>diminished</w:t>
      </w:r>
      <w:r w:rsidR="00B50D58" w:rsidRPr="00450A17">
        <w:rPr>
          <w:rFonts w:cs="Arial"/>
        </w:rPr>
        <w:t xml:space="preserve"> (see Section 5 for more detail)</w:t>
      </w:r>
      <w:r w:rsidR="00166DF4" w:rsidRPr="00450A17">
        <w:rPr>
          <w:rFonts w:cs="Arial"/>
        </w:rPr>
        <w:t>.</w:t>
      </w:r>
      <w:r w:rsidR="0097714B" w:rsidRPr="00450A17">
        <w:rPr>
          <w:rFonts w:cs="Arial"/>
        </w:rPr>
        <w:t xml:space="preserve"> </w:t>
      </w:r>
      <w:r w:rsidR="00407EEC" w:rsidRPr="00450A17">
        <w:rPr>
          <w:rFonts w:cs="Arial"/>
        </w:rPr>
        <w:t>W</w:t>
      </w:r>
      <w:r w:rsidR="00B50D58" w:rsidRPr="00450A17">
        <w:rPr>
          <w:rFonts w:cs="Arial"/>
        </w:rPr>
        <w:t xml:space="preserve">ithout VPR, </w:t>
      </w:r>
      <w:r w:rsidR="00BD76C9" w:rsidRPr="00450A17">
        <w:rPr>
          <w:rFonts w:cs="Arial"/>
        </w:rPr>
        <w:t>health providers will not be able to be formally matched with patients and receive payments for quality, continuous care</w:t>
      </w:r>
      <w:r w:rsidR="00B50D58" w:rsidRPr="00450A17">
        <w:rPr>
          <w:rFonts w:cs="Arial"/>
        </w:rPr>
        <w:t xml:space="preserve">. </w:t>
      </w:r>
    </w:p>
    <w:p w14:paraId="5C92A080" w14:textId="77777777" w:rsidR="009065F5" w:rsidRPr="00450A17" w:rsidRDefault="00982513" w:rsidP="00DE6C2A">
      <w:pPr>
        <w:spacing w:after="240"/>
        <w:rPr>
          <w:rFonts w:cs="Arial"/>
        </w:rPr>
      </w:pPr>
      <w:r w:rsidRPr="00450A17">
        <w:rPr>
          <w:rFonts w:cs="Arial"/>
        </w:rPr>
        <w:t>O</w:t>
      </w:r>
      <w:r w:rsidR="009065F5" w:rsidRPr="00450A17">
        <w:rPr>
          <w:rFonts w:cs="Arial"/>
        </w:rPr>
        <w:t xml:space="preserve">ther Department programs and initiatives </w:t>
      </w:r>
      <w:r w:rsidR="00496D05" w:rsidRPr="00450A17">
        <w:rPr>
          <w:rFonts w:cs="Arial"/>
        </w:rPr>
        <w:t xml:space="preserve">will </w:t>
      </w:r>
      <w:r w:rsidR="009065F5" w:rsidRPr="00450A17">
        <w:rPr>
          <w:rFonts w:cs="Arial"/>
        </w:rPr>
        <w:t xml:space="preserve">be progressed to address </w:t>
      </w:r>
      <w:r w:rsidR="001C325F" w:rsidRPr="00450A17">
        <w:rPr>
          <w:rFonts w:cs="Arial"/>
        </w:rPr>
        <w:t xml:space="preserve">issues including </w:t>
      </w:r>
      <w:r w:rsidR="009065F5" w:rsidRPr="00450A17">
        <w:rPr>
          <w:rFonts w:cs="Arial"/>
        </w:rPr>
        <w:t xml:space="preserve">inequitable access to primary care, increasing </w:t>
      </w:r>
      <w:r w:rsidR="001C325F" w:rsidRPr="00450A17">
        <w:rPr>
          <w:rFonts w:cs="Arial"/>
        </w:rPr>
        <w:t xml:space="preserve">rates </w:t>
      </w:r>
      <w:r w:rsidR="009065F5" w:rsidRPr="00450A17">
        <w:rPr>
          <w:rFonts w:cs="Arial"/>
        </w:rPr>
        <w:t xml:space="preserve">of chronic and complex disease, and fragmentation in the health system. These programs and initiatives include workforce distribution strategies, expansion of successful innovative </w:t>
      </w:r>
      <w:r w:rsidR="001C325F" w:rsidRPr="00450A17">
        <w:rPr>
          <w:rFonts w:cs="Arial"/>
        </w:rPr>
        <w:t xml:space="preserve">care </w:t>
      </w:r>
      <w:r w:rsidR="009065F5" w:rsidRPr="00450A17">
        <w:rPr>
          <w:rFonts w:cs="Arial"/>
        </w:rPr>
        <w:t>model</w:t>
      </w:r>
      <w:r w:rsidR="001C325F" w:rsidRPr="00450A17">
        <w:rPr>
          <w:rFonts w:cs="Arial"/>
        </w:rPr>
        <w:t xml:space="preserve"> trials</w:t>
      </w:r>
      <w:r w:rsidR="009065F5" w:rsidRPr="00450A17">
        <w:rPr>
          <w:rFonts w:cs="Arial"/>
        </w:rPr>
        <w:t>, expansion and reform of P</w:t>
      </w:r>
      <w:r w:rsidR="00AC7085" w:rsidRPr="00450A17">
        <w:rPr>
          <w:rFonts w:cs="Arial"/>
        </w:rPr>
        <w:t>rimary Health Network (PHN)</w:t>
      </w:r>
      <w:r w:rsidR="009065F5" w:rsidRPr="00450A17">
        <w:rPr>
          <w:rFonts w:cs="Arial"/>
        </w:rPr>
        <w:t xml:space="preserve">-based programs, and review of existing incentive programs.  </w:t>
      </w:r>
    </w:p>
    <w:p w14:paraId="00244604" w14:textId="77777777" w:rsidR="009065F5" w:rsidRPr="00450A17" w:rsidRDefault="009065F5" w:rsidP="009065F5">
      <w:pPr>
        <w:rPr>
          <w:rFonts w:eastAsiaTheme="majorEastAsia" w:cs="Arial"/>
          <w:b/>
          <w:bCs/>
          <w:sz w:val="24"/>
          <w:szCs w:val="32"/>
        </w:rPr>
      </w:pPr>
      <w:r w:rsidRPr="00450A17">
        <w:rPr>
          <w:rFonts w:eastAsiaTheme="majorEastAsia" w:cs="Arial"/>
          <w:b/>
          <w:bCs/>
          <w:sz w:val="24"/>
          <w:szCs w:val="32"/>
        </w:rPr>
        <w:t>Option 2</w:t>
      </w:r>
      <w:r w:rsidRPr="00450A17">
        <w:rPr>
          <w:rFonts w:cs="Arial"/>
        </w:rPr>
        <w:t xml:space="preserve"> </w:t>
      </w:r>
      <w:r w:rsidRPr="00450A17">
        <w:rPr>
          <w:rFonts w:eastAsiaTheme="majorEastAsia" w:cs="Arial"/>
          <w:b/>
          <w:bCs/>
          <w:sz w:val="24"/>
          <w:szCs w:val="32"/>
        </w:rPr>
        <w:t xml:space="preserve">(Implementation of </w:t>
      </w:r>
      <w:r w:rsidR="00236BAD" w:rsidRPr="00450A17">
        <w:rPr>
          <w:rFonts w:eastAsiaTheme="majorEastAsia" w:cs="Arial"/>
          <w:b/>
          <w:bCs/>
          <w:sz w:val="24"/>
          <w:szCs w:val="32"/>
        </w:rPr>
        <w:t>VPR</w:t>
      </w:r>
      <w:r w:rsidRPr="00450A17">
        <w:rPr>
          <w:rFonts w:eastAsiaTheme="majorEastAsia" w:cs="Arial"/>
          <w:b/>
          <w:bCs/>
          <w:sz w:val="24"/>
          <w:szCs w:val="32"/>
        </w:rPr>
        <w:t>)</w:t>
      </w:r>
    </w:p>
    <w:p w14:paraId="0A9EB011" w14:textId="76004ED5" w:rsidR="009065F5" w:rsidRPr="00450A17" w:rsidRDefault="009065F5" w:rsidP="009065F5">
      <w:pPr>
        <w:outlineLvl w:val="2"/>
        <w:rPr>
          <w:rFonts w:cs="Arial"/>
          <w:b/>
        </w:rPr>
      </w:pPr>
      <w:r w:rsidRPr="00450A17">
        <w:rPr>
          <w:rFonts w:cs="Arial"/>
          <w:b/>
        </w:rPr>
        <w:t xml:space="preserve">Option </w:t>
      </w:r>
      <w:r w:rsidR="000F0D66" w:rsidRPr="00450A17">
        <w:rPr>
          <w:rFonts w:cs="Arial"/>
          <w:b/>
        </w:rPr>
        <w:t xml:space="preserve">2 </w:t>
      </w:r>
      <w:r w:rsidRPr="00450A17">
        <w:rPr>
          <w:rFonts w:cs="Arial"/>
          <w:b/>
        </w:rPr>
        <w:t>Overview</w:t>
      </w:r>
    </w:p>
    <w:p w14:paraId="5EEFF228" w14:textId="2B6E53F7" w:rsidR="00BD76C9" w:rsidRPr="00450A17" w:rsidRDefault="00BD76C9" w:rsidP="000F0D66">
      <w:pPr>
        <w:rPr>
          <w:rFonts w:cs="Arial"/>
        </w:rPr>
      </w:pPr>
      <w:r w:rsidRPr="00450A17">
        <w:rPr>
          <w:rFonts w:cs="Arial"/>
        </w:rPr>
        <w:t>This option supports the</w:t>
      </w:r>
      <w:r w:rsidR="000F0D66" w:rsidRPr="00450A17">
        <w:rPr>
          <w:rFonts w:cs="Arial"/>
        </w:rPr>
        <w:t xml:space="preserve"> introdu</w:t>
      </w:r>
      <w:r w:rsidRPr="00450A17">
        <w:rPr>
          <w:rFonts w:cs="Arial"/>
        </w:rPr>
        <w:t>ction of</w:t>
      </w:r>
      <w:r w:rsidR="000F0D66" w:rsidRPr="00450A17">
        <w:rPr>
          <w:rFonts w:cs="Arial"/>
        </w:rPr>
        <w:t xml:space="preserve"> VPR to </w:t>
      </w:r>
      <w:r w:rsidRPr="00450A17">
        <w:rPr>
          <w:rFonts w:cs="Arial"/>
        </w:rPr>
        <w:t xml:space="preserve">promote </w:t>
      </w:r>
      <w:r w:rsidR="000F0D66" w:rsidRPr="00450A17">
        <w:rPr>
          <w:rFonts w:cs="Arial"/>
        </w:rPr>
        <w:t xml:space="preserve">continuity of care, strengthen the relationship between the patient and their care team, and </w:t>
      </w:r>
      <w:r w:rsidR="000F0D66" w:rsidRPr="00450A17">
        <w:rPr>
          <w:rFonts w:eastAsiaTheme="minorEastAsia" w:cs="Arial"/>
        </w:rPr>
        <w:t>help participating GPs and practices better understand and meet their patients’ needs</w:t>
      </w:r>
      <w:r w:rsidR="000F0D66" w:rsidRPr="00450A17">
        <w:rPr>
          <w:rFonts w:cs="Arial"/>
        </w:rPr>
        <w:t xml:space="preserve">. </w:t>
      </w:r>
      <w:r w:rsidR="000F0D66" w:rsidRPr="00450A17">
        <w:rPr>
          <w:rFonts w:eastAsiaTheme="minorEastAsia" w:cs="Arial"/>
        </w:rPr>
        <w:t xml:space="preserve">VPR is a critical starting point to drive reform in primary care. </w:t>
      </w:r>
    </w:p>
    <w:p w14:paraId="1E755A5F" w14:textId="4187D06E" w:rsidR="000F0D66" w:rsidRPr="00450A17" w:rsidRDefault="00BD76C9" w:rsidP="000F0D66">
      <w:pPr>
        <w:rPr>
          <w:rFonts w:cs="Arial"/>
        </w:rPr>
      </w:pPr>
      <w:r w:rsidRPr="00450A17">
        <w:rPr>
          <w:rFonts w:cs="Arial"/>
        </w:rPr>
        <w:t xml:space="preserve">The proposed approach to implementation is universal and voluntary. This approach was informed by research into the strengths and weaknesses of overseas registration models and the advice of the Taskforce on what approach </w:t>
      </w:r>
      <w:r w:rsidR="00C226CA" w:rsidRPr="00450A17">
        <w:rPr>
          <w:rFonts w:cs="Arial"/>
        </w:rPr>
        <w:t xml:space="preserve">would </w:t>
      </w:r>
      <w:r w:rsidRPr="00450A17">
        <w:rPr>
          <w:rFonts w:cs="Arial"/>
        </w:rPr>
        <w:t>be most effective in the Australian context.</w:t>
      </w:r>
    </w:p>
    <w:p w14:paraId="4F0AD200" w14:textId="5C13F0CC" w:rsidR="00A10430" w:rsidRPr="00450A17" w:rsidRDefault="00BD76C9" w:rsidP="008215EF">
      <w:r w:rsidRPr="00450A17">
        <w:t>A</w:t>
      </w:r>
      <w:r w:rsidR="000F0D66" w:rsidRPr="00450A17">
        <w:t xml:space="preserve"> targeted implementation approach</w:t>
      </w:r>
      <w:r w:rsidRPr="00450A17">
        <w:t>, where VPR is only available to defined cohorts, was considered but not recommended</w:t>
      </w:r>
      <w:r w:rsidR="000F0D66" w:rsidRPr="00450A17">
        <w:t xml:space="preserve"> </w:t>
      </w:r>
      <w:r w:rsidR="00994AEB" w:rsidRPr="00450A17">
        <w:t xml:space="preserve">on the basis </w:t>
      </w:r>
      <w:r w:rsidR="00925E63" w:rsidRPr="00450A17">
        <w:t>that continuity of care benefits everyone</w:t>
      </w:r>
      <w:r w:rsidR="00994AEB" w:rsidRPr="00450A17">
        <w:t xml:space="preserve">, </w:t>
      </w:r>
      <w:r w:rsidR="00925E63" w:rsidRPr="00450A17">
        <w:t>access to VPR should</w:t>
      </w:r>
      <w:r w:rsidR="005603CB" w:rsidRPr="00450A17">
        <w:t xml:space="preserve"> be</w:t>
      </w:r>
      <w:r w:rsidR="00925E63" w:rsidRPr="00450A17">
        <w:t xml:space="preserve"> available to all Australians</w:t>
      </w:r>
      <w:r w:rsidR="00994AEB" w:rsidRPr="00450A17">
        <w:t xml:space="preserve">, and cohorts can still be effectively targeted </w:t>
      </w:r>
      <w:r w:rsidR="00EA1E5D" w:rsidRPr="00450A17">
        <w:t xml:space="preserve">through VPR </w:t>
      </w:r>
      <w:r w:rsidR="00994AEB" w:rsidRPr="00450A17">
        <w:t>without restricting scope of registration</w:t>
      </w:r>
      <w:r w:rsidR="00925E63" w:rsidRPr="00450A17">
        <w:t xml:space="preserve">. </w:t>
      </w:r>
      <w:r w:rsidR="004C7D30" w:rsidRPr="00450A17">
        <w:rPr>
          <w:rFonts w:cs="Arial"/>
        </w:rPr>
        <w:t>A</w:t>
      </w:r>
      <w:r w:rsidR="00A10430" w:rsidRPr="00450A17">
        <w:rPr>
          <w:rFonts w:cs="Arial"/>
        </w:rPr>
        <w:t xml:space="preserve"> targeted approach </w:t>
      </w:r>
      <w:r w:rsidR="004C7D30" w:rsidRPr="00450A17">
        <w:rPr>
          <w:rFonts w:cs="Arial"/>
        </w:rPr>
        <w:t>would also</w:t>
      </w:r>
      <w:r w:rsidR="00A10430" w:rsidRPr="00450A17">
        <w:rPr>
          <w:rFonts w:cs="Arial"/>
        </w:rPr>
        <w:t xml:space="preserve"> limit the broader population and health system benefits of an ongoing patient relationship with a GP and practice</w:t>
      </w:r>
      <w:r w:rsidR="00150192" w:rsidRPr="00450A17">
        <w:rPr>
          <w:rFonts w:cs="Arial"/>
        </w:rPr>
        <w:t xml:space="preserve"> including </w:t>
      </w:r>
      <w:r w:rsidR="00A10430" w:rsidRPr="00450A17">
        <w:rPr>
          <w:rFonts w:cs="Arial"/>
        </w:rPr>
        <w:t xml:space="preserve">equitable care provision, population health needs analysis and service planning.  </w:t>
      </w:r>
    </w:p>
    <w:p w14:paraId="3393D3D0" w14:textId="26FCA2F0" w:rsidR="00A10430" w:rsidRPr="00450A17" w:rsidRDefault="0002635B" w:rsidP="008215EF">
      <w:r w:rsidRPr="00450A17">
        <w:t>Consideration was also given to whether</w:t>
      </w:r>
      <w:r w:rsidR="00C726D4" w:rsidRPr="00450A17">
        <w:t xml:space="preserve"> </w:t>
      </w:r>
      <w:r w:rsidR="00D37B6C" w:rsidRPr="00450A17">
        <w:t xml:space="preserve">the </w:t>
      </w:r>
      <w:r w:rsidR="00A10430" w:rsidRPr="00450A17">
        <w:t xml:space="preserve">VPR </w:t>
      </w:r>
      <w:r w:rsidR="00C726D4" w:rsidRPr="00450A17">
        <w:t>model should operate differently in Aboriginal Community Controlled Health Services</w:t>
      </w:r>
      <w:r w:rsidRPr="00450A17">
        <w:t xml:space="preserve"> (ACCHS)</w:t>
      </w:r>
      <w:r w:rsidR="00C726D4" w:rsidRPr="00450A17">
        <w:t xml:space="preserve">, rural and remote Australia, and for other priority populations. </w:t>
      </w:r>
      <w:r w:rsidRPr="00450A17">
        <w:t>While a universal registration was considered to be the most equitable approach, the implementation of VPR will be designed to ensure culturally appropriate engagement, accessible communications</w:t>
      </w:r>
      <w:r w:rsidR="003343AD" w:rsidRPr="00450A17">
        <w:t>,</w:t>
      </w:r>
      <w:r w:rsidRPr="00450A17">
        <w:t xml:space="preserve"> and to streamline processes for those patients already connected to </w:t>
      </w:r>
      <w:r w:rsidR="00E925D8" w:rsidRPr="00450A17">
        <w:t xml:space="preserve">an </w:t>
      </w:r>
      <w:r w:rsidRPr="00450A17">
        <w:t xml:space="preserve">ACCHS.  </w:t>
      </w:r>
      <w:r w:rsidR="00C726D4" w:rsidRPr="00450A17">
        <w:t xml:space="preserve"> </w:t>
      </w:r>
      <w:r w:rsidR="00A10430" w:rsidRPr="00450A17">
        <w:t xml:space="preserve"> </w:t>
      </w:r>
    </w:p>
    <w:p w14:paraId="29C74A22" w14:textId="4DA8ED4A" w:rsidR="009A5E46" w:rsidRPr="00450A17" w:rsidRDefault="0002635B" w:rsidP="0002635B">
      <w:pPr>
        <w:pStyle w:val="NormalWeb"/>
        <w:spacing w:before="0" w:beforeAutospacing="0" w:after="0" w:afterAutospacing="0" w:line="276" w:lineRule="auto"/>
        <w:rPr>
          <w:rFonts w:ascii="Arial" w:hAnsi="Arial" w:cs="Arial"/>
          <w:sz w:val="22"/>
          <w:szCs w:val="22"/>
          <w:lang w:eastAsia="en-US"/>
        </w:rPr>
      </w:pPr>
      <w:r w:rsidRPr="00450A17">
        <w:rPr>
          <w:rFonts w:ascii="Arial" w:hAnsi="Arial" w:cs="Arial"/>
          <w:sz w:val="22"/>
          <w:szCs w:val="22"/>
          <w:lang w:eastAsia="en-US"/>
        </w:rPr>
        <w:t>In considering the</w:t>
      </w:r>
      <w:r w:rsidR="00C05CB5" w:rsidRPr="00450A17">
        <w:rPr>
          <w:rFonts w:ascii="Arial" w:hAnsi="Arial" w:cs="Arial"/>
          <w:sz w:val="22"/>
          <w:szCs w:val="22"/>
          <w:lang w:eastAsia="en-US"/>
        </w:rPr>
        <w:t xml:space="preserve"> option of mandatory participation in VPR</w:t>
      </w:r>
      <w:r w:rsidRPr="00450A17">
        <w:rPr>
          <w:rFonts w:ascii="Arial" w:hAnsi="Arial" w:cs="Arial"/>
          <w:sz w:val="22"/>
          <w:szCs w:val="22"/>
          <w:lang w:eastAsia="en-US"/>
        </w:rPr>
        <w:t>, v</w:t>
      </w:r>
      <w:r w:rsidR="001E0640" w:rsidRPr="00450A17">
        <w:rPr>
          <w:rFonts w:ascii="Arial" w:hAnsi="Arial" w:cs="Arial"/>
          <w:sz w:val="22"/>
          <w:szCs w:val="22"/>
          <w:lang w:eastAsia="en-US"/>
        </w:rPr>
        <w:t>oluntary participation</w:t>
      </w:r>
      <w:r w:rsidRPr="00450A17">
        <w:rPr>
          <w:rFonts w:ascii="Arial" w:hAnsi="Arial" w:cs="Arial"/>
          <w:sz w:val="22"/>
          <w:szCs w:val="22"/>
          <w:lang w:eastAsia="en-US"/>
        </w:rPr>
        <w:t xml:space="preserve"> was strongly preferred and</w:t>
      </w:r>
      <w:r w:rsidR="001E0640" w:rsidRPr="00450A17">
        <w:rPr>
          <w:rFonts w:ascii="Arial" w:hAnsi="Arial" w:cs="Arial"/>
          <w:sz w:val="22"/>
          <w:szCs w:val="22"/>
          <w:lang w:eastAsia="en-US"/>
        </w:rPr>
        <w:t xml:space="preserve"> is being proposed as it aligns with the Australian model of health care which places patient choice as a cornerstone of health care delivery and meets the expectations of the healthcare sector voiced through extensive consultation processes on VPR in Australia</w:t>
      </w:r>
      <w:r w:rsidRPr="00450A17">
        <w:rPr>
          <w:rFonts w:ascii="Arial" w:hAnsi="Arial" w:cs="Arial"/>
          <w:sz w:val="22"/>
          <w:szCs w:val="22"/>
          <w:lang w:eastAsia="en-US"/>
        </w:rPr>
        <w:t xml:space="preserve"> through</w:t>
      </w:r>
      <w:r w:rsidR="009A5E46" w:rsidRPr="00450A17">
        <w:rPr>
          <w:rFonts w:ascii="Arial" w:hAnsi="Arial" w:cs="Arial"/>
          <w:sz w:val="22"/>
          <w:szCs w:val="22"/>
          <w:lang w:eastAsia="en-US"/>
        </w:rPr>
        <w:t xml:space="preserve"> the Primary Health Care 10 Year Plan (2022), the Primary Health Care Steering Group (2021) and the Primary Health Care Advisory Group Report (2015). </w:t>
      </w:r>
    </w:p>
    <w:p w14:paraId="41431539" w14:textId="4B6DD64C" w:rsidR="000F0D66" w:rsidRPr="00450A17" w:rsidRDefault="009A5E46" w:rsidP="006C36AB">
      <w:pPr>
        <w:pStyle w:val="NormalWeb"/>
        <w:spacing w:before="0" w:beforeAutospacing="0" w:after="0" w:afterAutospacing="0" w:line="276" w:lineRule="auto"/>
        <w:rPr>
          <w:rFonts w:ascii="Arial" w:hAnsi="Arial" w:cs="Arial"/>
          <w:sz w:val="22"/>
          <w:szCs w:val="22"/>
          <w:lang w:eastAsia="en-US"/>
        </w:rPr>
      </w:pPr>
      <w:r w:rsidRPr="00450A17">
        <w:rPr>
          <w:rFonts w:ascii="Arial" w:hAnsi="Arial" w:cs="Arial"/>
          <w:sz w:val="22"/>
          <w:szCs w:val="22"/>
          <w:lang w:eastAsia="en-US"/>
        </w:rPr>
        <w:t> </w:t>
      </w:r>
    </w:p>
    <w:p w14:paraId="04271BFA" w14:textId="64A40094" w:rsidR="00D26E62" w:rsidRPr="00450A17" w:rsidRDefault="009065F5" w:rsidP="008215EF">
      <w:r w:rsidRPr="00450A17">
        <w:t>Under option</w:t>
      </w:r>
      <w:r w:rsidR="000F0D66" w:rsidRPr="00450A17">
        <w:t xml:space="preserve"> 2</w:t>
      </w:r>
      <w:r w:rsidRPr="00450A17">
        <w:t xml:space="preserve">, </w:t>
      </w:r>
      <w:r w:rsidR="00236BAD" w:rsidRPr="00450A17">
        <w:t>VPR</w:t>
      </w:r>
      <w:r w:rsidRPr="00450A17">
        <w:t xml:space="preserve"> </w:t>
      </w:r>
      <w:r w:rsidR="00496D05" w:rsidRPr="00450A17">
        <w:t>will</w:t>
      </w:r>
      <w:r w:rsidRPr="00450A17">
        <w:t xml:space="preserve"> be implemented from </w:t>
      </w:r>
      <w:r w:rsidR="002D0F7D" w:rsidRPr="00450A17">
        <w:t xml:space="preserve">1 </w:t>
      </w:r>
      <w:r w:rsidR="00D37858" w:rsidRPr="00450A17">
        <w:t>October</w:t>
      </w:r>
      <w:r w:rsidRPr="00450A17">
        <w:t xml:space="preserve"> 2023.</w:t>
      </w:r>
      <w:r w:rsidR="005923F2" w:rsidRPr="00450A17">
        <w:t xml:space="preserve"> </w:t>
      </w:r>
      <w:r w:rsidR="00236BAD" w:rsidRPr="00450A17">
        <w:t>VPR</w:t>
      </w:r>
      <w:r w:rsidRPr="00450A17">
        <w:t xml:space="preserve"> will be voluntary for patients</w:t>
      </w:r>
      <w:r w:rsidR="00645C1E" w:rsidRPr="00450A17">
        <w:t>, providers</w:t>
      </w:r>
      <w:r w:rsidRPr="00450A17">
        <w:t xml:space="preserve"> and practices and available to all Australians. Patients </w:t>
      </w:r>
      <w:r w:rsidR="0040302D" w:rsidRPr="00450A17">
        <w:t>will</w:t>
      </w:r>
      <w:r w:rsidRPr="00450A17">
        <w:t xml:space="preserve"> be able to choose to register with their regular general practice and nominate their preferred GP</w:t>
      </w:r>
      <w:r w:rsidR="003343AD" w:rsidRPr="00450A17">
        <w:t xml:space="preserve">. This </w:t>
      </w:r>
      <w:r w:rsidRPr="00450A17">
        <w:t xml:space="preserve">information </w:t>
      </w:r>
      <w:r w:rsidR="00835120" w:rsidRPr="00450A17">
        <w:t xml:space="preserve">will be </w:t>
      </w:r>
      <w:r w:rsidR="00236BAD" w:rsidRPr="00450A17">
        <w:t>available</w:t>
      </w:r>
      <w:r w:rsidRPr="00450A17">
        <w:t xml:space="preserve"> on the patient’s My Health Record to assist with coordination of care across the health sector (including in </w:t>
      </w:r>
      <w:r w:rsidR="00D37858" w:rsidRPr="00450A17">
        <w:t>hospital settings</w:t>
      </w:r>
      <w:r w:rsidRPr="00450A17">
        <w:t>).</w:t>
      </w:r>
      <w:r w:rsidR="00FE43D5" w:rsidRPr="00450A17">
        <w:t xml:space="preserve"> </w:t>
      </w:r>
      <w:r w:rsidR="00ED4F7D" w:rsidRPr="00450A17">
        <w:t>Over time t</w:t>
      </w:r>
      <w:r w:rsidR="00FE43D5" w:rsidRPr="00450A17">
        <w:t>he patient will also be able to reflect their broader multi-disciplinary team within their registration</w:t>
      </w:r>
      <w:r w:rsidR="003343AD" w:rsidRPr="00450A17">
        <w:t xml:space="preserve">. This will </w:t>
      </w:r>
      <w:r w:rsidR="006F414F" w:rsidRPr="00450A17">
        <w:t xml:space="preserve">provide greater visibility </w:t>
      </w:r>
      <w:r w:rsidR="003343AD" w:rsidRPr="00450A17">
        <w:t xml:space="preserve">over their patients’ care </w:t>
      </w:r>
      <w:r w:rsidR="006F414F" w:rsidRPr="00450A17">
        <w:t>and</w:t>
      </w:r>
      <w:r w:rsidR="00FE43D5" w:rsidRPr="00450A17">
        <w:t xml:space="preserve"> </w:t>
      </w:r>
      <w:r w:rsidR="006F414F" w:rsidRPr="00450A17">
        <w:t xml:space="preserve">support a cohesive </w:t>
      </w:r>
      <w:r w:rsidR="003343AD" w:rsidRPr="00450A17">
        <w:t xml:space="preserve">team care </w:t>
      </w:r>
      <w:r w:rsidR="006F414F" w:rsidRPr="00450A17">
        <w:t xml:space="preserve">approach </w:t>
      </w:r>
      <w:r w:rsidR="00ED4F7D" w:rsidRPr="00450A17">
        <w:t xml:space="preserve">among </w:t>
      </w:r>
      <w:r w:rsidR="006F414F" w:rsidRPr="00450A17">
        <w:t xml:space="preserve">different health professionals. </w:t>
      </w:r>
      <w:r w:rsidR="0002635B" w:rsidRPr="00450A17">
        <w:t>This includes (but is not limited to) their general practitioner, primary care nurse, midwife, allied health professional</w:t>
      </w:r>
      <w:r w:rsidR="009E76C1" w:rsidRPr="00450A17">
        <w:t>s</w:t>
      </w:r>
      <w:r w:rsidR="0002635B" w:rsidRPr="00450A17">
        <w:t xml:space="preserve"> and Aboriginal health worker. </w:t>
      </w:r>
      <w:r w:rsidR="00FE43D5" w:rsidRPr="00450A17">
        <w:t xml:space="preserve"> </w:t>
      </w:r>
    </w:p>
    <w:p w14:paraId="664082DB" w14:textId="45870578" w:rsidR="00480067" w:rsidRPr="00450A17" w:rsidRDefault="005B2065" w:rsidP="00E238F8">
      <w:pPr>
        <w:spacing w:before="120" w:after="120"/>
        <w:rPr>
          <w:rFonts w:cs="Arial"/>
          <w:i/>
        </w:rPr>
      </w:pPr>
      <w:r w:rsidRPr="00450A17">
        <w:rPr>
          <w:rFonts w:cs="Arial"/>
        </w:rPr>
        <w:t>VPR will link healthcare identifiers in such a way that a patient’s M</w:t>
      </w:r>
      <w:r w:rsidR="00F96ACA" w:rsidRPr="00450A17">
        <w:rPr>
          <w:rFonts w:cs="Arial"/>
        </w:rPr>
        <w:t xml:space="preserve">edicare </w:t>
      </w:r>
      <w:r w:rsidRPr="00450A17">
        <w:rPr>
          <w:rFonts w:cs="Arial"/>
        </w:rPr>
        <w:t>number</w:t>
      </w:r>
      <w:r w:rsidR="00B36FA3" w:rsidRPr="00450A17">
        <w:rPr>
          <w:rFonts w:cs="Arial"/>
        </w:rPr>
        <w:t xml:space="preserve"> will be linked to their registered practice </w:t>
      </w:r>
      <w:r w:rsidR="00F96ACA" w:rsidRPr="00450A17">
        <w:rPr>
          <w:rFonts w:cs="Arial"/>
        </w:rPr>
        <w:t>(through the Organisation Register), and their preferred provider and multi-disciplinary team (</w:t>
      </w:r>
      <w:r w:rsidR="003147A6" w:rsidRPr="00450A17">
        <w:rPr>
          <w:rFonts w:cs="Arial"/>
        </w:rPr>
        <w:t>through</w:t>
      </w:r>
      <w:r w:rsidR="00F96ACA" w:rsidRPr="00450A17">
        <w:rPr>
          <w:rFonts w:cs="Arial"/>
        </w:rPr>
        <w:t xml:space="preserve"> Medicare Provider </w:t>
      </w:r>
      <w:r w:rsidR="007F2F59" w:rsidRPr="00450A17">
        <w:rPr>
          <w:rFonts w:cs="Arial"/>
        </w:rPr>
        <w:t>N</w:t>
      </w:r>
      <w:r w:rsidR="00F96ACA" w:rsidRPr="00450A17">
        <w:rPr>
          <w:rFonts w:cs="Arial"/>
        </w:rPr>
        <w:t>umber</w:t>
      </w:r>
      <w:r w:rsidR="003147A6" w:rsidRPr="00450A17">
        <w:rPr>
          <w:rFonts w:cs="Arial"/>
        </w:rPr>
        <w:t>s</w:t>
      </w:r>
      <w:r w:rsidR="00F96ACA" w:rsidRPr="00450A17">
        <w:rPr>
          <w:rFonts w:cs="Arial"/>
        </w:rPr>
        <w:t>)</w:t>
      </w:r>
      <w:r w:rsidR="00B36FA3" w:rsidRPr="00450A17">
        <w:rPr>
          <w:rFonts w:cs="Arial"/>
        </w:rPr>
        <w:t>.</w:t>
      </w:r>
      <w:r w:rsidR="00AB3A38" w:rsidRPr="00450A17">
        <w:rPr>
          <w:rFonts w:cs="Arial"/>
        </w:rPr>
        <w:t xml:space="preserve"> The system will also link to Health Care Identifiers when available to enable linkages to other digital systems. </w:t>
      </w:r>
      <w:r w:rsidR="00896F47" w:rsidRPr="00450A17">
        <w:rPr>
          <w:rFonts w:cs="Arial"/>
        </w:rPr>
        <w:t>T</w:t>
      </w:r>
      <w:r w:rsidR="003147A6" w:rsidRPr="00450A17">
        <w:rPr>
          <w:rFonts w:cs="Arial"/>
        </w:rPr>
        <w:t>hrough the registration process</w:t>
      </w:r>
      <w:r w:rsidR="00896F47" w:rsidRPr="00450A17">
        <w:rPr>
          <w:rFonts w:cs="Arial"/>
        </w:rPr>
        <w:t xml:space="preserve">, patients who belong to particular demographics and cohorts will </w:t>
      </w:r>
      <w:r w:rsidR="00747A42" w:rsidRPr="00450A17">
        <w:rPr>
          <w:rFonts w:cs="Arial"/>
        </w:rPr>
        <w:t xml:space="preserve">also </w:t>
      </w:r>
      <w:r w:rsidR="00896F47" w:rsidRPr="00450A17">
        <w:rPr>
          <w:rFonts w:cs="Arial"/>
        </w:rPr>
        <w:t>be identifie</w:t>
      </w:r>
      <w:r w:rsidR="00AF32E8" w:rsidRPr="00450A17">
        <w:rPr>
          <w:rFonts w:cs="Arial"/>
        </w:rPr>
        <w:t>d,</w:t>
      </w:r>
      <w:r w:rsidR="00747A42" w:rsidRPr="00450A17">
        <w:rPr>
          <w:rFonts w:cs="Arial"/>
        </w:rPr>
        <w:t xml:space="preserve"> provid</w:t>
      </w:r>
      <w:r w:rsidR="00AF32E8" w:rsidRPr="00450A17">
        <w:rPr>
          <w:rFonts w:cs="Arial"/>
        </w:rPr>
        <w:t>ing</w:t>
      </w:r>
      <w:r w:rsidR="00747A42" w:rsidRPr="00450A17">
        <w:rPr>
          <w:rFonts w:cs="Arial"/>
        </w:rPr>
        <w:t xml:space="preserve"> a new mechanism for funding reform as MBS items and incentives will be able to</w:t>
      </w:r>
      <w:r w:rsidR="003147A6" w:rsidRPr="00450A17">
        <w:rPr>
          <w:rFonts w:cs="Arial"/>
        </w:rPr>
        <w:t xml:space="preserve"> be linked to registration</w:t>
      </w:r>
      <w:r w:rsidR="009C0840" w:rsidRPr="00450A17">
        <w:rPr>
          <w:rFonts w:cs="Arial"/>
        </w:rPr>
        <w:t xml:space="preserve"> </w:t>
      </w:r>
      <w:r w:rsidR="00AF32E8" w:rsidRPr="00450A17">
        <w:rPr>
          <w:rFonts w:cs="Arial"/>
        </w:rPr>
        <w:t xml:space="preserve">(see Section </w:t>
      </w:r>
      <w:r w:rsidR="00BC5833" w:rsidRPr="00450A17">
        <w:rPr>
          <w:rFonts w:cs="Arial"/>
        </w:rPr>
        <w:t>5</w:t>
      </w:r>
      <w:r w:rsidR="00AF32E8" w:rsidRPr="00450A17">
        <w:rPr>
          <w:rFonts w:cs="Arial"/>
        </w:rPr>
        <w:t>: Impact Analysis for more detail).</w:t>
      </w:r>
    </w:p>
    <w:p w14:paraId="53E90AF0" w14:textId="77777777" w:rsidR="00E238F8" w:rsidRPr="00450A17" w:rsidRDefault="00E238F8" w:rsidP="00E238F8">
      <w:pPr>
        <w:spacing w:before="120" w:after="120"/>
        <w:rPr>
          <w:rFonts w:cs="Arial"/>
          <w:bCs/>
          <w:i/>
          <w:iCs/>
        </w:rPr>
      </w:pPr>
      <w:r w:rsidRPr="00450A17">
        <w:rPr>
          <w:rFonts w:cs="Arial"/>
          <w:i/>
        </w:rPr>
        <w:t xml:space="preserve">Patient </w:t>
      </w:r>
      <w:r w:rsidR="00D26E62" w:rsidRPr="00450A17">
        <w:rPr>
          <w:rFonts w:cs="Arial"/>
          <w:i/>
        </w:rPr>
        <w:t xml:space="preserve">Eligibility </w:t>
      </w:r>
    </w:p>
    <w:p w14:paraId="2E556AF0" w14:textId="6E322089" w:rsidR="009065F5" w:rsidRPr="00450A17" w:rsidRDefault="009065F5" w:rsidP="008215EF">
      <w:pPr>
        <w:rPr>
          <w:sz w:val="18"/>
          <w:szCs w:val="12"/>
        </w:rPr>
      </w:pPr>
      <w:r w:rsidRPr="00450A17">
        <w:t xml:space="preserve">Registration of a patient with their preferred practice </w:t>
      </w:r>
      <w:r w:rsidR="00496D05" w:rsidRPr="00450A17">
        <w:t xml:space="preserve">will </w:t>
      </w:r>
      <w:r w:rsidR="00D37858" w:rsidRPr="00450A17">
        <w:t>be</w:t>
      </w:r>
      <w:r w:rsidRPr="00450A17">
        <w:t xml:space="preserve"> established if the patient had at least two</w:t>
      </w:r>
      <w:r w:rsidR="00F265B1" w:rsidRPr="00450A17">
        <w:t xml:space="preserve"> separate</w:t>
      </w:r>
      <w:r w:rsidRPr="00450A17">
        <w:t xml:space="preserve"> face to face visits with the practice in the last 24 months. A reduced eligibility criteria of one face to face visit in the previous 12 months w</w:t>
      </w:r>
      <w:r w:rsidR="00496D05" w:rsidRPr="00450A17">
        <w:t>ill</w:t>
      </w:r>
      <w:r w:rsidRPr="00450A17">
        <w:t xml:space="preserve"> apply for practices in MMM</w:t>
      </w:r>
      <w:r w:rsidR="009C0840" w:rsidRPr="00450A17">
        <w:t> </w:t>
      </w:r>
      <w:r w:rsidRPr="00450A17">
        <w:t xml:space="preserve">6-7 areas and for </w:t>
      </w:r>
      <w:r w:rsidR="004B301A" w:rsidRPr="00450A17">
        <w:t>ACCHS</w:t>
      </w:r>
      <w:r w:rsidRPr="00450A17">
        <w:t xml:space="preserve">, acknowledging that these groups may not satisfy the two visits requirement due to various factors. Access for populations that may experience issues in engaging effectively with primary care will be </w:t>
      </w:r>
      <w:r w:rsidR="00571FCF" w:rsidRPr="00450A17">
        <w:t>exempt from</w:t>
      </w:r>
      <w:r w:rsidR="00C77CC2" w:rsidRPr="00450A17">
        <w:t xml:space="preserve"> the</w:t>
      </w:r>
      <w:r w:rsidR="00865C41" w:rsidRPr="00450A17">
        <w:t xml:space="preserve"> </w:t>
      </w:r>
      <w:r w:rsidRPr="00450A17">
        <w:t>eligibility requirements</w:t>
      </w:r>
      <w:r w:rsidR="009C0840" w:rsidRPr="00450A17">
        <w:t xml:space="preserve"> mentioned above</w:t>
      </w:r>
      <w:r w:rsidR="00810F85" w:rsidRPr="00450A17">
        <w:t>. I</w:t>
      </w:r>
      <w:r w:rsidRPr="00450A17">
        <w:t>n particular</w:t>
      </w:r>
      <w:r w:rsidR="00810F85" w:rsidRPr="00450A17">
        <w:t xml:space="preserve">, </w:t>
      </w:r>
      <w:r w:rsidRPr="00450A17">
        <w:t>people experiencing family and domestic violence or homelessness, more mobile populations, people who have not engaged with primary care services previously and people experiencing social disadvantage</w:t>
      </w:r>
      <w:r w:rsidR="003670B7" w:rsidRPr="00450A17">
        <w:t xml:space="preserve"> w</w:t>
      </w:r>
      <w:r w:rsidR="00496D05" w:rsidRPr="00450A17">
        <w:t>ill</w:t>
      </w:r>
      <w:r w:rsidR="003670B7" w:rsidRPr="00450A17">
        <w:t xml:space="preserve"> be able to register in VPR </w:t>
      </w:r>
      <w:r w:rsidR="00641900" w:rsidRPr="00450A17">
        <w:t>on their first visit to a practice (if it is deemed clinically suitable by their provider).</w:t>
      </w:r>
      <w:r w:rsidRPr="00450A17">
        <w:t xml:space="preserve"> </w:t>
      </w:r>
      <w:r w:rsidR="00FF1FDE" w:rsidRPr="00450A17">
        <w:t xml:space="preserve">The </w:t>
      </w:r>
      <w:r w:rsidR="003336FA" w:rsidRPr="00450A17">
        <w:t xml:space="preserve">VPR </w:t>
      </w:r>
      <w:r w:rsidR="00FF1FDE" w:rsidRPr="00450A17">
        <w:t xml:space="preserve">communications strategy </w:t>
      </w:r>
      <w:r w:rsidR="00720B4D" w:rsidRPr="00450A17">
        <w:t xml:space="preserve">will </w:t>
      </w:r>
      <w:r w:rsidR="00571FCF" w:rsidRPr="00450A17">
        <w:t>support</w:t>
      </w:r>
      <w:r w:rsidR="003336FA" w:rsidRPr="00450A17">
        <w:t xml:space="preserve"> these at risk </w:t>
      </w:r>
      <w:r w:rsidR="00006AEC" w:rsidRPr="00450A17">
        <w:t>groups (who may face additional barriers to health care and are at risk of poor health outcomes) to</w:t>
      </w:r>
      <w:r w:rsidR="003336FA" w:rsidRPr="00450A17">
        <w:t xml:space="preserve"> connect to a provider and practice, and benefit from continuity of care.  </w:t>
      </w:r>
      <w:r w:rsidR="0058507C" w:rsidRPr="00450A17">
        <w:br/>
      </w:r>
      <w:r w:rsidR="0058507C" w:rsidRPr="00450A17">
        <w:br/>
      </w:r>
      <w:r w:rsidR="00571FCF" w:rsidRPr="00450A17">
        <w:t>R</w:t>
      </w:r>
      <w:r w:rsidR="0058507C" w:rsidRPr="00450A17">
        <w:t>educed eligibility criteria respond to the Taskforce’s reco</w:t>
      </w:r>
      <w:r w:rsidR="00FF1FDE" w:rsidRPr="00450A17">
        <w:t>mmendation</w:t>
      </w:r>
      <w:r w:rsidR="0058507C" w:rsidRPr="00450A17">
        <w:t xml:space="preserve"> that investments in primary care should address inequities in access and outcomes, including for First Nations Australians, people in rural and remote areas, culturally and linguistically diverse people, people with disability and people on low incomes.</w:t>
      </w:r>
    </w:p>
    <w:p w14:paraId="27693C2C" w14:textId="22AB4278" w:rsidR="0050110E" w:rsidRPr="00450A17" w:rsidRDefault="00CB13A5" w:rsidP="00CB6A48">
      <w:pPr>
        <w:spacing w:before="120" w:after="120"/>
        <w:rPr>
          <w:rFonts w:cs="Arial"/>
          <w:bCs/>
          <w:i/>
          <w:iCs/>
        </w:rPr>
      </w:pPr>
      <w:r w:rsidRPr="00450A17">
        <w:rPr>
          <w:rFonts w:cs="Arial"/>
          <w:i/>
        </w:rPr>
        <w:t>Patient Registration</w:t>
      </w:r>
      <w:r w:rsidRPr="00450A17">
        <w:br/>
        <w:t xml:space="preserve">The registration process for patients will be simple and </w:t>
      </w:r>
      <w:r w:rsidR="00571FCF" w:rsidRPr="00450A17">
        <w:t xml:space="preserve">initiated </w:t>
      </w:r>
      <w:r w:rsidRPr="00450A17">
        <w:t xml:space="preserve">at either the </w:t>
      </w:r>
      <w:r w:rsidRPr="00450A17">
        <w:rPr>
          <w:rFonts w:cs="Arial"/>
        </w:rPr>
        <w:t xml:space="preserve">practice as part of a visit, or by a patient online through their Medicare Online App. </w:t>
      </w:r>
      <w:r w:rsidRPr="00450A17">
        <w:rPr>
          <w:rFonts w:cs="Arial"/>
          <w:bCs/>
          <w:iCs/>
        </w:rPr>
        <w:t xml:space="preserve">Keeping these processes simple and embedded in </w:t>
      </w:r>
      <w:r w:rsidR="00FF1FDE" w:rsidRPr="00450A17">
        <w:rPr>
          <w:rFonts w:cs="Arial"/>
          <w:bCs/>
          <w:iCs/>
        </w:rPr>
        <w:t>existing</w:t>
      </w:r>
      <w:r w:rsidRPr="00450A17">
        <w:rPr>
          <w:rFonts w:cs="Arial"/>
          <w:bCs/>
          <w:iCs/>
        </w:rPr>
        <w:t xml:space="preserve"> processes to see a GP or health practitioner will </w:t>
      </w:r>
      <w:r w:rsidR="00FF1FDE" w:rsidRPr="00450A17">
        <w:rPr>
          <w:rFonts w:cs="Arial"/>
          <w:bCs/>
          <w:iCs/>
        </w:rPr>
        <w:t>reduce</w:t>
      </w:r>
      <w:r w:rsidRPr="00450A17">
        <w:rPr>
          <w:rFonts w:cs="Arial"/>
          <w:bCs/>
          <w:iCs/>
        </w:rPr>
        <w:t xml:space="preserve"> the time taken by individuals to undertake the registration process.</w:t>
      </w:r>
    </w:p>
    <w:p w14:paraId="1DF4332F" w14:textId="3550C340" w:rsidR="008E3266" w:rsidRPr="00450A17" w:rsidRDefault="00CB13A5" w:rsidP="00CB6A48">
      <w:pPr>
        <w:spacing w:after="240"/>
        <w:rPr>
          <w:rFonts w:cs="Arial"/>
        </w:rPr>
      </w:pPr>
      <w:r w:rsidRPr="00450A17">
        <w:rPr>
          <w:rFonts w:cs="Arial"/>
          <w:i/>
        </w:rPr>
        <w:t>Exit from program/changing enrolment</w:t>
      </w:r>
      <w:r w:rsidR="005C5A66" w:rsidRPr="00450A17">
        <w:rPr>
          <w:rFonts w:cs="Arial"/>
        </w:rPr>
        <w:br/>
      </w:r>
      <w:r w:rsidRPr="00450A17">
        <w:rPr>
          <w:rFonts w:cs="Arial"/>
        </w:rPr>
        <w:t>To ensure the delivery of person-centred care, patient choice and flexibility is central to the design of VPR. Registered patients will have the ability to attend any practice they choose, and can change their registered practice if they meet the eligibility requirements. R</w:t>
      </w:r>
      <w:r w:rsidRPr="00450A17">
        <w:rPr>
          <w:rFonts w:eastAsia="Times New Roman" w:cs="Arial"/>
          <w:color w:val="000000" w:themeColor="text1"/>
        </w:rPr>
        <w:t>egistered patients will still be able to seek care from other practices and GPs outside of their registered practice (e.g, if travelling or if they wanted to visit a GP who specialised in particular services), which is a continuation of current patient behaviour. Patients will be able to withdraw their registration at any time, meaning that patients are not restricted in their ability to choose where they receive care, nor are they locked into a registration with a poor performing practice.</w:t>
      </w:r>
    </w:p>
    <w:p w14:paraId="3E491CD7" w14:textId="733E3116" w:rsidR="009065F5" w:rsidRPr="00450A17" w:rsidRDefault="00612D24" w:rsidP="000469E7">
      <w:pPr>
        <w:spacing w:before="120" w:after="120"/>
        <w:rPr>
          <w:rFonts w:cs="Arial"/>
        </w:rPr>
      </w:pPr>
      <w:r w:rsidRPr="00450A17">
        <w:rPr>
          <w:rFonts w:cs="Arial"/>
          <w:i/>
        </w:rPr>
        <w:t>Practice Registration</w:t>
      </w:r>
      <w:r w:rsidR="005C5A66" w:rsidRPr="00450A17">
        <w:rPr>
          <w:rFonts w:cs="Arial"/>
        </w:rPr>
        <w:br/>
      </w:r>
      <w:r w:rsidR="00236BAD" w:rsidRPr="00450A17">
        <w:rPr>
          <w:rFonts w:cs="Arial"/>
        </w:rPr>
        <w:t>Practice registration will be a streamlined process based on Services Australia systems that practices are already familiar with</w:t>
      </w:r>
      <w:r w:rsidR="00794B6F" w:rsidRPr="00450A17">
        <w:rPr>
          <w:rFonts w:cs="Arial"/>
        </w:rPr>
        <w:t xml:space="preserve">. These systems include </w:t>
      </w:r>
      <w:r w:rsidR="00582F9A" w:rsidRPr="00450A17">
        <w:rPr>
          <w:rFonts w:cs="Arial"/>
        </w:rPr>
        <w:t>H</w:t>
      </w:r>
      <w:r w:rsidR="00597B8F" w:rsidRPr="00450A17">
        <w:rPr>
          <w:rFonts w:cs="Arial"/>
        </w:rPr>
        <w:t>ealth Professional Online Services</w:t>
      </w:r>
      <w:r w:rsidR="001033D2" w:rsidRPr="00450A17">
        <w:rPr>
          <w:rFonts w:cs="Arial"/>
        </w:rPr>
        <w:t xml:space="preserve"> (HPOS)</w:t>
      </w:r>
      <w:r w:rsidR="00597B8F" w:rsidRPr="00450A17">
        <w:rPr>
          <w:rFonts w:cs="Arial"/>
        </w:rPr>
        <w:t>, Provider Digital Access</w:t>
      </w:r>
      <w:r w:rsidR="00AA43F4" w:rsidRPr="00450A17">
        <w:rPr>
          <w:rFonts w:cs="Arial"/>
        </w:rPr>
        <w:t xml:space="preserve"> (PRODA)</w:t>
      </w:r>
      <w:r w:rsidR="009C0840" w:rsidRPr="00450A17">
        <w:rPr>
          <w:rFonts w:cs="Arial"/>
        </w:rPr>
        <w:t>,</w:t>
      </w:r>
      <w:r w:rsidR="00597B8F" w:rsidRPr="00450A17">
        <w:rPr>
          <w:rFonts w:cs="Arial"/>
        </w:rPr>
        <w:t xml:space="preserve"> and the Organisation Register</w:t>
      </w:r>
      <w:r w:rsidR="00236BAD" w:rsidRPr="00450A17">
        <w:rPr>
          <w:rFonts w:cs="Arial"/>
        </w:rPr>
        <w:t xml:space="preserve">. </w:t>
      </w:r>
      <w:r w:rsidR="009065F5" w:rsidRPr="00450A17">
        <w:rPr>
          <w:rFonts w:cs="Arial"/>
        </w:rPr>
        <w:t>Patient on</w:t>
      </w:r>
      <w:r w:rsidR="00CB54A7" w:rsidRPr="00450A17">
        <w:rPr>
          <w:rFonts w:cs="Arial"/>
        </w:rPr>
        <w:t>-</w:t>
      </w:r>
      <w:r w:rsidR="009065F5" w:rsidRPr="00450A17">
        <w:rPr>
          <w:rFonts w:cs="Arial"/>
        </w:rPr>
        <w:t>boarding to</w:t>
      </w:r>
      <w:r w:rsidR="00236BAD" w:rsidRPr="00450A17">
        <w:rPr>
          <w:rFonts w:cs="Arial"/>
        </w:rPr>
        <w:t xml:space="preserve"> VPR</w:t>
      </w:r>
      <w:r w:rsidR="009065F5" w:rsidRPr="00450A17">
        <w:rPr>
          <w:rFonts w:cs="Arial"/>
        </w:rPr>
        <w:t xml:space="preserve"> will </w:t>
      </w:r>
      <w:r w:rsidR="00236BAD" w:rsidRPr="00450A17">
        <w:rPr>
          <w:rFonts w:cs="Arial"/>
        </w:rPr>
        <w:t xml:space="preserve">also </w:t>
      </w:r>
      <w:r w:rsidR="009065F5" w:rsidRPr="00450A17">
        <w:rPr>
          <w:rFonts w:cs="Arial"/>
        </w:rPr>
        <w:t>be a streamlined process, done either at the practice as part of a visit, or by a patient online</w:t>
      </w:r>
      <w:r w:rsidR="00794B6F" w:rsidRPr="00450A17">
        <w:rPr>
          <w:rFonts w:cs="Arial"/>
        </w:rPr>
        <w:t xml:space="preserve"> through their Medicare Online A</w:t>
      </w:r>
      <w:r w:rsidR="002D0F7D" w:rsidRPr="00450A17">
        <w:rPr>
          <w:rFonts w:cs="Arial"/>
        </w:rPr>
        <w:t xml:space="preserve">pp. </w:t>
      </w:r>
      <w:r w:rsidR="00794B6F" w:rsidRPr="00450A17">
        <w:rPr>
          <w:rFonts w:cs="Arial"/>
        </w:rPr>
        <w:t>This</w:t>
      </w:r>
      <w:r w:rsidR="009065F5" w:rsidRPr="00450A17">
        <w:rPr>
          <w:rFonts w:cs="Arial"/>
        </w:rPr>
        <w:t xml:space="preserve"> will involve the capturing of two-way consent.</w:t>
      </w:r>
      <w:r w:rsidR="00236BAD" w:rsidRPr="00450A17">
        <w:rPr>
          <w:rFonts w:cs="Arial"/>
        </w:rPr>
        <w:t xml:space="preserve"> </w:t>
      </w:r>
      <w:r w:rsidR="00236BAD" w:rsidRPr="00450A17">
        <w:rPr>
          <w:rFonts w:cs="Arial"/>
          <w:bCs/>
          <w:iCs/>
        </w:rPr>
        <w:t xml:space="preserve">Upon registering with a different practice, the </w:t>
      </w:r>
      <w:r w:rsidR="00571FCF" w:rsidRPr="00450A17">
        <w:rPr>
          <w:rFonts w:cs="Arial"/>
          <w:bCs/>
          <w:iCs/>
        </w:rPr>
        <w:t xml:space="preserve">patient’s </w:t>
      </w:r>
      <w:r w:rsidR="00236BAD" w:rsidRPr="00450A17">
        <w:rPr>
          <w:rFonts w:cs="Arial"/>
          <w:bCs/>
          <w:iCs/>
        </w:rPr>
        <w:t>former registration w</w:t>
      </w:r>
      <w:r w:rsidR="00496D05" w:rsidRPr="00450A17">
        <w:rPr>
          <w:rFonts w:cs="Arial"/>
          <w:bCs/>
          <w:iCs/>
        </w:rPr>
        <w:t>ill</w:t>
      </w:r>
      <w:r w:rsidR="00236BAD" w:rsidRPr="00450A17">
        <w:rPr>
          <w:rFonts w:cs="Arial"/>
          <w:bCs/>
          <w:iCs/>
        </w:rPr>
        <w:t xml:space="preserve"> be automatically removed.</w:t>
      </w:r>
    </w:p>
    <w:p w14:paraId="15E42C90" w14:textId="775C723A" w:rsidR="00434EB4" w:rsidRPr="00450A17" w:rsidRDefault="00FF1FDE" w:rsidP="009065F5">
      <w:pPr>
        <w:pStyle w:val="CABParagraph"/>
        <w:spacing w:after="120" w:line="276" w:lineRule="auto"/>
      </w:pPr>
      <w:r w:rsidRPr="00450A17">
        <w:rPr>
          <w:rFonts w:cs="Arial"/>
        </w:rPr>
        <w:t>As at March 2023, over</w:t>
      </w:r>
      <w:r w:rsidR="0020214B" w:rsidRPr="00450A17">
        <w:rPr>
          <w:rFonts w:cs="Arial"/>
        </w:rPr>
        <w:t xml:space="preserve"> </w:t>
      </w:r>
      <w:r w:rsidR="00F265B1" w:rsidRPr="00450A17">
        <w:rPr>
          <w:rFonts w:cs="Arial"/>
        </w:rPr>
        <w:t xml:space="preserve">6880 </w:t>
      </w:r>
      <w:r w:rsidR="0020214B" w:rsidRPr="00450A17">
        <w:rPr>
          <w:rFonts w:cs="Arial"/>
        </w:rPr>
        <w:t xml:space="preserve">practices are accredited against the National General Practice Accreditation Scheme </w:t>
      </w:r>
      <w:r w:rsidR="00496D05" w:rsidRPr="00450A17">
        <w:rPr>
          <w:rFonts w:cs="Arial"/>
        </w:rPr>
        <w:t xml:space="preserve">will </w:t>
      </w:r>
      <w:r w:rsidR="009065F5" w:rsidRPr="00450A17">
        <w:rPr>
          <w:rFonts w:cs="Arial"/>
        </w:rPr>
        <w:t>be eligible to register their patients</w:t>
      </w:r>
      <w:r w:rsidR="0020214B" w:rsidRPr="00450A17">
        <w:rPr>
          <w:rFonts w:cs="Arial"/>
        </w:rPr>
        <w:t xml:space="preserve"> in VPR. In addition practices that are </w:t>
      </w:r>
      <w:r w:rsidR="009065F5" w:rsidRPr="00450A17">
        <w:rPr>
          <w:rFonts w:cs="Arial"/>
        </w:rPr>
        <w:t>on a 12 month pathway to becoming accredited</w:t>
      </w:r>
      <w:r w:rsidR="0020214B" w:rsidRPr="00450A17">
        <w:rPr>
          <w:rFonts w:cs="Arial"/>
        </w:rPr>
        <w:t xml:space="preserve"> will also be eligible to participate (noting that </w:t>
      </w:r>
      <w:r w:rsidR="0020214B" w:rsidRPr="00450A17">
        <w:t>th</w:t>
      </w:r>
      <w:r w:rsidRPr="00450A17">
        <w:t>e VPR</w:t>
      </w:r>
      <w:r w:rsidR="00176DDC" w:rsidRPr="00450A17">
        <w:t xml:space="preserve"> proposal includes support for</w:t>
      </w:r>
      <w:r w:rsidR="0020214B" w:rsidRPr="00450A17">
        <w:t xml:space="preserve"> unaccredited</w:t>
      </w:r>
      <w:r w:rsidR="00176DDC" w:rsidRPr="00450A17">
        <w:t xml:space="preserve"> practices to gain accreditation</w:t>
      </w:r>
      <w:r w:rsidR="0020214B" w:rsidRPr="00450A17">
        <w:t>)</w:t>
      </w:r>
      <w:r w:rsidR="00813D1F" w:rsidRPr="00450A17">
        <w:t>.</w:t>
      </w:r>
      <w:r w:rsidR="00176DDC" w:rsidRPr="00450A17">
        <w:t xml:space="preserve"> </w:t>
      </w:r>
    </w:p>
    <w:p w14:paraId="6D8E5C96" w14:textId="46464D77" w:rsidR="00176DDC" w:rsidRPr="00450A17" w:rsidRDefault="0020214B" w:rsidP="00605DF5">
      <w:pPr>
        <w:pStyle w:val="CABParagraph"/>
        <w:spacing w:after="120" w:line="276" w:lineRule="auto"/>
        <w:rPr>
          <w:rFonts w:cs="Arial"/>
        </w:rPr>
      </w:pPr>
      <w:r w:rsidRPr="00450A17">
        <w:rPr>
          <w:rFonts w:cs="Arial"/>
        </w:rPr>
        <w:t xml:space="preserve">It is estimated that </w:t>
      </w:r>
      <w:r w:rsidR="00F265B1" w:rsidRPr="00450A17">
        <w:rPr>
          <w:rFonts w:cs="Arial"/>
        </w:rPr>
        <w:t xml:space="preserve">1091 </w:t>
      </w:r>
      <w:r w:rsidRPr="00450A17">
        <w:rPr>
          <w:rFonts w:cs="Arial"/>
        </w:rPr>
        <w:t>p</w:t>
      </w:r>
      <w:r w:rsidR="009065F5" w:rsidRPr="00450A17">
        <w:rPr>
          <w:rFonts w:cs="Arial"/>
        </w:rPr>
        <w:t xml:space="preserve">ractices </w:t>
      </w:r>
      <w:r w:rsidR="005C44AB" w:rsidRPr="00450A17">
        <w:rPr>
          <w:rFonts w:cs="Arial"/>
        </w:rPr>
        <w:t xml:space="preserve">are </w:t>
      </w:r>
      <w:r w:rsidRPr="00450A17">
        <w:rPr>
          <w:rFonts w:cs="Arial"/>
        </w:rPr>
        <w:t xml:space="preserve">currently </w:t>
      </w:r>
      <w:r w:rsidR="00DA3561" w:rsidRPr="00450A17">
        <w:rPr>
          <w:rFonts w:cs="Arial"/>
        </w:rPr>
        <w:t xml:space="preserve">not accredited </w:t>
      </w:r>
      <w:r w:rsidR="005C44AB" w:rsidRPr="00450A17">
        <w:rPr>
          <w:rFonts w:cs="Arial"/>
        </w:rPr>
        <w:t>under the General Practice Accreditation Scheme</w:t>
      </w:r>
      <w:r w:rsidR="00DA3561" w:rsidRPr="00450A17">
        <w:rPr>
          <w:rFonts w:cs="Arial"/>
        </w:rPr>
        <w:t>. Some practices are ineligible due to the scope of the requirements of the Standards for general practices (5</w:t>
      </w:r>
      <w:r w:rsidR="00DA3561" w:rsidRPr="00450A17">
        <w:rPr>
          <w:rFonts w:cs="Arial"/>
          <w:vertAlign w:val="superscript"/>
        </w:rPr>
        <w:t>th</w:t>
      </w:r>
      <w:r w:rsidR="00DA3561" w:rsidRPr="00450A17">
        <w:rPr>
          <w:rFonts w:cs="Arial"/>
        </w:rPr>
        <w:t xml:space="preserve"> Edition) and definition of general practice determined by the Royal Australian College of General Practice (RACGP). </w:t>
      </w:r>
      <w:r w:rsidR="009065F5" w:rsidRPr="00450A17">
        <w:rPr>
          <w:rFonts w:cs="Arial"/>
        </w:rPr>
        <w:t xml:space="preserve"> </w:t>
      </w:r>
      <w:r w:rsidR="00DA3561" w:rsidRPr="00450A17">
        <w:rPr>
          <w:rFonts w:cs="Arial"/>
        </w:rPr>
        <w:t xml:space="preserve">Practices that offer general practice holistic care such as </w:t>
      </w:r>
      <w:r w:rsidR="00861785" w:rsidRPr="00450A17">
        <w:rPr>
          <w:rFonts w:cs="Arial"/>
        </w:rPr>
        <w:t xml:space="preserve">some </w:t>
      </w:r>
      <w:r w:rsidR="009065F5" w:rsidRPr="00450A17">
        <w:rPr>
          <w:rFonts w:cs="Arial"/>
        </w:rPr>
        <w:t xml:space="preserve">ACCHS </w:t>
      </w:r>
      <w:r w:rsidR="005C44AB" w:rsidRPr="00450A17">
        <w:rPr>
          <w:rFonts w:cs="Arial"/>
        </w:rPr>
        <w:t>(</w:t>
      </w:r>
      <w:r w:rsidR="009065F5" w:rsidRPr="00450A17">
        <w:rPr>
          <w:rFonts w:cs="Arial"/>
        </w:rPr>
        <w:t>that are largely-nurse led</w:t>
      </w:r>
      <w:r w:rsidR="005C44AB" w:rsidRPr="00450A17">
        <w:rPr>
          <w:rFonts w:cs="Arial"/>
        </w:rPr>
        <w:t xml:space="preserve">) or </w:t>
      </w:r>
      <w:r w:rsidR="009065F5" w:rsidRPr="00450A17">
        <w:rPr>
          <w:rFonts w:cs="Arial"/>
        </w:rPr>
        <w:t xml:space="preserve">mobile </w:t>
      </w:r>
      <w:r w:rsidR="005C44AB" w:rsidRPr="00450A17">
        <w:rPr>
          <w:rFonts w:cs="Arial"/>
        </w:rPr>
        <w:t>and</w:t>
      </w:r>
      <w:r w:rsidR="009065F5" w:rsidRPr="00450A17">
        <w:rPr>
          <w:rFonts w:cs="Arial"/>
        </w:rPr>
        <w:t xml:space="preserve"> outreach practices</w:t>
      </w:r>
      <w:r w:rsidR="005C44AB" w:rsidRPr="00450A17">
        <w:rPr>
          <w:rFonts w:cs="Arial"/>
        </w:rPr>
        <w:t xml:space="preserve"> (that do not have a bricks and mortar practice)</w:t>
      </w:r>
      <w:r w:rsidR="00DA3561" w:rsidRPr="00450A17">
        <w:rPr>
          <w:rFonts w:cs="Arial"/>
        </w:rPr>
        <w:t xml:space="preserve"> will be able to </w:t>
      </w:r>
      <w:r w:rsidRPr="00450A17">
        <w:rPr>
          <w:rFonts w:cs="Arial"/>
        </w:rPr>
        <w:t>participate in VPR</w:t>
      </w:r>
      <w:r w:rsidR="00DA3561" w:rsidRPr="00450A17">
        <w:rPr>
          <w:rFonts w:cs="Arial"/>
        </w:rPr>
        <w:t xml:space="preserve"> if they are</w:t>
      </w:r>
      <w:r w:rsidR="005C44AB" w:rsidRPr="00450A17">
        <w:rPr>
          <w:rFonts w:cs="Arial"/>
        </w:rPr>
        <w:t xml:space="preserve"> accredited under the </w:t>
      </w:r>
      <w:r w:rsidR="005C44AB" w:rsidRPr="00450A17">
        <w:t xml:space="preserve">National Safety and Quality Primary and Community Healthcare Standards, or on a 12 month pathway to becoming accredited. </w:t>
      </w:r>
      <w:r w:rsidR="00DA3561" w:rsidRPr="00450A17">
        <w:t>The RACGP is considering the definition of general practice following consultation, which may open up further options for practices to register through the RACGP standards.</w:t>
      </w:r>
    </w:p>
    <w:p w14:paraId="3112A229" w14:textId="7BD85111" w:rsidR="00DA3561" w:rsidRPr="00450A17" w:rsidRDefault="009065F5" w:rsidP="00CB6A48">
      <w:pPr>
        <w:spacing w:after="240"/>
        <w:rPr>
          <w:rFonts w:cs="Arial"/>
        </w:rPr>
      </w:pPr>
      <w:r w:rsidRPr="00450A17">
        <w:rPr>
          <w:rFonts w:cs="Arial"/>
        </w:rPr>
        <w:t>Based on existing patterns of MBS claiming, it is estimated that 86.</w:t>
      </w:r>
      <w:r w:rsidR="00F265B1" w:rsidRPr="00450A17">
        <w:rPr>
          <w:rFonts w:cs="Arial"/>
        </w:rPr>
        <w:t xml:space="preserve">1 </w:t>
      </w:r>
      <w:r w:rsidRPr="00450A17">
        <w:rPr>
          <w:rFonts w:cs="Arial"/>
        </w:rPr>
        <w:t>per cent of the population w</w:t>
      </w:r>
      <w:r w:rsidR="00496D05" w:rsidRPr="00450A17">
        <w:rPr>
          <w:rFonts w:cs="Arial"/>
        </w:rPr>
        <w:t>ill</w:t>
      </w:r>
      <w:r w:rsidRPr="00450A17">
        <w:rPr>
          <w:rFonts w:cs="Arial"/>
        </w:rPr>
        <w:t xml:space="preserve"> be eligible to register with their general practice</w:t>
      </w:r>
      <w:r w:rsidR="005F183E">
        <w:rPr>
          <w:rFonts w:cs="Arial"/>
        </w:rPr>
        <w:t xml:space="preserve"> (as per the </w:t>
      </w:r>
      <w:r w:rsidR="004C1B84">
        <w:rPr>
          <w:rFonts w:cs="Arial"/>
        </w:rPr>
        <w:t xml:space="preserve">proposed </w:t>
      </w:r>
      <w:r w:rsidR="005F183E">
        <w:rPr>
          <w:rFonts w:cs="Arial"/>
        </w:rPr>
        <w:t xml:space="preserve">patient eligibility criteria). </w:t>
      </w:r>
      <w:r w:rsidRPr="00450A17">
        <w:rPr>
          <w:rFonts w:cs="Arial"/>
        </w:rPr>
        <w:t xml:space="preserve">It is expected that around </w:t>
      </w:r>
      <w:r w:rsidR="00F265B1" w:rsidRPr="00450A17">
        <w:rPr>
          <w:rFonts w:cs="Arial"/>
        </w:rPr>
        <w:t>52.7</w:t>
      </w:r>
      <w:r w:rsidRPr="00450A17">
        <w:rPr>
          <w:rFonts w:cs="Arial"/>
        </w:rPr>
        <w:t xml:space="preserve"> per cent of eligible patients </w:t>
      </w:r>
      <w:r w:rsidR="004C1B84">
        <w:rPr>
          <w:rFonts w:cs="Arial"/>
        </w:rPr>
        <w:t>are likely</w:t>
      </w:r>
      <w:r w:rsidR="0000128D" w:rsidRPr="00450A17">
        <w:rPr>
          <w:rFonts w:cs="Arial"/>
        </w:rPr>
        <w:t xml:space="preserve"> to register</w:t>
      </w:r>
      <w:r w:rsidR="004C1B84">
        <w:rPr>
          <w:rFonts w:cs="Arial"/>
        </w:rPr>
        <w:t xml:space="preserve"> because they will directly benefit from the proposed linked funding packages and MBS items</w:t>
      </w:r>
      <w:r w:rsidR="0000128D" w:rsidRPr="00450A17">
        <w:rPr>
          <w:rFonts w:cs="Arial"/>
        </w:rPr>
        <w:t>. T</w:t>
      </w:r>
      <w:r w:rsidRPr="00450A17">
        <w:rPr>
          <w:rFonts w:cs="Arial"/>
        </w:rPr>
        <w:t xml:space="preserve">his represents </w:t>
      </w:r>
      <w:r w:rsidR="00F265B1" w:rsidRPr="00450A17">
        <w:rPr>
          <w:rFonts w:cs="Arial"/>
        </w:rPr>
        <w:t>45.4</w:t>
      </w:r>
      <w:r w:rsidRPr="00450A17">
        <w:rPr>
          <w:rFonts w:cs="Arial"/>
        </w:rPr>
        <w:t xml:space="preserve">% of the Australian population, or around </w:t>
      </w:r>
      <w:r w:rsidR="00F265B1" w:rsidRPr="00450A17">
        <w:rPr>
          <w:rFonts w:cs="Arial"/>
        </w:rPr>
        <w:t>11.5</w:t>
      </w:r>
      <w:r w:rsidRPr="00450A17">
        <w:rPr>
          <w:rFonts w:cs="Arial"/>
        </w:rPr>
        <w:t xml:space="preserve"> million people.</w:t>
      </w:r>
      <w:r w:rsidR="005C44AB" w:rsidRPr="00450A17">
        <w:rPr>
          <w:rFonts w:cs="Arial"/>
        </w:rPr>
        <w:t xml:space="preserve"> </w:t>
      </w:r>
      <w:r w:rsidR="00146E14" w:rsidRPr="00450A17">
        <w:rPr>
          <w:rFonts w:cs="Arial"/>
        </w:rPr>
        <w:t>Over time as incentives and MBS items are linked to VPR, it is expected that practices will seek to expand their registered population through a greater focus on longitudinal care to patients they may not see regularly. Likewise, as targeted MBS services</w:t>
      </w:r>
      <w:r w:rsidR="00984F3D" w:rsidRPr="00450A17">
        <w:rPr>
          <w:rFonts w:cs="Arial"/>
        </w:rPr>
        <w:t xml:space="preserve"> and incentives</w:t>
      </w:r>
      <w:r w:rsidR="00486884" w:rsidRPr="00450A17">
        <w:rPr>
          <w:rFonts w:cs="Arial"/>
        </w:rPr>
        <w:t xml:space="preserve"> </w:t>
      </w:r>
      <w:r w:rsidR="00146E14" w:rsidRPr="00450A17">
        <w:rPr>
          <w:rFonts w:cs="Arial"/>
        </w:rPr>
        <w:t>are linked to VPR it is expected that</w:t>
      </w:r>
      <w:r w:rsidR="00430169" w:rsidRPr="00450A17">
        <w:rPr>
          <w:rFonts w:cs="Arial"/>
        </w:rPr>
        <w:t xml:space="preserve"> some</w:t>
      </w:r>
      <w:r w:rsidR="00146E14" w:rsidRPr="00450A17">
        <w:rPr>
          <w:rFonts w:cs="Arial"/>
        </w:rPr>
        <w:t xml:space="preserve"> patients will register</w:t>
      </w:r>
      <w:r w:rsidR="00430169" w:rsidRPr="00450A17">
        <w:rPr>
          <w:rFonts w:cs="Arial"/>
        </w:rPr>
        <w:t xml:space="preserve"> </w:t>
      </w:r>
      <w:r w:rsidR="00DA3561" w:rsidRPr="00450A17">
        <w:rPr>
          <w:rFonts w:cs="Arial"/>
        </w:rPr>
        <w:t>to</w:t>
      </w:r>
      <w:r w:rsidR="00486884" w:rsidRPr="00450A17">
        <w:rPr>
          <w:rFonts w:cs="Arial"/>
        </w:rPr>
        <w:t xml:space="preserve"> gain access to these services</w:t>
      </w:r>
      <w:r w:rsidR="00146E14" w:rsidRPr="00450A17">
        <w:rPr>
          <w:rFonts w:cs="Arial"/>
        </w:rPr>
        <w:t xml:space="preserve">. </w:t>
      </w:r>
    </w:p>
    <w:p w14:paraId="4329FBFE" w14:textId="64082A86" w:rsidR="003E7AE6" w:rsidRPr="00450A17" w:rsidRDefault="00DA3561" w:rsidP="0000128D">
      <w:pPr>
        <w:spacing w:after="240"/>
        <w:rPr>
          <w:rFonts w:cs="Arial"/>
          <w:i/>
        </w:rPr>
      </w:pPr>
      <w:r w:rsidRPr="00450A17">
        <w:rPr>
          <w:rFonts w:cs="Arial"/>
        </w:rPr>
        <w:t xml:space="preserve">It is not expected that registration will </w:t>
      </w:r>
      <w:r w:rsidR="00C36CC7" w:rsidRPr="00450A17">
        <w:rPr>
          <w:rFonts w:cs="Arial"/>
        </w:rPr>
        <w:t>cover</w:t>
      </w:r>
      <w:r w:rsidRPr="00450A17">
        <w:rPr>
          <w:rFonts w:cs="Arial"/>
        </w:rPr>
        <w:t xml:space="preserve"> 100 per cent of the population</w:t>
      </w:r>
      <w:r w:rsidR="00E537F5" w:rsidRPr="00450A17">
        <w:rPr>
          <w:rFonts w:cs="Arial"/>
        </w:rPr>
        <w:t>.</w:t>
      </w:r>
      <w:r w:rsidRPr="00450A17">
        <w:rPr>
          <w:rFonts w:cs="Arial"/>
        </w:rPr>
        <w:t xml:space="preserve"> </w:t>
      </w:r>
      <w:r w:rsidR="00E537F5" w:rsidRPr="00450A17">
        <w:rPr>
          <w:rFonts w:cs="Arial"/>
        </w:rPr>
        <w:t xml:space="preserve">Registration is estimated to be lower for </w:t>
      </w:r>
      <w:r w:rsidR="00ED4F7D" w:rsidRPr="00450A17">
        <w:rPr>
          <w:rFonts w:cs="Arial"/>
        </w:rPr>
        <w:t xml:space="preserve">people </w:t>
      </w:r>
      <w:r w:rsidR="00E537F5" w:rsidRPr="00450A17">
        <w:rPr>
          <w:rFonts w:cs="Arial"/>
        </w:rPr>
        <w:t xml:space="preserve">in good health as they have less need to visit a general practice and are more likely to visit for unrelated, episodic clinical needs. </w:t>
      </w:r>
      <w:r w:rsidR="00F265B1" w:rsidRPr="00450A17">
        <w:rPr>
          <w:rFonts w:cs="Arial"/>
        </w:rPr>
        <w:t xml:space="preserve">Approximately </w:t>
      </w:r>
      <w:r w:rsidR="004C1B84" w:rsidRPr="00450A17">
        <w:rPr>
          <w:rFonts w:cs="Arial"/>
        </w:rPr>
        <w:t>3</w:t>
      </w:r>
      <w:r w:rsidR="004C1B84">
        <w:rPr>
          <w:rFonts w:cs="Arial"/>
        </w:rPr>
        <w:t> </w:t>
      </w:r>
      <w:r w:rsidR="00E537F5" w:rsidRPr="00450A17">
        <w:rPr>
          <w:rFonts w:cs="Arial"/>
        </w:rPr>
        <w:t>per cent of Australia</w:t>
      </w:r>
      <w:r w:rsidR="00E9324F" w:rsidRPr="00450A17">
        <w:rPr>
          <w:rFonts w:cs="Arial"/>
        </w:rPr>
        <w:t>n</w:t>
      </w:r>
      <w:r w:rsidR="00E537F5" w:rsidRPr="00450A17">
        <w:rPr>
          <w:rFonts w:cs="Arial"/>
        </w:rPr>
        <w:t>’s have not engaged with the primary healthcare system for at least two years.</w:t>
      </w:r>
      <w:r w:rsidR="00F265B1" w:rsidRPr="00450A17">
        <w:rPr>
          <w:rFonts w:cs="Arial"/>
        </w:rPr>
        <w:t xml:space="preserve"> People expected to register include those eligible for incentives and expected to use targeted MBS services, as well as those with a usual GP or a strong relationship with a practice as observed through MBS claiming</w:t>
      </w:r>
      <w:r w:rsidR="00F265B1" w:rsidRPr="00450A17">
        <w:rPr>
          <w:rFonts w:cs="Arial"/>
          <w:i/>
        </w:rPr>
        <w:t>.</w:t>
      </w:r>
      <w:r w:rsidR="0050110E" w:rsidRPr="00450A17">
        <w:rPr>
          <w:rFonts w:cs="Arial"/>
        </w:rPr>
        <w:br/>
      </w:r>
      <w:r w:rsidR="0012370F" w:rsidRPr="00450A17">
        <w:rPr>
          <w:rFonts w:cs="Arial"/>
          <w:i/>
        </w:rPr>
        <w:br/>
      </w:r>
      <w:r w:rsidR="003E7AE6" w:rsidRPr="00450A17">
        <w:rPr>
          <w:rFonts w:cs="Arial"/>
          <w:i/>
        </w:rPr>
        <w:t>Privacy and data</w:t>
      </w:r>
      <w:r w:rsidR="005C5A66" w:rsidRPr="00450A17">
        <w:rPr>
          <w:rFonts w:cs="Arial"/>
          <w:i/>
        </w:rPr>
        <w:br/>
      </w:r>
      <w:r w:rsidR="003E7AE6" w:rsidRPr="00450A17">
        <w:rPr>
          <w:rFonts w:eastAsia="Times New Roman" w:cs="Arial"/>
          <w:color w:val="000000" w:themeColor="text1"/>
        </w:rPr>
        <w:t xml:space="preserve">As part of the registration process, participants will be asked to formally consent to participate in the program. This will include consent for their registration and demographic data to be visible to the registered practice, stored by Services Australia in a secure database and provided to the Department of Health and Aged Care </w:t>
      </w:r>
      <w:r w:rsidR="00FC19CB" w:rsidRPr="00450A17">
        <w:rPr>
          <w:rFonts w:eastAsia="Times New Roman" w:cs="Arial"/>
          <w:color w:val="000000" w:themeColor="text1"/>
        </w:rPr>
        <w:t xml:space="preserve">and other authorised parties. </w:t>
      </w:r>
      <w:r w:rsidR="003E7AE6" w:rsidRPr="00450A17">
        <w:rPr>
          <w:rFonts w:eastAsia="Times New Roman" w:cs="Arial"/>
          <w:color w:val="000000" w:themeColor="text1"/>
        </w:rPr>
        <w:t xml:space="preserve">The data will be used in a manner that is consistent with the Australian Privacy Principles and the Privacy Act 1988 </w:t>
      </w:r>
      <w:r w:rsidR="00FC19CB" w:rsidRPr="00450A17">
        <w:rPr>
          <w:rFonts w:eastAsia="Times New Roman" w:cs="Arial"/>
          <w:color w:val="000000" w:themeColor="text1"/>
        </w:rPr>
        <w:t xml:space="preserve">including </w:t>
      </w:r>
      <w:r w:rsidR="003E7AE6" w:rsidRPr="00450A17">
        <w:rPr>
          <w:rFonts w:eastAsia="Times New Roman" w:cs="Arial"/>
          <w:color w:val="000000" w:themeColor="text1"/>
        </w:rPr>
        <w:t>for the following purposes</w:t>
      </w:r>
      <w:r w:rsidR="00FC19CB" w:rsidRPr="00450A17">
        <w:rPr>
          <w:rFonts w:eastAsia="Times New Roman" w:cs="Arial"/>
          <w:color w:val="000000" w:themeColor="text1"/>
        </w:rPr>
        <w:t xml:space="preserve"> (noting advice on scope and consistency of data use is still under consideration)</w:t>
      </w:r>
      <w:r w:rsidR="003E7AE6" w:rsidRPr="00450A17">
        <w:rPr>
          <w:rFonts w:eastAsia="Times New Roman" w:cs="Arial"/>
          <w:color w:val="000000" w:themeColor="text1"/>
        </w:rPr>
        <w:t>:</w:t>
      </w:r>
    </w:p>
    <w:p w14:paraId="3CB517EA" w14:textId="77777777" w:rsidR="003E7AE6" w:rsidRPr="00450A17" w:rsidRDefault="003E7AE6" w:rsidP="003E7AE6">
      <w:pPr>
        <w:numPr>
          <w:ilvl w:val="0"/>
          <w:numId w:val="10"/>
        </w:numPr>
        <w:shd w:val="clear" w:color="auto" w:fill="FFFFFF" w:themeFill="background1"/>
        <w:spacing w:before="100" w:beforeAutospacing="1" w:after="100" w:afterAutospacing="1"/>
        <w:ind w:left="714" w:hanging="357"/>
        <w:rPr>
          <w:rFonts w:cs="Arial"/>
        </w:rPr>
      </w:pPr>
      <w:r w:rsidRPr="00450A17">
        <w:rPr>
          <w:rFonts w:cs="Arial"/>
        </w:rPr>
        <w:t xml:space="preserve">Linking the patient with their preferred GP and practice; </w:t>
      </w:r>
    </w:p>
    <w:p w14:paraId="0A634148" w14:textId="77777777" w:rsidR="003E7AE6" w:rsidRPr="00450A17" w:rsidRDefault="003E7AE6" w:rsidP="003E7AE6">
      <w:pPr>
        <w:numPr>
          <w:ilvl w:val="0"/>
          <w:numId w:val="10"/>
        </w:numPr>
        <w:shd w:val="clear" w:color="auto" w:fill="FFFFFF" w:themeFill="background1"/>
        <w:spacing w:before="100" w:beforeAutospacing="1" w:after="100" w:afterAutospacing="1"/>
        <w:ind w:left="714" w:hanging="357"/>
        <w:rPr>
          <w:rFonts w:cs="Arial"/>
        </w:rPr>
      </w:pPr>
      <w:r w:rsidRPr="00450A17">
        <w:rPr>
          <w:rFonts w:cs="Arial"/>
        </w:rPr>
        <w:t>Assessing eligibility for MBS items and incentives linked to registration;</w:t>
      </w:r>
    </w:p>
    <w:p w14:paraId="452B538B" w14:textId="77777777" w:rsidR="009965B4" w:rsidRPr="00450A17" w:rsidRDefault="003E7AE6" w:rsidP="005603CB">
      <w:pPr>
        <w:numPr>
          <w:ilvl w:val="0"/>
          <w:numId w:val="10"/>
        </w:numPr>
        <w:spacing w:before="100" w:beforeAutospacing="1" w:after="100" w:afterAutospacing="1"/>
        <w:ind w:left="714" w:hanging="357"/>
        <w:rPr>
          <w:rFonts w:cs="Arial"/>
        </w:rPr>
      </w:pPr>
      <w:r w:rsidRPr="00450A17">
        <w:rPr>
          <w:rFonts w:cs="Arial"/>
        </w:rPr>
        <w:t>Enabling relevant MBS items and incentives linked to VPR to be processed; and</w:t>
      </w:r>
    </w:p>
    <w:p w14:paraId="0D5B0479" w14:textId="6ECBB45A" w:rsidR="003E7AE6" w:rsidRPr="00450A17" w:rsidRDefault="003E7AE6" w:rsidP="005603CB">
      <w:pPr>
        <w:numPr>
          <w:ilvl w:val="0"/>
          <w:numId w:val="10"/>
        </w:numPr>
        <w:spacing w:before="100" w:beforeAutospacing="1" w:after="100" w:afterAutospacing="1"/>
        <w:ind w:left="714" w:hanging="357"/>
        <w:rPr>
          <w:rFonts w:cs="Arial"/>
        </w:rPr>
      </w:pPr>
      <w:r w:rsidRPr="00450A17">
        <w:rPr>
          <w:rFonts w:cs="Arial"/>
        </w:rPr>
        <w:t>Enabling compliance activities to ensure that providers and practices are adhering to the rules and requirements</w:t>
      </w:r>
      <w:r w:rsidR="00FC19CB" w:rsidRPr="00450A17">
        <w:rPr>
          <w:rFonts w:cs="Arial"/>
        </w:rPr>
        <w:t xml:space="preserve"> of voluntary patient registration</w:t>
      </w:r>
      <w:r w:rsidRPr="00450A17">
        <w:rPr>
          <w:rFonts w:cs="Arial"/>
        </w:rPr>
        <w:t>.</w:t>
      </w:r>
    </w:p>
    <w:p w14:paraId="3A16F188" w14:textId="217273CE" w:rsidR="009D70DC" w:rsidRPr="00450A17" w:rsidRDefault="00FA2A9C" w:rsidP="003802A2">
      <w:pPr>
        <w:pStyle w:val="Heading1"/>
        <w:spacing w:line="276" w:lineRule="auto"/>
        <w:ind w:firstLine="0"/>
        <w:rPr>
          <w:rFonts w:cs="Arial"/>
          <w:b/>
          <w:bCs/>
        </w:rPr>
      </w:pPr>
      <w:r w:rsidRPr="00450A17">
        <w:rPr>
          <w:rFonts w:cs="Arial"/>
          <w:b/>
          <w:bCs/>
        </w:rPr>
        <w:t xml:space="preserve">5. </w:t>
      </w:r>
      <w:r w:rsidR="0030442F" w:rsidRPr="00450A17">
        <w:rPr>
          <w:rFonts w:cs="Arial"/>
          <w:b/>
          <w:bCs/>
        </w:rPr>
        <w:t>Impact Analysis</w:t>
      </w:r>
    </w:p>
    <w:p w14:paraId="1D3CCDA4" w14:textId="77777777" w:rsidR="009D70DC" w:rsidRPr="00450A17" w:rsidRDefault="009D70DC" w:rsidP="003D0D60">
      <w:pPr>
        <w:pStyle w:val="BodyText"/>
      </w:pPr>
      <w:r w:rsidRPr="00450A17">
        <w:rPr>
          <w:rFonts w:eastAsiaTheme="majorEastAsia" w:cs="Arial"/>
          <w:b/>
          <w:bCs/>
          <w:sz w:val="24"/>
          <w:szCs w:val="32"/>
        </w:rPr>
        <w:t>Option 1 (Status Quo)</w:t>
      </w:r>
    </w:p>
    <w:tbl>
      <w:tblPr>
        <w:tblpPr w:leftFromText="180" w:rightFromText="180" w:vertAnchor="text" w:horzAnchor="margin" w:tblpY="376"/>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1536"/>
        <w:gridCol w:w="1899"/>
        <w:gridCol w:w="1416"/>
        <w:gridCol w:w="1209"/>
        <w:gridCol w:w="1559"/>
      </w:tblGrid>
      <w:tr w:rsidR="009D70DC" w:rsidRPr="00450A17" w14:paraId="54A0AE09" w14:textId="77777777" w:rsidTr="009D70DC">
        <w:trPr>
          <w:trHeight w:val="296"/>
        </w:trPr>
        <w:tc>
          <w:tcPr>
            <w:tcW w:w="244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0A9E13F" w14:textId="77777777" w:rsidR="009D70DC" w:rsidRPr="00450A17" w:rsidRDefault="009D70DC" w:rsidP="009D70DC">
            <w:pPr>
              <w:pStyle w:val="ListParagraph"/>
              <w:spacing w:after="120" w:line="276" w:lineRule="auto"/>
              <w:ind w:left="0"/>
              <w:jc w:val="right"/>
              <w:rPr>
                <w:rFonts w:cs="Arial"/>
                <w:b/>
                <w:bCs/>
              </w:rPr>
            </w:pPr>
            <w:r w:rsidRPr="00450A17">
              <w:rPr>
                <w:rFonts w:cs="Arial"/>
                <w:b/>
                <w:bCs/>
              </w:rPr>
              <w:t>Change in Costs ($m)</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0331177" w14:textId="77777777" w:rsidR="009D70DC" w:rsidRPr="00450A17" w:rsidRDefault="009D70DC" w:rsidP="009D70DC">
            <w:pPr>
              <w:keepLines/>
              <w:rPr>
                <w:rFonts w:cs="Arial"/>
                <w:b/>
              </w:rPr>
            </w:pPr>
            <w:r w:rsidRPr="00450A17">
              <w:rPr>
                <w:rFonts w:cs="Arial"/>
                <w:b/>
              </w:rPr>
              <w:t>Business</w:t>
            </w: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231EB6E" w14:textId="77777777" w:rsidR="009D70DC" w:rsidRPr="00450A17" w:rsidRDefault="009D70DC" w:rsidP="009D70DC">
            <w:pPr>
              <w:keepLines/>
              <w:rPr>
                <w:rFonts w:cs="Arial"/>
                <w:b/>
              </w:rPr>
            </w:pPr>
            <w:r w:rsidRPr="00450A17">
              <w:rPr>
                <w:rFonts w:eastAsiaTheme="majorEastAsia" w:cs="Arial"/>
                <w:b/>
                <w:bCs/>
                <w:iCs/>
              </w:rPr>
              <w:t>Community Organisations</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021B5B3" w14:textId="77777777" w:rsidR="009D70DC" w:rsidRPr="00450A17" w:rsidRDefault="009D70DC" w:rsidP="009D70DC">
            <w:pPr>
              <w:keepLines/>
              <w:rPr>
                <w:rFonts w:cs="Arial"/>
                <w:b/>
              </w:rPr>
            </w:pPr>
            <w:r w:rsidRPr="00450A17">
              <w:rPr>
                <w:rFonts w:cs="Arial"/>
                <w:b/>
              </w:rPr>
              <w:t>Individuals</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14:paraId="08446C99" w14:textId="77777777" w:rsidR="009D70DC" w:rsidRPr="00450A17" w:rsidRDefault="009D70DC" w:rsidP="009D70DC">
            <w:pPr>
              <w:keepLines/>
              <w:rPr>
                <w:rFonts w:cs="Arial"/>
                <w:b/>
              </w:rPr>
            </w:pPr>
            <w:r w:rsidRPr="00450A17">
              <w:rPr>
                <w:rFonts w:eastAsiaTheme="majorEastAsia" w:cs="Arial"/>
                <w:b/>
                <w:bCs/>
                <w:iCs/>
              </w:rPr>
              <w:t>Annual Change in Cost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406D185" w14:textId="77777777" w:rsidR="009D70DC" w:rsidRPr="00450A17" w:rsidRDefault="009D70DC" w:rsidP="009D70DC">
            <w:pPr>
              <w:keepLines/>
              <w:rPr>
                <w:rFonts w:cs="Arial"/>
                <w:b/>
              </w:rPr>
            </w:pPr>
            <w:r w:rsidRPr="00450A17">
              <w:rPr>
                <w:rFonts w:eastAsiaTheme="majorEastAsia" w:cs="Arial"/>
                <w:b/>
                <w:bCs/>
                <w:iCs/>
              </w:rPr>
              <w:t xml:space="preserve">Four Years Change Cost </w:t>
            </w:r>
          </w:p>
        </w:tc>
      </w:tr>
      <w:tr w:rsidR="009D70DC" w:rsidRPr="00450A17" w14:paraId="09395269" w14:textId="77777777" w:rsidTr="009D70DC">
        <w:trPr>
          <w:trHeight w:val="296"/>
        </w:trPr>
        <w:tc>
          <w:tcPr>
            <w:tcW w:w="24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3417D7D" w14:textId="77777777" w:rsidR="009D70DC" w:rsidRPr="00450A17" w:rsidRDefault="009D70DC" w:rsidP="009D70DC">
            <w:pPr>
              <w:pStyle w:val="ListParagraph"/>
              <w:spacing w:after="120" w:line="276" w:lineRule="auto"/>
              <w:ind w:left="-250"/>
              <w:jc w:val="right"/>
              <w:rPr>
                <w:rFonts w:cs="Arial"/>
                <w:b/>
                <w:bCs/>
              </w:rPr>
            </w:pPr>
            <w:r w:rsidRPr="00450A17">
              <w:rPr>
                <w:rFonts w:cs="Arial"/>
                <w:b/>
                <w:bCs/>
              </w:rPr>
              <w:t>Option 1 – Status Quo</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27805AA" w14:textId="77777777" w:rsidR="009D70DC" w:rsidRPr="00450A17" w:rsidRDefault="009D70DC" w:rsidP="009D70DC">
            <w:pPr>
              <w:keepLines/>
              <w:jc w:val="center"/>
              <w:rPr>
                <w:rFonts w:eastAsiaTheme="majorEastAsia" w:cs="Arial"/>
                <w:bCs/>
                <w:iCs/>
              </w:rPr>
            </w:pPr>
            <w:r w:rsidRPr="00450A17">
              <w:rPr>
                <w:rFonts w:cs="Arial"/>
              </w:rPr>
              <w:t>$0</w:t>
            </w: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17E421F" w14:textId="77777777" w:rsidR="009D70DC" w:rsidRPr="00450A17" w:rsidRDefault="009D70DC" w:rsidP="009D70DC">
            <w:pPr>
              <w:keepLines/>
              <w:jc w:val="center"/>
              <w:rPr>
                <w:rFonts w:eastAsiaTheme="majorEastAsia" w:cs="Arial"/>
                <w:bCs/>
                <w:iCs/>
              </w:rPr>
            </w:pPr>
            <w:r w:rsidRPr="00450A17">
              <w:rPr>
                <w:rFonts w:cs="Arial"/>
              </w:rPr>
              <w:t>$0</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3BB605F" w14:textId="77777777" w:rsidR="009D70DC" w:rsidRPr="00450A17" w:rsidRDefault="009D70DC" w:rsidP="009D70DC">
            <w:pPr>
              <w:keepLines/>
              <w:jc w:val="center"/>
              <w:rPr>
                <w:rFonts w:eastAsiaTheme="majorEastAsia" w:cs="Arial"/>
                <w:bCs/>
                <w:iCs/>
              </w:rPr>
            </w:pPr>
            <w:r w:rsidRPr="00450A17">
              <w:rPr>
                <w:rFonts w:cs="Arial"/>
              </w:rPr>
              <w:t>$0</w:t>
            </w:r>
          </w:p>
        </w:tc>
        <w:tc>
          <w:tcPr>
            <w:tcW w:w="1209" w:type="dxa"/>
            <w:tcBorders>
              <w:top w:val="single" w:sz="4" w:space="0" w:color="auto"/>
              <w:left w:val="single" w:sz="4" w:space="0" w:color="auto"/>
              <w:bottom w:val="single" w:sz="4" w:space="0" w:color="auto"/>
              <w:right w:val="single" w:sz="4" w:space="0" w:color="auto"/>
            </w:tcBorders>
            <w:vAlign w:val="center"/>
          </w:tcPr>
          <w:p w14:paraId="266D16CC" w14:textId="77777777" w:rsidR="009D70DC" w:rsidRPr="00450A17" w:rsidRDefault="009D70DC" w:rsidP="009D70DC">
            <w:pPr>
              <w:keepLines/>
              <w:jc w:val="center"/>
              <w:rPr>
                <w:rFonts w:cs="Arial"/>
              </w:rPr>
            </w:pPr>
            <w:r w:rsidRPr="00450A17">
              <w:rPr>
                <w:rFonts w:cs="Arial"/>
              </w:rPr>
              <w:t>$0</w:t>
            </w:r>
          </w:p>
        </w:tc>
        <w:tc>
          <w:tcPr>
            <w:tcW w:w="1559" w:type="dxa"/>
            <w:tcBorders>
              <w:top w:val="single" w:sz="4" w:space="0" w:color="auto"/>
              <w:left w:val="single" w:sz="4" w:space="0" w:color="auto"/>
              <w:bottom w:val="single" w:sz="4" w:space="0" w:color="auto"/>
              <w:right w:val="single" w:sz="4" w:space="0" w:color="auto"/>
            </w:tcBorders>
            <w:vAlign w:val="center"/>
          </w:tcPr>
          <w:p w14:paraId="42105FD5" w14:textId="77777777" w:rsidR="009D70DC" w:rsidRPr="00450A17" w:rsidRDefault="009D70DC" w:rsidP="009D70DC">
            <w:pPr>
              <w:keepLines/>
              <w:jc w:val="center"/>
              <w:rPr>
                <w:rFonts w:cs="Arial"/>
              </w:rPr>
            </w:pPr>
            <w:r w:rsidRPr="00450A17">
              <w:rPr>
                <w:rFonts w:cs="Arial"/>
              </w:rPr>
              <w:t>$0</w:t>
            </w:r>
          </w:p>
        </w:tc>
      </w:tr>
      <w:tr w:rsidR="009D70DC" w:rsidRPr="00450A17" w14:paraId="6D4FD9F8" w14:textId="77777777" w:rsidTr="009D70DC">
        <w:trPr>
          <w:trHeight w:val="296"/>
        </w:trPr>
        <w:tc>
          <w:tcPr>
            <w:tcW w:w="10065"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71B4C6D" w14:textId="77777777" w:rsidR="009D70DC" w:rsidRPr="00450A17" w:rsidRDefault="009D70DC" w:rsidP="009D70DC">
            <w:pPr>
              <w:keepLines/>
              <w:rPr>
                <w:rFonts w:cs="Arial"/>
              </w:rPr>
            </w:pPr>
            <w:r w:rsidRPr="00450A17">
              <w:rPr>
                <w:rFonts w:cs="Arial"/>
              </w:rPr>
              <w:t>Option 1 was calculated on the basis that there w</w:t>
            </w:r>
            <w:r w:rsidR="00496D05" w:rsidRPr="00450A17">
              <w:rPr>
                <w:rFonts w:cs="Arial"/>
              </w:rPr>
              <w:t>ill</w:t>
            </w:r>
            <w:r w:rsidRPr="00450A17">
              <w:rPr>
                <w:rFonts w:cs="Arial"/>
              </w:rPr>
              <w:t xml:space="preserve"> be no change to current arrangements.  </w:t>
            </w:r>
          </w:p>
        </w:tc>
      </w:tr>
    </w:tbl>
    <w:p w14:paraId="2B6A0059" w14:textId="4FD59135" w:rsidR="00E438F9" w:rsidRPr="00450A17" w:rsidRDefault="000D7112" w:rsidP="009065F5">
      <w:pPr>
        <w:spacing w:after="240"/>
        <w:rPr>
          <w:rFonts w:cs="Arial"/>
          <w:b/>
        </w:rPr>
      </w:pPr>
      <w:r w:rsidRPr="00450A17">
        <w:rPr>
          <w:rFonts w:eastAsiaTheme="majorEastAsia" w:cs="Arial"/>
          <w:b/>
          <w:bCs/>
          <w:sz w:val="24"/>
          <w:szCs w:val="32"/>
        </w:rPr>
        <w:br/>
      </w:r>
    </w:p>
    <w:p w14:paraId="1C9C168C" w14:textId="77777777" w:rsidR="0030442F" w:rsidRPr="00450A17" w:rsidRDefault="0030442F" w:rsidP="009065F5">
      <w:pPr>
        <w:spacing w:after="240"/>
        <w:rPr>
          <w:rFonts w:cs="Arial"/>
          <w:b/>
        </w:rPr>
      </w:pPr>
      <w:r w:rsidRPr="00450A17">
        <w:rPr>
          <w:rFonts w:cs="Arial"/>
          <w:b/>
        </w:rPr>
        <w:t xml:space="preserve">Individuals </w:t>
      </w:r>
    </w:p>
    <w:p w14:paraId="2B19C5E3" w14:textId="0546239D" w:rsidR="004851E3" w:rsidRPr="00450A17" w:rsidRDefault="0030442F" w:rsidP="004851E3">
      <w:pPr>
        <w:pStyle w:val="CAB-NumberedParagraph"/>
        <w:spacing w:line="276" w:lineRule="auto"/>
        <w:ind w:left="0" w:firstLine="0"/>
        <w:rPr>
          <w:rFonts w:cs="Arial"/>
          <w:bCs/>
          <w:iCs/>
        </w:rPr>
      </w:pPr>
      <w:r w:rsidRPr="00450A17">
        <w:rPr>
          <w:rFonts w:cs="Arial"/>
          <w:bCs/>
          <w:iCs/>
        </w:rPr>
        <w:t>Under</w:t>
      </w:r>
      <w:r w:rsidR="00E438F9" w:rsidRPr="00450A17">
        <w:rPr>
          <w:rFonts w:cs="Arial"/>
          <w:bCs/>
          <w:iCs/>
        </w:rPr>
        <w:t xml:space="preserve"> Option 1</w:t>
      </w:r>
      <w:r w:rsidR="00FC19CB" w:rsidRPr="00450A17">
        <w:rPr>
          <w:rFonts w:cs="Arial"/>
          <w:bCs/>
          <w:iCs/>
        </w:rPr>
        <w:t>,</w:t>
      </w:r>
      <w:r w:rsidR="00E438F9" w:rsidRPr="00450A17">
        <w:rPr>
          <w:rFonts w:cs="Arial"/>
          <w:bCs/>
          <w:iCs/>
        </w:rPr>
        <w:t xml:space="preserve"> VPR w</w:t>
      </w:r>
      <w:r w:rsidR="00496D05" w:rsidRPr="00450A17">
        <w:rPr>
          <w:rFonts w:cs="Arial"/>
          <w:bCs/>
          <w:iCs/>
        </w:rPr>
        <w:t>ill</w:t>
      </w:r>
      <w:r w:rsidR="00E438F9" w:rsidRPr="00450A17">
        <w:rPr>
          <w:rFonts w:cs="Arial"/>
          <w:bCs/>
          <w:iCs/>
        </w:rPr>
        <w:t xml:space="preserve"> not be implemented</w:t>
      </w:r>
      <w:r w:rsidR="00C43952" w:rsidRPr="00450A17">
        <w:rPr>
          <w:rFonts w:cs="Arial"/>
          <w:bCs/>
          <w:iCs/>
        </w:rPr>
        <w:t>. This w</w:t>
      </w:r>
      <w:r w:rsidR="00496D05" w:rsidRPr="00450A17">
        <w:rPr>
          <w:rFonts w:cs="Arial"/>
          <w:bCs/>
          <w:iCs/>
        </w:rPr>
        <w:t>ill</w:t>
      </w:r>
      <w:r w:rsidR="00C43952" w:rsidRPr="00450A17">
        <w:rPr>
          <w:rFonts w:cs="Arial"/>
          <w:bCs/>
          <w:iCs/>
        </w:rPr>
        <w:t xml:space="preserve"> negatively</w:t>
      </w:r>
      <w:r w:rsidR="00E438F9" w:rsidRPr="00450A17">
        <w:rPr>
          <w:rFonts w:cs="Arial"/>
          <w:bCs/>
          <w:iCs/>
        </w:rPr>
        <w:t xml:space="preserve"> impact individuals who would otherwise benefit from</w:t>
      </w:r>
      <w:r w:rsidR="00C43952" w:rsidRPr="00450A17">
        <w:rPr>
          <w:rFonts w:cs="Arial"/>
          <w:bCs/>
          <w:iCs/>
        </w:rPr>
        <w:t xml:space="preserve"> outcomes associated with VPR, including</w:t>
      </w:r>
      <w:r w:rsidR="00E438F9" w:rsidRPr="00450A17">
        <w:rPr>
          <w:rFonts w:cs="Arial"/>
          <w:bCs/>
          <w:iCs/>
        </w:rPr>
        <w:t xml:space="preserve"> improved continuity o</w:t>
      </w:r>
      <w:r w:rsidR="00F0628C" w:rsidRPr="00450A17">
        <w:rPr>
          <w:rFonts w:cs="Arial"/>
          <w:bCs/>
          <w:iCs/>
        </w:rPr>
        <w:t>f care</w:t>
      </w:r>
      <w:r w:rsidR="002F7719" w:rsidRPr="00450A17">
        <w:rPr>
          <w:rFonts w:cs="Arial"/>
          <w:bCs/>
          <w:iCs/>
        </w:rPr>
        <w:t>, access to tied incentives and MBS items,</w:t>
      </w:r>
      <w:r w:rsidR="00F0628C" w:rsidRPr="00450A17">
        <w:rPr>
          <w:rFonts w:cs="Arial"/>
          <w:bCs/>
          <w:iCs/>
        </w:rPr>
        <w:t xml:space="preserve"> and a strengthened ongoing relationship with their practice and GP. </w:t>
      </w:r>
      <w:r w:rsidR="00571FCF" w:rsidRPr="00450A17">
        <w:rPr>
          <w:rFonts w:cs="Arial"/>
          <w:bCs/>
          <w:iCs/>
        </w:rPr>
        <w:t>W</w:t>
      </w:r>
      <w:r w:rsidR="00F0628C" w:rsidRPr="00450A17">
        <w:rPr>
          <w:rFonts w:cs="Arial"/>
          <w:bCs/>
          <w:iCs/>
        </w:rPr>
        <w:t>ithout VPR individuals will be subject to the</w:t>
      </w:r>
      <w:r w:rsidRPr="00450A17">
        <w:rPr>
          <w:rFonts w:cs="Arial"/>
          <w:bCs/>
          <w:iCs/>
        </w:rPr>
        <w:t xml:space="preserve"> current fragmentation and lack of coordination of care </w:t>
      </w:r>
      <w:r w:rsidR="00F0628C" w:rsidRPr="00450A17">
        <w:rPr>
          <w:rFonts w:cs="Arial"/>
          <w:bCs/>
          <w:iCs/>
        </w:rPr>
        <w:t>in many primary care services</w:t>
      </w:r>
      <w:r w:rsidRPr="00450A17">
        <w:rPr>
          <w:rFonts w:cs="Arial"/>
          <w:bCs/>
          <w:iCs/>
        </w:rPr>
        <w:t xml:space="preserve">. </w:t>
      </w:r>
    </w:p>
    <w:p w14:paraId="16C964D1" w14:textId="4293B5E3" w:rsidR="00F27C60" w:rsidRPr="00450A17" w:rsidRDefault="00C43952" w:rsidP="004851E3">
      <w:pPr>
        <w:pStyle w:val="CAB-NumberedParagraph"/>
        <w:spacing w:line="276" w:lineRule="auto"/>
        <w:ind w:left="0" w:firstLine="0"/>
        <w:rPr>
          <w:rFonts w:cs="Arial"/>
        </w:rPr>
      </w:pPr>
      <w:r w:rsidRPr="00450A17">
        <w:rPr>
          <w:rFonts w:cs="Arial"/>
        </w:rPr>
        <w:t>Patients without a strong relationship with their practice and GP and those subject to fragmented and uncoordinated care have worse health outcomes</w:t>
      </w:r>
      <w:r w:rsidR="00F0628C" w:rsidRPr="00450A17">
        <w:rPr>
          <w:rFonts w:cs="Arial"/>
        </w:rPr>
        <w:t>.</w:t>
      </w:r>
      <w:r w:rsidR="00AF32E8" w:rsidRPr="00450A17">
        <w:rPr>
          <w:rFonts w:cs="Arial"/>
        </w:rPr>
        <w:t xml:space="preserve"> As mentioned above in Section 2,</w:t>
      </w:r>
      <w:r w:rsidR="00F0628C" w:rsidRPr="00450A17">
        <w:rPr>
          <w:rFonts w:cs="Arial"/>
        </w:rPr>
        <w:t xml:space="preserve"> </w:t>
      </w:r>
      <w:r w:rsidR="0020514B" w:rsidRPr="00450A17">
        <w:rPr>
          <w:rFonts w:cs="Arial"/>
        </w:rPr>
        <w:t>p</w:t>
      </w:r>
      <w:r w:rsidRPr="00450A17">
        <w:rPr>
          <w:rFonts w:cs="Arial"/>
        </w:rPr>
        <w:t xml:space="preserve">atients without a regular </w:t>
      </w:r>
      <w:r w:rsidR="00AF32E8" w:rsidRPr="00450A17">
        <w:rPr>
          <w:rFonts w:cs="Arial"/>
        </w:rPr>
        <w:t>GP</w:t>
      </w:r>
      <w:r w:rsidR="008E3266" w:rsidRPr="00450A17">
        <w:rPr>
          <w:rFonts w:cs="Arial"/>
        </w:rPr>
        <w:t xml:space="preserve"> </w:t>
      </w:r>
      <w:r w:rsidRPr="00450A17">
        <w:rPr>
          <w:rFonts w:cs="Arial"/>
        </w:rPr>
        <w:t xml:space="preserve">present </w:t>
      </w:r>
      <w:r w:rsidR="00AF32E8" w:rsidRPr="00450A17">
        <w:rPr>
          <w:rFonts w:cs="Arial"/>
        </w:rPr>
        <w:t xml:space="preserve">more often </w:t>
      </w:r>
      <w:r w:rsidRPr="00450A17">
        <w:rPr>
          <w:rFonts w:cs="Arial"/>
        </w:rPr>
        <w:t>to emergency department</w:t>
      </w:r>
      <w:r w:rsidR="00571FCF" w:rsidRPr="00450A17">
        <w:rPr>
          <w:rFonts w:cs="Arial"/>
        </w:rPr>
        <w:t>s</w:t>
      </w:r>
      <w:r w:rsidRPr="00450A17">
        <w:rPr>
          <w:rFonts w:cs="Arial"/>
        </w:rPr>
        <w:t>, and</w:t>
      </w:r>
      <w:r w:rsidR="00AF32E8" w:rsidRPr="00450A17">
        <w:rPr>
          <w:rFonts w:cs="Arial"/>
        </w:rPr>
        <w:t xml:space="preserve"> are</w:t>
      </w:r>
      <w:r w:rsidRPr="00450A17">
        <w:rPr>
          <w:rFonts w:cs="Arial"/>
        </w:rPr>
        <w:t xml:space="preserve"> more likely to seek specialist care, thereby increasing overall </w:t>
      </w:r>
      <w:r w:rsidR="00AF32E8" w:rsidRPr="00450A17">
        <w:rPr>
          <w:rFonts w:cs="Arial"/>
        </w:rPr>
        <w:t xml:space="preserve">system </w:t>
      </w:r>
      <w:r w:rsidRPr="00450A17">
        <w:rPr>
          <w:rFonts w:cs="Arial"/>
        </w:rPr>
        <w:t xml:space="preserve">costs </w:t>
      </w:r>
      <w:sdt>
        <w:sdtPr>
          <w:rPr>
            <w:rFonts w:cs="Arial"/>
          </w:rPr>
          <w:id w:val="112728688"/>
          <w:citation/>
        </w:sdtPr>
        <w:sdtEndPr/>
        <w:sdtContent>
          <w:r w:rsidRPr="00450A17">
            <w:rPr>
              <w:rFonts w:cs="Arial"/>
            </w:rPr>
            <w:fldChar w:fldCharType="begin"/>
          </w:r>
          <w:r w:rsidRPr="00450A17">
            <w:rPr>
              <w:rFonts w:cs="Arial"/>
            </w:rPr>
            <w:instrText xml:space="preserve"> CITATION Gla08 \l 3081 </w:instrText>
          </w:r>
          <w:r w:rsidRPr="00450A17">
            <w:rPr>
              <w:rFonts w:cs="Arial"/>
            </w:rPr>
            <w:fldChar w:fldCharType="separate"/>
          </w:r>
          <w:r w:rsidRPr="00450A17">
            <w:rPr>
              <w:rFonts w:cs="Arial"/>
              <w:noProof/>
            </w:rPr>
            <w:t>(Glazier, et al., 2008)</w:t>
          </w:r>
          <w:r w:rsidRPr="00450A17">
            <w:rPr>
              <w:rFonts w:cs="Arial"/>
            </w:rPr>
            <w:fldChar w:fldCharType="end"/>
          </w:r>
        </w:sdtContent>
      </w:sdt>
      <w:r w:rsidRPr="00450A17">
        <w:rPr>
          <w:rFonts w:cs="Arial"/>
        </w:rPr>
        <w:t xml:space="preserve">. </w:t>
      </w:r>
      <w:r w:rsidR="00586FBB" w:rsidRPr="00450A17">
        <w:rPr>
          <w:rFonts w:cs="Arial"/>
        </w:rPr>
        <w:t>There is evidence</w:t>
      </w:r>
      <w:r w:rsidR="004851E3" w:rsidRPr="00450A17">
        <w:rPr>
          <w:rFonts w:cs="Arial"/>
        </w:rPr>
        <w:t xml:space="preserve"> that a lack of a designated primary care provider can lead to fragmented care, poorer outcomes, and higher costs </w:t>
      </w:r>
      <w:sdt>
        <w:sdtPr>
          <w:rPr>
            <w:rFonts w:cs="Arial"/>
          </w:rPr>
          <w:id w:val="807821685"/>
          <w:citation/>
        </w:sdtPr>
        <w:sdtEndPr/>
        <w:sdtContent>
          <w:r w:rsidR="004851E3" w:rsidRPr="00450A17">
            <w:rPr>
              <w:rFonts w:cs="Arial"/>
            </w:rPr>
            <w:fldChar w:fldCharType="begin"/>
          </w:r>
          <w:r w:rsidR="004851E3" w:rsidRPr="00450A17">
            <w:rPr>
              <w:rFonts w:cs="Arial"/>
            </w:rPr>
            <w:instrText xml:space="preserve"> CITATION Chr16 \l 3081 </w:instrText>
          </w:r>
          <w:r w:rsidR="004851E3" w:rsidRPr="00450A17">
            <w:rPr>
              <w:rFonts w:cs="Arial"/>
            </w:rPr>
            <w:fldChar w:fldCharType="separate"/>
          </w:r>
          <w:r w:rsidR="004851E3" w:rsidRPr="00450A17">
            <w:rPr>
              <w:rFonts w:cs="Arial"/>
              <w:noProof/>
            </w:rPr>
            <w:t>(Christiansen, et al., 2016)</w:t>
          </w:r>
          <w:r w:rsidR="004851E3" w:rsidRPr="00450A17">
            <w:rPr>
              <w:rFonts w:cs="Arial"/>
            </w:rPr>
            <w:fldChar w:fldCharType="end"/>
          </w:r>
        </w:sdtContent>
      </w:sdt>
      <w:r w:rsidR="004851E3" w:rsidRPr="00450A17">
        <w:rPr>
          <w:rFonts w:cs="Arial"/>
        </w:rPr>
        <w:t xml:space="preserve">. A report published by the World Health Organisation found that without good continuity or coordination of care and support, many patients, carers and families experience fragmented, poorly integrated care from multiple providers, often with suboptimal outcomes and risk of harm </w:t>
      </w:r>
      <w:sdt>
        <w:sdtPr>
          <w:rPr>
            <w:rFonts w:cs="Arial"/>
          </w:rPr>
          <w:id w:val="2123100198"/>
          <w:citation/>
        </w:sdtPr>
        <w:sdtEndPr/>
        <w:sdtContent>
          <w:r w:rsidR="004851E3" w:rsidRPr="00450A17">
            <w:rPr>
              <w:rFonts w:cs="Arial"/>
            </w:rPr>
            <w:fldChar w:fldCharType="begin"/>
          </w:r>
          <w:r w:rsidR="004851E3" w:rsidRPr="00450A17">
            <w:rPr>
              <w:rFonts w:cs="Arial"/>
            </w:rPr>
            <w:instrText xml:space="preserve"> CITATION Wor18 \l 3081 </w:instrText>
          </w:r>
          <w:r w:rsidR="004851E3" w:rsidRPr="00450A17">
            <w:rPr>
              <w:rFonts w:cs="Arial"/>
            </w:rPr>
            <w:fldChar w:fldCharType="separate"/>
          </w:r>
          <w:r w:rsidR="004851E3" w:rsidRPr="00450A17">
            <w:rPr>
              <w:rFonts w:cs="Arial"/>
              <w:noProof/>
            </w:rPr>
            <w:t>(World Health Organisation, 2018)</w:t>
          </w:r>
          <w:r w:rsidR="004851E3" w:rsidRPr="00450A17">
            <w:rPr>
              <w:rFonts w:cs="Arial"/>
            </w:rPr>
            <w:fldChar w:fldCharType="end"/>
          </w:r>
        </w:sdtContent>
      </w:sdt>
      <w:r w:rsidR="004851E3" w:rsidRPr="00450A17">
        <w:rPr>
          <w:rFonts w:cs="Arial"/>
        </w:rPr>
        <w:t>.</w:t>
      </w:r>
    </w:p>
    <w:p w14:paraId="472D671D" w14:textId="08899A63" w:rsidR="00BD2AFB" w:rsidRPr="00450A17" w:rsidRDefault="00BD2AFB" w:rsidP="00BD2AFB">
      <w:pPr>
        <w:rPr>
          <w:rFonts w:cs="Arial"/>
        </w:rPr>
      </w:pPr>
      <w:r w:rsidRPr="00450A17">
        <w:rPr>
          <w:rFonts w:cs="Arial"/>
          <w:bCs/>
          <w:iCs/>
        </w:rPr>
        <w:t>Over time, without concerted effort to link patients to their usual practice to ensure continuity of care</w:t>
      </w:r>
      <w:r w:rsidR="00F27C60" w:rsidRPr="00450A17">
        <w:rPr>
          <w:rFonts w:cs="Arial"/>
          <w:bCs/>
          <w:iCs/>
        </w:rPr>
        <w:t xml:space="preserve"> through VPR</w:t>
      </w:r>
      <w:r w:rsidR="0020514B" w:rsidRPr="00450A17">
        <w:rPr>
          <w:rFonts w:cs="Arial"/>
          <w:bCs/>
          <w:iCs/>
        </w:rPr>
        <w:t>,</w:t>
      </w:r>
      <w:r w:rsidRPr="00450A17">
        <w:rPr>
          <w:rFonts w:cs="Arial"/>
          <w:bCs/>
          <w:iCs/>
        </w:rPr>
        <w:t xml:space="preserve"> health outcomes w</w:t>
      </w:r>
      <w:r w:rsidR="00496D05" w:rsidRPr="00450A17">
        <w:rPr>
          <w:rFonts w:cs="Arial"/>
          <w:bCs/>
          <w:iCs/>
        </w:rPr>
        <w:t>ill</w:t>
      </w:r>
      <w:r w:rsidRPr="00450A17">
        <w:rPr>
          <w:rFonts w:cs="Arial"/>
          <w:bCs/>
          <w:iCs/>
        </w:rPr>
        <w:t xml:space="preserve"> deteriorate</w:t>
      </w:r>
      <w:r w:rsidR="00F27C60" w:rsidRPr="00450A17">
        <w:rPr>
          <w:rFonts w:cs="Arial"/>
          <w:bCs/>
          <w:iCs/>
        </w:rPr>
        <w:t>, especially in the context of an ageing population and continually increasing rates of chronic disease. This w</w:t>
      </w:r>
      <w:r w:rsidR="00496D05" w:rsidRPr="00450A17">
        <w:rPr>
          <w:rFonts w:cs="Arial"/>
          <w:bCs/>
          <w:iCs/>
        </w:rPr>
        <w:t>ill</w:t>
      </w:r>
      <w:r w:rsidR="00F27C60" w:rsidRPr="00450A17">
        <w:rPr>
          <w:rFonts w:cs="Arial"/>
          <w:bCs/>
          <w:iCs/>
        </w:rPr>
        <w:t xml:space="preserve"> disproportionally impact at-</w:t>
      </w:r>
      <w:r w:rsidRPr="00450A17">
        <w:rPr>
          <w:rFonts w:cs="Arial"/>
          <w:bCs/>
          <w:iCs/>
        </w:rPr>
        <w:t>risk populations (</w:t>
      </w:r>
      <w:r w:rsidRPr="00450A17">
        <w:rPr>
          <w:rFonts w:cs="Arial"/>
        </w:rPr>
        <w:t>including rural and remote communities, Aboriginal and Torres Strait Islander peoples, communities, people with diverse backgrounds, people with disability, older people and hard to reach and at-risk groups).</w:t>
      </w:r>
    </w:p>
    <w:p w14:paraId="3E9F7BBD" w14:textId="77777777" w:rsidR="0030442F" w:rsidRPr="00450A17" w:rsidRDefault="0030442F" w:rsidP="0030442F">
      <w:pPr>
        <w:spacing w:after="240"/>
        <w:rPr>
          <w:rFonts w:cs="Arial"/>
          <w:b/>
        </w:rPr>
      </w:pPr>
      <w:r w:rsidRPr="00450A17">
        <w:rPr>
          <w:rFonts w:cs="Arial"/>
          <w:b/>
        </w:rPr>
        <w:t>Health care providers and practices</w:t>
      </w:r>
    </w:p>
    <w:p w14:paraId="5F194663" w14:textId="52796FC5" w:rsidR="002F7719" w:rsidRPr="00450A17" w:rsidRDefault="0030442F" w:rsidP="0030442F">
      <w:pPr>
        <w:rPr>
          <w:rFonts w:cs="Arial"/>
          <w:bCs/>
          <w:iCs/>
        </w:rPr>
      </w:pPr>
      <w:r w:rsidRPr="00450A17">
        <w:rPr>
          <w:rFonts w:cs="Arial"/>
          <w:bCs/>
          <w:iCs/>
        </w:rPr>
        <w:t>Without implementing VPR, providers and practices w</w:t>
      </w:r>
      <w:r w:rsidR="00496D05" w:rsidRPr="00450A17">
        <w:rPr>
          <w:rFonts w:cs="Arial"/>
          <w:bCs/>
          <w:iCs/>
        </w:rPr>
        <w:t>ill</w:t>
      </w:r>
      <w:r w:rsidRPr="00450A17">
        <w:rPr>
          <w:rFonts w:cs="Arial"/>
          <w:bCs/>
          <w:iCs/>
        </w:rPr>
        <w:t xml:space="preserve"> continue to rely largely on MBS item claiming </w:t>
      </w:r>
      <w:r w:rsidR="007B2F69" w:rsidRPr="00450A17">
        <w:rPr>
          <w:rFonts w:cs="Arial"/>
          <w:bCs/>
          <w:iCs/>
        </w:rPr>
        <w:t>(fee-for-service</w:t>
      </w:r>
      <w:r w:rsidR="00A928C9" w:rsidRPr="00450A17">
        <w:rPr>
          <w:rFonts w:cs="Arial"/>
          <w:bCs/>
          <w:iCs/>
        </w:rPr>
        <w:t xml:space="preserve">). </w:t>
      </w:r>
      <w:r w:rsidR="007B2F69" w:rsidRPr="00450A17">
        <w:rPr>
          <w:rFonts w:cs="Arial"/>
          <w:bCs/>
          <w:iCs/>
        </w:rPr>
        <w:t>T</w:t>
      </w:r>
      <w:r w:rsidRPr="00450A17">
        <w:rPr>
          <w:rFonts w:cs="Arial"/>
          <w:bCs/>
          <w:iCs/>
        </w:rPr>
        <w:t>his</w:t>
      </w:r>
      <w:r w:rsidR="00450ED5" w:rsidRPr="00450A17">
        <w:rPr>
          <w:rFonts w:cs="Arial"/>
          <w:bCs/>
          <w:iCs/>
        </w:rPr>
        <w:t xml:space="preserve"> </w:t>
      </w:r>
      <w:r w:rsidR="00A928C9" w:rsidRPr="00450A17">
        <w:rPr>
          <w:rFonts w:cs="Arial"/>
          <w:bCs/>
          <w:iCs/>
        </w:rPr>
        <w:t>a</w:t>
      </w:r>
      <w:r w:rsidR="002F7719" w:rsidRPr="00450A17">
        <w:rPr>
          <w:rFonts w:cs="Arial"/>
          <w:bCs/>
          <w:iCs/>
        </w:rPr>
        <w:t>pproach</w:t>
      </w:r>
      <w:r w:rsidR="00A928C9" w:rsidRPr="00450A17">
        <w:rPr>
          <w:rFonts w:cs="Arial"/>
          <w:bCs/>
          <w:iCs/>
        </w:rPr>
        <w:t xml:space="preserve"> </w:t>
      </w:r>
      <w:r w:rsidR="00450ED5" w:rsidRPr="00450A17">
        <w:rPr>
          <w:rFonts w:cs="Arial"/>
          <w:bCs/>
          <w:iCs/>
        </w:rPr>
        <w:t xml:space="preserve">misses an opportunity to </w:t>
      </w:r>
      <w:r w:rsidR="00785AD7" w:rsidRPr="00450A17">
        <w:rPr>
          <w:rFonts w:cs="Arial"/>
          <w:bCs/>
          <w:iCs/>
        </w:rPr>
        <w:t xml:space="preserve">help </w:t>
      </w:r>
      <w:r w:rsidR="00450ED5" w:rsidRPr="00450A17">
        <w:rPr>
          <w:rFonts w:cs="Arial"/>
          <w:bCs/>
          <w:iCs/>
        </w:rPr>
        <w:t>stabilise</w:t>
      </w:r>
      <w:r w:rsidRPr="00450A17">
        <w:rPr>
          <w:rFonts w:cs="Arial"/>
          <w:bCs/>
          <w:iCs/>
        </w:rPr>
        <w:t xml:space="preserve"> primary care provider business models</w:t>
      </w:r>
      <w:r w:rsidR="00785AD7" w:rsidRPr="00450A17">
        <w:rPr>
          <w:rFonts w:cs="Arial"/>
          <w:bCs/>
          <w:iCs/>
        </w:rPr>
        <w:t xml:space="preserve"> </w:t>
      </w:r>
      <w:r w:rsidR="00A928C9" w:rsidRPr="00450A17">
        <w:rPr>
          <w:rFonts w:cs="Arial"/>
          <w:bCs/>
          <w:iCs/>
        </w:rPr>
        <w:t xml:space="preserve">and support sustainability </w:t>
      </w:r>
      <w:r w:rsidR="00785AD7" w:rsidRPr="00450A17">
        <w:rPr>
          <w:rFonts w:cs="Arial"/>
          <w:bCs/>
          <w:iCs/>
        </w:rPr>
        <w:t>through VPR</w:t>
      </w:r>
      <w:r w:rsidRPr="00450A17">
        <w:rPr>
          <w:rFonts w:cs="Arial"/>
          <w:bCs/>
          <w:iCs/>
        </w:rPr>
        <w:t xml:space="preserve">, </w:t>
      </w:r>
      <w:r w:rsidR="00450ED5" w:rsidRPr="00450A17">
        <w:rPr>
          <w:rFonts w:cs="Arial"/>
          <w:bCs/>
          <w:iCs/>
        </w:rPr>
        <w:t xml:space="preserve">with incentives attached to </w:t>
      </w:r>
      <w:r w:rsidR="00CD4FB1" w:rsidRPr="00450A17">
        <w:rPr>
          <w:rFonts w:cs="Arial"/>
          <w:bCs/>
          <w:iCs/>
        </w:rPr>
        <w:t xml:space="preserve">registered </w:t>
      </w:r>
      <w:r w:rsidR="00450ED5" w:rsidRPr="00450A17">
        <w:rPr>
          <w:rFonts w:cs="Arial"/>
          <w:bCs/>
          <w:iCs/>
        </w:rPr>
        <w:t>patient cohort</w:t>
      </w:r>
      <w:r w:rsidR="00CD4FB1" w:rsidRPr="00450A17">
        <w:rPr>
          <w:rFonts w:cs="Arial"/>
          <w:bCs/>
          <w:iCs/>
        </w:rPr>
        <w:t>s</w:t>
      </w:r>
      <w:r w:rsidR="00A212C0" w:rsidRPr="00450A17">
        <w:rPr>
          <w:rFonts w:cs="Arial"/>
          <w:bCs/>
          <w:iCs/>
        </w:rPr>
        <w:t xml:space="preserve"> </w:t>
      </w:r>
      <w:r w:rsidR="00450ED5" w:rsidRPr="00450A17">
        <w:rPr>
          <w:rFonts w:cs="Arial"/>
          <w:bCs/>
          <w:iCs/>
        </w:rPr>
        <w:t>provid</w:t>
      </w:r>
      <w:r w:rsidR="00CD4FB1" w:rsidRPr="00450A17">
        <w:rPr>
          <w:rFonts w:cs="Arial"/>
          <w:bCs/>
          <w:iCs/>
        </w:rPr>
        <w:t>ing</w:t>
      </w:r>
      <w:r w:rsidR="00450ED5" w:rsidRPr="00450A17">
        <w:rPr>
          <w:rFonts w:cs="Arial"/>
          <w:bCs/>
          <w:iCs/>
        </w:rPr>
        <w:t xml:space="preserve"> greater financial certainty</w:t>
      </w:r>
      <w:r w:rsidR="00CD4FB1" w:rsidRPr="00450A17">
        <w:rPr>
          <w:rFonts w:cs="Arial"/>
          <w:bCs/>
          <w:iCs/>
        </w:rPr>
        <w:t xml:space="preserve"> for practices</w:t>
      </w:r>
      <w:r w:rsidRPr="00450A17">
        <w:rPr>
          <w:rFonts w:cs="Arial"/>
          <w:bCs/>
          <w:iCs/>
        </w:rPr>
        <w:t xml:space="preserve">. </w:t>
      </w:r>
    </w:p>
    <w:p w14:paraId="3E691460" w14:textId="08DC35E8" w:rsidR="002F7719" w:rsidRPr="00450A17" w:rsidRDefault="002F7719" w:rsidP="0030442F">
      <w:pPr>
        <w:rPr>
          <w:rFonts w:cs="Arial"/>
          <w:bCs/>
          <w:iCs/>
        </w:rPr>
      </w:pPr>
      <w:r w:rsidRPr="00450A17">
        <w:t>Without VPR, there will be no linkage of patients to their provider/practice to incentivise delivery of best-practice care by the same GP. Likewise, practices will have limited visibility of their patient population and related care needs, and no ability to track their progress against the incentive criteria to alert providers as to their obligations to both deliver best practice care and to receive related incentive payments.</w:t>
      </w:r>
    </w:p>
    <w:p w14:paraId="40ACB150" w14:textId="4D2CDDFC" w:rsidR="0030442F" w:rsidRPr="00450A17" w:rsidRDefault="00192CC6" w:rsidP="0030442F">
      <w:r w:rsidRPr="00450A17">
        <w:rPr>
          <w:rFonts w:cs="Arial"/>
          <w:bCs/>
          <w:iCs/>
        </w:rPr>
        <w:t>An example of the benefits for providers and practices that won’t be realised if VPR is not implemented</w:t>
      </w:r>
      <w:r w:rsidR="007B2F69" w:rsidRPr="00450A17">
        <w:rPr>
          <w:rFonts w:cs="Arial"/>
          <w:bCs/>
          <w:iCs/>
        </w:rPr>
        <w:t xml:space="preserve"> </w:t>
      </w:r>
      <w:r w:rsidR="0030442F" w:rsidRPr="00450A17">
        <w:rPr>
          <w:rFonts w:cs="Arial"/>
          <w:bCs/>
          <w:iCs/>
        </w:rPr>
        <w:t xml:space="preserve">is highlighted through </w:t>
      </w:r>
      <w:r w:rsidR="0030442F" w:rsidRPr="00450A17">
        <w:t>GPACI</w:t>
      </w:r>
      <w:r w:rsidR="00124D4E" w:rsidRPr="00450A17">
        <w:t>.</w:t>
      </w:r>
      <w:r w:rsidR="00104AFB" w:rsidRPr="00450A17">
        <w:t xml:space="preserve"> This incentive will be </w:t>
      </w:r>
      <w:r w:rsidR="0030442F" w:rsidRPr="00450A17">
        <w:t>replac</w:t>
      </w:r>
      <w:r w:rsidR="00104AFB" w:rsidRPr="00450A17">
        <w:t>ing</w:t>
      </w:r>
      <w:r w:rsidR="0030442F" w:rsidRPr="00450A17">
        <w:t xml:space="preserve"> the existing Aged Care Access Incentive program. Within, each residential aged care resident will register with their regular</w:t>
      </w:r>
      <w:r w:rsidR="00526840" w:rsidRPr="00450A17">
        <w:t xml:space="preserve"> primary care provider through</w:t>
      </w:r>
      <w:r w:rsidR="0030442F" w:rsidRPr="00450A17">
        <w:t xml:space="preserve"> VPR. Practitioners will be rewarded for providing their registered residential aged care patients with a defined quality bundle of care. Practitioners and practices will receive an incentive payment per patient per annum (plus loadings for rural Australia) for providing this bundle, for facilitating access to multidisciplinary care teams, and for coordinating alternative care in between visits and when the resident’s usual practitioner is unavailable. </w:t>
      </w:r>
    </w:p>
    <w:p w14:paraId="3C1B313D" w14:textId="77777777" w:rsidR="009D70DC" w:rsidRPr="00450A17" w:rsidRDefault="0030442F" w:rsidP="00B21A77">
      <w:pPr>
        <w:spacing w:after="240"/>
        <w:rPr>
          <w:rFonts w:cs="Arial"/>
        </w:rPr>
      </w:pPr>
      <w:r w:rsidRPr="00450A17">
        <w:rPr>
          <w:rFonts w:eastAsiaTheme="majorEastAsia" w:cs="Arial"/>
          <w:b/>
          <w:bCs/>
          <w:sz w:val="24"/>
          <w:szCs w:val="32"/>
        </w:rPr>
        <w:t>Option 2 (Implementation of VPR)</w:t>
      </w:r>
      <w:r w:rsidR="009D70DC" w:rsidRPr="00450A17" w:rsidDel="009D70DC">
        <w:rPr>
          <w:rFonts w:eastAsiaTheme="majorEastAsia" w:cs="Arial"/>
          <w:b/>
          <w:bCs/>
          <w:sz w:val="24"/>
          <w:szCs w:val="32"/>
        </w:rPr>
        <w:t xml:space="preserve"> </w:t>
      </w:r>
      <w:r w:rsidR="004559B4" w:rsidRPr="00450A17">
        <w:rPr>
          <w:rFonts w:eastAsiaTheme="majorEastAsia" w:cs="Arial"/>
          <w:b/>
          <w:bCs/>
          <w:sz w:val="24"/>
          <w:szCs w:val="32"/>
        </w:rPr>
        <w:br/>
      </w:r>
      <w:r w:rsidR="000C4B18" w:rsidRPr="00450A17">
        <w:rPr>
          <w:rFonts w:cs="Arial"/>
          <w:b/>
          <w:bCs/>
          <w:sz w:val="20"/>
          <w:szCs w:val="20"/>
        </w:rPr>
        <w:br/>
      </w:r>
      <w:r w:rsidR="004559B4" w:rsidRPr="00450A17">
        <w:rPr>
          <w:rFonts w:cs="Arial"/>
          <w:b/>
          <w:bCs/>
          <w:sz w:val="20"/>
          <w:szCs w:val="20"/>
        </w:rPr>
        <w:t>Overall Change in Costs ($m)</w:t>
      </w:r>
    </w:p>
    <w:tbl>
      <w:tblPr>
        <w:tblW w:w="83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1842"/>
        <w:gridCol w:w="1560"/>
        <w:gridCol w:w="1842"/>
        <w:gridCol w:w="1560"/>
      </w:tblGrid>
      <w:tr w:rsidR="004559B4" w:rsidRPr="00450A17" w14:paraId="6A67E53D" w14:textId="77777777" w:rsidTr="000612AF">
        <w:trPr>
          <w:trHeight w:val="898"/>
        </w:trPr>
        <w:tc>
          <w:tcPr>
            <w:tcW w:w="1561" w:type="dxa"/>
            <w:tcBorders>
              <w:top w:val="single" w:sz="4" w:space="0" w:color="auto"/>
              <w:left w:val="single" w:sz="4" w:space="0" w:color="auto"/>
              <w:bottom w:val="single" w:sz="4" w:space="0" w:color="auto"/>
              <w:right w:val="single" w:sz="4" w:space="0" w:color="auto"/>
            </w:tcBorders>
            <w:noWrap/>
          </w:tcPr>
          <w:p w14:paraId="7A3CCF91" w14:textId="77777777" w:rsidR="004559B4" w:rsidRPr="00450A17" w:rsidRDefault="004559B4" w:rsidP="00C13D99">
            <w:pPr>
              <w:keepLines/>
              <w:jc w:val="center"/>
              <w:rPr>
                <w:rFonts w:cs="Arial"/>
                <w:b/>
                <w:bCs/>
                <w:sz w:val="20"/>
                <w:szCs w:val="20"/>
              </w:rPr>
            </w:pPr>
            <w:r w:rsidRPr="00450A17">
              <w:rPr>
                <w:rFonts w:cs="Arial"/>
                <w:b/>
                <w:bCs/>
                <w:sz w:val="20"/>
                <w:szCs w:val="20"/>
              </w:rPr>
              <w:t>Business</w:t>
            </w:r>
          </w:p>
        </w:tc>
        <w:tc>
          <w:tcPr>
            <w:tcW w:w="1842" w:type="dxa"/>
            <w:tcBorders>
              <w:top w:val="single" w:sz="4" w:space="0" w:color="auto"/>
              <w:left w:val="single" w:sz="4" w:space="0" w:color="auto"/>
              <w:bottom w:val="single" w:sz="4" w:space="0" w:color="auto"/>
              <w:right w:val="single" w:sz="4" w:space="0" w:color="auto"/>
            </w:tcBorders>
            <w:noWrap/>
          </w:tcPr>
          <w:p w14:paraId="09F3E8C9" w14:textId="77777777" w:rsidR="004559B4" w:rsidRPr="00450A17" w:rsidRDefault="004559B4" w:rsidP="00C13D99">
            <w:pPr>
              <w:keepLines/>
              <w:jc w:val="center"/>
              <w:rPr>
                <w:rFonts w:cs="Arial"/>
                <w:b/>
                <w:bCs/>
                <w:sz w:val="20"/>
                <w:szCs w:val="20"/>
              </w:rPr>
            </w:pPr>
            <w:r w:rsidRPr="00450A17">
              <w:rPr>
                <w:rFonts w:cs="Arial"/>
                <w:b/>
                <w:bCs/>
                <w:sz w:val="20"/>
                <w:szCs w:val="20"/>
              </w:rPr>
              <w:t>Community Organisations</w:t>
            </w:r>
          </w:p>
        </w:tc>
        <w:tc>
          <w:tcPr>
            <w:tcW w:w="1560" w:type="dxa"/>
            <w:tcBorders>
              <w:top w:val="single" w:sz="4" w:space="0" w:color="auto"/>
              <w:left w:val="single" w:sz="4" w:space="0" w:color="auto"/>
              <w:bottom w:val="single" w:sz="4" w:space="0" w:color="auto"/>
              <w:right w:val="single" w:sz="4" w:space="0" w:color="auto"/>
            </w:tcBorders>
            <w:noWrap/>
          </w:tcPr>
          <w:p w14:paraId="6D362B47" w14:textId="77777777" w:rsidR="004559B4" w:rsidRPr="00450A17" w:rsidRDefault="004559B4" w:rsidP="00C13D99">
            <w:pPr>
              <w:keepLines/>
              <w:jc w:val="center"/>
              <w:rPr>
                <w:rFonts w:cs="Arial"/>
                <w:b/>
                <w:bCs/>
                <w:sz w:val="20"/>
                <w:szCs w:val="20"/>
              </w:rPr>
            </w:pPr>
            <w:r w:rsidRPr="00450A17">
              <w:rPr>
                <w:rFonts w:cs="Arial"/>
                <w:b/>
                <w:bCs/>
                <w:sz w:val="20"/>
                <w:szCs w:val="20"/>
              </w:rPr>
              <w:t>Individuals</w:t>
            </w:r>
          </w:p>
        </w:tc>
        <w:tc>
          <w:tcPr>
            <w:tcW w:w="1842" w:type="dxa"/>
            <w:tcBorders>
              <w:top w:val="single" w:sz="4" w:space="0" w:color="auto"/>
              <w:left w:val="single" w:sz="4" w:space="0" w:color="auto"/>
              <w:bottom w:val="single" w:sz="4" w:space="0" w:color="auto"/>
              <w:right w:val="single" w:sz="4" w:space="0" w:color="auto"/>
            </w:tcBorders>
            <w:noWrap/>
          </w:tcPr>
          <w:p w14:paraId="52272ED7" w14:textId="77777777" w:rsidR="004559B4" w:rsidRPr="00450A17" w:rsidRDefault="00F96A7F" w:rsidP="00C13D99">
            <w:pPr>
              <w:keepLines/>
              <w:jc w:val="center"/>
              <w:rPr>
                <w:rFonts w:cs="Arial"/>
                <w:b/>
                <w:bCs/>
                <w:sz w:val="20"/>
                <w:szCs w:val="20"/>
              </w:rPr>
            </w:pPr>
            <w:r w:rsidRPr="00450A17">
              <w:rPr>
                <w:rFonts w:cs="Arial"/>
                <w:b/>
                <w:bCs/>
                <w:sz w:val="20"/>
                <w:szCs w:val="20"/>
              </w:rPr>
              <w:t xml:space="preserve">Average </w:t>
            </w:r>
            <w:r w:rsidR="004559B4" w:rsidRPr="00450A17">
              <w:rPr>
                <w:rFonts w:cs="Arial"/>
                <w:b/>
                <w:bCs/>
                <w:sz w:val="20"/>
                <w:szCs w:val="20"/>
              </w:rPr>
              <w:t>Annual Change in Cost</w:t>
            </w:r>
          </w:p>
        </w:tc>
        <w:tc>
          <w:tcPr>
            <w:tcW w:w="1560" w:type="dxa"/>
            <w:tcBorders>
              <w:top w:val="single" w:sz="4" w:space="0" w:color="auto"/>
              <w:left w:val="single" w:sz="4" w:space="0" w:color="auto"/>
              <w:bottom w:val="single" w:sz="4" w:space="0" w:color="auto"/>
              <w:right w:val="single" w:sz="4" w:space="0" w:color="auto"/>
            </w:tcBorders>
          </w:tcPr>
          <w:p w14:paraId="443CC53F" w14:textId="77777777" w:rsidR="004559B4" w:rsidRPr="00450A17" w:rsidRDefault="00F96A7F" w:rsidP="00C13D99">
            <w:pPr>
              <w:keepLines/>
              <w:jc w:val="center"/>
              <w:rPr>
                <w:rFonts w:cs="Arial"/>
                <w:b/>
                <w:bCs/>
                <w:sz w:val="20"/>
                <w:szCs w:val="20"/>
              </w:rPr>
            </w:pPr>
            <w:r w:rsidRPr="00450A17">
              <w:rPr>
                <w:rFonts w:cs="Arial"/>
                <w:b/>
                <w:bCs/>
                <w:sz w:val="20"/>
                <w:szCs w:val="20"/>
              </w:rPr>
              <w:t xml:space="preserve">Total </w:t>
            </w:r>
            <w:r w:rsidR="004559B4" w:rsidRPr="00450A17">
              <w:rPr>
                <w:rFonts w:cs="Arial"/>
                <w:b/>
                <w:bCs/>
                <w:sz w:val="20"/>
                <w:szCs w:val="20"/>
              </w:rPr>
              <w:t xml:space="preserve">Four Years Change Cost </w:t>
            </w:r>
          </w:p>
        </w:tc>
      </w:tr>
      <w:tr w:rsidR="004559B4" w:rsidRPr="00450A17" w14:paraId="616C0807" w14:textId="77777777" w:rsidTr="000612AF">
        <w:trPr>
          <w:trHeight w:val="296"/>
        </w:trPr>
        <w:tc>
          <w:tcPr>
            <w:tcW w:w="1561" w:type="dxa"/>
            <w:tcBorders>
              <w:top w:val="single" w:sz="4" w:space="0" w:color="auto"/>
              <w:left w:val="single" w:sz="4" w:space="0" w:color="auto"/>
              <w:bottom w:val="single" w:sz="4" w:space="0" w:color="auto"/>
              <w:right w:val="single" w:sz="4" w:space="0" w:color="auto"/>
            </w:tcBorders>
            <w:noWrap/>
            <w:vAlign w:val="center"/>
            <w:hideMark/>
          </w:tcPr>
          <w:p w14:paraId="2ED24FD2" w14:textId="3CEB1471" w:rsidR="004559B4" w:rsidRPr="00450A17" w:rsidRDefault="00F85C06" w:rsidP="006654F8">
            <w:pPr>
              <w:keepLines/>
              <w:jc w:val="center"/>
              <w:rPr>
                <w:rFonts w:eastAsiaTheme="majorEastAsia" w:cs="Arial"/>
                <w:bCs/>
                <w:iCs/>
                <w:sz w:val="20"/>
                <w:szCs w:val="20"/>
              </w:rPr>
            </w:pPr>
            <w:r w:rsidRPr="00450A17">
              <w:rPr>
                <w:rFonts w:cs="Arial"/>
                <w:sz w:val="20"/>
                <w:szCs w:val="20"/>
              </w:rPr>
              <w:t>-</w:t>
            </w:r>
            <w:r w:rsidR="004559B4" w:rsidRPr="00450A17">
              <w:rPr>
                <w:rFonts w:cs="Arial"/>
                <w:sz w:val="20"/>
                <w:szCs w:val="20"/>
              </w:rPr>
              <w:t>$</w:t>
            </w:r>
            <w:r w:rsidR="006654F8" w:rsidRPr="00450A17">
              <w:rPr>
                <w:rFonts w:cs="Arial"/>
                <w:sz w:val="20"/>
                <w:szCs w:val="20"/>
              </w:rPr>
              <w:t>91.7</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554CEC07" w14:textId="77777777" w:rsidR="004559B4" w:rsidRPr="00450A17" w:rsidRDefault="004559B4" w:rsidP="00C13D99">
            <w:pPr>
              <w:keepLines/>
              <w:jc w:val="center"/>
              <w:rPr>
                <w:rFonts w:eastAsiaTheme="majorEastAsia" w:cs="Arial"/>
                <w:bCs/>
                <w:iCs/>
                <w:sz w:val="20"/>
                <w:szCs w:val="20"/>
              </w:rPr>
            </w:pPr>
            <w:r w:rsidRPr="00450A17">
              <w:rPr>
                <w:rFonts w:cs="Arial"/>
                <w:sz w:val="20"/>
                <w:szCs w:val="20"/>
              </w:rPr>
              <w:t>$0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03079FFD" w14:textId="77777777" w:rsidR="004559B4" w:rsidRPr="00450A17" w:rsidRDefault="004559B4" w:rsidP="00C13D99">
            <w:pPr>
              <w:keepLines/>
              <w:jc w:val="center"/>
              <w:rPr>
                <w:rFonts w:cs="Arial"/>
                <w:sz w:val="20"/>
                <w:szCs w:val="20"/>
              </w:rPr>
            </w:pPr>
            <w:r w:rsidRPr="00450A17">
              <w:rPr>
                <w:rFonts w:cs="Arial"/>
                <w:sz w:val="20"/>
                <w:szCs w:val="20"/>
              </w:rPr>
              <w:t>$0</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56915F69" w14:textId="2275F38F" w:rsidR="004559B4" w:rsidRPr="00450A17" w:rsidRDefault="00F85C06" w:rsidP="006654F8">
            <w:pPr>
              <w:keepLines/>
              <w:jc w:val="center"/>
              <w:rPr>
                <w:rFonts w:cs="Arial"/>
                <w:sz w:val="20"/>
                <w:szCs w:val="20"/>
              </w:rPr>
            </w:pPr>
            <w:r w:rsidRPr="00450A17">
              <w:rPr>
                <w:rFonts w:cs="Arial"/>
                <w:sz w:val="20"/>
                <w:szCs w:val="20"/>
              </w:rPr>
              <w:t>-</w:t>
            </w:r>
            <w:r w:rsidR="004559B4" w:rsidRPr="00450A17">
              <w:rPr>
                <w:rFonts w:cs="Arial"/>
                <w:sz w:val="20"/>
                <w:szCs w:val="20"/>
              </w:rPr>
              <w:t>$</w:t>
            </w:r>
            <w:r w:rsidR="006654F8" w:rsidRPr="00450A17">
              <w:rPr>
                <w:rFonts w:cs="Arial"/>
                <w:sz w:val="20"/>
                <w:szCs w:val="20"/>
              </w:rPr>
              <w:t>22.9</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2062953" w14:textId="7AD7EF7F" w:rsidR="004559B4" w:rsidRPr="00450A17" w:rsidRDefault="00F85C06" w:rsidP="006654F8">
            <w:pPr>
              <w:keepLines/>
              <w:jc w:val="center"/>
              <w:rPr>
                <w:rFonts w:cs="Arial"/>
                <w:sz w:val="20"/>
                <w:szCs w:val="20"/>
              </w:rPr>
            </w:pPr>
            <w:r w:rsidRPr="00450A17">
              <w:rPr>
                <w:rFonts w:cs="Arial"/>
                <w:sz w:val="20"/>
                <w:szCs w:val="20"/>
              </w:rPr>
              <w:t>-</w:t>
            </w:r>
            <w:r w:rsidR="004559B4" w:rsidRPr="00450A17">
              <w:rPr>
                <w:rFonts w:cs="Arial"/>
                <w:sz w:val="20"/>
                <w:szCs w:val="20"/>
              </w:rPr>
              <w:t>$</w:t>
            </w:r>
            <w:r w:rsidR="006654F8" w:rsidRPr="00450A17">
              <w:rPr>
                <w:rFonts w:cs="Arial"/>
                <w:sz w:val="20"/>
                <w:szCs w:val="20"/>
              </w:rPr>
              <w:t>91.7</w:t>
            </w:r>
          </w:p>
        </w:tc>
      </w:tr>
    </w:tbl>
    <w:p w14:paraId="087CDB33" w14:textId="77777777" w:rsidR="00ED70F2" w:rsidRPr="00450A17" w:rsidRDefault="00ED70F2" w:rsidP="00B21A77">
      <w:pPr>
        <w:spacing w:after="240"/>
        <w:rPr>
          <w:rFonts w:cs="Arial"/>
        </w:rPr>
      </w:pPr>
      <w:r w:rsidRPr="00450A17">
        <w:rPr>
          <w:rFonts w:cs="Arial"/>
          <w:b/>
          <w:bCs/>
          <w:sz w:val="20"/>
          <w:szCs w:val="20"/>
        </w:rPr>
        <w:br/>
      </w:r>
      <w:r w:rsidR="00200A47" w:rsidRPr="00450A17">
        <w:rPr>
          <w:rFonts w:cs="Arial"/>
          <w:b/>
          <w:bCs/>
          <w:sz w:val="20"/>
          <w:szCs w:val="20"/>
        </w:rPr>
        <w:t xml:space="preserve">Breakdown of </w:t>
      </w:r>
      <w:r w:rsidRPr="00450A17">
        <w:rPr>
          <w:rFonts w:cs="Arial"/>
          <w:b/>
          <w:bCs/>
          <w:sz w:val="20"/>
          <w:szCs w:val="20"/>
        </w:rPr>
        <w:t>Business Change in Costs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134"/>
        <w:gridCol w:w="1276"/>
        <w:gridCol w:w="1276"/>
        <w:gridCol w:w="1843"/>
        <w:gridCol w:w="1665"/>
      </w:tblGrid>
      <w:tr w:rsidR="000C4B18" w:rsidRPr="00450A17" w14:paraId="1655DB4C" w14:textId="77777777" w:rsidTr="000612AF">
        <w:trPr>
          <w:trHeight w:val="917"/>
        </w:trPr>
        <w:tc>
          <w:tcPr>
            <w:tcW w:w="1129" w:type="dxa"/>
            <w:tcBorders>
              <w:top w:val="single" w:sz="4" w:space="0" w:color="auto"/>
              <w:left w:val="single" w:sz="4" w:space="0" w:color="auto"/>
              <w:bottom w:val="single" w:sz="4" w:space="0" w:color="auto"/>
              <w:right w:val="single" w:sz="4" w:space="0" w:color="auto"/>
            </w:tcBorders>
            <w:noWrap/>
          </w:tcPr>
          <w:p w14:paraId="38F1E129" w14:textId="77777777" w:rsidR="00ED70F2" w:rsidRPr="00450A17" w:rsidRDefault="00ED70F2" w:rsidP="00CE5D0C">
            <w:pPr>
              <w:keepLines/>
              <w:jc w:val="center"/>
              <w:rPr>
                <w:rFonts w:cs="Arial"/>
                <w:b/>
                <w:bCs/>
                <w:sz w:val="20"/>
                <w:szCs w:val="20"/>
              </w:rPr>
            </w:pPr>
            <w:r w:rsidRPr="00450A17">
              <w:rPr>
                <w:rFonts w:cs="Arial"/>
                <w:b/>
                <w:bCs/>
                <w:sz w:val="20"/>
                <w:szCs w:val="20"/>
              </w:rPr>
              <w:t xml:space="preserve">Year 1 </w:t>
            </w:r>
          </w:p>
        </w:tc>
        <w:tc>
          <w:tcPr>
            <w:tcW w:w="1134" w:type="dxa"/>
            <w:tcBorders>
              <w:top w:val="single" w:sz="4" w:space="0" w:color="auto"/>
              <w:left w:val="single" w:sz="4" w:space="0" w:color="auto"/>
              <w:bottom w:val="single" w:sz="4" w:space="0" w:color="auto"/>
              <w:right w:val="single" w:sz="4" w:space="0" w:color="auto"/>
            </w:tcBorders>
            <w:noWrap/>
          </w:tcPr>
          <w:p w14:paraId="3257AD20" w14:textId="77777777" w:rsidR="00ED70F2" w:rsidRPr="00450A17" w:rsidRDefault="00ED70F2" w:rsidP="00CE5D0C">
            <w:pPr>
              <w:keepLines/>
              <w:jc w:val="center"/>
              <w:rPr>
                <w:rFonts w:cs="Arial"/>
                <w:b/>
                <w:bCs/>
                <w:sz w:val="20"/>
                <w:szCs w:val="20"/>
              </w:rPr>
            </w:pPr>
            <w:r w:rsidRPr="00450A17">
              <w:rPr>
                <w:rFonts w:cs="Arial"/>
                <w:b/>
                <w:bCs/>
                <w:sz w:val="20"/>
                <w:szCs w:val="20"/>
              </w:rPr>
              <w:t xml:space="preserve">Year 2 </w:t>
            </w:r>
          </w:p>
        </w:tc>
        <w:tc>
          <w:tcPr>
            <w:tcW w:w="1276" w:type="dxa"/>
            <w:tcBorders>
              <w:top w:val="single" w:sz="4" w:space="0" w:color="auto"/>
              <w:left w:val="single" w:sz="4" w:space="0" w:color="auto"/>
              <w:bottom w:val="single" w:sz="4" w:space="0" w:color="auto"/>
              <w:right w:val="single" w:sz="4" w:space="0" w:color="auto"/>
            </w:tcBorders>
            <w:noWrap/>
          </w:tcPr>
          <w:p w14:paraId="6899662F" w14:textId="77777777" w:rsidR="00ED70F2" w:rsidRPr="00450A17" w:rsidRDefault="00ED70F2" w:rsidP="00CE5D0C">
            <w:pPr>
              <w:keepLines/>
              <w:jc w:val="center"/>
              <w:rPr>
                <w:rFonts w:cs="Arial"/>
                <w:b/>
                <w:bCs/>
                <w:sz w:val="20"/>
                <w:szCs w:val="20"/>
              </w:rPr>
            </w:pPr>
            <w:r w:rsidRPr="00450A17">
              <w:rPr>
                <w:rFonts w:cs="Arial"/>
                <w:b/>
                <w:bCs/>
                <w:sz w:val="20"/>
                <w:szCs w:val="20"/>
              </w:rPr>
              <w:t xml:space="preserve">Year 3 </w:t>
            </w:r>
          </w:p>
        </w:tc>
        <w:tc>
          <w:tcPr>
            <w:tcW w:w="1276" w:type="dxa"/>
            <w:tcBorders>
              <w:top w:val="single" w:sz="4" w:space="0" w:color="auto"/>
              <w:left w:val="single" w:sz="4" w:space="0" w:color="auto"/>
              <w:bottom w:val="single" w:sz="4" w:space="0" w:color="auto"/>
              <w:right w:val="single" w:sz="4" w:space="0" w:color="auto"/>
            </w:tcBorders>
          </w:tcPr>
          <w:p w14:paraId="5FF216CD" w14:textId="77777777" w:rsidR="00ED70F2" w:rsidRPr="00450A17" w:rsidRDefault="00ED70F2" w:rsidP="00CE5D0C">
            <w:pPr>
              <w:keepLines/>
              <w:jc w:val="center"/>
              <w:rPr>
                <w:rFonts w:cs="Arial"/>
                <w:b/>
                <w:bCs/>
                <w:sz w:val="20"/>
                <w:szCs w:val="20"/>
              </w:rPr>
            </w:pPr>
            <w:r w:rsidRPr="00450A17">
              <w:rPr>
                <w:rFonts w:cs="Arial"/>
                <w:b/>
                <w:bCs/>
                <w:sz w:val="20"/>
                <w:szCs w:val="20"/>
              </w:rPr>
              <w:t xml:space="preserve">Year 4 </w:t>
            </w:r>
          </w:p>
        </w:tc>
        <w:tc>
          <w:tcPr>
            <w:tcW w:w="1843" w:type="dxa"/>
            <w:tcBorders>
              <w:top w:val="single" w:sz="4" w:space="0" w:color="auto"/>
              <w:left w:val="single" w:sz="4" w:space="0" w:color="auto"/>
              <w:bottom w:val="single" w:sz="4" w:space="0" w:color="auto"/>
              <w:right w:val="single" w:sz="4" w:space="0" w:color="auto"/>
            </w:tcBorders>
            <w:noWrap/>
          </w:tcPr>
          <w:p w14:paraId="6561AEBB" w14:textId="77777777" w:rsidR="00ED70F2" w:rsidRPr="00450A17" w:rsidRDefault="00F96A7F" w:rsidP="00CE5D0C">
            <w:pPr>
              <w:keepLines/>
              <w:jc w:val="center"/>
              <w:rPr>
                <w:rFonts w:cs="Arial"/>
                <w:b/>
                <w:bCs/>
                <w:sz w:val="20"/>
                <w:szCs w:val="20"/>
              </w:rPr>
            </w:pPr>
            <w:r w:rsidRPr="00450A17">
              <w:rPr>
                <w:rFonts w:cs="Arial"/>
                <w:b/>
                <w:bCs/>
                <w:sz w:val="20"/>
                <w:szCs w:val="20"/>
              </w:rPr>
              <w:t xml:space="preserve">Average </w:t>
            </w:r>
            <w:r w:rsidR="00ED70F2" w:rsidRPr="00450A17">
              <w:rPr>
                <w:rFonts w:cs="Arial"/>
                <w:b/>
                <w:bCs/>
                <w:sz w:val="20"/>
                <w:szCs w:val="20"/>
              </w:rPr>
              <w:t>Annual Change in Cost</w:t>
            </w:r>
          </w:p>
        </w:tc>
        <w:tc>
          <w:tcPr>
            <w:tcW w:w="1665" w:type="dxa"/>
            <w:tcBorders>
              <w:top w:val="single" w:sz="4" w:space="0" w:color="auto"/>
              <w:left w:val="single" w:sz="4" w:space="0" w:color="auto"/>
              <w:bottom w:val="single" w:sz="4" w:space="0" w:color="auto"/>
              <w:right w:val="single" w:sz="4" w:space="0" w:color="auto"/>
            </w:tcBorders>
          </w:tcPr>
          <w:p w14:paraId="6F792A3A" w14:textId="77777777" w:rsidR="00ED70F2" w:rsidRPr="00450A17" w:rsidRDefault="00F96A7F" w:rsidP="00CE5D0C">
            <w:pPr>
              <w:keepLines/>
              <w:jc w:val="center"/>
              <w:rPr>
                <w:rFonts w:cs="Arial"/>
                <w:b/>
                <w:bCs/>
                <w:sz w:val="20"/>
                <w:szCs w:val="20"/>
              </w:rPr>
            </w:pPr>
            <w:r w:rsidRPr="00450A17">
              <w:rPr>
                <w:rFonts w:cs="Arial"/>
                <w:b/>
                <w:bCs/>
                <w:sz w:val="20"/>
                <w:szCs w:val="20"/>
              </w:rPr>
              <w:t xml:space="preserve">Total </w:t>
            </w:r>
            <w:r w:rsidR="00ED70F2" w:rsidRPr="00450A17">
              <w:rPr>
                <w:rFonts w:cs="Arial"/>
                <w:b/>
                <w:bCs/>
                <w:sz w:val="20"/>
                <w:szCs w:val="20"/>
              </w:rPr>
              <w:t xml:space="preserve">Four Years Change Cost </w:t>
            </w:r>
          </w:p>
        </w:tc>
      </w:tr>
      <w:tr w:rsidR="000C4B18" w:rsidRPr="00450A17" w14:paraId="42CE03A6" w14:textId="77777777" w:rsidTr="000612AF">
        <w:trPr>
          <w:trHeight w:val="302"/>
        </w:trPr>
        <w:tc>
          <w:tcPr>
            <w:tcW w:w="1129" w:type="dxa"/>
            <w:tcBorders>
              <w:top w:val="single" w:sz="4" w:space="0" w:color="auto"/>
              <w:left w:val="single" w:sz="4" w:space="0" w:color="auto"/>
              <w:bottom w:val="single" w:sz="4" w:space="0" w:color="auto"/>
              <w:right w:val="single" w:sz="4" w:space="0" w:color="auto"/>
            </w:tcBorders>
            <w:noWrap/>
            <w:vAlign w:val="center"/>
            <w:hideMark/>
          </w:tcPr>
          <w:p w14:paraId="76CABF8F" w14:textId="3B1655A6" w:rsidR="00ED70F2" w:rsidRPr="00450A17" w:rsidRDefault="00ED70F2" w:rsidP="006654F8">
            <w:pPr>
              <w:keepLines/>
              <w:jc w:val="center"/>
              <w:rPr>
                <w:rFonts w:eastAsiaTheme="majorEastAsia" w:cs="Arial"/>
                <w:bCs/>
                <w:iCs/>
                <w:sz w:val="20"/>
                <w:szCs w:val="20"/>
              </w:rPr>
            </w:pPr>
            <w:r w:rsidRPr="00450A17">
              <w:rPr>
                <w:rFonts w:cs="Arial"/>
                <w:sz w:val="20"/>
                <w:szCs w:val="20"/>
              </w:rPr>
              <w:t>$</w:t>
            </w:r>
            <w:r w:rsidR="006654F8" w:rsidRPr="00450A17">
              <w:rPr>
                <w:rFonts w:cs="Arial"/>
                <w:sz w:val="20"/>
                <w:szCs w:val="20"/>
              </w:rPr>
              <w:t>9.3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B23BFB1" w14:textId="2BAFEEE2" w:rsidR="00ED70F2" w:rsidRPr="00450A17" w:rsidRDefault="00ED70F2" w:rsidP="006654F8">
            <w:pPr>
              <w:keepLines/>
              <w:jc w:val="center"/>
              <w:rPr>
                <w:rFonts w:eastAsiaTheme="majorEastAsia" w:cs="Arial"/>
                <w:bCs/>
                <w:iCs/>
                <w:sz w:val="20"/>
                <w:szCs w:val="20"/>
              </w:rPr>
            </w:pPr>
            <w:r w:rsidRPr="00450A17">
              <w:rPr>
                <w:rFonts w:cs="Arial"/>
                <w:sz w:val="20"/>
                <w:szCs w:val="20"/>
              </w:rPr>
              <w:t>-$</w:t>
            </w:r>
            <w:r w:rsidR="006654F8" w:rsidRPr="00450A17">
              <w:rPr>
                <w:rFonts w:cs="Arial"/>
                <w:sz w:val="20"/>
                <w:szCs w:val="20"/>
              </w:rPr>
              <w:t>21.4</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057DD520" w14:textId="0E41C3DD" w:rsidR="00ED70F2" w:rsidRPr="00450A17" w:rsidRDefault="00ED70F2" w:rsidP="006654F8">
            <w:pPr>
              <w:keepLines/>
              <w:jc w:val="center"/>
              <w:rPr>
                <w:rFonts w:cs="Arial"/>
                <w:sz w:val="20"/>
                <w:szCs w:val="20"/>
              </w:rPr>
            </w:pPr>
            <w:r w:rsidRPr="00450A17">
              <w:rPr>
                <w:rFonts w:cs="Arial"/>
                <w:sz w:val="20"/>
                <w:szCs w:val="20"/>
              </w:rPr>
              <w:t>-$</w:t>
            </w:r>
            <w:r w:rsidR="006654F8" w:rsidRPr="00450A17">
              <w:rPr>
                <w:rFonts w:cs="Arial"/>
                <w:sz w:val="20"/>
                <w:szCs w:val="20"/>
              </w:rPr>
              <w:t>33.8</w:t>
            </w:r>
          </w:p>
        </w:tc>
        <w:tc>
          <w:tcPr>
            <w:tcW w:w="1276" w:type="dxa"/>
            <w:tcBorders>
              <w:top w:val="single" w:sz="4" w:space="0" w:color="auto"/>
              <w:left w:val="single" w:sz="4" w:space="0" w:color="auto"/>
              <w:bottom w:val="single" w:sz="4" w:space="0" w:color="auto"/>
              <w:right w:val="single" w:sz="4" w:space="0" w:color="auto"/>
            </w:tcBorders>
          </w:tcPr>
          <w:p w14:paraId="4765EEB6" w14:textId="7A93E9B8" w:rsidR="00ED70F2" w:rsidRPr="00450A17" w:rsidRDefault="00ED70F2" w:rsidP="006654F8">
            <w:pPr>
              <w:keepLines/>
              <w:jc w:val="center"/>
              <w:rPr>
                <w:rFonts w:cs="Arial"/>
                <w:sz w:val="20"/>
                <w:szCs w:val="20"/>
              </w:rPr>
            </w:pPr>
            <w:r w:rsidRPr="00450A17">
              <w:rPr>
                <w:rFonts w:cs="Arial"/>
                <w:sz w:val="20"/>
                <w:szCs w:val="20"/>
              </w:rPr>
              <w:t>-$</w:t>
            </w:r>
            <w:r w:rsidR="006654F8" w:rsidRPr="00450A17">
              <w:rPr>
                <w:rFonts w:cs="Arial"/>
                <w:sz w:val="20"/>
                <w:szCs w:val="20"/>
              </w:rPr>
              <w:t>45.8</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2C839DE6" w14:textId="0ECE8231" w:rsidR="00ED70F2" w:rsidRPr="00450A17" w:rsidRDefault="00F85C06" w:rsidP="006654F8">
            <w:pPr>
              <w:keepLines/>
              <w:jc w:val="center"/>
              <w:rPr>
                <w:rFonts w:cs="Arial"/>
                <w:sz w:val="20"/>
                <w:szCs w:val="20"/>
              </w:rPr>
            </w:pPr>
            <w:r w:rsidRPr="00450A17">
              <w:rPr>
                <w:rFonts w:cs="Arial"/>
                <w:sz w:val="20"/>
                <w:szCs w:val="20"/>
              </w:rPr>
              <w:t>-</w:t>
            </w:r>
            <w:r w:rsidR="00ED70F2" w:rsidRPr="00450A17">
              <w:rPr>
                <w:rFonts w:cs="Arial"/>
                <w:sz w:val="20"/>
                <w:szCs w:val="20"/>
              </w:rPr>
              <w:t>$</w:t>
            </w:r>
            <w:r w:rsidR="006654F8" w:rsidRPr="00450A17">
              <w:rPr>
                <w:rFonts w:cs="Arial"/>
                <w:sz w:val="20"/>
                <w:szCs w:val="20"/>
              </w:rPr>
              <w:t>22.9</w:t>
            </w:r>
          </w:p>
        </w:tc>
        <w:tc>
          <w:tcPr>
            <w:tcW w:w="1665" w:type="dxa"/>
            <w:tcBorders>
              <w:top w:val="single" w:sz="4" w:space="0" w:color="auto"/>
              <w:left w:val="single" w:sz="4" w:space="0" w:color="auto"/>
              <w:bottom w:val="single" w:sz="4" w:space="0" w:color="auto"/>
              <w:right w:val="single" w:sz="4" w:space="0" w:color="auto"/>
            </w:tcBorders>
            <w:vAlign w:val="center"/>
            <w:hideMark/>
          </w:tcPr>
          <w:p w14:paraId="504D5BF7" w14:textId="380ECE96" w:rsidR="00ED70F2" w:rsidRPr="00450A17" w:rsidRDefault="003866EF" w:rsidP="006654F8">
            <w:pPr>
              <w:keepLines/>
              <w:jc w:val="center"/>
              <w:rPr>
                <w:rFonts w:cs="Arial"/>
                <w:sz w:val="20"/>
                <w:szCs w:val="20"/>
              </w:rPr>
            </w:pPr>
            <w:r w:rsidRPr="00450A17">
              <w:rPr>
                <w:rFonts w:cs="Arial"/>
                <w:sz w:val="20"/>
                <w:szCs w:val="20"/>
              </w:rPr>
              <w:t>-</w:t>
            </w:r>
            <w:r w:rsidR="00ED70F2" w:rsidRPr="00450A17">
              <w:rPr>
                <w:rFonts w:cs="Arial"/>
                <w:sz w:val="20"/>
                <w:szCs w:val="20"/>
              </w:rPr>
              <w:t>$</w:t>
            </w:r>
            <w:r w:rsidR="006654F8" w:rsidRPr="00450A17">
              <w:rPr>
                <w:rFonts w:cs="Arial"/>
                <w:sz w:val="20"/>
                <w:szCs w:val="20"/>
              </w:rPr>
              <w:t>91.7</w:t>
            </w:r>
          </w:p>
        </w:tc>
      </w:tr>
    </w:tbl>
    <w:p w14:paraId="746EC6E0" w14:textId="77777777" w:rsidR="00ED70F2" w:rsidRPr="00450A17" w:rsidRDefault="00ED70F2" w:rsidP="00B21A77">
      <w:pPr>
        <w:spacing w:after="240"/>
        <w:rPr>
          <w:rFonts w:cs="Arial"/>
        </w:rPr>
      </w:pPr>
    </w:p>
    <w:p w14:paraId="58D07BD4" w14:textId="3B2C46A4" w:rsidR="00B0481F" w:rsidRPr="00450A17" w:rsidRDefault="007D294B" w:rsidP="00B21A77">
      <w:pPr>
        <w:spacing w:after="240"/>
        <w:rPr>
          <w:rFonts w:cs="Arial"/>
        </w:rPr>
      </w:pPr>
      <w:r w:rsidRPr="00450A17">
        <w:rPr>
          <w:rFonts w:cs="Arial"/>
        </w:rPr>
        <w:t xml:space="preserve">By implementing VPR, the total regulatory </w:t>
      </w:r>
      <w:r w:rsidR="00364C75" w:rsidRPr="00450A17">
        <w:rPr>
          <w:rFonts w:cs="Arial"/>
        </w:rPr>
        <w:t>save</w:t>
      </w:r>
      <w:r w:rsidRPr="00450A17">
        <w:rPr>
          <w:rFonts w:cs="Arial"/>
        </w:rPr>
        <w:t xml:space="preserve"> to business and individuals combined w</w:t>
      </w:r>
      <w:r w:rsidR="00496D05" w:rsidRPr="00450A17">
        <w:rPr>
          <w:rFonts w:cs="Arial"/>
        </w:rPr>
        <w:t>ill</w:t>
      </w:r>
      <w:r w:rsidRPr="00450A17">
        <w:rPr>
          <w:rFonts w:cs="Arial"/>
        </w:rPr>
        <w:t xml:space="preserve"> be </w:t>
      </w:r>
      <w:r w:rsidR="00364C75" w:rsidRPr="00450A17">
        <w:rPr>
          <w:rFonts w:cs="Arial"/>
        </w:rPr>
        <w:t xml:space="preserve">an average of </w:t>
      </w:r>
      <w:r w:rsidRPr="00450A17">
        <w:rPr>
          <w:rFonts w:cs="Arial"/>
        </w:rPr>
        <w:t>$</w:t>
      </w:r>
      <w:r w:rsidR="006654F8" w:rsidRPr="00450A17">
        <w:rPr>
          <w:rFonts w:cs="Arial"/>
        </w:rPr>
        <w:t>22.9</w:t>
      </w:r>
      <w:r w:rsidR="001245EC" w:rsidRPr="00450A17">
        <w:rPr>
          <w:rFonts w:cs="Arial"/>
        </w:rPr>
        <w:t xml:space="preserve"> </w:t>
      </w:r>
      <w:r w:rsidRPr="00450A17">
        <w:rPr>
          <w:rFonts w:cs="Arial"/>
        </w:rPr>
        <w:t xml:space="preserve">million annually and </w:t>
      </w:r>
      <w:r w:rsidR="006654F8" w:rsidRPr="00450A17">
        <w:rPr>
          <w:rFonts w:cs="Arial"/>
        </w:rPr>
        <w:t xml:space="preserve">a total of </w:t>
      </w:r>
      <w:r w:rsidRPr="00450A17">
        <w:rPr>
          <w:rFonts w:cs="Arial"/>
        </w:rPr>
        <w:t>$</w:t>
      </w:r>
      <w:r w:rsidR="006654F8" w:rsidRPr="00450A17">
        <w:rPr>
          <w:rFonts w:cs="Arial"/>
        </w:rPr>
        <w:t>91.7</w:t>
      </w:r>
      <w:r w:rsidR="001245EC" w:rsidRPr="00450A17">
        <w:rPr>
          <w:rFonts w:cs="Arial"/>
        </w:rPr>
        <w:t xml:space="preserve"> </w:t>
      </w:r>
      <w:r w:rsidRPr="00450A17">
        <w:rPr>
          <w:rFonts w:cs="Arial"/>
        </w:rPr>
        <w:t>million over four years.</w:t>
      </w:r>
      <w:r w:rsidR="0094654D" w:rsidRPr="00450A17">
        <w:rPr>
          <w:rFonts w:cs="Arial"/>
        </w:rPr>
        <w:t xml:space="preserve"> </w:t>
      </w:r>
      <w:r w:rsidR="008302D5" w:rsidRPr="00450A17">
        <w:rPr>
          <w:rFonts w:cs="Arial"/>
        </w:rPr>
        <w:t xml:space="preserve">See </w:t>
      </w:r>
      <w:r w:rsidR="008302D5" w:rsidRPr="00450A17">
        <w:rPr>
          <w:rFonts w:cs="Arial"/>
          <w:b/>
        </w:rPr>
        <w:t>Appendix </w:t>
      </w:r>
      <w:r w:rsidR="00180152" w:rsidRPr="00450A17">
        <w:rPr>
          <w:rFonts w:cs="Arial"/>
          <w:b/>
        </w:rPr>
        <w:t>2</w:t>
      </w:r>
      <w:r w:rsidR="008302D5" w:rsidRPr="00450A17">
        <w:rPr>
          <w:rFonts w:cs="Arial"/>
          <w:b/>
        </w:rPr>
        <w:t xml:space="preserve"> </w:t>
      </w:r>
      <w:r w:rsidR="008302D5" w:rsidRPr="00450A17">
        <w:rPr>
          <w:rFonts w:cs="Arial"/>
        </w:rPr>
        <w:t>for further detail</w:t>
      </w:r>
      <w:r w:rsidR="00B7464F" w:rsidRPr="00450A17">
        <w:rPr>
          <w:rFonts w:cs="Arial"/>
        </w:rPr>
        <w:t xml:space="preserve">. </w:t>
      </w:r>
    </w:p>
    <w:p w14:paraId="512B68FA" w14:textId="77777777" w:rsidR="00CC2240" w:rsidRPr="00450A17" w:rsidRDefault="00CC2240" w:rsidP="00B21A77">
      <w:pPr>
        <w:spacing w:after="240"/>
        <w:rPr>
          <w:rFonts w:cs="Arial"/>
          <w:b/>
        </w:rPr>
      </w:pPr>
      <w:r w:rsidRPr="00450A17">
        <w:rPr>
          <w:rFonts w:cs="Arial"/>
          <w:b/>
        </w:rPr>
        <w:t>Overview of regulatory burden</w:t>
      </w:r>
    </w:p>
    <w:p w14:paraId="09672D6B" w14:textId="57421452" w:rsidR="00B0481F" w:rsidRPr="00450A17" w:rsidRDefault="00B0481F" w:rsidP="00B21A77">
      <w:pPr>
        <w:spacing w:after="240"/>
        <w:rPr>
          <w:rFonts w:cs="Arial"/>
        </w:rPr>
      </w:pPr>
      <w:r w:rsidRPr="00450A17">
        <w:rPr>
          <w:rFonts w:cs="Arial"/>
        </w:rPr>
        <w:t>VPR has been designed to make use of existing online portals</w:t>
      </w:r>
      <w:r w:rsidR="00474601" w:rsidRPr="00450A17">
        <w:rPr>
          <w:rFonts w:cs="Arial"/>
        </w:rPr>
        <w:t xml:space="preserve"> routinely</w:t>
      </w:r>
      <w:r w:rsidRPr="00450A17">
        <w:rPr>
          <w:rFonts w:cs="Arial"/>
        </w:rPr>
        <w:t xml:space="preserve"> used by practices and primary health care services</w:t>
      </w:r>
      <w:r w:rsidR="002E56B9" w:rsidRPr="00450A17">
        <w:rPr>
          <w:rFonts w:cs="Arial"/>
        </w:rPr>
        <w:t xml:space="preserve"> particularly in their interaction with Medicare</w:t>
      </w:r>
      <w:r w:rsidRPr="00450A17">
        <w:rPr>
          <w:rFonts w:cs="Arial"/>
        </w:rPr>
        <w:t xml:space="preserve">. Through leveraging these existing </w:t>
      </w:r>
      <w:r w:rsidR="002E56B9" w:rsidRPr="00450A17">
        <w:rPr>
          <w:rFonts w:cs="Arial"/>
        </w:rPr>
        <w:t xml:space="preserve">systems </w:t>
      </w:r>
      <w:r w:rsidRPr="00450A17">
        <w:rPr>
          <w:rFonts w:cs="Arial"/>
        </w:rPr>
        <w:t>there will be additional offsets through reduction in duplication of ICT and software systems –</w:t>
      </w:r>
      <w:r w:rsidR="002E56B9" w:rsidRPr="00450A17">
        <w:rPr>
          <w:rFonts w:cs="Arial"/>
        </w:rPr>
        <w:t xml:space="preserve"> </w:t>
      </w:r>
      <w:r w:rsidRPr="00450A17">
        <w:rPr>
          <w:rFonts w:cs="Arial"/>
        </w:rPr>
        <w:t>PRODA, HPOS</w:t>
      </w:r>
      <w:r w:rsidR="00AA43F4" w:rsidRPr="00450A17">
        <w:rPr>
          <w:rFonts w:cs="Arial"/>
        </w:rPr>
        <w:t>,</w:t>
      </w:r>
      <w:r w:rsidRPr="00450A17">
        <w:rPr>
          <w:rFonts w:cs="Arial"/>
        </w:rPr>
        <w:t xml:space="preserve"> and the Organisation Register are currently used for multiple programs, not just VPR, and will be built upon further in regards to future policy implemented by the Department.</w:t>
      </w:r>
      <w:r w:rsidR="00F043ED" w:rsidRPr="00450A17">
        <w:rPr>
          <w:rFonts w:cs="Arial"/>
        </w:rPr>
        <w:t xml:space="preserve"> Encouraging registration and training focusing on staff familiarity in using these programs will </w:t>
      </w:r>
      <w:r w:rsidR="00AA43F4" w:rsidRPr="00450A17">
        <w:rPr>
          <w:rFonts w:cs="Arial"/>
        </w:rPr>
        <w:t xml:space="preserve">further </w:t>
      </w:r>
      <w:r w:rsidR="00F043ED" w:rsidRPr="00450A17">
        <w:rPr>
          <w:rFonts w:cs="Arial"/>
        </w:rPr>
        <w:t xml:space="preserve">offset </w:t>
      </w:r>
      <w:r w:rsidR="00AA43F4" w:rsidRPr="00450A17">
        <w:rPr>
          <w:rFonts w:cs="Arial"/>
        </w:rPr>
        <w:t xml:space="preserve">initial </w:t>
      </w:r>
      <w:r w:rsidR="00F043ED" w:rsidRPr="00450A17">
        <w:rPr>
          <w:rFonts w:cs="Arial"/>
        </w:rPr>
        <w:t xml:space="preserve">costs associated with </w:t>
      </w:r>
      <w:r w:rsidR="002E56B9" w:rsidRPr="00450A17">
        <w:rPr>
          <w:rFonts w:cs="Arial"/>
        </w:rPr>
        <w:t xml:space="preserve">VPR implementation. </w:t>
      </w:r>
      <w:r w:rsidR="00F043ED" w:rsidRPr="00450A17">
        <w:rPr>
          <w:rFonts w:cs="Arial"/>
        </w:rPr>
        <w:t xml:space="preserve"> </w:t>
      </w:r>
    </w:p>
    <w:p w14:paraId="5646193E" w14:textId="60031DAF" w:rsidR="00A26DD6" w:rsidRPr="00450A17" w:rsidRDefault="00A26DD6" w:rsidP="00B21A77">
      <w:pPr>
        <w:spacing w:after="240"/>
        <w:rPr>
          <w:rFonts w:cs="Arial"/>
        </w:rPr>
      </w:pPr>
      <w:r w:rsidRPr="00450A17">
        <w:rPr>
          <w:rFonts w:cs="Arial"/>
        </w:rPr>
        <w:t>There are currently a significa</w:t>
      </w:r>
      <w:r w:rsidR="00190DCE" w:rsidRPr="00450A17">
        <w:rPr>
          <w:rFonts w:cs="Arial"/>
        </w:rPr>
        <w:t xml:space="preserve">nt number of practices that have already registered </w:t>
      </w:r>
      <w:r w:rsidRPr="00450A17">
        <w:rPr>
          <w:rFonts w:cs="Arial"/>
        </w:rPr>
        <w:t xml:space="preserve">in </w:t>
      </w:r>
      <w:r w:rsidR="002E56B9" w:rsidRPr="00450A17">
        <w:rPr>
          <w:rFonts w:cs="Arial"/>
        </w:rPr>
        <w:t xml:space="preserve">these </w:t>
      </w:r>
      <w:r w:rsidRPr="00450A17">
        <w:rPr>
          <w:rFonts w:cs="Arial"/>
        </w:rPr>
        <w:t>online systems</w:t>
      </w:r>
      <w:r w:rsidR="002E56B9" w:rsidRPr="00450A17">
        <w:rPr>
          <w:rFonts w:cs="Arial"/>
        </w:rPr>
        <w:t xml:space="preserve"> which will be a </w:t>
      </w:r>
      <w:r w:rsidRPr="00450A17">
        <w:rPr>
          <w:rFonts w:cs="Arial"/>
        </w:rPr>
        <w:t>prereq</w:t>
      </w:r>
      <w:r w:rsidR="00190DCE" w:rsidRPr="00450A17">
        <w:rPr>
          <w:rFonts w:cs="Arial"/>
        </w:rPr>
        <w:t xml:space="preserve">uisite of </w:t>
      </w:r>
      <w:r w:rsidR="002E56B9" w:rsidRPr="00450A17">
        <w:rPr>
          <w:rFonts w:cs="Arial"/>
        </w:rPr>
        <w:t xml:space="preserve">registering </w:t>
      </w:r>
      <w:r w:rsidR="00190DCE" w:rsidRPr="00450A17">
        <w:rPr>
          <w:rFonts w:cs="Arial"/>
        </w:rPr>
        <w:t xml:space="preserve">in VPR. </w:t>
      </w:r>
      <w:r w:rsidR="00DA77C6" w:rsidRPr="00450A17">
        <w:rPr>
          <w:rFonts w:cs="Arial"/>
        </w:rPr>
        <w:t>A</w:t>
      </w:r>
      <w:r w:rsidR="00474134" w:rsidRPr="00450A17">
        <w:rPr>
          <w:rFonts w:cs="Arial"/>
        </w:rPr>
        <w:t>s at 10 </w:t>
      </w:r>
      <w:r w:rsidR="00DA77C6" w:rsidRPr="00450A17">
        <w:rPr>
          <w:rFonts w:cs="Arial"/>
        </w:rPr>
        <w:t>M</w:t>
      </w:r>
      <w:r w:rsidR="00474134" w:rsidRPr="00450A17">
        <w:rPr>
          <w:rFonts w:cs="Arial"/>
        </w:rPr>
        <w:t>arch </w:t>
      </w:r>
      <w:r w:rsidR="00DA77C6" w:rsidRPr="00450A17">
        <w:rPr>
          <w:rFonts w:cs="Arial"/>
        </w:rPr>
        <w:t>2023, 2317 practices have uploaded their details on</w:t>
      </w:r>
      <w:r w:rsidR="004F229F" w:rsidRPr="00450A17">
        <w:rPr>
          <w:rFonts w:cs="Arial"/>
        </w:rPr>
        <w:t>to</w:t>
      </w:r>
      <w:r w:rsidR="00DA77C6" w:rsidRPr="00450A17">
        <w:rPr>
          <w:rFonts w:cs="Arial"/>
        </w:rPr>
        <w:t xml:space="preserve"> the online systems that underpin VPR. </w:t>
      </w:r>
      <w:r w:rsidR="00474601" w:rsidRPr="00450A17">
        <w:rPr>
          <w:rFonts w:cs="Arial"/>
        </w:rPr>
        <w:t xml:space="preserve">For </w:t>
      </w:r>
      <w:r w:rsidR="00190DCE" w:rsidRPr="00450A17">
        <w:rPr>
          <w:rFonts w:cs="Arial"/>
        </w:rPr>
        <w:t>these practices there will be less of a</w:t>
      </w:r>
      <w:r w:rsidR="00474134" w:rsidRPr="00450A17">
        <w:rPr>
          <w:rFonts w:cs="Arial"/>
        </w:rPr>
        <w:t>n effort and therefore less</w:t>
      </w:r>
      <w:r w:rsidR="00190DCE" w:rsidRPr="00450A17">
        <w:rPr>
          <w:rFonts w:cs="Arial"/>
        </w:rPr>
        <w:t xml:space="preserve"> cost associated with </w:t>
      </w:r>
      <w:r w:rsidR="002E56B9" w:rsidRPr="00450A17">
        <w:rPr>
          <w:rFonts w:cs="Arial"/>
        </w:rPr>
        <w:t>registering for VPR</w:t>
      </w:r>
      <w:r w:rsidR="00190DCE" w:rsidRPr="00450A17">
        <w:rPr>
          <w:rFonts w:cs="Arial"/>
        </w:rPr>
        <w:t>.</w:t>
      </w:r>
    </w:p>
    <w:p w14:paraId="5A434247" w14:textId="77777777" w:rsidR="00190DCE" w:rsidRPr="00450A17" w:rsidRDefault="00F043ED" w:rsidP="00B21A77">
      <w:pPr>
        <w:spacing w:after="240"/>
        <w:rPr>
          <w:rFonts w:cs="Arial"/>
        </w:rPr>
      </w:pPr>
      <w:r w:rsidRPr="00450A17">
        <w:rPr>
          <w:rFonts w:cs="Arial"/>
        </w:rPr>
        <w:t>Through consultations, the primary care sector have voiced support for VPR. S</w:t>
      </w:r>
      <w:r w:rsidR="004F229F" w:rsidRPr="00450A17">
        <w:rPr>
          <w:rFonts w:cs="Arial"/>
        </w:rPr>
        <w:t xml:space="preserve">ystem </w:t>
      </w:r>
      <w:r w:rsidR="00190DCE" w:rsidRPr="00450A17">
        <w:rPr>
          <w:rFonts w:cs="Arial"/>
        </w:rPr>
        <w:t xml:space="preserve">co-design has been </w:t>
      </w:r>
      <w:r w:rsidR="004B0377" w:rsidRPr="00450A17">
        <w:rPr>
          <w:rFonts w:cs="Arial"/>
        </w:rPr>
        <w:t xml:space="preserve">undertaken </w:t>
      </w:r>
      <w:r w:rsidR="00190DCE" w:rsidRPr="00450A17">
        <w:rPr>
          <w:rFonts w:cs="Arial"/>
        </w:rPr>
        <w:t>with practice managers</w:t>
      </w:r>
      <w:r w:rsidRPr="00450A17">
        <w:rPr>
          <w:rFonts w:cs="Arial"/>
        </w:rPr>
        <w:t xml:space="preserve"> </w:t>
      </w:r>
      <w:r w:rsidR="00992B18" w:rsidRPr="00450A17">
        <w:rPr>
          <w:rFonts w:cs="Arial"/>
        </w:rPr>
        <w:t>(</w:t>
      </w:r>
      <w:r w:rsidR="00474134" w:rsidRPr="00450A17">
        <w:rPr>
          <w:rFonts w:cs="Arial"/>
        </w:rPr>
        <w:t>as they will be the predominant users of the registration system with</w:t>
      </w:r>
      <w:r w:rsidR="00992B18" w:rsidRPr="00450A17">
        <w:rPr>
          <w:rFonts w:cs="Arial"/>
        </w:rPr>
        <w:t>in</w:t>
      </w:r>
      <w:r w:rsidR="00474134" w:rsidRPr="00450A17">
        <w:rPr>
          <w:rFonts w:cs="Arial"/>
        </w:rPr>
        <w:t xml:space="preserve"> practices</w:t>
      </w:r>
      <w:r w:rsidR="00992B18" w:rsidRPr="00450A17">
        <w:rPr>
          <w:rFonts w:cs="Arial"/>
        </w:rPr>
        <w:t>)</w:t>
      </w:r>
      <w:r w:rsidR="00474134" w:rsidRPr="00450A17">
        <w:rPr>
          <w:rFonts w:cs="Arial"/>
        </w:rPr>
        <w:t>.</w:t>
      </w:r>
      <w:r w:rsidR="00992B18" w:rsidRPr="00450A17">
        <w:rPr>
          <w:rFonts w:cs="Arial"/>
        </w:rPr>
        <w:t xml:space="preserve"> The co-design approach has sought to streamline online portal use and access to ensure that administrative costs and time costs of signing up to VPR are minimised.</w:t>
      </w:r>
      <w:r w:rsidR="00474134" w:rsidRPr="00450A17">
        <w:rPr>
          <w:rFonts w:cs="Arial"/>
        </w:rPr>
        <w:t xml:space="preserve"> </w:t>
      </w:r>
      <w:r w:rsidR="0071582B" w:rsidRPr="00450A17">
        <w:rPr>
          <w:rFonts w:cs="Arial"/>
        </w:rPr>
        <w:t xml:space="preserve">A total of 54 practice staff over 77 hours have participated </w:t>
      </w:r>
      <w:r w:rsidR="00992B18" w:rsidRPr="00450A17">
        <w:rPr>
          <w:rFonts w:cs="Arial"/>
        </w:rPr>
        <w:t>to date</w:t>
      </w:r>
      <w:r w:rsidR="0071582B" w:rsidRPr="00450A17">
        <w:rPr>
          <w:rFonts w:cs="Arial"/>
        </w:rPr>
        <w:t>.</w:t>
      </w:r>
    </w:p>
    <w:p w14:paraId="361478E2" w14:textId="065503C9" w:rsidR="007D294B" w:rsidRPr="00450A17" w:rsidRDefault="00F043ED" w:rsidP="00B21A77">
      <w:pPr>
        <w:spacing w:after="240"/>
        <w:rPr>
          <w:rFonts w:cs="Arial"/>
        </w:rPr>
      </w:pPr>
      <w:r w:rsidRPr="00450A17">
        <w:rPr>
          <w:rFonts w:cs="Arial"/>
        </w:rPr>
        <w:t xml:space="preserve">Participating in VPR will </w:t>
      </w:r>
      <w:r w:rsidR="00474601" w:rsidRPr="00450A17">
        <w:rPr>
          <w:rFonts w:cs="Arial"/>
        </w:rPr>
        <w:t xml:space="preserve">provide </w:t>
      </w:r>
      <w:r w:rsidRPr="00450A17">
        <w:rPr>
          <w:rFonts w:cs="Arial"/>
        </w:rPr>
        <w:t xml:space="preserve">practices </w:t>
      </w:r>
      <w:r w:rsidR="00474601" w:rsidRPr="00450A17">
        <w:rPr>
          <w:rFonts w:cs="Arial"/>
        </w:rPr>
        <w:t xml:space="preserve">with </w:t>
      </w:r>
      <w:r w:rsidRPr="00450A17">
        <w:rPr>
          <w:rFonts w:cs="Arial"/>
        </w:rPr>
        <w:t xml:space="preserve">more comprehensive information about their </w:t>
      </w:r>
      <w:r w:rsidR="005E2D46" w:rsidRPr="00450A17">
        <w:rPr>
          <w:rFonts w:cs="Arial"/>
        </w:rPr>
        <w:t xml:space="preserve">regular </w:t>
      </w:r>
      <w:r w:rsidRPr="00450A17">
        <w:rPr>
          <w:rFonts w:cs="Arial"/>
        </w:rPr>
        <w:t xml:space="preserve">patient base, which will lead to offsets in a number of ways. Practices will be able to more efficiently identify their regular patient population for preventative health services, screening reminders, relevant referrals, and other patient-tailored services. </w:t>
      </w:r>
      <w:r w:rsidR="00474601" w:rsidRPr="00450A17">
        <w:rPr>
          <w:rFonts w:cs="Arial"/>
        </w:rPr>
        <w:t>Where a patient has</w:t>
      </w:r>
      <w:r w:rsidRPr="00450A17">
        <w:rPr>
          <w:rFonts w:cs="Arial"/>
        </w:rPr>
        <w:t xml:space="preserve"> left a particular practice or chosen to </w:t>
      </w:r>
      <w:r w:rsidR="00A522EC" w:rsidRPr="00450A17">
        <w:rPr>
          <w:rFonts w:cs="Arial"/>
        </w:rPr>
        <w:t xml:space="preserve">register elsewhere, this information will be </w:t>
      </w:r>
      <w:r w:rsidR="00474601" w:rsidRPr="00450A17">
        <w:rPr>
          <w:rFonts w:cs="Arial"/>
        </w:rPr>
        <w:t xml:space="preserve">visible </w:t>
      </w:r>
      <w:r w:rsidR="00A522EC" w:rsidRPr="00450A17">
        <w:rPr>
          <w:rFonts w:cs="Arial"/>
        </w:rPr>
        <w:t>and practices will not waste resources</w:t>
      </w:r>
      <w:r w:rsidR="003802A2" w:rsidRPr="00450A17">
        <w:rPr>
          <w:rFonts w:cs="Arial"/>
        </w:rPr>
        <w:t xml:space="preserve"> (and staff time)</w:t>
      </w:r>
      <w:r w:rsidR="00A522EC" w:rsidRPr="00450A17">
        <w:rPr>
          <w:rFonts w:cs="Arial"/>
        </w:rPr>
        <w:t xml:space="preserve"> attempting to contact these patients. </w:t>
      </w:r>
      <w:r w:rsidR="00882071" w:rsidRPr="00450A17">
        <w:rPr>
          <w:rFonts w:cs="Arial"/>
        </w:rPr>
        <w:t>In December 2022, Departmental data indicated that 7.8 million</w:t>
      </w:r>
      <w:r w:rsidR="003802A2" w:rsidRPr="00450A17">
        <w:rPr>
          <w:rFonts w:cs="Arial"/>
        </w:rPr>
        <w:t xml:space="preserve"> patients</w:t>
      </w:r>
      <w:r w:rsidR="00882071" w:rsidRPr="00450A17">
        <w:rPr>
          <w:rFonts w:cs="Arial"/>
        </w:rPr>
        <w:t xml:space="preserve"> </w:t>
      </w:r>
      <w:r w:rsidR="006240F9" w:rsidRPr="00450A17">
        <w:rPr>
          <w:rFonts w:cs="Arial"/>
        </w:rPr>
        <w:t xml:space="preserve">were eligible to register at </w:t>
      </w:r>
      <w:r w:rsidR="00882071" w:rsidRPr="00450A17">
        <w:rPr>
          <w:rFonts w:cs="Arial"/>
        </w:rPr>
        <w:t>3 or more practices</w:t>
      </w:r>
      <w:r w:rsidR="003802A2" w:rsidRPr="00450A17">
        <w:rPr>
          <w:rFonts w:cs="Arial"/>
        </w:rPr>
        <w:t xml:space="preserve">. </w:t>
      </w:r>
      <w:r w:rsidR="00882071" w:rsidRPr="00450A17">
        <w:rPr>
          <w:rFonts w:cs="Arial"/>
        </w:rPr>
        <w:t>If these patients</w:t>
      </w:r>
      <w:r w:rsidR="006240F9" w:rsidRPr="00450A17">
        <w:rPr>
          <w:rFonts w:cs="Arial"/>
        </w:rPr>
        <w:t xml:space="preserve"> were to</w:t>
      </w:r>
      <w:r w:rsidR="00882071" w:rsidRPr="00450A17">
        <w:rPr>
          <w:rFonts w:cs="Arial"/>
        </w:rPr>
        <w:t xml:space="preserve"> </w:t>
      </w:r>
      <w:r w:rsidR="006240F9" w:rsidRPr="00450A17">
        <w:rPr>
          <w:rFonts w:cs="Arial"/>
        </w:rPr>
        <w:t xml:space="preserve">register in VPR, this results in </w:t>
      </w:r>
      <w:r w:rsidR="003802A2" w:rsidRPr="00450A17">
        <w:rPr>
          <w:rFonts w:cs="Arial"/>
        </w:rPr>
        <w:t>a minimum of 2 practices</w:t>
      </w:r>
      <w:r w:rsidR="006240F9" w:rsidRPr="00450A17">
        <w:rPr>
          <w:rFonts w:cs="Arial"/>
        </w:rPr>
        <w:t xml:space="preserve"> per patient</w:t>
      </w:r>
      <w:r w:rsidR="003802A2" w:rsidRPr="00450A17">
        <w:rPr>
          <w:rFonts w:cs="Arial"/>
        </w:rPr>
        <w:t xml:space="preserve"> </w:t>
      </w:r>
      <w:r w:rsidR="00C47B30" w:rsidRPr="00450A17">
        <w:rPr>
          <w:rFonts w:cs="Arial"/>
        </w:rPr>
        <w:t xml:space="preserve">that </w:t>
      </w:r>
      <w:r w:rsidR="003802A2" w:rsidRPr="00450A17">
        <w:rPr>
          <w:rFonts w:cs="Arial"/>
        </w:rPr>
        <w:t xml:space="preserve">will not have to use </w:t>
      </w:r>
      <w:r w:rsidR="00882071" w:rsidRPr="00450A17">
        <w:rPr>
          <w:rFonts w:cs="Arial"/>
        </w:rPr>
        <w:t>resources</w:t>
      </w:r>
      <w:r w:rsidR="003802A2" w:rsidRPr="00450A17">
        <w:rPr>
          <w:rFonts w:cs="Arial"/>
        </w:rPr>
        <w:t xml:space="preserve"> to</w:t>
      </w:r>
      <w:r w:rsidR="00CB5119" w:rsidRPr="00450A17">
        <w:rPr>
          <w:rFonts w:cs="Arial"/>
        </w:rPr>
        <w:t xml:space="preserve"> ensure continuity of care</w:t>
      </w:r>
      <w:r w:rsidR="003802A2" w:rsidRPr="00450A17">
        <w:rPr>
          <w:rFonts w:cs="Arial"/>
        </w:rPr>
        <w:t xml:space="preserve"> </w:t>
      </w:r>
      <w:r w:rsidR="006A446B" w:rsidRPr="00450A17">
        <w:rPr>
          <w:rFonts w:cs="Arial"/>
        </w:rPr>
        <w:t>follow up</w:t>
      </w:r>
      <w:r w:rsidR="00CB5119" w:rsidRPr="00450A17">
        <w:rPr>
          <w:rFonts w:cs="Arial"/>
        </w:rPr>
        <w:t xml:space="preserve"> after a visit</w:t>
      </w:r>
      <w:r w:rsidR="005B19E4" w:rsidRPr="00450A17">
        <w:rPr>
          <w:rFonts w:cs="Arial"/>
        </w:rPr>
        <w:t xml:space="preserve"> (which is estimated to be 10 minutes</w:t>
      </w:r>
      <w:r w:rsidR="00F451C8" w:rsidRPr="00450A17">
        <w:rPr>
          <w:rFonts w:cs="Arial"/>
        </w:rPr>
        <w:t xml:space="preserve"> of staff time</w:t>
      </w:r>
      <w:r w:rsidR="005B19E4" w:rsidRPr="00450A17">
        <w:rPr>
          <w:rFonts w:cs="Arial"/>
        </w:rPr>
        <w:t xml:space="preserve"> annually per patient)</w:t>
      </w:r>
      <w:r w:rsidR="003802A2" w:rsidRPr="00450A17">
        <w:rPr>
          <w:rFonts w:cs="Arial"/>
        </w:rPr>
        <w:t xml:space="preserve">. </w:t>
      </w:r>
      <w:r w:rsidR="00882071" w:rsidRPr="00450A17">
        <w:rPr>
          <w:rFonts w:cs="Arial"/>
        </w:rPr>
        <w:t xml:space="preserve">This </w:t>
      </w:r>
      <w:r w:rsidR="00F451C8" w:rsidRPr="00450A17">
        <w:rPr>
          <w:rFonts w:cs="Arial"/>
        </w:rPr>
        <w:t xml:space="preserve">efficiency </w:t>
      </w:r>
      <w:r w:rsidR="00882071" w:rsidRPr="00450A17">
        <w:rPr>
          <w:rFonts w:cs="Arial"/>
        </w:rPr>
        <w:t xml:space="preserve">is calculated to provide an average </w:t>
      </w:r>
      <w:r w:rsidR="005F183E">
        <w:rPr>
          <w:rFonts w:cs="Arial"/>
        </w:rPr>
        <w:t xml:space="preserve">annual </w:t>
      </w:r>
      <w:r w:rsidR="00882071" w:rsidRPr="00450A17">
        <w:rPr>
          <w:rFonts w:cs="Arial"/>
        </w:rPr>
        <w:t>saving of $12.</w:t>
      </w:r>
      <w:r w:rsidR="005F183E">
        <w:rPr>
          <w:rFonts w:cs="Arial"/>
        </w:rPr>
        <w:t>5</w:t>
      </w:r>
      <w:r w:rsidR="00882071" w:rsidRPr="00450A17">
        <w:rPr>
          <w:rFonts w:cs="Arial"/>
        </w:rPr>
        <w:t xml:space="preserve"> million</w:t>
      </w:r>
      <w:r w:rsidR="00C47B30" w:rsidRPr="00450A17">
        <w:rPr>
          <w:rFonts w:cs="Arial"/>
        </w:rPr>
        <w:t xml:space="preserve"> </w:t>
      </w:r>
      <w:r w:rsidR="00882071" w:rsidRPr="00450A17">
        <w:rPr>
          <w:rFonts w:cs="Arial"/>
        </w:rPr>
        <w:t xml:space="preserve">over the first four years. </w:t>
      </w:r>
      <w:r w:rsidR="003802A2" w:rsidRPr="00450A17">
        <w:rPr>
          <w:rFonts w:cs="Arial"/>
        </w:rPr>
        <w:t xml:space="preserve"> </w:t>
      </w:r>
      <w:r w:rsidR="003802A2" w:rsidRPr="00450A17">
        <w:rPr>
          <w:rFonts w:cs="Arial"/>
        </w:rPr>
        <w:br/>
      </w:r>
      <w:r w:rsidR="003802A2" w:rsidRPr="00450A17">
        <w:rPr>
          <w:rFonts w:cs="Arial"/>
        </w:rPr>
        <w:br/>
      </w:r>
      <w:r w:rsidR="007D294B" w:rsidRPr="00450A17">
        <w:rPr>
          <w:rFonts w:cs="Arial"/>
        </w:rPr>
        <w:t xml:space="preserve">While this option represents </w:t>
      </w:r>
      <w:r w:rsidR="00694143" w:rsidRPr="00450A17">
        <w:rPr>
          <w:rFonts w:cs="Arial"/>
        </w:rPr>
        <w:t>an</w:t>
      </w:r>
      <w:r w:rsidR="007D294B" w:rsidRPr="00450A17">
        <w:rPr>
          <w:rFonts w:cs="Arial"/>
        </w:rPr>
        <w:t xml:space="preserve"> </w:t>
      </w:r>
      <w:r w:rsidR="00303496" w:rsidRPr="00450A17">
        <w:rPr>
          <w:rFonts w:cs="Arial"/>
        </w:rPr>
        <w:t xml:space="preserve">initial </w:t>
      </w:r>
      <w:r w:rsidR="007D294B" w:rsidRPr="00450A17">
        <w:rPr>
          <w:rFonts w:cs="Arial"/>
        </w:rPr>
        <w:t>regulatory cost</w:t>
      </w:r>
      <w:r w:rsidR="00303496" w:rsidRPr="00450A17">
        <w:rPr>
          <w:rFonts w:cs="Arial"/>
        </w:rPr>
        <w:t xml:space="preserve"> in the first year</w:t>
      </w:r>
      <w:r w:rsidR="007D294B" w:rsidRPr="00450A17">
        <w:rPr>
          <w:rFonts w:cs="Arial"/>
        </w:rPr>
        <w:t>,</w:t>
      </w:r>
      <w:r w:rsidR="00303496" w:rsidRPr="00450A17">
        <w:rPr>
          <w:rFonts w:cs="Arial"/>
        </w:rPr>
        <w:t xml:space="preserve"> </w:t>
      </w:r>
      <w:r w:rsidR="007D294B" w:rsidRPr="00450A17">
        <w:rPr>
          <w:rFonts w:cs="Arial"/>
        </w:rPr>
        <w:t>over time</w:t>
      </w:r>
      <w:r w:rsidR="002E56B9" w:rsidRPr="00450A17">
        <w:rPr>
          <w:rFonts w:cs="Arial"/>
        </w:rPr>
        <w:t>, following the</w:t>
      </w:r>
      <w:r w:rsidR="00303496" w:rsidRPr="00450A17">
        <w:rPr>
          <w:rFonts w:cs="Arial"/>
        </w:rPr>
        <w:t xml:space="preserve"> bulk of the </w:t>
      </w:r>
      <w:r w:rsidR="002E56B9" w:rsidRPr="00450A17">
        <w:rPr>
          <w:rFonts w:cs="Arial"/>
        </w:rPr>
        <w:t>initial registration</w:t>
      </w:r>
      <w:r w:rsidR="00303496" w:rsidRPr="00450A17">
        <w:rPr>
          <w:rFonts w:cs="Arial"/>
        </w:rPr>
        <w:t xml:space="preserve"> work</w:t>
      </w:r>
      <w:r w:rsidR="002E56B9" w:rsidRPr="00450A17">
        <w:rPr>
          <w:rFonts w:cs="Arial"/>
        </w:rPr>
        <w:t>,</w:t>
      </w:r>
      <w:r w:rsidR="007D294B" w:rsidRPr="00450A17">
        <w:rPr>
          <w:rFonts w:cs="Arial"/>
        </w:rPr>
        <w:t xml:space="preserve"> </w:t>
      </w:r>
      <w:r w:rsidR="00600B39" w:rsidRPr="00450A17">
        <w:rPr>
          <w:rFonts w:cs="Arial"/>
        </w:rPr>
        <w:t xml:space="preserve">this is mitigated </w:t>
      </w:r>
      <w:r w:rsidR="00303496" w:rsidRPr="00450A17">
        <w:rPr>
          <w:rFonts w:cs="Arial"/>
        </w:rPr>
        <w:t xml:space="preserve">through </w:t>
      </w:r>
      <w:r w:rsidR="007D294B" w:rsidRPr="00450A17">
        <w:rPr>
          <w:rFonts w:cs="Arial"/>
        </w:rPr>
        <w:t xml:space="preserve">incentives linked to VPR </w:t>
      </w:r>
      <w:r w:rsidR="00694143" w:rsidRPr="00450A17">
        <w:rPr>
          <w:rFonts w:cs="Arial"/>
        </w:rPr>
        <w:t>and efficiencies gained</w:t>
      </w:r>
      <w:r w:rsidR="006A446B" w:rsidRPr="00450A17">
        <w:rPr>
          <w:rFonts w:cs="Arial"/>
        </w:rPr>
        <w:t xml:space="preserve"> (outlined above)</w:t>
      </w:r>
      <w:r w:rsidR="00694143" w:rsidRPr="00450A17">
        <w:rPr>
          <w:rFonts w:cs="Arial"/>
        </w:rPr>
        <w:t xml:space="preserve">, </w:t>
      </w:r>
      <w:r w:rsidR="00451B18" w:rsidRPr="00450A17">
        <w:rPr>
          <w:rFonts w:cs="Arial"/>
        </w:rPr>
        <w:t xml:space="preserve">resulting </w:t>
      </w:r>
      <w:r w:rsidR="00600B39" w:rsidRPr="00450A17">
        <w:rPr>
          <w:rFonts w:cs="Arial"/>
        </w:rPr>
        <w:t>in</w:t>
      </w:r>
      <w:r w:rsidR="001311DB" w:rsidRPr="00450A17">
        <w:rPr>
          <w:rFonts w:cs="Arial"/>
        </w:rPr>
        <w:t xml:space="preserve"> a regulatory save. </w:t>
      </w:r>
    </w:p>
    <w:p w14:paraId="4A6E4A8C" w14:textId="77777777" w:rsidR="009065F5" w:rsidRPr="00450A17" w:rsidRDefault="009065F5" w:rsidP="003D0D60">
      <w:pPr>
        <w:spacing w:after="240"/>
        <w:rPr>
          <w:rFonts w:cs="Arial"/>
          <w:b/>
        </w:rPr>
      </w:pPr>
      <w:r w:rsidRPr="00450A17">
        <w:rPr>
          <w:rFonts w:cs="Arial"/>
          <w:b/>
        </w:rPr>
        <w:t>Individuals</w:t>
      </w:r>
    </w:p>
    <w:p w14:paraId="042EAB8A" w14:textId="3911C8E6" w:rsidR="00A73848" w:rsidRPr="00450A17" w:rsidRDefault="000D0CCB" w:rsidP="00A73848">
      <w:pPr>
        <w:pStyle w:val="CABParagraph"/>
        <w:spacing w:after="120" w:line="276" w:lineRule="auto"/>
        <w:rPr>
          <w:rFonts w:cs="Arial"/>
        </w:rPr>
      </w:pPr>
      <w:r w:rsidRPr="00450A17">
        <w:rPr>
          <w:rFonts w:cs="Arial"/>
          <w:bCs/>
          <w:iCs/>
        </w:rPr>
        <w:t xml:space="preserve">Implementation of VPR </w:t>
      </w:r>
      <w:r w:rsidR="00AC0B85" w:rsidRPr="00450A17">
        <w:rPr>
          <w:rFonts w:cs="Arial"/>
          <w:bCs/>
          <w:iCs/>
        </w:rPr>
        <w:t>w</w:t>
      </w:r>
      <w:r w:rsidR="00496D05" w:rsidRPr="00450A17">
        <w:rPr>
          <w:rFonts w:cs="Arial"/>
          <w:bCs/>
          <w:iCs/>
        </w:rPr>
        <w:t>ill</w:t>
      </w:r>
      <w:r w:rsidR="00AC0B85" w:rsidRPr="00450A17">
        <w:rPr>
          <w:rFonts w:cs="Arial"/>
          <w:bCs/>
          <w:iCs/>
        </w:rPr>
        <w:t xml:space="preserve"> provide patients with a ‘home base’</w:t>
      </w:r>
      <w:r w:rsidR="00B63012" w:rsidRPr="00450A17">
        <w:rPr>
          <w:rFonts w:cs="Arial"/>
          <w:bCs/>
          <w:iCs/>
        </w:rPr>
        <w:t xml:space="preserve"> platform</w:t>
      </w:r>
      <w:r w:rsidR="00AC0B85" w:rsidRPr="00450A17">
        <w:rPr>
          <w:rFonts w:cs="Arial"/>
          <w:bCs/>
          <w:iCs/>
        </w:rPr>
        <w:t xml:space="preserve"> for their health care</w:t>
      </w:r>
      <w:r w:rsidR="00B63012" w:rsidRPr="00450A17">
        <w:rPr>
          <w:rFonts w:cs="Arial"/>
          <w:bCs/>
          <w:iCs/>
        </w:rPr>
        <w:t xml:space="preserve"> that has</w:t>
      </w:r>
      <w:r w:rsidRPr="00450A17">
        <w:rPr>
          <w:rFonts w:cs="Arial"/>
          <w:bCs/>
          <w:iCs/>
        </w:rPr>
        <w:t xml:space="preserve"> their relevant health information</w:t>
      </w:r>
      <w:r w:rsidR="00B63012" w:rsidRPr="00450A17">
        <w:rPr>
          <w:rFonts w:cs="Arial"/>
          <w:bCs/>
          <w:iCs/>
        </w:rPr>
        <w:t>, including the health professionals they regularly see</w:t>
      </w:r>
      <w:r w:rsidRPr="00450A17">
        <w:rPr>
          <w:rFonts w:cs="Arial"/>
          <w:bCs/>
          <w:iCs/>
        </w:rPr>
        <w:t xml:space="preserve"> and </w:t>
      </w:r>
      <w:r w:rsidR="00B63012" w:rsidRPr="00450A17">
        <w:rPr>
          <w:rFonts w:cs="Arial"/>
          <w:bCs/>
          <w:iCs/>
        </w:rPr>
        <w:t>linkages to My Health Record</w:t>
      </w:r>
      <w:r w:rsidR="00AC0B85" w:rsidRPr="00450A17">
        <w:rPr>
          <w:rFonts w:cs="Arial"/>
          <w:bCs/>
          <w:iCs/>
        </w:rPr>
        <w:t>.</w:t>
      </w:r>
      <w:r w:rsidR="00B63012" w:rsidRPr="00450A17">
        <w:rPr>
          <w:rFonts w:cs="Arial"/>
          <w:bCs/>
          <w:iCs/>
        </w:rPr>
        <w:t xml:space="preserve"> This w</w:t>
      </w:r>
      <w:r w:rsidR="00496D05" w:rsidRPr="00450A17">
        <w:rPr>
          <w:rFonts w:cs="Arial"/>
          <w:bCs/>
          <w:iCs/>
        </w:rPr>
        <w:t>ill</w:t>
      </w:r>
      <w:r w:rsidR="00B63012" w:rsidRPr="00450A17">
        <w:rPr>
          <w:rFonts w:cs="Arial"/>
          <w:bCs/>
          <w:iCs/>
        </w:rPr>
        <w:t xml:space="preserve"> allow p</w:t>
      </w:r>
      <w:r w:rsidR="00AC0B85" w:rsidRPr="00450A17">
        <w:rPr>
          <w:rFonts w:cs="Arial"/>
          <w:bCs/>
          <w:iCs/>
        </w:rPr>
        <w:t xml:space="preserve">atients </w:t>
      </w:r>
      <w:r w:rsidR="00B63012" w:rsidRPr="00450A17">
        <w:rPr>
          <w:rFonts w:cs="Arial"/>
          <w:bCs/>
          <w:iCs/>
        </w:rPr>
        <w:t xml:space="preserve">to </w:t>
      </w:r>
      <w:r w:rsidR="00AC0B85" w:rsidRPr="00450A17">
        <w:rPr>
          <w:rFonts w:cs="Arial"/>
          <w:bCs/>
          <w:iCs/>
        </w:rPr>
        <w:t xml:space="preserve">increasingly develop </w:t>
      </w:r>
      <w:r w:rsidRPr="00450A17">
        <w:rPr>
          <w:rFonts w:cs="Arial"/>
          <w:bCs/>
          <w:iCs/>
        </w:rPr>
        <w:t xml:space="preserve">stronger and more </w:t>
      </w:r>
      <w:r w:rsidR="00AC0B85" w:rsidRPr="00450A17">
        <w:rPr>
          <w:rFonts w:cs="Arial"/>
          <w:bCs/>
          <w:iCs/>
        </w:rPr>
        <w:t>longitudinal relationships with the providers at their practice</w:t>
      </w:r>
      <w:r w:rsidRPr="00450A17">
        <w:rPr>
          <w:rFonts w:cs="Arial"/>
          <w:bCs/>
          <w:iCs/>
        </w:rPr>
        <w:t xml:space="preserve">. </w:t>
      </w:r>
      <w:r w:rsidR="00B63012" w:rsidRPr="00450A17">
        <w:rPr>
          <w:rFonts w:cs="Arial"/>
          <w:bCs/>
          <w:iCs/>
        </w:rPr>
        <w:t>P</w:t>
      </w:r>
      <w:r w:rsidRPr="00450A17">
        <w:rPr>
          <w:rFonts w:cs="Arial"/>
          <w:bCs/>
          <w:iCs/>
        </w:rPr>
        <w:t>roviders</w:t>
      </w:r>
      <w:r w:rsidR="00B63012" w:rsidRPr="00450A17">
        <w:rPr>
          <w:rFonts w:cs="Arial"/>
          <w:bCs/>
          <w:iCs/>
        </w:rPr>
        <w:t xml:space="preserve"> w</w:t>
      </w:r>
      <w:r w:rsidR="00496D05" w:rsidRPr="00450A17">
        <w:rPr>
          <w:rFonts w:cs="Arial"/>
          <w:bCs/>
          <w:iCs/>
        </w:rPr>
        <w:t>ill</w:t>
      </w:r>
      <w:r w:rsidR="00B63012" w:rsidRPr="00450A17">
        <w:rPr>
          <w:rFonts w:cs="Arial"/>
          <w:bCs/>
          <w:iCs/>
        </w:rPr>
        <w:t xml:space="preserve"> then be empowered</w:t>
      </w:r>
      <w:r w:rsidRPr="00450A17">
        <w:rPr>
          <w:rFonts w:cs="Arial"/>
          <w:bCs/>
          <w:iCs/>
        </w:rPr>
        <w:t xml:space="preserve"> to tailor their </w:t>
      </w:r>
      <w:r w:rsidR="00AC0B85" w:rsidRPr="00450A17">
        <w:rPr>
          <w:rFonts w:cs="Arial"/>
          <w:bCs/>
          <w:iCs/>
        </w:rPr>
        <w:t>care</w:t>
      </w:r>
      <w:r w:rsidRPr="00450A17">
        <w:rPr>
          <w:rFonts w:cs="Arial"/>
          <w:bCs/>
          <w:iCs/>
        </w:rPr>
        <w:t xml:space="preserve"> because they know their patients extensively</w:t>
      </w:r>
      <w:r w:rsidR="00AC0B85" w:rsidRPr="00450A17">
        <w:rPr>
          <w:rFonts w:cs="Arial"/>
          <w:bCs/>
          <w:iCs/>
        </w:rPr>
        <w:t>. Patients w</w:t>
      </w:r>
      <w:r w:rsidR="00496D05" w:rsidRPr="00450A17">
        <w:rPr>
          <w:rFonts w:cs="Arial"/>
          <w:bCs/>
          <w:iCs/>
        </w:rPr>
        <w:t>ill</w:t>
      </w:r>
      <w:r w:rsidR="00AC0B85" w:rsidRPr="00450A17">
        <w:rPr>
          <w:rFonts w:cs="Arial"/>
          <w:bCs/>
          <w:iCs/>
        </w:rPr>
        <w:t xml:space="preserve"> be more likely to receive </w:t>
      </w:r>
      <w:r w:rsidR="00941B17" w:rsidRPr="00450A17">
        <w:rPr>
          <w:rFonts w:cs="Arial"/>
          <w:bCs/>
          <w:iCs/>
        </w:rPr>
        <w:t xml:space="preserve">preventative </w:t>
      </w:r>
      <w:r w:rsidR="00AC0B85" w:rsidRPr="00450A17">
        <w:rPr>
          <w:rFonts w:cs="Arial"/>
          <w:bCs/>
          <w:iCs/>
        </w:rPr>
        <w:t>intervention for lifestyle risk factors, and to receive coordinated and comprehensive chronic disease management, leading to improvements in their health outcomes</w:t>
      </w:r>
      <w:r w:rsidR="00F05F2B" w:rsidRPr="00450A17">
        <w:rPr>
          <w:rFonts w:cs="Arial"/>
          <w:bCs/>
          <w:iCs/>
        </w:rPr>
        <w:t>.</w:t>
      </w:r>
      <w:r w:rsidR="009B01B4" w:rsidRPr="00450A17">
        <w:rPr>
          <w:rFonts w:cs="Arial"/>
          <w:bCs/>
          <w:iCs/>
        </w:rPr>
        <w:t xml:space="preserve"> </w:t>
      </w:r>
      <w:r w:rsidR="00A73848" w:rsidRPr="00450A17">
        <w:rPr>
          <w:rFonts w:cs="Arial"/>
        </w:rPr>
        <w:t xml:space="preserve">This will be particularly beneficial for </w:t>
      </w:r>
      <w:r w:rsidR="0053758C" w:rsidRPr="00450A17">
        <w:rPr>
          <w:rFonts w:cs="Arial"/>
        </w:rPr>
        <w:t xml:space="preserve">population groups that experience high rates of chronic disease, including </w:t>
      </w:r>
      <w:r w:rsidR="00A73848" w:rsidRPr="00450A17">
        <w:rPr>
          <w:rFonts w:cs="Arial"/>
        </w:rPr>
        <w:t>rural and remote communities</w:t>
      </w:r>
      <w:r w:rsidR="0053758C" w:rsidRPr="00450A17">
        <w:rPr>
          <w:rFonts w:cs="Arial"/>
        </w:rPr>
        <w:t xml:space="preserve"> and</w:t>
      </w:r>
      <w:r w:rsidR="00AC6D2D" w:rsidRPr="00450A17">
        <w:rPr>
          <w:rFonts w:cs="Arial"/>
        </w:rPr>
        <w:t xml:space="preserve"> </w:t>
      </w:r>
      <w:r w:rsidR="00A73848" w:rsidRPr="00450A17">
        <w:rPr>
          <w:rFonts w:cs="Arial"/>
        </w:rPr>
        <w:t>Aboriginal and Torres Strait Islander peoples and communities</w:t>
      </w:r>
      <w:r w:rsidR="00D30239" w:rsidRPr="00450A17">
        <w:rPr>
          <w:rFonts w:cs="Arial"/>
        </w:rPr>
        <w:t xml:space="preserve"> that statistically have poorer health outcomes than the national average</w:t>
      </w:r>
      <w:r w:rsidR="0053758C" w:rsidRPr="00450A17">
        <w:rPr>
          <w:rFonts w:cs="Arial"/>
        </w:rPr>
        <w:t>.</w:t>
      </w:r>
      <w:r w:rsidR="00A73848" w:rsidRPr="00450A17">
        <w:rPr>
          <w:rFonts w:cs="Arial"/>
        </w:rPr>
        <w:t xml:space="preserve">  </w:t>
      </w:r>
      <w:r w:rsidR="007F37A4" w:rsidRPr="00450A17">
        <w:rPr>
          <w:rFonts w:cs="Arial"/>
        </w:rPr>
        <w:t>People who are at the centre of new tied incentives and MBS items to enhance care through</w:t>
      </w:r>
      <w:r w:rsidR="0017425C" w:rsidRPr="00450A17">
        <w:rPr>
          <w:rFonts w:cs="Arial"/>
        </w:rPr>
        <w:t xml:space="preserve"> this Budget would</w:t>
      </w:r>
      <w:r w:rsidR="007F37A4" w:rsidRPr="00450A17">
        <w:rPr>
          <w:rFonts w:cs="Arial"/>
        </w:rPr>
        <w:t xml:space="preserve"> also gain significant</w:t>
      </w:r>
      <w:r w:rsidR="008E7C4A" w:rsidRPr="00450A17">
        <w:rPr>
          <w:rFonts w:cs="Arial"/>
        </w:rPr>
        <w:t xml:space="preserve"> </w:t>
      </w:r>
      <w:r w:rsidR="007F37A4" w:rsidRPr="00450A17">
        <w:rPr>
          <w:rFonts w:cs="Arial"/>
        </w:rPr>
        <w:t>benefits.</w:t>
      </w:r>
    </w:p>
    <w:p w14:paraId="0D7775F9" w14:textId="77777777" w:rsidR="00ED6D33" w:rsidRPr="00450A17" w:rsidRDefault="00ED6D33" w:rsidP="00ED6D33">
      <w:pPr>
        <w:spacing w:after="0"/>
        <w:rPr>
          <w:rFonts w:eastAsia="Times New Roman" w:cs="Arial"/>
          <w:i/>
          <w:color w:val="000000" w:themeColor="text1"/>
        </w:rPr>
      </w:pPr>
      <w:r w:rsidRPr="00450A17">
        <w:rPr>
          <w:rFonts w:eastAsia="Times New Roman" w:cs="Arial"/>
          <w:i/>
          <w:color w:val="000000" w:themeColor="text1"/>
        </w:rPr>
        <w:t xml:space="preserve">Continuity of care </w:t>
      </w:r>
    </w:p>
    <w:p w14:paraId="3AF584B5" w14:textId="515F7007" w:rsidR="00ED6D33" w:rsidRPr="00450A17" w:rsidRDefault="00BB5D8D" w:rsidP="00ED6D33">
      <w:pPr>
        <w:pStyle w:val="CAB-NumberedParagraph"/>
        <w:spacing w:line="276" w:lineRule="auto"/>
        <w:ind w:left="0" w:firstLine="0"/>
        <w:rPr>
          <w:rFonts w:cs="Arial"/>
          <w:bCs/>
        </w:rPr>
      </w:pPr>
      <w:r w:rsidRPr="00450A17">
        <w:rPr>
          <w:rFonts w:cs="Arial"/>
          <w:bCs/>
          <w:iCs/>
          <w:color w:val="000000" w:themeColor="text1"/>
        </w:rPr>
        <w:t>VPR w</w:t>
      </w:r>
      <w:r w:rsidR="00496D05" w:rsidRPr="00450A17">
        <w:rPr>
          <w:rFonts w:cs="Arial"/>
          <w:bCs/>
          <w:iCs/>
          <w:color w:val="000000" w:themeColor="text1"/>
        </w:rPr>
        <w:t>ill</w:t>
      </w:r>
      <w:r w:rsidRPr="00450A17">
        <w:rPr>
          <w:rFonts w:cs="Arial"/>
          <w:bCs/>
          <w:iCs/>
          <w:color w:val="000000" w:themeColor="text1"/>
        </w:rPr>
        <w:t xml:space="preserve"> drive</w:t>
      </w:r>
      <w:r w:rsidR="0027526C" w:rsidRPr="00450A17">
        <w:rPr>
          <w:rFonts w:cs="Arial"/>
          <w:bCs/>
          <w:iCs/>
          <w:color w:val="000000" w:themeColor="text1"/>
        </w:rPr>
        <w:t xml:space="preserve"> improvements in the</w:t>
      </w:r>
      <w:r w:rsidR="00ED6D33" w:rsidRPr="00450A17">
        <w:rPr>
          <w:rFonts w:cs="Arial"/>
          <w:bCs/>
          <w:iCs/>
          <w:color w:val="000000" w:themeColor="text1"/>
        </w:rPr>
        <w:t xml:space="preserve"> </w:t>
      </w:r>
      <w:r w:rsidR="0027526C" w:rsidRPr="00450A17">
        <w:rPr>
          <w:rFonts w:cs="Arial"/>
          <w:bCs/>
          <w:iCs/>
          <w:color w:val="000000" w:themeColor="text1"/>
        </w:rPr>
        <w:t>continuity of care, which has been shown to contribute to higher quality, integrated and person-centred care</w:t>
      </w:r>
      <w:r w:rsidR="00ED6D33" w:rsidRPr="00450A17">
        <w:rPr>
          <w:rFonts w:cs="Arial"/>
          <w:bCs/>
          <w:iCs/>
          <w:color w:val="000000" w:themeColor="text1"/>
        </w:rPr>
        <w:t xml:space="preserve">. VPR </w:t>
      </w:r>
      <w:r w:rsidR="0082274D" w:rsidRPr="00450A17">
        <w:rPr>
          <w:rFonts w:cs="Arial"/>
          <w:bCs/>
          <w:iCs/>
          <w:color w:val="000000" w:themeColor="text1"/>
        </w:rPr>
        <w:t xml:space="preserve">builds off sector and stakeholder consensus </w:t>
      </w:r>
      <w:r w:rsidR="00ED6D33" w:rsidRPr="00450A17">
        <w:rPr>
          <w:rFonts w:cs="Arial"/>
          <w:bCs/>
          <w:iCs/>
          <w:color w:val="000000" w:themeColor="text1"/>
        </w:rPr>
        <w:t xml:space="preserve">that some services are best delivered by a patient’s regular GP and practice where their clinical records are held. There is significant evidence that continuity of care leads to improved patient outcomes and satisfaction, lower mortality and decreased emergency department attendance </w:t>
      </w:r>
      <w:r w:rsidR="00ED6D33" w:rsidRPr="00450A17">
        <w:rPr>
          <w:rFonts w:cs="Arial"/>
          <w:bCs/>
          <w:iCs/>
        </w:rPr>
        <w:t xml:space="preserve">and hospitalisation. </w:t>
      </w:r>
      <w:r w:rsidR="00ED6D33" w:rsidRPr="00450A17">
        <w:rPr>
          <w:rFonts w:cs="Arial"/>
          <w:bCs/>
        </w:rPr>
        <w:t xml:space="preserve">A report by the </w:t>
      </w:r>
      <w:r w:rsidR="00ED6D33" w:rsidRPr="00450A17">
        <w:rPr>
          <w:rFonts w:cs="Arial"/>
        </w:rPr>
        <w:t xml:space="preserve">World Health Organization found that </w:t>
      </w:r>
      <w:r w:rsidR="00ED6D33" w:rsidRPr="00450A17">
        <w:rPr>
          <w:rFonts w:cs="Arial"/>
          <w:bCs/>
        </w:rPr>
        <w:t xml:space="preserve">formal links with an identifiable source of care means long-term relationships are more likely to develop, enabling continuity of </w:t>
      </w:r>
      <w:r w:rsidR="00ED6D33" w:rsidRPr="00450A17">
        <w:rPr>
          <w:rFonts w:cs="Arial"/>
        </w:rPr>
        <w:t xml:space="preserve">care </w:t>
      </w:r>
      <w:sdt>
        <w:sdtPr>
          <w:rPr>
            <w:rFonts w:cs="Arial"/>
          </w:rPr>
          <w:id w:val="1208301339"/>
          <w:citation/>
        </w:sdtPr>
        <w:sdtEndPr/>
        <w:sdtContent>
          <w:r w:rsidR="00ED6D33" w:rsidRPr="00450A17">
            <w:rPr>
              <w:rFonts w:cs="Arial"/>
            </w:rPr>
            <w:fldChar w:fldCharType="begin"/>
          </w:r>
          <w:r w:rsidR="00ED6D33" w:rsidRPr="00450A17">
            <w:rPr>
              <w:rFonts w:cs="Arial"/>
            </w:rPr>
            <w:instrText xml:space="preserve"> CITATION Wor08 \l 3081 </w:instrText>
          </w:r>
          <w:r w:rsidR="00ED6D33" w:rsidRPr="00450A17">
            <w:rPr>
              <w:rFonts w:cs="Arial"/>
            </w:rPr>
            <w:fldChar w:fldCharType="separate"/>
          </w:r>
          <w:r w:rsidR="00ED6D33" w:rsidRPr="00450A17">
            <w:rPr>
              <w:rFonts w:cs="Arial"/>
              <w:noProof/>
            </w:rPr>
            <w:t>(World Health Organisation, 2008)</w:t>
          </w:r>
          <w:r w:rsidR="00ED6D33" w:rsidRPr="00450A17">
            <w:rPr>
              <w:rFonts w:cs="Arial"/>
            </w:rPr>
            <w:fldChar w:fldCharType="end"/>
          </w:r>
        </w:sdtContent>
      </w:sdt>
      <w:r w:rsidR="00ED6D33" w:rsidRPr="00450A17">
        <w:rPr>
          <w:rFonts w:cs="Arial"/>
        </w:rPr>
        <w:t xml:space="preserve">. </w:t>
      </w:r>
    </w:p>
    <w:p w14:paraId="77F0F6E2" w14:textId="703B26C1" w:rsidR="00ED6D33" w:rsidRPr="00450A17" w:rsidRDefault="00ED6D33" w:rsidP="00ED6D33">
      <w:pPr>
        <w:pStyle w:val="CAB-NumberedParagraph"/>
        <w:spacing w:line="276" w:lineRule="auto"/>
        <w:ind w:left="0" w:firstLine="0"/>
        <w:rPr>
          <w:rFonts w:cs="Arial"/>
        </w:rPr>
      </w:pPr>
      <w:r w:rsidRPr="00450A17">
        <w:rPr>
          <w:rFonts w:cs="Arial"/>
          <w:bCs/>
        </w:rPr>
        <w:t xml:space="preserve">All patients who engage with VPR are believed to benefit from a greater continuity of care. </w:t>
      </w:r>
      <w:r w:rsidR="0053758C" w:rsidRPr="00450A17">
        <w:rPr>
          <w:rFonts w:cs="Arial"/>
          <w:bCs/>
        </w:rPr>
        <w:t xml:space="preserve">With </w:t>
      </w:r>
      <w:r w:rsidR="00550944" w:rsidRPr="00450A17">
        <w:rPr>
          <w:rFonts w:cs="Arial"/>
          <w:bCs/>
        </w:rPr>
        <w:t xml:space="preserve">the </w:t>
      </w:r>
      <w:r w:rsidR="0053758C" w:rsidRPr="00450A17">
        <w:rPr>
          <w:rFonts w:cs="Arial"/>
          <w:bCs/>
        </w:rPr>
        <w:t>introduction of targeted incentive payments, s</w:t>
      </w:r>
      <w:r w:rsidRPr="00450A17">
        <w:rPr>
          <w:rFonts w:cs="Arial"/>
          <w:bCs/>
        </w:rPr>
        <w:t xml:space="preserve">ome patient groups may particularly benefit from an enhanced relationship with their practice and their GP, including patients with chronic conditions, Aboriginal and Torres Strait Islander people, and older Australians. </w:t>
      </w:r>
      <w:r w:rsidR="007F0F41" w:rsidRPr="00450A17">
        <w:rPr>
          <w:rFonts w:cs="Arial"/>
          <w:bCs/>
        </w:rPr>
        <w:t>P</w:t>
      </w:r>
      <w:r w:rsidRPr="00450A17">
        <w:rPr>
          <w:rFonts w:cs="Arial"/>
          <w:bCs/>
        </w:rPr>
        <w:t xml:space="preserve">atients </w:t>
      </w:r>
      <w:r w:rsidR="0053758C" w:rsidRPr="00450A17">
        <w:rPr>
          <w:rFonts w:cs="Arial"/>
          <w:bCs/>
        </w:rPr>
        <w:t>who register with their practice</w:t>
      </w:r>
      <w:r w:rsidRPr="00450A17">
        <w:rPr>
          <w:rFonts w:cs="Arial"/>
          <w:bCs/>
        </w:rPr>
        <w:t xml:space="preserve"> w</w:t>
      </w:r>
      <w:r w:rsidR="00496D05" w:rsidRPr="00450A17">
        <w:rPr>
          <w:rFonts w:cs="Arial"/>
          <w:bCs/>
        </w:rPr>
        <w:t>ill</w:t>
      </w:r>
      <w:r w:rsidRPr="00450A17">
        <w:rPr>
          <w:rFonts w:cs="Arial"/>
          <w:bCs/>
        </w:rPr>
        <w:t xml:space="preserve"> benefit from practices</w:t>
      </w:r>
      <w:r w:rsidR="00985077" w:rsidRPr="00450A17">
        <w:rPr>
          <w:rFonts w:cs="Arial"/>
          <w:bCs/>
        </w:rPr>
        <w:t>’</w:t>
      </w:r>
      <w:r w:rsidR="0053758C" w:rsidRPr="00450A17">
        <w:rPr>
          <w:rFonts w:cs="Arial"/>
          <w:bCs/>
        </w:rPr>
        <w:t xml:space="preserve"> having increased knowledge of</w:t>
      </w:r>
      <w:r w:rsidRPr="00450A17">
        <w:rPr>
          <w:rFonts w:cs="Arial"/>
          <w:bCs/>
        </w:rPr>
        <w:t xml:space="preserve"> </w:t>
      </w:r>
      <w:r w:rsidR="0053758C" w:rsidRPr="00450A17">
        <w:rPr>
          <w:rFonts w:cs="Arial"/>
          <w:bCs/>
        </w:rPr>
        <w:t xml:space="preserve">their patient bases and related health needs, </w:t>
      </w:r>
      <w:r w:rsidRPr="00450A17">
        <w:rPr>
          <w:rFonts w:cs="Arial"/>
          <w:bCs/>
        </w:rPr>
        <w:t xml:space="preserve">who </w:t>
      </w:r>
      <w:r w:rsidR="0053758C" w:rsidRPr="00450A17">
        <w:rPr>
          <w:rFonts w:cs="Arial"/>
          <w:bCs/>
        </w:rPr>
        <w:t xml:space="preserve">could then </w:t>
      </w:r>
      <w:r w:rsidRPr="00450A17">
        <w:rPr>
          <w:rFonts w:cs="Arial"/>
          <w:bCs/>
        </w:rPr>
        <w:t xml:space="preserve">focus on </w:t>
      </w:r>
      <w:r w:rsidR="0053758C" w:rsidRPr="00450A17">
        <w:rPr>
          <w:rFonts w:cs="Arial"/>
          <w:bCs/>
        </w:rPr>
        <w:t xml:space="preserve">offering </w:t>
      </w:r>
      <w:r w:rsidR="007F0F41" w:rsidRPr="00450A17">
        <w:rPr>
          <w:rFonts w:cs="Arial"/>
          <w:bCs/>
        </w:rPr>
        <w:t xml:space="preserve">tailored </w:t>
      </w:r>
      <w:r w:rsidR="0053758C" w:rsidRPr="00450A17">
        <w:rPr>
          <w:rFonts w:cs="Arial"/>
          <w:bCs/>
        </w:rPr>
        <w:t xml:space="preserve">services and delivering </w:t>
      </w:r>
      <w:r w:rsidR="007F0F41" w:rsidRPr="00450A17">
        <w:rPr>
          <w:rFonts w:cs="Arial"/>
          <w:bCs/>
        </w:rPr>
        <w:t>targeted care.</w:t>
      </w:r>
      <w:r w:rsidR="0053758C" w:rsidRPr="00450A17">
        <w:rPr>
          <w:rFonts w:cs="Arial"/>
          <w:bCs/>
        </w:rPr>
        <w:t xml:space="preserve"> </w:t>
      </w:r>
    </w:p>
    <w:p w14:paraId="723C21DA" w14:textId="77777777" w:rsidR="00ED6D33" w:rsidRPr="00450A17" w:rsidRDefault="00ED6D33" w:rsidP="00ED6D33">
      <w:pPr>
        <w:rPr>
          <w:rFonts w:cs="Arial"/>
          <w:bCs/>
          <w:i/>
        </w:rPr>
      </w:pPr>
      <w:r w:rsidRPr="00450A17">
        <w:rPr>
          <w:rFonts w:cs="Arial"/>
          <w:bCs/>
          <w:i/>
        </w:rPr>
        <w:t xml:space="preserve">Multidisciplinary Care </w:t>
      </w:r>
    </w:p>
    <w:p w14:paraId="07EB9BD0" w14:textId="77777777" w:rsidR="00ED6D33" w:rsidRPr="00450A17" w:rsidRDefault="0049136B" w:rsidP="00ED6D33">
      <w:pPr>
        <w:rPr>
          <w:rFonts w:eastAsia="Times New Roman" w:cs="Arial"/>
          <w:color w:val="000000" w:themeColor="text1"/>
        </w:rPr>
      </w:pPr>
      <w:r w:rsidRPr="00450A17">
        <w:rPr>
          <w:rFonts w:eastAsia="Times New Roman" w:cs="Arial"/>
          <w:color w:val="000000" w:themeColor="text1"/>
        </w:rPr>
        <w:t>High quality primary care delivery depends on multidisciplinary care teams – harnessing the full strengths of the diverse health workforce, including GPs, nurses, nurse practitioners and midwives and allied health professionals. However, current barriers exist to inter</w:t>
      </w:r>
      <w:r w:rsidR="00103250" w:rsidRPr="00450A17">
        <w:rPr>
          <w:rFonts w:eastAsia="Times New Roman" w:cs="Arial"/>
          <w:color w:val="000000" w:themeColor="text1"/>
        </w:rPr>
        <w:t>-</w:t>
      </w:r>
      <w:r w:rsidRPr="00450A17">
        <w:rPr>
          <w:rFonts w:eastAsia="Times New Roman" w:cs="Arial"/>
          <w:color w:val="000000" w:themeColor="text1"/>
        </w:rPr>
        <w:t xml:space="preserve">professional collaboration and teamwork, resulting in worse patient outcomes. </w:t>
      </w:r>
      <w:r w:rsidR="00ED6D33" w:rsidRPr="00450A17">
        <w:rPr>
          <w:rFonts w:eastAsia="Times New Roman" w:cs="Arial"/>
          <w:color w:val="000000" w:themeColor="text1"/>
        </w:rPr>
        <w:t>VPR will</w:t>
      </w:r>
      <w:r w:rsidRPr="00450A17">
        <w:rPr>
          <w:rFonts w:eastAsia="Times New Roman" w:cs="Arial"/>
          <w:color w:val="000000" w:themeColor="text1"/>
        </w:rPr>
        <w:t xml:space="preserve"> contribute to breaking these barriers through</w:t>
      </w:r>
      <w:r w:rsidR="00ED6D33" w:rsidRPr="00450A17">
        <w:rPr>
          <w:rFonts w:eastAsia="Times New Roman" w:cs="Arial"/>
          <w:color w:val="000000" w:themeColor="text1"/>
        </w:rPr>
        <w:t xml:space="preserve"> </w:t>
      </w:r>
      <w:r w:rsidR="00BB5D8D" w:rsidRPr="00450A17">
        <w:rPr>
          <w:rFonts w:eastAsia="Times New Roman" w:cs="Arial"/>
          <w:color w:val="000000" w:themeColor="text1"/>
        </w:rPr>
        <w:t>enhance</w:t>
      </w:r>
      <w:r w:rsidR="00103250" w:rsidRPr="00450A17">
        <w:rPr>
          <w:rFonts w:eastAsia="Times New Roman" w:cs="Arial"/>
          <w:color w:val="000000" w:themeColor="text1"/>
        </w:rPr>
        <w:t>d</w:t>
      </w:r>
      <w:r w:rsidR="00BB5D8D" w:rsidRPr="00450A17">
        <w:rPr>
          <w:rFonts w:eastAsia="Times New Roman" w:cs="Arial"/>
          <w:color w:val="000000" w:themeColor="text1"/>
        </w:rPr>
        <w:t xml:space="preserve"> connection and collaboration </w:t>
      </w:r>
      <w:r w:rsidRPr="00450A17">
        <w:rPr>
          <w:rFonts w:eastAsia="Times New Roman" w:cs="Arial"/>
          <w:color w:val="000000" w:themeColor="text1"/>
        </w:rPr>
        <w:t>facilitated by</w:t>
      </w:r>
      <w:r w:rsidR="00BB5D8D" w:rsidRPr="00450A17">
        <w:rPr>
          <w:rFonts w:eastAsia="Times New Roman" w:cs="Arial"/>
          <w:color w:val="000000" w:themeColor="text1"/>
        </w:rPr>
        <w:t xml:space="preserve"> better linking members of a patient’s multidisciplinary care team. </w:t>
      </w:r>
    </w:p>
    <w:p w14:paraId="74C53886" w14:textId="1E34E0AA" w:rsidR="00490D2A" w:rsidRPr="00450A17" w:rsidRDefault="0049136B" w:rsidP="00C77CC2">
      <w:pPr>
        <w:rPr>
          <w:rFonts w:cs="Arial"/>
          <w:bCs/>
          <w:iCs/>
        </w:rPr>
      </w:pPr>
      <w:r w:rsidRPr="00450A17">
        <w:rPr>
          <w:rStyle w:val="normaltextrun"/>
          <w:rFonts w:cs="Arial"/>
          <w:color w:val="000000"/>
          <w:shd w:val="clear" w:color="auto" w:fill="FFFFFF"/>
        </w:rPr>
        <w:t xml:space="preserve">Evidence shows that connected multidisciplinary care teams contribute to better patient outcomes and increase the efficiency of the health system. </w:t>
      </w:r>
      <w:r w:rsidR="00ED6D33" w:rsidRPr="00450A17">
        <w:rPr>
          <w:rStyle w:val="normaltextrun"/>
          <w:rFonts w:cs="Arial"/>
          <w:color w:val="000000"/>
          <w:shd w:val="clear" w:color="auto" w:fill="FFFFFF"/>
        </w:rPr>
        <w:t>Benefits of multidisciplinary team-based care models include improved patient outcomes, prevention of disease, cost-effective and value-based care across the health system, greater use of the available workforce addressing shortages, reduced patient wait times, and improved attraction and retention of health professionals through rewarding career paths and job satisfaction</w:t>
      </w:r>
      <w:r w:rsidR="00244C8D" w:rsidRPr="00450A17">
        <w:rPr>
          <w:rStyle w:val="normaltextrun"/>
          <w:rFonts w:cs="Arial"/>
          <w:noProof/>
          <w:color w:val="000000"/>
          <w:shd w:val="clear" w:color="auto" w:fill="FFFFFF"/>
        </w:rPr>
        <w:t xml:space="preserve"> (Philip 2015, Mickan 2005)</w:t>
      </w:r>
      <w:r w:rsidR="00ED6D33" w:rsidRPr="00450A17">
        <w:rPr>
          <w:rStyle w:val="normaltextrun"/>
          <w:rFonts w:cs="Arial"/>
          <w:color w:val="000000"/>
          <w:shd w:val="clear" w:color="auto" w:fill="FFFFFF"/>
        </w:rPr>
        <w:t>.</w:t>
      </w:r>
      <w:r w:rsidR="00ED6D33" w:rsidRPr="00450A17">
        <w:rPr>
          <w:rFonts w:eastAsia="Times New Roman" w:cs="Arial"/>
          <w:lang w:eastAsia="en-AU"/>
        </w:rPr>
        <w:t xml:space="preserve"> There is a well-established body of evidence that supports the concept of multidisciplinary team-based care as best practice for treating many chronic conditions, which is currently</w:t>
      </w:r>
      <w:r w:rsidR="008E3266" w:rsidRPr="00450A17">
        <w:rPr>
          <w:rFonts w:eastAsia="Times New Roman" w:cs="Arial"/>
          <w:lang w:eastAsia="en-AU"/>
        </w:rPr>
        <w:t xml:space="preserve"> </w:t>
      </w:r>
      <w:r w:rsidR="00ED6D33" w:rsidRPr="00450A17">
        <w:rPr>
          <w:rFonts w:eastAsia="Times New Roman" w:cs="Arial"/>
          <w:lang w:eastAsia="en-AU"/>
        </w:rPr>
        <w:t>a significant and growing burden on the primary care system</w:t>
      </w:r>
      <w:r w:rsidR="00C73D5E" w:rsidRPr="00450A17">
        <w:rPr>
          <w:rFonts w:eastAsia="Times New Roman" w:cs="Arial"/>
          <w:noProof/>
          <w:lang w:eastAsia="en-AU"/>
        </w:rPr>
        <w:t xml:space="preserve"> (Lee</w:t>
      </w:r>
      <w:r w:rsidR="0075635E" w:rsidRPr="00450A17">
        <w:rPr>
          <w:rFonts w:eastAsia="Times New Roman" w:cs="Arial"/>
          <w:noProof/>
          <w:lang w:eastAsia="en-AU"/>
        </w:rPr>
        <w:t xml:space="preserve"> et al</w:t>
      </w:r>
      <w:r w:rsidR="00C73D5E" w:rsidRPr="00450A17">
        <w:rPr>
          <w:rFonts w:eastAsia="Times New Roman" w:cs="Arial"/>
          <w:noProof/>
          <w:lang w:eastAsia="en-AU"/>
        </w:rPr>
        <w:t xml:space="preserve"> 2021</w:t>
      </w:r>
      <w:r w:rsidR="0075635E" w:rsidRPr="00450A17">
        <w:rPr>
          <w:rFonts w:eastAsia="Times New Roman" w:cs="Arial"/>
          <w:lang w:eastAsia="en-AU"/>
        </w:rPr>
        <w:t>,</w:t>
      </w:r>
      <w:r w:rsidR="0075635E" w:rsidRPr="00450A17">
        <w:rPr>
          <w:rFonts w:eastAsia="Times New Roman" w:cs="Arial"/>
          <w:noProof/>
          <w:lang w:eastAsia="en-AU"/>
        </w:rPr>
        <w:t xml:space="preserve"> Kruis et al</w:t>
      </w:r>
      <w:r w:rsidR="00C73D5E" w:rsidRPr="00450A17">
        <w:rPr>
          <w:rFonts w:eastAsia="Times New Roman" w:cs="Arial"/>
          <w:noProof/>
          <w:lang w:eastAsia="en-AU"/>
        </w:rPr>
        <w:t xml:space="preserve"> 2013</w:t>
      </w:r>
      <w:r w:rsidR="0075635E" w:rsidRPr="00450A17">
        <w:rPr>
          <w:rFonts w:eastAsia="Times New Roman" w:cs="Arial"/>
          <w:noProof/>
          <w:lang w:eastAsia="en-AU"/>
        </w:rPr>
        <w:t>,</w:t>
      </w:r>
      <w:r w:rsidR="00C73D5E" w:rsidRPr="00450A17">
        <w:rPr>
          <w:rFonts w:eastAsia="Times New Roman" w:cs="Arial"/>
          <w:noProof/>
          <w:lang w:eastAsia="en-AU"/>
        </w:rPr>
        <w:t xml:space="preserve"> Gregg</w:t>
      </w:r>
      <w:r w:rsidR="0075635E" w:rsidRPr="00450A17">
        <w:rPr>
          <w:rFonts w:eastAsia="Times New Roman" w:cs="Arial"/>
          <w:noProof/>
          <w:lang w:eastAsia="en-AU"/>
        </w:rPr>
        <w:t xml:space="preserve"> et al</w:t>
      </w:r>
      <w:r w:rsidR="00C73D5E" w:rsidRPr="00450A17">
        <w:rPr>
          <w:rFonts w:eastAsia="Times New Roman" w:cs="Arial"/>
          <w:noProof/>
          <w:lang w:eastAsia="en-AU"/>
        </w:rPr>
        <w:t xml:space="preserve"> 2011)</w:t>
      </w:r>
      <w:r w:rsidR="00ED6D33" w:rsidRPr="00450A17">
        <w:rPr>
          <w:rFonts w:eastAsia="Times New Roman" w:cs="Arial"/>
          <w:lang w:eastAsia="en-AU"/>
        </w:rPr>
        <w:t>.</w:t>
      </w:r>
    </w:p>
    <w:p w14:paraId="7D978673" w14:textId="77777777" w:rsidR="0084625F" w:rsidRPr="00450A17" w:rsidRDefault="0084625F" w:rsidP="0017425C">
      <w:pPr>
        <w:keepNext/>
        <w:rPr>
          <w:rFonts w:cs="Arial"/>
          <w:bCs/>
          <w:iCs/>
        </w:rPr>
      </w:pPr>
      <w:r w:rsidRPr="00450A17">
        <w:rPr>
          <w:rFonts w:cs="Arial"/>
          <w:bCs/>
          <w:i/>
          <w:iCs/>
        </w:rPr>
        <w:t>Access t</w:t>
      </w:r>
      <w:r w:rsidR="00EB6F4D" w:rsidRPr="00450A17">
        <w:rPr>
          <w:rFonts w:cs="Arial"/>
          <w:bCs/>
          <w:i/>
          <w:iCs/>
        </w:rPr>
        <w:t>o services</w:t>
      </w:r>
    </w:p>
    <w:p w14:paraId="487421A7" w14:textId="3A4E9103" w:rsidR="000B0CA0" w:rsidRPr="00450A17" w:rsidRDefault="0091517C" w:rsidP="000B0CA0">
      <w:pPr>
        <w:spacing w:after="160" w:line="256" w:lineRule="auto"/>
        <w:rPr>
          <w:rStyle w:val="StyleArial10pt"/>
        </w:rPr>
      </w:pPr>
      <w:r w:rsidRPr="00450A17">
        <w:t xml:space="preserve">VPR can </w:t>
      </w:r>
      <w:r w:rsidR="008B0749" w:rsidRPr="00450A17">
        <w:t xml:space="preserve">act as a mechanism for </w:t>
      </w:r>
      <w:r w:rsidR="00CF7190" w:rsidRPr="00450A17">
        <w:t>targeted i</w:t>
      </w:r>
      <w:r w:rsidRPr="00450A17">
        <w:t>ncentive</w:t>
      </w:r>
      <w:r w:rsidR="002007AC" w:rsidRPr="00450A17">
        <w:t xml:space="preserve"> </w:t>
      </w:r>
      <w:r w:rsidRPr="00450A17">
        <w:t xml:space="preserve">payments </w:t>
      </w:r>
      <w:r w:rsidR="002007AC" w:rsidRPr="00450A17">
        <w:t>that improve access to healthcare</w:t>
      </w:r>
      <w:r w:rsidRPr="00450A17">
        <w:t xml:space="preserve">. </w:t>
      </w:r>
      <w:r w:rsidR="00A81292" w:rsidRPr="00450A17">
        <w:t xml:space="preserve">For example, </w:t>
      </w:r>
      <w:r w:rsidR="001D420A" w:rsidRPr="00450A17">
        <w:t xml:space="preserve">there are current challenges ensuring that </w:t>
      </w:r>
      <w:r w:rsidR="002007AC" w:rsidRPr="00450A17">
        <w:t xml:space="preserve">people living in residential aged care homes </w:t>
      </w:r>
      <w:r w:rsidR="001D420A" w:rsidRPr="00450A17">
        <w:t xml:space="preserve">have adequate access to GP services. </w:t>
      </w:r>
      <w:r w:rsidR="000B0CA0" w:rsidRPr="00450A17">
        <w:t xml:space="preserve">The Aged Care Royal Commission found that access to GPs is limited for many Residential Aged Care Home (RACH) </w:t>
      </w:r>
      <w:r w:rsidR="007F37A4" w:rsidRPr="00450A17">
        <w:t>resident</w:t>
      </w:r>
      <w:r w:rsidR="000B0CA0" w:rsidRPr="00450A17">
        <w:t>s. Over the last five years, 40% of RACH residents have not received continuity of care (over 70% of care) from one GP</w:t>
      </w:r>
      <w:r w:rsidR="001F7848" w:rsidRPr="00450A17">
        <w:t xml:space="preserve"> (Maarsingh et al, 2016)</w:t>
      </w:r>
      <w:r w:rsidR="007334A6" w:rsidRPr="00450A17">
        <w:t>.</w:t>
      </w:r>
      <w:r w:rsidR="00B175BD" w:rsidRPr="00450A17">
        <w:t xml:space="preserve"> Once VPR is implemented, all residents will be able to be matched with a GP and general practice to receive a quality bundle of care, with the matching process supported by Primary Health Networks and RACHs. </w:t>
      </w:r>
    </w:p>
    <w:p w14:paraId="63136768" w14:textId="40DC5316" w:rsidR="003D05B7" w:rsidRPr="00450A17" w:rsidRDefault="003D05B7" w:rsidP="003D05B7">
      <w:r w:rsidRPr="00450A17">
        <w:t>The Wrap-around Care for Freq</w:t>
      </w:r>
      <w:r w:rsidR="0017425C" w:rsidRPr="00450A17">
        <w:t>uent Hospital Users program would</w:t>
      </w:r>
      <w:r w:rsidRPr="00450A17">
        <w:t xml:space="preserve"> also utilise the VPR system to link people with chronic conditions with a regular general practice. The VPR system will enable the practice to which the patient is linked to access an incentive payment to facilitate continuous, coordinated and multidisciplinary care for that patient. </w:t>
      </w:r>
    </w:p>
    <w:p w14:paraId="3BF9CE9A" w14:textId="4D989BA6" w:rsidR="00B175BD" w:rsidRPr="00450A17" w:rsidRDefault="008B0749" w:rsidP="00E6167A">
      <w:pPr>
        <w:rPr>
          <w:rFonts w:cs="Arial"/>
          <w:bCs/>
          <w:iCs/>
        </w:rPr>
      </w:pPr>
      <w:r w:rsidRPr="00450A17">
        <w:rPr>
          <w:rFonts w:cs="Arial"/>
          <w:bCs/>
          <w:iCs/>
        </w:rPr>
        <w:t>There is a</w:t>
      </w:r>
      <w:r w:rsidR="009065F5" w:rsidRPr="00450A17">
        <w:rPr>
          <w:rFonts w:cs="Arial"/>
          <w:bCs/>
          <w:iCs/>
        </w:rPr>
        <w:t xml:space="preserve"> risk </w:t>
      </w:r>
      <w:r w:rsidR="00B175BD" w:rsidRPr="00450A17">
        <w:rPr>
          <w:rFonts w:cs="Arial"/>
          <w:bCs/>
          <w:iCs/>
        </w:rPr>
        <w:t xml:space="preserve">to access </w:t>
      </w:r>
      <w:r w:rsidR="009065F5" w:rsidRPr="00450A17">
        <w:rPr>
          <w:rFonts w:cs="Arial"/>
          <w:bCs/>
          <w:iCs/>
        </w:rPr>
        <w:t>for patients who choose not to, or are otherwise unable to, register for VPR</w:t>
      </w:r>
      <w:r w:rsidRPr="00450A17">
        <w:rPr>
          <w:rFonts w:cs="Arial"/>
          <w:bCs/>
          <w:iCs/>
        </w:rPr>
        <w:t>. These patients may experience</w:t>
      </w:r>
      <w:r w:rsidR="009065F5" w:rsidRPr="00450A17">
        <w:rPr>
          <w:rFonts w:cs="Arial"/>
          <w:bCs/>
          <w:iCs/>
        </w:rPr>
        <w:t xml:space="preserve"> difficulty accessing services available through registration. This risk will be mitigated </w:t>
      </w:r>
      <w:r w:rsidR="00A30800" w:rsidRPr="00450A17">
        <w:rPr>
          <w:rFonts w:cs="Arial"/>
          <w:bCs/>
          <w:iCs/>
        </w:rPr>
        <w:t>by the fact that access to</w:t>
      </w:r>
      <w:r w:rsidR="00B175BD" w:rsidRPr="00450A17">
        <w:rPr>
          <w:rFonts w:cs="Arial"/>
          <w:bCs/>
          <w:iCs/>
        </w:rPr>
        <w:t xml:space="preserve"> primary</w:t>
      </w:r>
      <w:r w:rsidR="00A30800" w:rsidRPr="00450A17">
        <w:rPr>
          <w:rFonts w:cs="Arial"/>
          <w:bCs/>
          <w:iCs/>
        </w:rPr>
        <w:t xml:space="preserve"> healthcare</w:t>
      </w:r>
      <w:r w:rsidR="00B175BD" w:rsidRPr="00450A17">
        <w:rPr>
          <w:rFonts w:cs="Arial"/>
          <w:bCs/>
          <w:iCs/>
        </w:rPr>
        <w:t xml:space="preserve"> through Medicare</w:t>
      </w:r>
      <w:r w:rsidR="00A30800" w:rsidRPr="00450A17">
        <w:rPr>
          <w:rFonts w:cs="Arial"/>
          <w:bCs/>
          <w:iCs/>
        </w:rPr>
        <w:t xml:space="preserve"> remains a fundamental principle and </w:t>
      </w:r>
      <w:r w:rsidR="00B175BD" w:rsidRPr="00450A17">
        <w:rPr>
          <w:rFonts w:cs="Arial"/>
          <w:bCs/>
          <w:iCs/>
        </w:rPr>
        <w:t xml:space="preserve">it is expected that </w:t>
      </w:r>
      <w:r w:rsidR="007039C4" w:rsidRPr="00450A17">
        <w:rPr>
          <w:rFonts w:cs="Arial"/>
          <w:bCs/>
          <w:iCs/>
        </w:rPr>
        <w:t>the vast majority of</w:t>
      </w:r>
      <w:r w:rsidR="00A30800" w:rsidRPr="00450A17">
        <w:rPr>
          <w:rFonts w:cs="Arial"/>
          <w:bCs/>
          <w:iCs/>
        </w:rPr>
        <w:t xml:space="preserve"> services will remain available to both registered and unregistered patients. </w:t>
      </w:r>
      <w:r w:rsidR="00B175BD" w:rsidRPr="00450A17">
        <w:rPr>
          <w:rFonts w:cs="Arial"/>
          <w:bCs/>
          <w:iCs/>
        </w:rPr>
        <w:t xml:space="preserve">VPR unlocks additional services </w:t>
      </w:r>
      <w:r w:rsidRPr="00450A17">
        <w:rPr>
          <w:rFonts w:cs="Arial"/>
          <w:bCs/>
          <w:iCs/>
        </w:rPr>
        <w:t xml:space="preserve">but </w:t>
      </w:r>
      <w:r w:rsidR="00B175BD" w:rsidRPr="00450A17">
        <w:rPr>
          <w:rFonts w:cs="Arial"/>
          <w:bCs/>
          <w:iCs/>
        </w:rPr>
        <w:t xml:space="preserve">does not change access to the services available through Medicare before its implementation.  </w:t>
      </w:r>
    </w:p>
    <w:p w14:paraId="0DDD008D" w14:textId="4B5DEDAD" w:rsidR="007039C4" w:rsidRPr="00450A17" w:rsidRDefault="00A30800" w:rsidP="00E6167A">
      <w:pPr>
        <w:rPr>
          <w:rFonts w:cs="Arial"/>
        </w:rPr>
      </w:pPr>
      <w:r w:rsidRPr="00450A17">
        <w:rPr>
          <w:rFonts w:cs="Arial"/>
          <w:bCs/>
          <w:iCs/>
        </w:rPr>
        <w:t xml:space="preserve">In addition, </w:t>
      </w:r>
      <w:r w:rsidR="002C4EFA" w:rsidRPr="00450A17">
        <w:rPr>
          <w:rFonts w:cs="Arial"/>
          <w:bCs/>
          <w:iCs/>
        </w:rPr>
        <w:t>reduced eligibility requirements</w:t>
      </w:r>
      <w:r w:rsidR="009065F5" w:rsidRPr="00450A17">
        <w:rPr>
          <w:rFonts w:cs="Arial"/>
          <w:bCs/>
          <w:iCs/>
        </w:rPr>
        <w:t xml:space="preserve"> for patients of practices in </w:t>
      </w:r>
      <w:r w:rsidR="009065F5" w:rsidRPr="00450A17">
        <w:rPr>
          <w:rFonts w:cs="Arial"/>
        </w:rPr>
        <w:t xml:space="preserve">MMM 6-7 areas and Aboriginal Community Controlled Health Services, and other populations that may experience issues in engaging effectively with primary care </w:t>
      </w:r>
      <w:r w:rsidR="00EB6F4D" w:rsidRPr="00450A17">
        <w:rPr>
          <w:rFonts w:cs="Arial"/>
        </w:rPr>
        <w:t>(</w:t>
      </w:r>
      <w:r w:rsidR="00C53733" w:rsidRPr="00450A17">
        <w:rPr>
          <w:rFonts w:cs="Arial"/>
        </w:rPr>
        <w:t>see Section 4 - Option 2 Implementation of VPR</w:t>
      </w:r>
      <w:r w:rsidR="00EB6F4D" w:rsidRPr="00450A17">
        <w:rPr>
          <w:rFonts w:cs="Arial"/>
        </w:rPr>
        <w:t>)</w:t>
      </w:r>
      <w:r w:rsidRPr="00450A17">
        <w:rPr>
          <w:rFonts w:cs="Arial"/>
        </w:rPr>
        <w:t xml:space="preserve"> will allow patients that have not previously been engaged in primary care to register</w:t>
      </w:r>
      <w:r w:rsidR="009065F5" w:rsidRPr="00450A17">
        <w:rPr>
          <w:rFonts w:cs="Arial"/>
        </w:rPr>
        <w:t xml:space="preserve">. </w:t>
      </w:r>
      <w:r w:rsidR="00B175BD" w:rsidRPr="00450A17">
        <w:rPr>
          <w:rFonts w:cs="Arial"/>
        </w:rPr>
        <w:t>This will be supported by a targeted communications strategy, including engagement materials for national and local peak and community organisations.</w:t>
      </w:r>
    </w:p>
    <w:p w14:paraId="797D3E15" w14:textId="5F4E8185" w:rsidR="00F56DD3" w:rsidRPr="00450A17" w:rsidRDefault="009065F5" w:rsidP="000710A9">
      <w:pPr>
        <w:rPr>
          <w:rFonts w:cs="Arial"/>
          <w:b/>
        </w:rPr>
      </w:pPr>
      <w:r w:rsidRPr="00450A17">
        <w:rPr>
          <w:rFonts w:cs="Arial"/>
        </w:rPr>
        <w:t xml:space="preserve">Ongoing monitoring of barriers to registration and related impacts will be an important aspect of program monitoring and evaluation processes. </w:t>
      </w:r>
    </w:p>
    <w:p w14:paraId="79572B30" w14:textId="3572358D" w:rsidR="009065F5" w:rsidRPr="00450A17" w:rsidRDefault="009065F5" w:rsidP="004B7B93">
      <w:pPr>
        <w:spacing w:before="100" w:beforeAutospacing="1" w:after="100" w:afterAutospacing="1"/>
        <w:rPr>
          <w:rFonts w:cs="Arial"/>
          <w:b/>
        </w:rPr>
      </w:pPr>
      <w:r w:rsidRPr="00450A17">
        <w:rPr>
          <w:rFonts w:cs="Arial"/>
          <w:b/>
        </w:rPr>
        <w:t>Health care providers and practices</w:t>
      </w:r>
    </w:p>
    <w:p w14:paraId="2020C28E" w14:textId="77777777" w:rsidR="00ED6D33" w:rsidRPr="00450A17" w:rsidRDefault="00ED6D33" w:rsidP="00ED6D33">
      <w:pPr>
        <w:rPr>
          <w:rFonts w:cs="Arial"/>
          <w:bCs/>
          <w:i/>
        </w:rPr>
      </w:pPr>
      <w:r w:rsidRPr="00450A17">
        <w:rPr>
          <w:rFonts w:cs="Arial"/>
          <w:bCs/>
          <w:i/>
        </w:rPr>
        <w:t>Increased patient and service insights</w:t>
      </w:r>
    </w:p>
    <w:p w14:paraId="23D48DA4" w14:textId="3FD398BB" w:rsidR="00ED6D33" w:rsidRPr="00450A17" w:rsidRDefault="00ED6D33" w:rsidP="00ED6D33">
      <w:pPr>
        <w:rPr>
          <w:rFonts w:cs="Arial"/>
        </w:rPr>
      </w:pPr>
      <w:r w:rsidRPr="00450A17">
        <w:rPr>
          <w:rFonts w:cs="Arial"/>
          <w:bCs/>
        </w:rPr>
        <w:t xml:space="preserve">Registration gives practices a better understanding of their patient base and their health needs </w:t>
      </w:r>
      <w:r w:rsidR="00CE5D0C" w:rsidRPr="00450A17">
        <w:rPr>
          <w:rFonts w:cs="Arial"/>
          <w:bCs/>
        </w:rPr>
        <w:t>enabling them to</w:t>
      </w:r>
      <w:r w:rsidRPr="00450A17">
        <w:rPr>
          <w:rFonts w:cs="Arial"/>
          <w:bCs/>
        </w:rPr>
        <w:t xml:space="preserve"> better tailor their services to </w:t>
      </w:r>
      <w:r w:rsidR="00737299" w:rsidRPr="00450A17">
        <w:rPr>
          <w:rFonts w:cs="Arial"/>
          <w:bCs/>
        </w:rPr>
        <w:t>deliver person-centred care</w:t>
      </w:r>
      <w:r w:rsidRPr="00450A17">
        <w:rPr>
          <w:rFonts w:cs="Arial"/>
          <w:bCs/>
        </w:rPr>
        <w:t xml:space="preserve">. </w:t>
      </w:r>
      <w:r w:rsidR="00B175BD" w:rsidRPr="00450A17">
        <w:rPr>
          <w:rFonts w:cs="Arial"/>
          <w:bCs/>
        </w:rPr>
        <w:t>Insights from the</w:t>
      </w:r>
      <w:r w:rsidR="007603B9" w:rsidRPr="00450A17">
        <w:rPr>
          <w:rFonts w:cs="Arial"/>
          <w:bCs/>
        </w:rPr>
        <w:t xml:space="preserve"> sector</w:t>
      </w:r>
      <w:r w:rsidR="00B175BD" w:rsidRPr="00450A17">
        <w:rPr>
          <w:rFonts w:cs="Arial"/>
          <w:bCs/>
        </w:rPr>
        <w:t xml:space="preserve"> through the Primary Health Care 10 Year Plan and the Strengthening Medicare Taskforce indicate</w:t>
      </w:r>
      <w:r w:rsidR="00633BAB" w:rsidRPr="00450A17">
        <w:rPr>
          <w:rFonts w:cs="Arial"/>
          <w:bCs/>
        </w:rPr>
        <w:t xml:space="preserve"> that </w:t>
      </w:r>
      <w:r w:rsidRPr="00450A17">
        <w:rPr>
          <w:rFonts w:cs="Arial"/>
          <w:bCs/>
        </w:rPr>
        <w:t>GPs</w:t>
      </w:r>
      <w:r w:rsidR="00B175BD" w:rsidRPr="00450A17">
        <w:rPr>
          <w:rFonts w:cs="Arial"/>
          <w:bCs/>
        </w:rPr>
        <w:t xml:space="preserve"> and practices</w:t>
      </w:r>
      <w:r w:rsidRPr="00450A17">
        <w:rPr>
          <w:rFonts w:cs="Arial"/>
          <w:bCs/>
        </w:rPr>
        <w:t xml:space="preserve"> w</w:t>
      </w:r>
      <w:r w:rsidR="00496D05" w:rsidRPr="00450A17">
        <w:rPr>
          <w:rFonts w:cs="Arial"/>
          <w:bCs/>
        </w:rPr>
        <w:t>ill</w:t>
      </w:r>
      <w:r w:rsidRPr="00450A17">
        <w:rPr>
          <w:rFonts w:cs="Arial"/>
          <w:bCs/>
        </w:rPr>
        <w:t xml:space="preserve"> be more invested in</w:t>
      </w:r>
      <w:r w:rsidR="00006972" w:rsidRPr="00450A17">
        <w:rPr>
          <w:rFonts w:cs="Arial"/>
          <w:bCs/>
        </w:rPr>
        <w:t xml:space="preserve"> delivering</w:t>
      </w:r>
      <w:r w:rsidRPr="00450A17">
        <w:rPr>
          <w:rFonts w:cs="Arial"/>
          <w:bCs/>
        </w:rPr>
        <w:t xml:space="preserve"> prevent</w:t>
      </w:r>
      <w:r w:rsidR="00006972" w:rsidRPr="00450A17">
        <w:rPr>
          <w:rFonts w:cs="Arial"/>
          <w:bCs/>
        </w:rPr>
        <w:t>at</w:t>
      </w:r>
      <w:r w:rsidRPr="00450A17">
        <w:rPr>
          <w:rFonts w:cs="Arial"/>
          <w:bCs/>
        </w:rPr>
        <w:t>ive care and improving patient activation and health literacy of their registered patients, knowing that the patient has nominate</w:t>
      </w:r>
      <w:r w:rsidR="00006972" w:rsidRPr="00450A17">
        <w:rPr>
          <w:rFonts w:cs="Arial"/>
          <w:bCs/>
        </w:rPr>
        <w:t>d</w:t>
      </w:r>
      <w:r w:rsidRPr="00450A17">
        <w:rPr>
          <w:rFonts w:cs="Arial"/>
          <w:bCs/>
        </w:rPr>
        <w:t xml:space="preserve"> them as their regular provider. </w:t>
      </w:r>
      <w:r w:rsidR="007603B9" w:rsidRPr="00450A17">
        <w:rPr>
          <w:rFonts w:cs="Arial"/>
          <w:bCs/>
        </w:rPr>
        <w:t xml:space="preserve"> </w:t>
      </w:r>
      <w:r w:rsidR="009554A9" w:rsidRPr="00450A17">
        <w:rPr>
          <w:rFonts w:cs="Arial"/>
          <w:bCs/>
        </w:rPr>
        <w:t xml:space="preserve">Given there is no formal, national registration process, submissions </w:t>
      </w:r>
      <w:r w:rsidR="007603B9" w:rsidRPr="00450A17">
        <w:rPr>
          <w:rFonts w:cs="Arial"/>
          <w:bCs/>
        </w:rPr>
        <w:t xml:space="preserve">from </w:t>
      </w:r>
      <w:r w:rsidR="009554A9" w:rsidRPr="00450A17">
        <w:rPr>
          <w:rFonts w:cs="Arial"/>
          <w:bCs/>
        </w:rPr>
        <w:t>primary care</w:t>
      </w:r>
      <w:r w:rsidR="007603B9" w:rsidRPr="00450A17">
        <w:rPr>
          <w:rFonts w:cs="Arial"/>
          <w:bCs/>
        </w:rPr>
        <w:t xml:space="preserve"> sector</w:t>
      </w:r>
      <w:r w:rsidR="009554A9" w:rsidRPr="00450A17">
        <w:rPr>
          <w:rFonts w:cs="Arial"/>
          <w:bCs/>
        </w:rPr>
        <w:t xml:space="preserve"> leaders</w:t>
      </w:r>
      <w:r w:rsidR="007603B9" w:rsidRPr="00450A17">
        <w:rPr>
          <w:rFonts w:cs="Arial"/>
          <w:bCs/>
        </w:rPr>
        <w:t xml:space="preserve"> also suggests that </w:t>
      </w:r>
      <w:r w:rsidR="009554A9" w:rsidRPr="00450A17">
        <w:rPr>
          <w:rFonts w:cs="Arial"/>
          <w:bCs/>
        </w:rPr>
        <w:t xml:space="preserve">most general </w:t>
      </w:r>
      <w:r w:rsidR="007603B9" w:rsidRPr="00450A17">
        <w:rPr>
          <w:rFonts w:cs="Arial"/>
          <w:bCs/>
        </w:rPr>
        <w:t>practices</w:t>
      </w:r>
      <w:r w:rsidR="00BD37BD" w:rsidRPr="00450A17">
        <w:rPr>
          <w:rFonts w:cs="Arial"/>
          <w:bCs/>
        </w:rPr>
        <w:t xml:space="preserve"> </w:t>
      </w:r>
      <w:r w:rsidR="007603B9" w:rsidRPr="00450A17">
        <w:rPr>
          <w:rFonts w:cs="Arial"/>
          <w:bCs/>
        </w:rPr>
        <w:t>do not formally track who their regular patients are</w:t>
      </w:r>
      <w:r w:rsidR="000015D0" w:rsidRPr="00450A17">
        <w:rPr>
          <w:rFonts w:cs="Arial"/>
          <w:bCs/>
        </w:rPr>
        <w:t>, and risks associated with this are commonly not addressed</w:t>
      </w:r>
      <w:r w:rsidR="00BD37BD" w:rsidRPr="00450A17">
        <w:rPr>
          <w:rFonts w:cs="Arial"/>
          <w:bCs/>
        </w:rPr>
        <w:t xml:space="preserve">. </w:t>
      </w:r>
      <w:r w:rsidR="007603B9" w:rsidRPr="00450A17">
        <w:rPr>
          <w:rFonts w:cs="Arial"/>
          <w:bCs/>
        </w:rPr>
        <w:t xml:space="preserve"> </w:t>
      </w:r>
      <w:r w:rsidR="0091517C" w:rsidRPr="00450A17">
        <w:rPr>
          <w:rFonts w:cs="Arial"/>
          <w:bCs/>
        </w:rPr>
        <w:t>W</w:t>
      </w:r>
      <w:r w:rsidRPr="00450A17">
        <w:rPr>
          <w:rFonts w:cs="Arial"/>
        </w:rPr>
        <w:t>ithout a system for patient registration</w:t>
      </w:r>
      <w:r w:rsidR="0091517C" w:rsidRPr="00450A17">
        <w:rPr>
          <w:rFonts w:cs="Arial"/>
        </w:rPr>
        <w:t>,</w:t>
      </w:r>
      <w:r w:rsidRPr="00450A17">
        <w:rPr>
          <w:rFonts w:cs="Arial"/>
          <w:bCs/>
        </w:rPr>
        <w:t xml:space="preserve"> GPs</w:t>
      </w:r>
      <w:r w:rsidR="007603B9" w:rsidRPr="00450A17">
        <w:rPr>
          <w:rFonts w:cs="Arial"/>
          <w:bCs/>
        </w:rPr>
        <w:t xml:space="preserve"> are more likely to</w:t>
      </w:r>
      <w:r w:rsidRPr="00450A17">
        <w:rPr>
          <w:rFonts w:cs="Arial"/>
          <w:bCs/>
        </w:rPr>
        <w:t xml:space="preserve"> be uncertain of who their regular patients are, which makes it less likely that the benefits </w:t>
      </w:r>
      <w:r w:rsidR="00006972" w:rsidRPr="00450A17">
        <w:rPr>
          <w:rFonts w:cs="Arial"/>
          <w:bCs/>
        </w:rPr>
        <w:t>of</w:t>
      </w:r>
      <w:r w:rsidRPr="00450A17">
        <w:rPr>
          <w:rFonts w:cs="Arial"/>
          <w:bCs/>
        </w:rPr>
        <w:t xml:space="preserve"> continuity of care w</w:t>
      </w:r>
      <w:r w:rsidR="00496D05" w:rsidRPr="00450A17">
        <w:rPr>
          <w:rFonts w:cs="Arial"/>
          <w:bCs/>
        </w:rPr>
        <w:t>ill</w:t>
      </w:r>
      <w:r w:rsidRPr="00450A17">
        <w:rPr>
          <w:rFonts w:cs="Arial"/>
          <w:bCs/>
        </w:rPr>
        <w:t xml:space="preserve"> be </w:t>
      </w:r>
      <w:r w:rsidR="00006972" w:rsidRPr="00450A17">
        <w:rPr>
          <w:rFonts w:cs="Arial"/>
          <w:bCs/>
        </w:rPr>
        <w:t xml:space="preserve">realised </w:t>
      </w:r>
      <w:sdt>
        <w:sdtPr>
          <w:rPr>
            <w:rFonts w:cs="Arial"/>
            <w:bCs/>
          </w:rPr>
          <w:id w:val="-1694761398"/>
          <w:citation/>
        </w:sdtPr>
        <w:sdtEndPr/>
        <w:sdtContent>
          <w:r w:rsidRPr="00450A17">
            <w:rPr>
              <w:rFonts w:cs="Arial"/>
              <w:bCs/>
            </w:rPr>
            <w:fldChar w:fldCharType="begin"/>
          </w:r>
          <w:r w:rsidRPr="00450A17">
            <w:rPr>
              <w:rFonts w:cs="Arial"/>
              <w:bCs/>
            </w:rPr>
            <w:instrText xml:space="preserve"> CITATION Wri18 \l 3081 </w:instrText>
          </w:r>
          <w:r w:rsidRPr="00450A17">
            <w:rPr>
              <w:rFonts w:cs="Arial"/>
              <w:bCs/>
            </w:rPr>
            <w:fldChar w:fldCharType="separate"/>
          </w:r>
          <w:r w:rsidRPr="00450A17">
            <w:rPr>
              <w:rFonts w:cs="Arial"/>
              <w:noProof/>
            </w:rPr>
            <w:t>(Wright, 2018)</w:t>
          </w:r>
          <w:r w:rsidRPr="00450A17">
            <w:rPr>
              <w:rFonts w:cs="Arial"/>
              <w:bCs/>
            </w:rPr>
            <w:fldChar w:fldCharType="end"/>
          </w:r>
        </w:sdtContent>
      </w:sdt>
      <w:r w:rsidRPr="00450A17">
        <w:rPr>
          <w:rFonts w:cs="Arial"/>
          <w:bCs/>
        </w:rPr>
        <w:t>.</w:t>
      </w:r>
      <w:r w:rsidR="00BB5EB1" w:rsidRPr="00450A17">
        <w:rPr>
          <w:rFonts w:cs="Arial"/>
          <w:bCs/>
        </w:rPr>
        <w:t xml:space="preserve"> </w:t>
      </w:r>
      <w:r w:rsidRPr="00450A17">
        <w:rPr>
          <w:rFonts w:cs="Arial"/>
          <w:bCs/>
        </w:rPr>
        <w:t>VPR w</w:t>
      </w:r>
      <w:r w:rsidR="00496D05" w:rsidRPr="00450A17">
        <w:rPr>
          <w:rFonts w:cs="Arial"/>
          <w:bCs/>
        </w:rPr>
        <w:t>ill</w:t>
      </w:r>
      <w:r w:rsidRPr="00450A17">
        <w:rPr>
          <w:rFonts w:cs="Arial"/>
          <w:bCs/>
        </w:rPr>
        <w:t xml:space="preserve"> </w:t>
      </w:r>
      <w:r w:rsidRPr="00450A17">
        <w:rPr>
          <w:rFonts w:cs="Arial"/>
        </w:rPr>
        <w:t xml:space="preserve">encourage practices to build continuity of care into their business model, ensuring support for longitudinal care and population health, as well as acute/episodic care. </w:t>
      </w:r>
      <w:r w:rsidR="00526840" w:rsidRPr="00450A17">
        <w:rPr>
          <w:rFonts w:cs="Arial"/>
        </w:rPr>
        <w:t>It</w:t>
      </w:r>
      <w:r w:rsidRPr="00450A17">
        <w:rPr>
          <w:rFonts w:cs="Arial"/>
        </w:rPr>
        <w:t xml:space="preserve"> will also provide transparency of the quality care bundles for priority cohorts that will be incentivised by government and prompt and support practices and providers to meet these expectations providing an improvement in service delivery and health outcomes.</w:t>
      </w:r>
    </w:p>
    <w:p w14:paraId="2C4A8E11" w14:textId="77777777" w:rsidR="00ED6D33" w:rsidRPr="00450A17" w:rsidRDefault="00ED6D33" w:rsidP="00ED6D33">
      <w:pPr>
        <w:rPr>
          <w:rFonts w:cs="Arial"/>
          <w:i/>
        </w:rPr>
      </w:pPr>
      <w:r w:rsidRPr="00450A17">
        <w:rPr>
          <w:rFonts w:cs="Arial"/>
          <w:i/>
        </w:rPr>
        <w:t>VPR as a platform for funding change</w:t>
      </w:r>
    </w:p>
    <w:p w14:paraId="4338F293" w14:textId="7D56E205" w:rsidR="00ED6D33" w:rsidRPr="00450A17" w:rsidRDefault="00ED6D33" w:rsidP="00ED6D33">
      <w:pPr>
        <w:rPr>
          <w:rFonts w:cs="Arial"/>
          <w:bCs/>
          <w:iCs/>
        </w:rPr>
      </w:pPr>
      <w:r w:rsidRPr="00450A17">
        <w:rPr>
          <w:rFonts w:cs="Arial"/>
          <w:bCs/>
          <w:iCs/>
        </w:rPr>
        <w:t>Through forming a platform for targeted incentive payments for specific cohorts most likely to benefit, VPR provides a mechanism for future funding reform to shift to more blended funded models</w:t>
      </w:r>
      <w:r w:rsidR="00773D0D" w:rsidRPr="00450A17">
        <w:rPr>
          <w:rFonts w:cs="Arial"/>
          <w:bCs/>
          <w:iCs/>
        </w:rPr>
        <w:t xml:space="preserve">. This </w:t>
      </w:r>
      <w:r w:rsidRPr="00450A17">
        <w:rPr>
          <w:rFonts w:cs="Arial"/>
          <w:bCs/>
          <w:iCs/>
        </w:rPr>
        <w:t>align</w:t>
      </w:r>
      <w:r w:rsidR="00773D0D" w:rsidRPr="00450A17">
        <w:rPr>
          <w:rFonts w:cs="Arial"/>
          <w:bCs/>
          <w:iCs/>
        </w:rPr>
        <w:t xml:space="preserve">s </w:t>
      </w:r>
      <w:r w:rsidRPr="00450A17">
        <w:rPr>
          <w:rFonts w:cs="Arial"/>
          <w:bCs/>
          <w:iCs/>
        </w:rPr>
        <w:t xml:space="preserve">with the recommendations of the Taskforce, and with international evidence of best practice. </w:t>
      </w:r>
    </w:p>
    <w:p w14:paraId="7ABEC76B" w14:textId="3B7D2A26" w:rsidR="00ED6D33" w:rsidRPr="00450A17" w:rsidRDefault="00ED6D33" w:rsidP="00480067">
      <w:pPr>
        <w:rPr>
          <w:rStyle w:val="normaltextrun"/>
          <w:rFonts w:eastAsiaTheme="majorEastAsia" w:cs="Arial"/>
          <w:color w:val="000000"/>
          <w:shd w:val="clear" w:color="auto" w:fill="FFFFFF"/>
        </w:rPr>
      </w:pPr>
      <w:r w:rsidRPr="00450A17">
        <w:rPr>
          <w:rStyle w:val="normaltextrun"/>
          <w:rFonts w:cs="Arial"/>
          <w:color w:val="000000"/>
          <w:shd w:val="clear" w:color="auto" w:fill="FFFFFF"/>
        </w:rPr>
        <w:t xml:space="preserve">Participation in VPR could allow a practice to receive incentives based on the </w:t>
      </w:r>
      <w:r w:rsidR="0017425C" w:rsidRPr="00450A17">
        <w:rPr>
          <w:rStyle w:val="normaltextrun"/>
          <w:rFonts w:cs="Arial"/>
          <w:color w:val="000000"/>
          <w:shd w:val="clear" w:color="auto" w:fill="FFFFFF"/>
        </w:rPr>
        <w:t>care needs of their patients</w:t>
      </w:r>
      <w:r w:rsidRPr="00450A17">
        <w:rPr>
          <w:rStyle w:val="normaltextrun"/>
          <w:rFonts w:cs="Arial"/>
          <w:color w:val="000000"/>
          <w:shd w:val="clear" w:color="auto" w:fill="FFFFFF"/>
        </w:rPr>
        <w:t>, rather than purely volume-based, transactional care, and provide the basis for a more equitable distribution of funding for the care of disadvantaged groups.</w:t>
      </w:r>
      <w:r w:rsidR="003261B5" w:rsidRPr="00450A17">
        <w:rPr>
          <w:rStyle w:val="normaltextrun"/>
          <w:rFonts w:cs="Arial"/>
          <w:color w:val="000000"/>
          <w:shd w:val="clear" w:color="auto" w:fill="FFFFFF"/>
        </w:rPr>
        <w:t xml:space="preserve"> </w:t>
      </w:r>
      <w:r w:rsidR="004214FB" w:rsidRPr="00450A17">
        <w:rPr>
          <w:rStyle w:val="normaltextrun"/>
          <w:rFonts w:cs="Arial"/>
          <w:color w:val="000000"/>
          <w:shd w:val="clear" w:color="auto" w:fill="FFFFFF"/>
        </w:rPr>
        <w:t>This change to revenue streams</w:t>
      </w:r>
      <w:r w:rsidR="00F8251A" w:rsidRPr="00450A17">
        <w:rPr>
          <w:rStyle w:val="normaltextrun"/>
          <w:rFonts w:cs="Arial"/>
          <w:color w:val="000000"/>
          <w:shd w:val="clear" w:color="auto" w:fill="FFFFFF"/>
        </w:rPr>
        <w:t xml:space="preserve"> </w:t>
      </w:r>
      <w:r w:rsidR="004214FB" w:rsidRPr="00450A17">
        <w:rPr>
          <w:rStyle w:val="normaltextrun"/>
          <w:rFonts w:cs="Arial"/>
          <w:color w:val="000000"/>
          <w:shd w:val="clear" w:color="auto" w:fill="FFFFFF"/>
        </w:rPr>
        <w:t>through an increased proportion of funding coming through incentive payments</w:t>
      </w:r>
      <w:r w:rsidR="00F8251A" w:rsidRPr="00450A17">
        <w:rPr>
          <w:rStyle w:val="normaltextrun"/>
          <w:rFonts w:cs="Arial"/>
          <w:color w:val="000000"/>
          <w:shd w:val="clear" w:color="auto" w:fill="FFFFFF"/>
        </w:rPr>
        <w:t xml:space="preserve"> linked to registered payments </w:t>
      </w:r>
      <w:r w:rsidR="0017425C" w:rsidRPr="00450A17">
        <w:rPr>
          <w:rStyle w:val="normaltextrun"/>
          <w:rFonts w:cs="Arial"/>
          <w:color w:val="000000"/>
          <w:shd w:val="clear" w:color="auto" w:fill="FFFFFF"/>
        </w:rPr>
        <w:t>would</w:t>
      </w:r>
      <w:r w:rsidR="004214FB" w:rsidRPr="00450A17">
        <w:rPr>
          <w:rStyle w:val="normaltextrun"/>
          <w:rFonts w:cs="Arial"/>
          <w:color w:val="000000"/>
          <w:shd w:val="clear" w:color="auto" w:fill="FFFFFF"/>
        </w:rPr>
        <w:t xml:space="preserve"> mean practices will have greater revenue certainty</w:t>
      </w:r>
      <w:r w:rsidR="00E64C94" w:rsidRPr="00450A17">
        <w:rPr>
          <w:rStyle w:val="normaltextrun"/>
          <w:rFonts w:cs="Arial"/>
          <w:color w:val="000000"/>
          <w:shd w:val="clear" w:color="auto" w:fill="FFFFFF"/>
        </w:rPr>
        <w:t>, with a</w:t>
      </w:r>
      <w:r w:rsidR="00F8251A" w:rsidRPr="00450A17">
        <w:rPr>
          <w:rStyle w:val="normaltextrun"/>
          <w:rFonts w:cs="Arial"/>
          <w:color w:val="000000"/>
          <w:shd w:val="clear" w:color="auto" w:fill="FFFFFF"/>
        </w:rPr>
        <w:t xml:space="preserve"> smaller proportion of revenue be</w:t>
      </w:r>
      <w:r w:rsidR="00E64C94" w:rsidRPr="00450A17">
        <w:rPr>
          <w:rStyle w:val="normaltextrun"/>
          <w:rFonts w:cs="Arial"/>
          <w:color w:val="000000"/>
          <w:shd w:val="clear" w:color="auto" w:fill="FFFFFF"/>
        </w:rPr>
        <w:t>ing</w:t>
      </w:r>
      <w:r w:rsidR="00F8251A" w:rsidRPr="00450A17">
        <w:rPr>
          <w:rStyle w:val="normaltextrun"/>
          <w:rFonts w:cs="Arial"/>
          <w:color w:val="000000"/>
          <w:shd w:val="clear" w:color="auto" w:fill="FFFFFF"/>
        </w:rPr>
        <w:t xml:space="preserve"> drawn from </w:t>
      </w:r>
      <w:r w:rsidR="00E64C94" w:rsidRPr="00450A17">
        <w:rPr>
          <w:rStyle w:val="normaltextrun"/>
          <w:rFonts w:cs="Arial"/>
          <w:color w:val="000000"/>
          <w:shd w:val="clear" w:color="auto" w:fill="FFFFFF"/>
        </w:rPr>
        <w:t xml:space="preserve">fee-for-service care. This </w:t>
      </w:r>
      <w:r w:rsidR="0017425C" w:rsidRPr="00450A17">
        <w:rPr>
          <w:rStyle w:val="normaltextrun"/>
          <w:rFonts w:cs="Arial"/>
          <w:color w:val="000000"/>
          <w:shd w:val="clear" w:color="auto" w:fill="FFFFFF"/>
        </w:rPr>
        <w:t xml:space="preserve">would </w:t>
      </w:r>
      <w:r w:rsidR="00E64C94" w:rsidRPr="00450A17">
        <w:rPr>
          <w:rStyle w:val="normaltextrun"/>
          <w:rFonts w:cs="Arial"/>
          <w:color w:val="000000"/>
          <w:shd w:val="clear" w:color="auto" w:fill="FFFFFF"/>
        </w:rPr>
        <w:t>increase sustainability and improve ongoing viability for practices.</w:t>
      </w:r>
    </w:p>
    <w:p w14:paraId="03F541CB" w14:textId="4D5E21F4" w:rsidR="00AE6188" w:rsidRPr="00450A17" w:rsidRDefault="003D05B7" w:rsidP="00195254">
      <w:pPr>
        <w:rPr>
          <w:rFonts w:eastAsiaTheme="majorEastAsia" w:cs="Arial"/>
          <w:color w:val="000000"/>
          <w:shd w:val="clear" w:color="auto" w:fill="FFFFFF"/>
        </w:rPr>
      </w:pPr>
      <w:r w:rsidRPr="00450A17">
        <w:rPr>
          <w:rStyle w:val="normaltextrun"/>
          <w:rFonts w:eastAsiaTheme="majorEastAsia" w:cs="Arial"/>
          <w:color w:val="000000"/>
          <w:shd w:val="clear" w:color="auto" w:fill="FFFFFF"/>
        </w:rPr>
        <w:t xml:space="preserve">For example, the Wrap-around Care for Frequent Hospital Users program will enable practices to receive incentive payments for each VPR-registered patient in the program, enabling the practice to tailor care for the patients’ complex and chronic conditions. The incentive payment will provide the practice with funding certainty so that appropriate services can be sourced for program participants, but will not inhibit the practice from accessing MBS items for services delivered. </w:t>
      </w:r>
      <w:r w:rsidRPr="00450A17">
        <w:rPr>
          <w:rStyle w:val="normaltextrun"/>
          <w:rFonts w:eastAsiaTheme="majorEastAsia" w:cs="Arial"/>
          <w:color w:val="000000"/>
          <w:shd w:val="clear" w:color="auto" w:fill="FFFFFF"/>
        </w:rPr>
        <w:br/>
      </w:r>
      <w:r w:rsidRPr="00450A17">
        <w:rPr>
          <w:rFonts w:cs="Arial"/>
        </w:rPr>
        <w:br/>
      </w:r>
      <w:r w:rsidR="00FB7890" w:rsidRPr="00450A17">
        <w:rPr>
          <w:rFonts w:cs="Arial"/>
        </w:rPr>
        <w:t xml:space="preserve">Practices who register their patients will be able to better identify their consumer base, and provide tailored, comprehensive and coordinated health care to them. </w:t>
      </w:r>
      <w:r w:rsidR="004B1EC8" w:rsidRPr="00450A17">
        <w:rPr>
          <w:rFonts w:cs="Arial"/>
        </w:rPr>
        <w:t>VPR will facilitate the systematic collection of patient-level primary care data that w</w:t>
      </w:r>
      <w:r w:rsidR="00496D05" w:rsidRPr="00450A17">
        <w:rPr>
          <w:rFonts w:cs="Arial"/>
        </w:rPr>
        <w:t>ill</w:t>
      </w:r>
      <w:r w:rsidR="004B1EC8" w:rsidRPr="00450A17">
        <w:rPr>
          <w:rFonts w:cs="Arial"/>
        </w:rPr>
        <w:t xml:space="preserve"> support continuous quality improvement at provider and practice level.</w:t>
      </w:r>
      <w:r w:rsidR="00085D4C" w:rsidRPr="00450A17">
        <w:rPr>
          <w:rFonts w:cs="Arial"/>
        </w:rPr>
        <w:t xml:space="preserve"> This will allow better collection of population-level clinical information and assist with system planning and resource allocation, especially providing more targeted blended funding. </w:t>
      </w:r>
    </w:p>
    <w:p w14:paraId="0E988958" w14:textId="13265B90" w:rsidR="004B1EC8" w:rsidRPr="00450A17" w:rsidRDefault="004B1EC8" w:rsidP="00CE5D0C">
      <w:pPr>
        <w:spacing w:after="0"/>
        <w:textAlignment w:val="baseline"/>
        <w:rPr>
          <w:rFonts w:cs="Arial"/>
          <w:bCs/>
          <w:iCs/>
        </w:rPr>
      </w:pPr>
      <w:r w:rsidRPr="00450A17">
        <w:rPr>
          <w:rFonts w:cs="Arial"/>
          <w:bCs/>
          <w:iCs/>
        </w:rPr>
        <w:t>Under this option, over the first four years there w</w:t>
      </w:r>
      <w:r w:rsidR="00496D05" w:rsidRPr="00450A17">
        <w:rPr>
          <w:rFonts w:cs="Arial"/>
          <w:bCs/>
          <w:iCs/>
        </w:rPr>
        <w:t>ill</w:t>
      </w:r>
      <w:r w:rsidRPr="00450A17">
        <w:rPr>
          <w:rFonts w:cs="Arial"/>
          <w:bCs/>
          <w:iCs/>
        </w:rPr>
        <w:t xml:space="preserve"> be an average regulatory </w:t>
      </w:r>
      <w:r w:rsidR="003866EF" w:rsidRPr="00450A17">
        <w:rPr>
          <w:rFonts w:cs="Arial"/>
          <w:bCs/>
          <w:iCs/>
        </w:rPr>
        <w:t>save</w:t>
      </w:r>
      <w:r w:rsidRPr="00450A17">
        <w:rPr>
          <w:rFonts w:cs="Arial"/>
          <w:bCs/>
          <w:iCs/>
        </w:rPr>
        <w:t xml:space="preserve"> of $</w:t>
      </w:r>
      <w:r w:rsidR="006654F8" w:rsidRPr="00450A17">
        <w:rPr>
          <w:rFonts w:cs="Arial"/>
          <w:bCs/>
          <w:iCs/>
        </w:rPr>
        <w:t>22.9</w:t>
      </w:r>
      <w:r w:rsidR="003866EF" w:rsidRPr="00450A17">
        <w:rPr>
          <w:rFonts w:cs="Arial"/>
          <w:bCs/>
          <w:iCs/>
        </w:rPr>
        <w:t> </w:t>
      </w:r>
      <w:r w:rsidRPr="00450A17">
        <w:rPr>
          <w:rFonts w:cs="Arial"/>
          <w:bCs/>
          <w:iCs/>
        </w:rPr>
        <w:t xml:space="preserve">million annually to business (noting that these </w:t>
      </w:r>
      <w:r w:rsidR="00F22374" w:rsidRPr="00450A17">
        <w:rPr>
          <w:rFonts w:cs="Arial"/>
          <w:bCs/>
          <w:iCs/>
        </w:rPr>
        <w:t xml:space="preserve">saves </w:t>
      </w:r>
      <w:r w:rsidRPr="00450A17">
        <w:rPr>
          <w:rFonts w:cs="Arial"/>
          <w:bCs/>
          <w:iCs/>
        </w:rPr>
        <w:t>w</w:t>
      </w:r>
      <w:r w:rsidR="00496D05" w:rsidRPr="00450A17">
        <w:rPr>
          <w:rFonts w:cs="Arial"/>
          <w:bCs/>
          <w:iCs/>
        </w:rPr>
        <w:t>ill</w:t>
      </w:r>
      <w:r w:rsidRPr="00450A17">
        <w:rPr>
          <w:rFonts w:cs="Arial"/>
          <w:bCs/>
          <w:iCs/>
        </w:rPr>
        <w:t xml:space="preserve"> </w:t>
      </w:r>
      <w:r w:rsidR="00F22374" w:rsidRPr="00450A17">
        <w:rPr>
          <w:rFonts w:cs="Arial"/>
          <w:bCs/>
          <w:iCs/>
        </w:rPr>
        <w:t xml:space="preserve">increase </w:t>
      </w:r>
      <w:r w:rsidRPr="00450A17">
        <w:rPr>
          <w:rFonts w:cs="Arial"/>
          <w:bCs/>
          <w:iCs/>
        </w:rPr>
        <w:t>over time as i</w:t>
      </w:r>
      <w:r w:rsidR="006538F1" w:rsidRPr="00450A17">
        <w:rPr>
          <w:rFonts w:cs="Arial"/>
          <w:bCs/>
          <w:iCs/>
        </w:rPr>
        <w:t>mplementation costs decrease</w:t>
      </w:r>
      <w:r w:rsidR="00573E91" w:rsidRPr="00450A17">
        <w:rPr>
          <w:rFonts w:cs="Arial"/>
          <w:bCs/>
          <w:iCs/>
        </w:rPr>
        <w:t xml:space="preserve"> and further incentives and MBS items that are </w:t>
      </w:r>
      <w:r w:rsidR="0017425C" w:rsidRPr="00450A17">
        <w:rPr>
          <w:rFonts w:cs="Arial"/>
          <w:bCs/>
          <w:iCs/>
        </w:rPr>
        <w:t>more effective when supported by</w:t>
      </w:r>
      <w:r w:rsidR="00573E91" w:rsidRPr="00450A17">
        <w:rPr>
          <w:rFonts w:cs="Arial"/>
          <w:bCs/>
          <w:iCs/>
        </w:rPr>
        <w:t xml:space="preserve"> continuity of care are linked to VPR</w:t>
      </w:r>
      <w:r w:rsidR="006538F1" w:rsidRPr="00450A17">
        <w:rPr>
          <w:rFonts w:cs="Arial"/>
          <w:bCs/>
          <w:iCs/>
        </w:rPr>
        <w:t xml:space="preserve">). </w:t>
      </w:r>
      <w:r w:rsidRPr="00450A17">
        <w:rPr>
          <w:rFonts w:cs="Arial"/>
          <w:bCs/>
          <w:iCs/>
        </w:rPr>
        <w:t>Practice participation w</w:t>
      </w:r>
      <w:r w:rsidR="00496D05" w:rsidRPr="00450A17">
        <w:rPr>
          <w:rFonts w:cs="Arial"/>
          <w:bCs/>
          <w:iCs/>
        </w:rPr>
        <w:t>ill</w:t>
      </w:r>
      <w:r w:rsidRPr="00450A17">
        <w:rPr>
          <w:rFonts w:cs="Arial"/>
          <w:bCs/>
          <w:iCs/>
        </w:rPr>
        <w:t xml:space="preserve"> require additional administrative work via familiar ICT portals, however, participation w</w:t>
      </w:r>
      <w:r w:rsidR="00496D05" w:rsidRPr="00450A17">
        <w:rPr>
          <w:rFonts w:cs="Arial"/>
          <w:bCs/>
          <w:iCs/>
        </w:rPr>
        <w:t xml:space="preserve">ill </w:t>
      </w:r>
      <w:r w:rsidRPr="00450A17">
        <w:rPr>
          <w:rFonts w:cs="Arial"/>
          <w:bCs/>
          <w:iCs/>
        </w:rPr>
        <w:t xml:space="preserve">be voluntary for practices and limited to </w:t>
      </w:r>
      <w:r w:rsidR="00480067" w:rsidRPr="00450A17">
        <w:rPr>
          <w:rFonts w:cs="Arial"/>
          <w:bCs/>
          <w:iCs/>
        </w:rPr>
        <w:t>patient’s</w:t>
      </w:r>
      <w:r w:rsidRPr="00450A17">
        <w:rPr>
          <w:rFonts w:cs="Arial"/>
          <w:bCs/>
          <w:iCs/>
        </w:rPr>
        <w:t xml:space="preserve"> voluntarily providing consent to register. The system being built by Services Australia w</w:t>
      </w:r>
      <w:r w:rsidR="00496D05" w:rsidRPr="00450A17">
        <w:rPr>
          <w:rFonts w:cs="Arial"/>
          <w:bCs/>
          <w:iCs/>
        </w:rPr>
        <w:t>ill</w:t>
      </w:r>
      <w:r w:rsidRPr="00450A17">
        <w:rPr>
          <w:rFonts w:cs="Arial"/>
          <w:bCs/>
          <w:iCs/>
        </w:rPr>
        <w:t xml:space="preserve"> leverage existing database attributes</w:t>
      </w:r>
      <w:r w:rsidR="00981F6D" w:rsidRPr="00450A17">
        <w:rPr>
          <w:rFonts w:cs="Arial"/>
          <w:bCs/>
          <w:iCs/>
        </w:rPr>
        <w:t xml:space="preserve">, </w:t>
      </w:r>
      <w:r w:rsidRPr="00450A17">
        <w:rPr>
          <w:rFonts w:cs="Arial"/>
          <w:bCs/>
          <w:iCs/>
        </w:rPr>
        <w:t>support streamlined processes</w:t>
      </w:r>
      <w:r w:rsidR="00981F6D" w:rsidRPr="00450A17">
        <w:rPr>
          <w:rFonts w:cs="Arial"/>
          <w:bCs/>
          <w:iCs/>
        </w:rPr>
        <w:t>,</w:t>
      </w:r>
      <w:r w:rsidRPr="00450A17">
        <w:rPr>
          <w:rFonts w:cs="Arial"/>
          <w:bCs/>
          <w:iCs/>
        </w:rPr>
        <w:t xml:space="preserve"> and minimise the burden on practices and GPs where possible. </w:t>
      </w:r>
      <w:r w:rsidR="00FE67D1" w:rsidRPr="00450A17">
        <w:rPr>
          <w:rFonts w:cs="Arial"/>
          <w:bCs/>
          <w:iCs/>
        </w:rPr>
        <w:br/>
      </w:r>
    </w:p>
    <w:p w14:paraId="15CA88BE" w14:textId="0DC0CF29" w:rsidR="00FF185E" w:rsidRPr="00450A17" w:rsidRDefault="004B1EC8" w:rsidP="00832957">
      <w:pPr>
        <w:rPr>
          <w:rFonts w:cs="Arial"/>
          <w:bCs/>
          <w:iCs/>
        </w:rPr>
      </w:pPr>
      <w:r w:rsidRPr="00450A17">
        <w:rPr>
          <w:rFonts w:cs="Arial"/>
          <w:bCs/>
          <w:iCs/>
        </w:rPr>
        <w:t>We anticipate that this proposal w</w:t>
      </w:r>
      <w:r w:rsidR="00DA62E5" w:rsidRPr="00450A17">
        <w:rPr>
          <w:rFonts w:cs="Arial"/>
          <w:bCs/>
          <w:iCs/>
        </w:rPr>
        <w:t>ill</w:t>
      </w:r>
      <w:r w:rsidRPr="00450A17">
        <w:rPr>
          <w:rFonts w:cs="Arial"/>
          <w:bCs/>
          <w:iCs/>
        </w:rPr>
        <w:t xml:space="preserve"> have few competition impacts</w:t>
      </w:r>
      <w:r w:rsidR="00E3451D" w:rsidRPr="00450A17">
        <w:rPr>
          <w:rFonts w:cs="Arial"/>
          <w:bCs/>
          <w:iCs/>
        </w:rPr>
        <w:t>. R</w:t>
      </w:r>
      <w:r w:rsidRPr="00450A17">
        <w:rPr>
          <w:rFonts w:cs="Arial"/>
          <w:bCs/>
          <w:iCs/>
        </w:rPr>
        <w:t>egistered patients w</w:t>
      </w:r>
      <w:r w:rsidR="00DA62E5" w:rsidRPr="00450A17">
        <w:rPr>
          <w:rFonts w:cs="Arial"/>
          <w:bCs/>
          <w:iCs/>
        </w:rPr>
        <w:t>ill</w:t>
      </w:r>
      <w:r w:rsidRPr="00450A17">
        <w:rPr>
          <w:rFonts w:cs="Arial"/>
          <w:bCs/>
          <w:iCs/>
        </w:rPr>
        <w:t xml:space="preserve"> be the practice’s usual patients, and </w:t>
      </w:r>
      <w:r w:rsidR="00AB6434" w:rsidRPr="00450A17">
        <w:rPr>
          <w:rFonts w:cs="Arial"/>
          <w:bCs/>
          <w:iCs/>
        </w:rPr>
        <w:t xml:space="preserve">registered </w:t>
      </w:r>
      <w:r w:rsidRPr="00450A17">
        <w:rPr>
          <w:rFonts w:cs="Arial"/>
          <w:bCs/>
          <w:iCs/>
        </w:rPr>
        <w:t xml:space="preserve">patients </w:t>
      </w:r>
      <w:r w:rsidR="00AB6434" w:rsidRPr="00450A17">
        <w:rPr>
          <w:rFonts w:cs="Arial"/>
          <w:bCs/>
          <w:iCs/>
        </w:rPr>
        <w:t>remain</w:t>
      </w:r>
      <w:r w:rsidRPr="00450A17">
        <w:rPr>
          <w:rFonts w:cs="Arial"/>
          <w:bCs/>
          <w:iCs/>
        </w:rPr>
        <w:t xml:space="preserve"> free to visit other GPs or practices. </w:t>
      </w:r>
      <w:r w:rsidR="00FF185E" w:rsidRPr="00450A17">
        <w:rPr>
          <w:rFonts w:cs="Arial"/>
          <w:bCs/>
          <w:iCs/>
        </w:rPr>
        <w:t xml:space="preserve">It is also important to note that </w:t>
      </w:r>
      <w:r w:rsidR="00E3451D" w:rsidRPr="00450A17">
        <w:rPr>
          <w:rFonts w:cs="Arial"/>
          <w:bCs/>
          <w:iCs/>
        </w:rPr>
        <w:t>practices</w:t>
      </w:r>
      <w:r w:rsidR="00FF185E" w:rsidRPr="00450A17">
        <w:rPr>
          <w:rFonts w:cs="Arial"/>
          <w:bCs/>
          <w:iCs/>
        </w:rPr>
        <w:t xml:space="preserve"> already</w:t>
      </w:r>
      <w:r w:rsidR="00E3451D" w:rsidRPr="00450A17">
        <w:rPr>
          <w:rFonts w:cs="Arial"/>
          <w:bCs/>
          <w:iCs/>
        </w:rPr>
        <w:t xml:space="preserve"> operate in a competitive market</w:t>
      </w:r>
      <w:r w:rsidR="00971D3C" w:rsidRPr="00450A17">
        <w:rPr>
          <w:rFonts w:cs="Arial"/>
          <w:bCs/>
          <w:iCs/>
        </w:rPr>
        <w:t xml:space="preserve">, </w:t>
      </w:r>
      <w:r w:rsidR="00E3451D" w:rsidRPr="00450A17">
        <w:rPr>
          <w:rFonts w:cs="Arial"/>
          <w:bCs/>
          <w:iCs/>
        </w:rPr>
        <w:t>and it is at their discretion how they operate their business</w:t>
      </w:r>
      <w:r w:rsidR="000710A9" w:rsidRPr="00450A17">
        <w:rPr>
          <w:rFonts w:cs="Arial"/>
          <w:bCs/>
          <w:iCs/>
        </w:rPr>
        <w:t xml:space="preserve"> and on the model of care provided to patients</w:t>
      </w:r>
      <w:r w:rsidR="00E3451D" w:rsidRPr="00450A17">
        <w:rPr>
          <w:rFonts w:cs="Arial"/>
          <w:bCs/>
          <w:iCs/>
        </w:rPr>
        <w:t xml:space="preserve">. </w:t>
      </w:r>
      <w:r w:rsidR="007170B4" w:rsidRPr="00450A17">
        <w:rPr>
          <w:rFonts w:cs="Arial"/>
          <w:bCs/>
          <w:iCs/>
        </w:rPr>
        <w:t>T</w:t>
      </w:r>
      <w:r w:rsidR="00E64C94" w:rsidRPr="00450A17">
        <w:rPr>
          <w:rFonts w:cs="Arial"/>
          <w:bCs/>
          <w:iCs/>
        </w:rPr>
        <w:t>he</w:t>
      </w:r>
      <w:r w:rsidR="007170B4" w:rsidRPr="00450A17">
        <w:rPr>
          <w:rFonts w:cs="Arial"/>
          <w:bCs/>
          <w:iCs/>
        </w:rPr>
        <w:t>re is</w:t>
      </w:r>
      <w:r w:rsidRPr="00450A17">
        <w:rPr>
          <w:rFonts w:cs="Arial"/>
          <w:bCs/>
          <w:iCs/>
        </w:rPr>
        <w:t xml:space="preserve"> potential for </w:t>
      </w:r>
      <w:r w:rsidR="00971D3C" w:rsidRPr="00450A17">
        <w:rPr>
          <w:rFonts w:cs="Arial"/>
          <w:bCs/>
          <w:iCs/>
        </w:rPr>
        <w:t xml:space="preserve">greater </w:t>
      </w:r>
      <w:r w:rsidRPr="00450A17">
        <w:rPr>
          <w:rFonts w:cs="Arial"/>
          <w:bCs/>
          <w:iCs/>
        </w:rPr>
        <w:t xml:space="preserve">competition between registered practices and non-registered practices, </w:t>
      </w:r>
      <w:r w:rsidR="00E64C94" w:rsidRPr="00450A17">
        <w:rPr>
          <w:rFonts w:cs="Arial"/>
          <w:bCs/>
          <w:iCs/>
        </w:rPr>
        <w:t xml:space="preserve">in the context of attracting and retaining patient bases. </w:t>
      </w:r>
      <w:r w:rsidR="006F4FF2" w:rsidRPr="00450A17">
        <w:rPr>
          <w:rFonts w:cs="Arial"/>
          <w:bCs/>
          <w:iCs/>
        </w:rPr>
        <w:t xml:space="preserve">This competition is </w:t>
      </w:r>
      <w:r w:rsidR="00391D11" w:rsidRPr="00450A17">
        <w:rPr>
          <w:rFonts w:cs="Arial"/>
          <w:bCs/>
          <w:iCs/>
        </w:rPr>
        <w:t xml:space="preserve">likely </w:t>
      </w:r>
      <w:r w:rsidR="006F4FF2" w:rsidRPr="00450A17">
        <w:rPr>
          <w:rFonts w:cs="Arial"/>
          <w:bCs/>
          <w:iCs/>
        </w:rPr>
        <w:t>to have positive impacts</w:t>
      </w:r>
      <w:r w:rsidR="009B3705" w:rsidRPr="00450A17">
        <w:rPr>
          <w:rFonts w:cs="Arial"/>
          <w:bCs/>
          <w:iCs/>
        </w:rPr>
        <w:t xml:space="preserve"> for patients</w:t>
      </w:r>
      <w:r w:rsidR="006F4FF2" w:rsidRPr="00450A17">
        <w:rPr>
          <w:rFonts w:cs="Arial"/>
          <w:bCs/>
          <w:iCs/>
        </w:rPr>
        <w:t>, as practices will</w:t>
      </w:r>
      <w:r w:rsidR="00A76186" w:rsidRPr="00450A17">
        <w:rPr>
          <w:rFonts w:cs="Arial"/>
          <w:bCs/>
          <w:iCs/>
        </w:rPr>
        <w:t xml:space="preserve"> be motivated to </w:t>
      </w:r>
      <w:r w:rsidR="009B3705" w:rsidRPr="00450A17">
        <w:rPr>
          <w:rFonts w:cs="Arial"/>
          <w:bCs/>
          <w:iCs/>
        </w:rPr>
        <w:t>encourage patient retention</w:t>
      </w:r>
      <w:r w:rsidR="000710A9" w:rsidRPr="00450A17">
        <w:rPr>
          <w:rFonts w:cs="Arial"/>
          <w:bCs/>
          <w:iCs/>
        </w:rPr>
        <w:t xml:space="preserve"> through higher quality care</w:t>
      </w:r>
      <w:r w:rsidR="00A76186" w:rsidRPr="00450A17">
        <w:rPr>
          <w:rFonts w:cs="Arial"/>
          <w:bCs/>
          <w:iCs/>
        </w:rPr>
        <w:t xml:space="preserve">. </w:t>
      </w:r>
      <w:r w:rsidR="00AB6434" w:rsidRPr="00450A17">
        <w:rPr>
          <w:rFonts w:cs="Arial"/>
          <w:bCs/>
          <w:iCs/>
        </w:rPr>
        <w:t xml:space="preserve"> </w:t>
      </w:r>
    </w:p>
    <w:p w14:paraId="317AEEAE" w14:textId="0F2FB25E" w:rsidR="00832957" w:rsidRPr="00450A17" w:rsidRDefault="00832957" w:rsidP="00832957">
      <w:pPr>
        <w:rPr>
          <w:rFonts w:cs="Arial"/>
          <w:bCs/>
          <w:iCs/>
        </w:rPr>
      </w:pPr>
      <w:r w:rsidRPr="00450A17">
        <w:rPr>
          <w:rFonts w:cs="Arial"/>
          <w:bCs/>
          <w:iCs/>
        </w:rPr>
        <w:t xml:space="preserve">The risk of </w:t>
      </w:r>
      <w:r w:rsidR="000710A9" w:rsidRPr="00450A17">
        <w:rPr>
          <w:rFonts w:cs="Arial"/>
          <w:bCs/>
          <w:iCs/>
        </w:rPr>
        <w:t xml:space="preserve">enhanced </w:t>
      </w:r>
      <w:r w:rsidRPr="00450A17">
        <w:rPr>
          <w:rFonts w:cs="Arial"/>
          <w:bCs/>
          <w:iCs/>
        </w:rPr>
        <w:t xml:space="preserve">competition </w:t>
      </w:r>
      <w:r w:rsidR="000710A9" w:rsidRPr="00450A17">
        <w:rPr>
          <w:rFonts w:cs="Arial"/>
          <w:bCs/>
          <w:iCs/>
        </w:rPr>
        <w:t>leading to reduced</w:t>
      </w:r>
      <w:r w:rsidRPr="00450A17">
        <w:rPr>
          <w:rFonts w:cs="Arial"/>
          <w:bCs/>
          <w:iCs/>
        </w:rPr>
        <w:t xml:space="preserve"> business viability</w:t>
      </w:r>
      <w:r w:rsidR="000710A9" w:rsidRPr="00450A17">
        <w:rPr>
          <w:rFonts w:cs="Arial"/>
          <w:bCs/>
          <w:iCs/>
        </w:rPr>
        <w:t xml:space="preserve"> is unlikely given there is excess demand for general practice forecast over many decades due to increased need to address ageing and chronic disease, coupled with the need to boost workforce supply. The department will continue to undertake</w:t>
      </w:r>
      <w:r w:rsidRPr="00450A17">
        <w:rPr>
          <w:rFonts w:cs="Arial"/>
          <w:bCs/>
          <w:iCs/>
        </w:rPr>
        <w:t xml:space="preserve"> monitoring of the workforce and practice activity. There will also be communications explaining the benefits of VPR, including for patients’ </w:t>
      </w:r>
      <w:r w:rsidR="00FA6A9B" w:rsidRPr="00450A17">
        <w:rPr>
          <w:rFonts w:cs="Arial"/>
          <w:bCs/>
          <w:iCs/>
        </w:rPr>
        <w:t xml:space="preserve">long term </w:t>
      </w:r>
      <w:r w:rsidRPr="00450A17">
        <w:rPr>
          <w:rFonts w:cs="Arial"/>
          <w:bCs/>
          <w:iCs/>
        </w:rPr>
        <w:t xml:space="preserve">health outcomes and for primary care providers’ business operations, and through training and supporting resources that will minimise administrative burden associated with a practice signing up to VPR. </w:t>
      </w:r>
      <w:r w:rsidR="00FF185E" w:rsidRPr="00450A17">
        <w:rPr>
          <w:rFonts w:cs="Arial"/>
          <w:bCs/>
          <w:iCs/>
        </w:rPr>
        <w:t>These potential competition impacts will be a consideration of monitoring and evaluation processes.</w:t>
      </w:r>
    </w:p>
    <w:p w14:paraId="1656611F" w14:textId="0EF9B3BF" w:rsidR="003D3EB3" w:rsidRPr="00450A17" w:rsidRDefault="007F38E0" w:rsidP="007F38E0">
      <w:pPr>
        <w:rPr>
          <w:rFonts w:ascii="Calibri" w:hAnsi="Calibri"/>
        </w:rPr>
      </w:pPr>
      <w:r w:rsidRPr="00450A17">
        <w:rPr>
          <w:rFonts w:cs="Arial"/>
          <w:bCs/>
          <w:iCs/>
        </w:rPr>
        <w:t>The requirement for practices to be accredited is outlined above in Section 3, and</w:t>
      </w:r>
      <w:r w:rsidR="008E3266" w:rsidRPr="00450A17">
        <w:rPr>
          <w:rFonts w:cs="Arial"/>
          <w:bCs/>
          <w:iCs/>
        </w:rPr>
        <w:t xml:space="preserve"> </w:t>
      </w:r>
      <w:r w:rsidRPr="00450A17">
        <w:rPr>
          <w:rFonts w:cs="Arial"/>
        </w:rPr>
        <w:t>th</w:t>
      </w:r>
      <w:r w:rsidR="004B1EC8" w:rsidRPr="00450A17">
        <w:rPr>
          <w:rFonts w:cs="Arial"/>
        </w:rPr>
        <w:t xml:space="preserve">e cost for practice accreditation in order to participate in VPR has also been considered as a regulatory impact. </w:t>
      </w:r>
      <w:r w:rsidR="00C3693F" w:rsidRPr="00450A17">
        <w:rPr>
          <w:rFonts w:cs="Arial"/>
        </w:rPr>
        <w:t>However, practices regist</w:t>
      </w:r>
      <w:r w:rsidR="003C3F4D" w:rsidRPr="00450A17">
        <w:rPr>
          <w:rFonts w:cs="Arial"/>
        </w:rPr>
        <w:t xml:space="preserve">er in VPR </w:t>
      </w:r>
      <w:r w:rsidR="00C3693F" w:rsidRPr="00450A17">
        <w:rPr>
          <w:rFonts w:cs="Arial"/>
        </w:rPr>
        <w:t xml:space="preserve">are likely to see considerable overall </w:t>
      </w:r>
      <w:r w:rsidR="003D3EB3" w:rsidRPr="00450A17">
        <w:rPr>
          <w:rFonts w:cs="Arial"/>
        </w:rPr>
        <w:t xml:space="preserve">benefit. </w:t>
      </w:r>
      <w:r w:rsidR="003D3EB3" w:rsidRPr="00450A17">
        <w:t xml:space="preserve">Most general practices choose to seek accreditation based on the assurance it provides around improved patient safety and effective risk management, assurance for patients of a high standard of care, increased insurance provider recognition and a better working culture for staff. The cost is small in comparison to financial incentives that are available to accredited practices through the Practice Incentives Program and Workforce Incentive Program – Practice Stream, and that will be available through VPR. </w:t>
      </w:r>
    </w:p>
    <w:p w14:paraId="0AD8A494" w14:textId="77777777" w:rsidR="000D3CE2" w:rsidRPr="00450A17" w:rsidRDefault="000D3CE2" w:rsidP="00C25413">
      <w:pPr>
        <w:rPr>
          <w:rFonts w:cs="Arial"/>
        </w:rPr>
      </w:pPr>
      <w:r w:rsidRPr="00450A17">
        <w:rPr>
          <w:rFonts w:cs="Arial"/>
          <w:i/>
        </w:rPr>
        <w:t xml:space="preserve">Access to </w:t>
      </w:r>
      <w:r w:rsidR="00FB7890" w:rsidRPr="00450A17">
        <w:rPr>
          <w:rFonts w:cs="Arial"/>
          <w:i/>
        </w:rPr>
        <w:t>services</w:t>
      </w:r>
    </w:p>
    <w:p w14:paraId="342E6BBA" w14:textId="5C053D0E" w:rsidR="009065F5" w:rsidRPr="00450A17" w:rsidRDefault="009065F5" w:rsidP="00C25413">
      <w:pPr>
        <w:pStyle w:val="CABParagraph"/>
        <w:spacing w:after="120" w:line="276" w:lineRule="auto"/>
        <w:rPr>
          <w:rFonts w:cs="Arial"/>
        </w:rPr>
      </w:pPr>
      <w:r w:rsidRPr="00450A17">
        <w:rPr>
          <w:rFonts w:cs="Arial"/>
        </w:rPr>
        <w:t>Pra</w:t>
      </w:r>
      <w:r w:rsidR="00526840" w:rsidRPr="00450A17">
        <w:rPr>
          <w:rFonts w:cs="Arial"/>
        </w:rPr>
        <w:t xml:space="preserve">ctices and providers signed up to </w:t>
      </w:r>
      <w:r w:rsidR="00236BAD" w:rsidRPr="00450A17">
        <w:rPr>
          <w:rFonts w:cs="Arial"/>
        </w:rPr>
        <w:t>VPR</w:t>
      </w:r>
      <w:r w:rsidRPr="00450A17">
        <w:rPr>
          <w:rFonts w:cs="Arial"/>
        </w:rPr>
        <w:t xml:space="preserve"> will be able to access increased funding through targeted incentive payments</w:t>
      </w:r>
      <w:r w:rsidR="00A2354D" w:rsidRPr="00450A17">
        <w:rPr>
          <w:rFonts w:cs="Arial"/>
        </w:rPr>
        <w:t xml:space="preserve"> for eligible registered patients</w:t>
      </w:r>
      <w:r w:rsidR="00552CBD" w:rsidRPr="00450A17">
        <w:rPr>
          <w:rFonts w:cs="Arial"/>
        </w:rPr>
        <w:t xml:space="preserve"> such as GPACI</w:t>
      </w:r>
      <w:r w:rsidR="00A2354D" w:rsidRPr="00450A17">
        <w:rPr>
          <w:rFonts w:cs="Arial"/>
        </w:rPr>
        <w:t>,</w:t>
      </w:r>
      <w:r w:rsidRPr="00450A17">
        <w:rPr>
          <w:rFonts w:cs="Arial"/>
        </w:rPr>
        <w:t xml:space="preserve"> </w:t>
      </w:r>
      <w:r w:rsidR="0062154F" w:rsidRPr="00450A17">
        <w:rPr>
          <w:rFonts w:cs="Arial"/>
        </w:rPr>
        <w:t>Wrap-around C</w:t>
      </w:r>
      <w:r w:rsidR="003D05B7" w:rsidRPr="00450A17">
        <w:rPr>
          <w:rFonts w:cs="Arial"/>
        </w:rPr>
        <w:t>are for Frequent Hospital Users</w:t>
      </w:r>
      <w:r w:rsidR="0062154F" w:rsidRPr="00450A17">
        <w:rPr>
          <w:rFonts w:cs="Arial"/>
        </w:rPr>
        <w:t xml:space="preserve"> program</w:t>
      </w:r>
      <w:r w:rsidR="003D05B7" w:rsidRPr="00450A17">
        <w:rPr>
          <w:rFonts w:cs="Arial"/>
        </w:rPr>
        <w:t xml:space="preserve">, </w:t>
      </w:r>
      <w:r w:rsidRPr="00450A17">
        <w:rPr>
          <w:rFonts w:cs="Arial"/>
        </w:rPr>
        <w:t xml:space="preserve">and exclusive access to certain MBS items. The additional funding supported through </w:t>
      </w:r>
      <w:r w:rsidR="00D01E57" w:rsidRPr="00450A17">
        <w:rPr>
          <w:rFonts w:cs="Arial"/>
        </w:rPr>
        <w:t>VPR</w:t>
      </w:r>
      <w:r w:rsidRPr="00450A17">
        <w:rPr>
          <w:rFonts w:cs="Arial"/>
        </w:rPr>
        <w:t xml:space="preserve"> will enable practices and providers to deliver continuity of care for their patients and will result in improved practice viability</w:t>
      </w:r>
      <w:r w:rsidR="00D01E57" w:rsidRPr="00450A17">
        <w:rPr>
          <w:rFonts w:cs="Arial"/>
        </w:rPr>
        <w:t xml:space="preserve"> which will help to defray the </w:t>
      </w:r>
      <w:r w:rsidR="0081781E" w:rsidRPr="00450A17">
        <w:rPr>
          <w:rFonts w:cs="Arial"/>
        </w:rPr>
        <w:t>initial</w:t>
      </w:r>
      <w:r w:rsidR="00D01E57" w:rsidRPr="00450A17">
        <w:rPr>
          <w:rFonts w:cs="Arial"/>
        </w:rPr>
        <w:t xml:space="preserve"> costs of practice and patient registration.</w:t>
      </w:r>
    </w:p>
    <w:p w14:paraId="73E78D9E" w14:textId="4E9E14FD" w:rsidR="00FB7890" w:rsidRPr="00450A17" w:rsidRDefault="00FB7890" w:rsidP="00282A86">
      <w:pPr>
        <w:rPr>
          <w:rFonts w:cs="Arial"/>
        </w:rPr>
      </w:pPr>
      <w:r w:rsidRPr="00450A17">
        <w:rPr>
          <w:rFonts w:cs="Arial"/>
        </w:rPr>
        <w:t>For providers and practices, VPR w</w:t>
      </w:r>
      <w:r w:rsidR="00DA62E5" w:rsidRPr="00450A17">
        <w:rPr>
          <w:rFonts w:cs="Arial"/>
        </w:rPr>
        <w:t>ill</w:t>
      </w:r>
      <w:r w:rsidRPr="00450A17">
        <w:rPr>
          <w:rFonts w:cs="Arial"/>
        </w:rPr>
        <w:t xml:space="preserve"> support enhancements to the</w:t>
      </w:r>
      <w:r w:rsidR="00456C92" w:rsidRPr="00450A17">
        <w:rPr>
          <w:rFonts w:cs="Arial"/>
        </w:rPr>
        <w:t xml:space="preserve"> current</w:t>
      </w:r>
      <w:r w:rsidRPr="00450A17">
        <w:rPr>
          <w:rFonts w:cs="Arial"/>
        </w:rPr>
        <w:t xml:space="preserve"> Indigenous Health Incentive (IHI)</w:t>
      </w:r>
      <w:r w:rsidR="00456C92" w:rsidRPr="00450A17">
        <w:rPr>
          <w:rFonts w:cs="Arial"/>
        </w:rPr>
        <w:t xml:space="preserve"> registration process</w:t>
      </w:r>
      <w:r w:rsidR="0078628E" w:rsidRPr="00450A17">
        <w:rPr>
          <w:rFonts w:cs="Arial"/>
        </w:rPr>
        <w:t>.</w:t>
      </w:r>
      <w:r w:rsidRPr="00450A17">
        <w:rPr>
          <w:rFonts w:cs="Arial"/>
        </w:rPr>
        <w:t xml:space="preserve"> The</w:t>
      </w:r>
      <w:r w:rsidR="00E42D22" w:rsidRPr="00450A17">
        <w:rPr>
          <w:rFonts w:cs="Arial"/>
        </w:rPr>
        <w:t xml:space="preserve"> current</w:t>
      </w:r>
      <w:r w:rsidRPr="00450A17">
        <w:rPr>
          <w:rFonts w:cs="Arial"/>
        </w:rPr>
        <w:t xml:space="preserve"> IHI requires eligible patients to </w:t>
      </w:r>
      <w:r w:rsidR="00E42D22" w:rsidRPr="00450A17">
        <w:rPr>
          <w:rFonts w:cs="Arial"/>
        </w:rPr>
        <w:t xml:space="preserve">annually </w:t>
      </w:r>
      <w:r w:rsidRPr="00450A17">
        <w:rPr>
          <w:rFonts w:cs="Arial"/>
        </w:rPr>
        <w:t xml:space="preserve">register to an eligible general practice for the purposes of improved health outcomes through a continuity of care agreement, with payments made to the practice based on care delivered. </w:t>
      </w:r>
      <w:r w:rsidR="00E42D22" w:rsidRPr="00450A17">
        <w:rPr>
          <w:rFonts w:cs="Arial"/>
        </w:rPr>
        <w:t xml:space="preserve">This is only available in a paper based form. </w:t>
      </w:r>
      <w:r w:rsidR="00456C92" w:rsidRPr="00450A17">
        <w:rPr>
          <w:rFonts w:cs="Arial"/>
        </w:rPr>
        <w:t xml:space="preserve">Streamlining </w:t>
      </w:r>
      <w:r w:rsidR="00282A86" w:rsidRPr="00450A17">
        <w:rPr>
          <w:rFonts w:cs="Arial"/>
        </w:rPr>
        <w:t xml:space="preserve">the </w:t>
      </w:r>
      <w:r w:rsidR="00DC0C4C" w:rsidRPr="00450A17">
        <w:rPr>
          <w:rFonts w:cs="Arial"/>
        </w:rPr>
        <w:t xml:space="preserve">registration process of </w:t>
      </w:r>
      <w:r w:rsidR="00282A86" w:rsidRPr="00450A17">
        <w:rPr>
          <w:rFonts w:cs="Arial"/>
        </w:rPr>
        <w:t xml:space="preserve">IHI </w:t>
      </w:r>
      <w:r w:rsidR="00DC0C4C" w:rsidRPr="00450A17">
        <w:rPr>
          <w:rFonts w:cs="Arial"/>
        </w:rPr>
        <w:t>and</w:t>
      </w:r>
      <w:r w:rsidR="00282A86" w:rsidRPr="00450A17">
        <w:rPr>
          <w:rFonts w:cs="Arial"/>
        </w:rPr>
        <w:t xml:space="preserve"> VPR</w:t>
      </w:r>
      <w:r w:rsidR="00E42D22" w:rsidRPr="00450A17">
        <w:rPr>
          <w:rFonts w:cs="Arial"/>
        </w:rPr>
        <w:t xml:space="preserve"> (and providing electronic registration options) </w:t>
      </w:r>
      <w:r w:rsidR="00282A86" w:rsidRPr="00450A17">
        <w:rPr>
          <w:rFonts w:cs="Arial"/>
        </w:rPr>
        <w:t>w</w:t>
      </w:r>
      <w:r w:rsidR="00DA62E5" w:rsidRPr="00450A17">
        <w:rPr>
          <w:rFonts w:cs="Arial"/>
        </w:rPr>
        <w:t>ill</w:t>
      </w:r>
      <w:r w:rsidR="00282A86" w:rsidRPr="00450A17">
        <w:rPr>
          <w:rFonts w:cs="Arial"/>
        </w:rPr>
        <w:t xml:space="preserve"> </w:t>
      </w:r>
      <w:r w:rsidR="00456C92" w:rsidRPr="00450A17">
        <w:rPr>
          <w:rFonts w:cs="Arial"/>
        </w:rPr>
        <w:t>reduce</w:t>
      </w:r>
      <w:r w:rsidR="00DC0C4C" w:rsidRPr="00450A17">
        <w:rPr>
          <w:rFonts w:cs="Arial"/>
        </w:rPr>
        <w:t xml:space="preserve"> </w:t>
      </w:r>
      <w:r w:rsidR="00456C92" w:rsidRPr="00450A17">
        <w:rPr>
          <w:rFonts w:cs="Arial"/>
        </w:rPr>
        <w:t xml:space="preserve">the administrative </w:t>
      </w:r>
      <w:r w:rsidR="00615C72" w:rsidRPr="00450A17">
        <w:rPr>
          <w:rFonts w:cs="Arial"/>
        </w:rPr>
        <w:t>burden</w:t>
      </w:r>
      <w:r w:rsidRPr="00450A17">
        <w:rPr>
          <w:rFonts w:cs="Arial"/>
        </w:rPr>
        <w:t xml:space="preserve"> for practices</w:t>
      </w:r>
      <w:r w:rsidR="00282A86" w:rsidRPr="00450A17">
        <w:rPr>
          <w:rFonts w:cs="Arial"/>
        </w:rPr>
        <w:t xml:space="preserve">, as they </w:t>
      </w:r>
      <w:r w:rsidR="00DA62E5" w:rsidRPr="00450A17">
        <w:rPr>
          <w:rFonts w:cs="Arial"/>
        </w:rPr>
        <w:t>will</w:t>
      </w:r>
      <w:r w:rsidRPr="00450A17">
        <w:rPr>
          <w:rFonts w:cs="Arial"/>
        </w:rPr>
        <w:t xml:space="preserve"> only hav</w:t>
      </w:r>
      <w:r w:rsidR="00282A86" w:rsidRPr="00450A17">
        <w:rPr>
          <w:rFonts w:cs="Arial"/>
        </w:rPr>
        <w:t>e</w:t>
      </w:r>
      <w:r w:rsidRPr="00450A17">
        <w:rPr>
          <w:rFonts w:cs="Arial"/>
        </w:rPr>
        <w:t xml:space="preserve"> to register with one system to access the IHI and other incentives to which they may be e</w:t>
      </w:r>
      <w:r w:rsidR="00A538D5" w:rsidRPr="00450A17">
        <w:rPr>
          <w:rFonts w:cs="Arial"/>
        </w:rPr>
        <w:t>ligible</w:t>
      </w:r>
      <w:r w:rsidRPr="00450A17">
        <w:rPr>
          <w:rFonts w:cs="Arial"/>
        </w:rPr>
        <w:t>.</w:t>
      </w:r>
    </w:p>
    <w:p w14:paraId="1530D871" w14:textId="77777777" w:rsidR="00FB7890" w:rsidRPr="00450A17" w:rsidRDefault="00FB7890" w:rsidP="00C25413">
      <w:pPr>
        <w:pStyle w:val="CABParagraph"/>
        <w:spacing w:after="120" w:line="276" w:lineRule="auto"/>
        <w:rPr>
          <w:rFonts w:cs="Arial"/>
        </w:rPr>
      </w:pPr>
      <w:r w:rsidRPr="00450A17">
        <w:rPr>
          <w:rFonts w:cs="Arial"/>
        </w:rPr>
        <w:t xml:space="preserve">Practices that </w:t>
      </w:r>
      <w:r w:rsidR="001C695A" w:rsidRPr="00450A17">
        <w:rPr>
          <w:rFonts w:cs="Arial"/>
        </w:rPr>
        <w:t xml:space="preserve">are either ineligible or </w:t>
      </w:r>
      <w:r w:rsidRPr="00450A17">
        <w:rPr>
          <w:rFonts w:cs="Arial"/>
        </w:rPr>
        <w:t xml:space="preserve">opt not to participate in VPR will </w:t>
      </w:r>
      <w:r w:rsidR="00CC0341" w:rsidRPr="00450A17">
        <w:rPr>
          <w:rFonts w:cs="Arial"/>
        </w:rPr>
        <w:t>be unable to access</w:t>
      </w:r>
      <w:r w:rsidR="00964F6E" w:rsidRPr="00450A17">
        <w:rPr>
          <w:rFonts w:cs="Arial"/>
        </w:rPr>
        <w:t xml:space="preserve"> any</w:t>
      </w:r>
      <w:r w:rsidR="00CC0341" w:rsidRPr="00450A17">
        <w:rPr>
          <w:rFonts w:cs="Arial"/>
        </w:rPr>
        <w:t xml:space="preserve"> </w:t>
      </w:r>
      <w:r w:rsidRPr="00450A17">
        <w:rPr>
          <w:rFonts w:cs="Arial"/>
        </w:rPr>
        <w:t>incentive</w:t>
      </w:r>
      <w:r w:rsidR="00CC0341" w:rsidRPr="00450A17">
        <w:rPr>
          <w:rFonts w:cs="Arial"/>
        </w:rPr>
        <w:t xml:space="preserve">s or </w:t>
      </w:r>
      <w:r w:rsidRPr="00450A17">
        <w:rPr>
          <w:rFonts w:cs="Arial"/>
        </w:rPr>
        <w:t>MBS items</w:t>
      </w:r>
      <w:r w:rsidR="005F11F2" w:rsidRPr="00450A17">
        <w:rPr>
          <w:rFonts w:cs="Arial"/>
        </w:rPr>
        <w:t xml:space="preserve"> exclusively linked to patient registration.</w:t>
      </w:r>
      <w:r w:rsidR="007447D0" w:rsidRPr="00450A17">
        <w:rPr>
          <w:rFonts w:cs="Arial"/>
        </w:rPr>
        <w:t xml:space="preserve"> It should be noted </w:t>
      </w:r>
      <w:r w:rsidR="00964F6E" w:rsidRPr="00450A17">
        <w:rPr>
          <w:rFonts w:cs="Arial"/>
        </w:rPr>
        <w:t xml:space="preserve">however </w:t>
      </w:r>
      <w:r w:rsidR="007447D0" w:rsidRPr="00450A17">
        <w:rPr>
          <w:rFonts w:cs="Arial"/>
        </w:rPr>
        <w:t>that access to non-linked MBS items or incentives w</w:t>
      </w:r>
      <w:r w:rsidR="00DA62E5" w:rsidRPr="00450A17">
        <w:rPr>
          <w:rFonts w:cs="Arial"/>
        </w:rPr>
        <w:t>ill</w:t>
      </w:r>
      <w:r w:rsidR="007447D0" w:rsidRPr="00450A17">
        <w:rPr>
          <w:rFonts w:cs="Arial"/>
        </w:rPr>
        <w:t xml:space="preserve"> remain unchanged.</w:t>
      </w:r>
    </w:p>
    <w:p w14:paraId="0DEC2C37" w14:textId="77777777" w:rsidR="00C158DF" w:rsidRPr="00450A17" w:rsidRDefault="000D3CE2" w:rsidP="009065F5">
      <w:pPr>
        <w:rPr>
          <w:rFonts w:cs="Arial"/>
          <w:bCs/>
          <w:iCs/>
        </w:rPr>
      </w:pPr>
      <w:r w:rsidRPr="00450A17">
        <w:rPr>
          <w:rFonts w:cs="Arial"/>
          <w:bCs/>
          <w:i/>
          <w:iCs/>
        </w:rPr>
        <w:t>E</w:t>
      </w:r>
      <w:r w:rsidR="00C158DF" w:rsidRPr="00450A17">
        <w:rPr>
          <w:rFonts w:cs="Arial"/>
          <w:bCs/>
          <w:i/>
          <w:iCs/>
        </w:rPr>
        <w:t xml:space="preserve">xit from program/changing </w:t>
      </w:r>
      <w:r w:rsidR="00A41817" w:rsidRPr="00450A17">
        <w:rPr>
          <w:rFonts w:cs="Arial"/>
          <w:bCs/>
          <w:i/>
          <w:iCs/>
        </w:rPr>
        <w:t>registration</w:t>
      </w:r>
    </w:p>
    <w:p w14:paraId="3868E032" w14:textId="77777777" w:rsidR="000D3CE2" w:rsidRPr="00450A17" w:rsidRDefault="009D6192" w:rsidP="009065F5">
      <w:pPr>
        <w:rPr>
          <w:rFonts w:cs="Arial"/>
          <w:bCs/>
          <w:iCs/>
        </w:rPr>
      </w:pPr>
      <w:r w:rsidRPr="00450A17">
        <w:rPr>
          <w:rFonts w:cs="Arial"/>
          <w:bCs/>
          <w:iCs/>
        </w:rPr>
        <w:t xml:space="preserve">There are multiple ways a patient could </w:t>
      </w:r>
      <w:r w:rsidR="00A41817" w:rsidRPr="00450A17">
        <w:rPr>
          <w:rFonts w:cs="Arial"/>
          <w:bCs/>
          <w:iCs/>
        </w:rPr>
        <w:t xml:space="preserve">exit VPR or change </w:t>
      </w:r>
      <w:r w:rsidR="005C4098" w:rsidRPr="00450A17">
        <w:rPr>
          <w:rFonts w:cs="Arial"/>
          <w:bCs/>
          <w:iCs/>
        </w:rPr>
        <w:t xml:space="preserve">their </w:t>
      </w:r>
      <w:r w:rsidR="00A41817" w:rsidRPr="00450A17">
        <w:rPr>
          <w:rFonts w:cs="Arial"/>
          <w:bCs/>
          <w:iCs/>
        </w:rPr>
        <w:t>registration</w:t>
      </w:r>
      <w:r w:rsidR="005C4098" w:rsidRPr="00450A17">
        <w:rPr>
          <w:rFonts w:cs="Arial"/>
          <w:bCs/>
          <w:iCs/>
        </w:rPr>
        <w:t>. T</w:t>
      </w:r>
      <w:r w:rsidR="008B35C9" w:rsidRPr="00450A17">
        <w:rPr>
          <w:rFonts w:cs="Arial"/>
          <w:bCs/>
          <w:iCs/>
        </w:rPr>
        <w:t>hese</w:t>
      </w:r>
      <w:r w:rsidR="005C4098" w:rsidRPr="00450A17">
        <w:rPr>
          <w:rFonts w:cs="Arial"/>
          <w:bCs/>
          <w:iCs/>
        </w:rPr>
        <w:t xml:space="preserve"> </w:t>
      </w:r>
      <w:r w:rsidR="00A41817" w:rsidRPr="00450A17">
        <w:rPr>
          <w:rFonts w:cs="Arial"/>
          <w:bCs/>
          <w:iCs/>
        </w:rPr>
        <w:t>process</w:t>
      </w:r>
      <w:r w:rsidR="008B35C9" w:rsidRPr="00450A17">
        <w:rPr>
          <w:rFonts w:cs="Arial"/>
          <w:bCs/>
          <w:iCs/>
        </w:rPr>
        <w:t>es</w:t>
      </w:r>
      <w:r w:rsidR="004451EC" w:rsidRPr="00450A17">
        <w:rPr>
          <w:rFonts w:cs="Arial"/>
          <w:bCs/>
          <w:iCs/>
        </w:rPr>
        <w:t xml:space="preserve"> have</w:t>
      </w:r>
      <w:r w:rsidR="00A41817" w:rsidRPr="00450A17">
        <w:rPr>
          <w:rFonts w:cs="Arial"/>
          <w:bCs/>
          <w:iCs/>
        </w:rPr>
        <w:t xml:space="preserve"> been designed to </w:t>
      </w:r>
      <w:r w:rsidR="008B35C9" w:rsidRPr="00450A17">
        <w:rPr>
          <w:rFonts w:cs="Arial"/>
          <w:bCs/>
          <w:iCs/>
        </w:rPr>
        <w:t>be automated where</w:t>
      </w:r>
      <w:r w:rsidR="005C4098" w:rsidRPr="00450A17">
        <w:rPr>
          <w:rFonts w:cs="Arial"/>
          <w:bCs/>
          <w:iCs/>
        </w:rPr>
        <w:t xml:space="preserve"> possible to </w:t>
      </w:r>
      <w:r w:rsidR="001D5782" w:rsidRPr="00450A17">
        <w:rPr>
          <w:rFonts w:cs="Arial"/>
          <w:bCs/>
          <w:iCs/>
        </w:rPr>
        <w:t>minimise burden on</w:t>
      </w:r>
      <w:r w:rsidR="00A41817" w:rsidRPr="00450A17">
        <w:rPr>
          <w:rFonts w:cs="Arial"/>
          <w:bCs/>
          <w:iCs/>
        </w:rPr>
        <w:t xml:space="preserve"> practices.</w:t>
      </w:r>
      <w:r w:rsidR="00ED7C34" w:rsidRPr="00450A17">
        <w:rPr>
          <w:rFonts w:cs="Arial"/>
          <w:bCs/>
          <w:iCs/>
        </w:rPr>
        <w:t xml:space="preserve"> For example i</w:t>
      </w:r>
      <w:r w:rsidR="001D5782" w:rsidRPr="00450A17">
        <w:rPr>
          <w:rFonts w:cs="Arial"/>
          <w:bCs/>
          <w:iCs/>
        </w:rPr>
        <w:t>f a patient cho</w:t>
      </w:r>
      <w:r w:rsidR="005C4098" w:rsidRPr="00450A17">
        <w:rPr>
          <w:rFonts w:cs="Arial"/>
          <w:bCs/>
          <w:iCs/>
        </w:rPr>
        <w:t>se</w:t>
      </w:r>
      <w:r w:rsidR="00A41817" w:rsidRPr="00450A17">
        <w:rPr>
          <w:rFonts w:cs="Arial"/>
          <w:bCs/>
          <w:iCs/>
        </w:rPr>
        <w:t xml:space="preserve"> to register with a different practice, </w:t>
      </w:r>
      <w:r w:rsidR="005C4098" w:rsidRPr="00450A17">
        <w:rPr>
          <w:rFonts w:cs="Arial"/>
          <w:bCs/>
          <w:iCs/>
        </w:rPr>
        <w:t xml:space="preserve">their </w:t>
      </w:r>
      <w:r w:rsidR="00C158DF" w:rsidRPr="00450A17">
        <w:rPr>
          <w:rFonts w:cs="Arial"/>
          <w:bCs/>
          <w:iCs/>
        </w:rPr>
        <w:t xml:space="preserve">new </w:t>
      </w:r>
      <w:r w:rsidR="005C4098" w:rsidRPr="00450A17">
        <w:rPr>
          <w:rFonts w:cs="Arial"/>
          <w:bCs/>
          <w:iCs/>
        </w:rPr>
        <w:t xml:space="preserve">registration </w:t>
      </w:r>
      <w:r w:rsidR="00C158DF" w:rsidRPr="00450A17">
        <w:rPr>
          <w:rFonts w:cs="Arial"/>
          <w:bCs/>
          <w:iCs/>
        </w:rPr>
        <w:t>w</w:t>
      </w:r>
      <w:r w:rsidR="00DA62E5" w:rsidRPr="00450A17">
        <w:rPr>
          <w:rFonts w:cs="Arial"/>
          <w:bCs/>
          <w:iCs/>
        </w:rPr>
        <w:t>ill</w:t>
      </w:r>
      <w:r w:rsidR="00C158DF" w:rsidRPr="00450A17">
        <w:rPr>
          <w:rFonts w:cs="Arial"/>
          <w:bCs/>
          <w:iCs/>
        </w:rPr>
        <w:t xml:space="preserve"> automatically nullify the previous one</w:t>
      </w:r>
      <w:r w:rsidR="005C4098" w:rsidRPr="00450A17">
        <w:rPr>
          <w:rFonts w:cs="Arial"/>
          <w:bCs/>
          <w:iCs/>
        </w:rPr>
        <w:t xml:space="preserve"> and there </w:t>
      </w:r>
      <w:r w:rsidR="00DA62E5" w:rsidRPr="00450A17">
        <w:rPr>
          <w:rFonts w:cs="Arial"/>
          <w:bCs/>
          <w:iCs/>
        </w:rPr>
        <w:t xml:space="preserve">will </w:t>
      </w:r>
      <w:r w:rsidR="005C4098" w:rsidRPr="00450A17">
        <w:rPr>
          <w:rFonts w:cs="Arial"/>
          <w:bCs/>
          <w:iCs/>
        </w:rPr>
        <w:t>be no requirement for action from the initial participating practice</w:t>
      </w:r>
      <w:r w:rsidR="00C158DF" w:rsidRPr="00450A17">
        <w:rPr>
          <w:rFonts w:cs="Arial"/>
          <w:bCs/>
          <w:iCs/>
        </w:rPr>
        <w:t xml:space="preserve">. </w:t>
      </w:r>
      <w:r w:rsidR="00A41817" w:rsidRPr="00450A17">
        <w:rPr>
          <w:rFonts w:cs="Arial"/>
          <w:bCs/>
          <w:iCs/>
        </w:rPr>
        <w:t>If a patient c</w:t>
      </w:r>
      <w:r w:rsidR="004451EC" w:rsidRPr="00450A17">
        <w:rPr>
          <w:rFonts w:cs="Arial"/>
          <w:bCs/>
          <w:iCs/>
        </w:rPr>
        <w:t>ho</w:t>
      </w:r>
      <w:r w:rsidR="008B35C9" w:rsidRPr="00450A17">
        <w:rPr>
          <w:rFonts w:cs="Arial"/>
          <w:bCs/>
          <w:iCs/>
        </w:rPr>
        <w:t>se</w:t>
      </w:r>
      <w:r w:rsidR="00A41817" w:rsidRPr="00450A17">
        <w:rPr>
          <w:rFonts w:cs="Arial"/>
          <w:bCs/>
          <w:iCs/>
        </w:rPr>
        <w:t xml:space="preserve"> to withdraw, they could call Services Australia to action the withdrawal request on their behalf</w:t>
      </w:r>
      <w:r w:rsidR="008B35C9" w:rsidRPr="00450A17">
        <w:rPr>
          <w:rFonts w:cs="Arial"/>
          <w:bCs/>
          <w:iCs/>
        </w:rPr>
        <w:t xml:space="preserve"> or utilise a</w:t>
      </w:r>
      <w:r w:rsidR="00A41817" w:rsidRPr="00450A17">
        <w:rPr>
          <w:rFonts w:cs="Arial"/>
          <w:bCs/>
          <w:iCs/>
        </w:rPr>
        <w:t xml:space="preserve"> </w:t>
      </w:r>
      <w:r w:rsidR="00FC4F30" w:rsidRPr="00450A17">
        <w:rPr>
          <w:rFonts w:cs="Arial"/>
          <w:bCs/>
          <w:iCs/>
        </w:rPr>
        <w:t xml:space="preserve">self-service withdrawal functionality </w:t>
      </w:r>
      <w:r w:rsidR="008B35C9" w:rsidRPr="00450A17">
        <w:rPr>
          <w:rFonts w:cs="Arial"/>
          <w:bCs/>
          <w:iCs/>
        </w:rPr>
        <w:t xml:space="preserve">that </w:t>
      </w:r>
      <w:r w:rsidR="00A41817" w:rsidRPr="00450A17">
        <w:rPr>
          <w:rFonts w:cs="Arial"/>
          <w:bCs/>
          <w:iCs/>
        </w:rPr>
        <w:t>w</w:t>
      </w:r>
      <w:r w:rsidR="00DA62E5" w:rsidRPr="00450A17">
        <w:rPr>
          <w:rFonts w:cs="Arial"/>
          <w:bCs/>
          <w:iCs/>
        </w:rPr>
        <w:t>ill</w:t>
      </w:r>
      <w:r w:rsidR="00A41817" w:rsidRPr="00450A17">
        <w:rPr>
          <w:rFonts w:cs="Arial"/>
          <w:bCs/>
          <w:iCs/>
        </w:rPr>
        <w:t xml:space="preserve"> be </w:t>
      </w:r>
      <w:r w:rsidR="00FC4F30" w:rsidRPr="00450A17">
        <w:rPr>
          <w:rFonts w:cs="Arial"/>
          <w:bCs/>
          <w:iCs/>
        </w:rPr>
        <w:t>available to patients through their Medicare Online Account</w:t>
      </w:r>
      <w:r w:rsidR="008B35C9" w:rsidRPr="00450A17">
        <w:rPr>
          <w:rFonts w:cs="Arial"/>
          <w:bCs/>
          <w:iCs/>
        </w:rPr>
        <w:t xml:space="preserve"> (with no </w:t>
      </w:r>
      <w:r w:rsidR="001D5782" w:rsidRPr="00450A17">
        <w:rPr>
          <w:rFonts w:cs="Arial"/>
          <w:bCs/>
          <w:iCs/>
        </w:rPr>
        <w:t>administrative burden</w:t>
      </w:r>
      <w:r w:rsidR="00FC4F30" w:rsidRPr="00450A17">
        <w:rPr>
          <w:rFonts w:cs="Arial"/>
          <w:bCs/>
          <w:iCs/>
        </w:rPr>
        <w:t xml:space="preserve"> </w:t>
      </w:r>
      <w:r w:rsidR="001D5782" w:rsidRPr="00450A17">
        <w:rPr>
          <w:rFonts w:cs="Arial"/>
          <w:bCs/>
          <w:iCs/>
        </w:rPr>
        <w:t>for</w:t>
      </w:r>
      <w:r w:rsidR="00FC4F30" w:rsidRPr="00450A17">
        <w:rPr>
          <w:rFonts w:cs="Arial"/>
          <w:bCs/>
          <w:iCs/>
        </w:rPr>
        <w:t xml:space="preserve"> the </w:t>
      </w:r>
      <w:r w:rsidR="008B35C9" w:rsidRPr="00450A17">
        <w:rPr>
          <w:rFonts w:cs="Arial"/>
          <w:bCs/>
          <w:iCs/>
        </w:rPr>
        <w:t xml:space="preserve">initial </w:t>
      </w:r>
      <w:r w:rsidR="00FC4F30" w:rsidRPr="00450A17">
        <w:rPr>
          <w:rFonts w:cs="Arial"/>
          <w:bCs/>
          <w:iCs/>
        </w:rPr>
        <w:t>practice</w:t>
      </w:r>
      <w:r w:rsidR="008B35C9" w:rsidRPr="00450A17">
        <w:rPr>
          <w:rFonts w:cs="Arial"/>
          <w:bCs/>
          <w:iCs/>
        </w:rPr>
        <w:t>)</w:t>
      </w:r>
      <w:r w:rsidR="00FC4F30" w:rsidRPr="00450A17">
        <w:rPr>
          <w:rFonts w:cs="Arial"/>
          <w:bCs/>
          <w:iCs/>
        </w:rPr>
        <w:t xml:space="preserve">. </w:t>
      </w:r>
      <w:r w:rsidR="008B35C9" w:rsidRPr="00450A17">
        <w:rPr>
          <w:rFonts w:cs="Arial"/>
          <w:bCs/>
          <w:iCs/>
        </w:rPr>
        <w:t>In addition, a</w:t>
      </w:r>
      <w:r w:rsidR="00A41817" w:rsidRPr="00450A17">
        <w:rPr>
          <w:rFonts w:cs="Arial"/>
          <w:bCs/>
          <w:iCs/>
        </w:rPr>
        <w:t xml:space="preserve"> patient could also be automatically withdrawn if they do not receive a face to face service from their registered practice for two years. </w:t>
      </w:r>
    </w:p>
    <w:p w14:paraId="2A6DAA11" w14:textId="219811B8" w:rsidR="0030442F" w:rsidRPr="00450A17" w:rsidRDefault="00FA2A9C" w:rsidP="00C83657">
      <w:pPr>
        <w:pStyle w:val="Heading1"/>
        <w:spacing w:line="276" w:lineRule="auto"/>
        <w:ind w:left="567" w:firstLine="0"/>
        <w:rPr>
          <w:rFonts w:cs="Arial"/>
          <w:b/>
          <w:bCs/>
        </w:rPr>
      </w:pPr>
      <w:r w:rsidRPr="00450A17">
        <w:rPr>
          <w:rFonts w:cs="Arial"/>
          <w:b/>
          <w:bCs/>
        </w:rPr>
        <w:t>6</w:t>
      </w:r>
      <w:r w:rsidR="00C83657" w:rsidRPr="00450A17">
        <w:rPr>
          <w:rFonts w:cs="Arial"/>
          <w:b/>
          <w:bCs/>
        </w:rPr>
        <w:t xml:space="preserve">. </w:t>
      </w:r>
      <w:r w:rsidR="0030442F" w:rsidRPr="00450A17">
        <w:rPr>
          <w:rFonts w:cs="Arial"/>
          <w:b/>
          <w:bCs/>
        </w:rPr>
        <w:t>Consultation</w:t>
      </w:r>
    </w:p>
    <w:p w14:paraId="4C222817" w14:textId="61EC7138" w:rsidR="0030442F" w:rsidRPr="00450A17" w:rsidRDefault="0030442F" w:rsidP="0030442F">
      <w:pPr>
        <w:rPr>
          <w:rFonts w:cs="Arial"/>
        </w:rPr>
      </w:pPr>
      <w:r w:rsidRPr="00450A17">
        <w:rPr>
          <w:rFonts w:cs="Arial"/>
        </w:rPr>
        <w:t>Initial consultations to inform development of the policy framework around VPR commenced in late 2019 as part of development of the 10 Year Plan</w:t>
      </w:r>
      <w:r w:rsidR="0095688D" w:rsidRPr="00450A17">
        <w:rPr>
          <w:rFonts w:cs="Arial"/>
        </w:rPr>
        <w:t xml:space="preserve"> (see </w:t>
      </w:r>
      <w:hyperlink r:id="rId14" w:history="1">
        <w:r w:rsidR="0095688D" w:rsidRPr="00450A17">
          <w:rPr>
            <w:rStyle w:val="Hyperlink"/>
            <w:rFonts w:cs="Arial"/>
          </w:rPr>
          <w:t>Australia’s Primary Health Care 10 Year Plan 2022–2032 | Australian Government Department of Health and Aged Care</w:t>
        </w:r>
      </w:hyperlink>
      <w:r w:rsidR="00975D30" w:rsidRPr="00450A17">
        <w:rPr>
          <w:rFonts w:cs="Arial"/>
        </w:rPr>
        <w:t xml:space="preserve">). </w:t>
      </w:r>
      <w:r w:rsidRPr="00450A17">
        <w:rPr>
          <w:rFonts w:cs="Arial"/>
        </w:rPr>
        <w:t xml:space="preserve"> Consultations included 20 themed roundtables focusing on various population health groups, provider groups and issues in primary health care, and a large consultation group in November 2019. These specific sectors and themes included Rural and Remote, Older Australians, Dementia, Allied health, After Hours, Intellectual Disability, LGBTI, and First 2,000 days. Over 240 organisations were represented in the consultation process, including people with lived experience, academics, peak organisations and </w:t>
      </w:r>
      <w:r w:rsidR="00AC7085" w:rsidRPr="00450A17">
        <w:rPr>
          <w:rFonts w:cs="Arial"/>
        </w:rPr>
        <w:t>PHNs</w:t>
      </w:r>
      <w:r w:rsidRPr="00450A17">
        <w:rPr>
          <w:rFonts w:cs="Arial"/>
        </w:rPr>
        <w:t>.</w:t>
      </w:r>
    </w:p>
    <w:p w14:paraId="5568D2FF" w14:textId="77777777" w:rsidR="0030442F" w:rsidRPr="00450A17" w:rsidRDefault="0030442F" w:rsidP="0030442F">
      <w:pPr>
        <w:rPr>
          <w:rFonts w:cs="Arial"/>
        </w:rPr>
      </w:pPr>
      <w:r w:rsidRPr="00450A17">
        <w:rPr>
          <w:rFonts w:cs="Arial"/>
        </w:rPr>
        <w:t>The Primary Health Care Reform Steering Group (the Steering Group), which included the Royal Australian College of General Practitioners (RACGP), the Australian Medical Association, the Australian College of Rural and Remote Medicine, and the Consumers Health Forum met 20 times between October 2019 and September 2021 to inform advice and develop recommendations</w:t>
      </w:r>
      <w:r w:rsidR="00AC7085" w:rsidRPr="00450A17">
        <w:rPr>
          <w:rFonts w:cs="Arial"/>
        </w:rPr>
        <w:t xml:space="preserve"> for primary care reform</w:t>
      </w:r>
      <w:r w:rsidRPr="00450A17">
        <w:rPr>
          <w:rFonts w:cs="Arial"/>
        </w:rPr>
        <w:t>. The</w:t>
      </w:r>
      <w:r w:rsidRPr="00450A17">
        <w:rPr>
          <w:rFonts w:cs="Arial"/>
          <w:bCs/>
          <w:iCs/>
        </w:rPr>
        <w:t xml:space="preserve"> Steering Group identified VPR as a key building block and foundation for reform in primary health care. </w:t>
      </w:r>
    </w:p>
    <w:p w14:paraId="317355E8" w14:textId="77777777" w:rsidR="0030442F" w:rsidRPr="00450A17" w:rsidRDefault="0030442F" w:rsidP="0030442F">
      <w:pPr>
        <w:rPr>
          <w:rFonts w:cs="Arial"/>
          <w:sz w:val="20"/>
          <w:szCs w:val="20"/>
          <w:lang w:eastAsia="en-AU"/>
        </w:rPr>
      </w:pPr>
      <w:r w:rsidRPr="00450A17">
        <w:rPr>
          <w:rFonts w:cs="Arial"/>
        </w:rPr>
        <w:t>A second consultation</w:t>
      </w:r>
      <w:r w:rsidR="00AC7085" w:rsidRPr="00450A17">
        <w:rPr>
          <w:rFonts w:cs="Arial"/>
        </w:rPr>
        <w:t xml:space="preserve"> period</w:t>
      </w:r>
      <w:r w:rsidRPr="00450A17">
        <w:rPr>
          <w:rFonts w:cs="Arial"/>
        </w:rPr>
        <w:t>, involving consultation on the Steering Group’s discussion paper with a set of draft recommendations to inform the 10 Year Plan commenced on 15</w:t>
      </w:r>
      <w:r w:rsidR="00D27D8F" w:rsidRPr="00450A17">
        <w:rPr>
          <w:rFonts w:cs="Arial"/>
        </w:rPr>
        <w:t> </w:t>
      </w:r>
      <w:r w:rsidRPr="00450A17">
        <w:rPr>
          <w:rFonts w:cs="Arial"/>
        </w:rPr>
        <w:t xml:space="preserve">June 2021 for a 6 week period and closed on 27 July 2021. Consultation on the recommendations sought stakeholder views, particularly on the proposed direction and any challenges or omissions. </w:t>
      </w:r>
    </w:p>
    <w:p w14:paraId="30B373E2" w14:textId="77777777" w:rsidR="0030442F" w:rsidRPr="00450A17" w:rsidRDefault="0030442F" w:rsidP="0030442F">
      <w:pPr>
        <w:rPr>
          <w:rFonts w:cs="Arial"/>
        </w:rPr>
      </w:pPr>
      <w:r w:rsidRPr="00450A17">
        <w:rPr>
          <w:rFonts w:cs="Arial"/>
        </w:rPr>
        <w:t xml:space="preserve">The consultation on the discussion paper involved inviting more than 420 organisations and individuals to provide feedback. The invitation was further disseminated through the professional networks of those originally invited. Over 200 submissions were received, many were substantial in both depth and coverage. They included peaks, consumer organisations a number of research entities, PHNs and state/territory governments and people with lived experience. </w:t>
      </w:r>
    </w:p>
    <w:p w14:paraId="6F716D54" w14:textId="77777777" w:rsidR="0030442F" w:rsidRPr="00450A17" w:rsidRDefault="0030442F" w:rsidP="0030442F">
      <w:pPr>
        <w:rPr>
          <w:rFonts w:cs="Arial"/>
          <w:color w:val="000000"/>
        </w:rPr>
      </w:pPr>
      <w:r w:rsidRPr="00450A17">
        <w:rPr>
          <w:rFonts w:cs="Arial"/>
          <w:color w:val="000000"/>
        </w:rPr>
        <w:t xml:space="preserve">A common theme identified through consultation was the health system is difficult to navigate, particularly for parents of young children, older Australians and their carers, people with complex chronic conditions, people with disability and their carers, people from </w:t>
      </w:r>
      <w:r w:rsidRPr="00450A17">
        <w:rPr>
          <w:rFonts w:cs="Arial"/>
        </w:rPr>
        <w:t>culturally and linguistically diverse (</w:t>
      </w:r>
      <w:r w:rsidRPr="00450A17">
        <w:rPr>
          <w:rFonts w:cs="Arial"/>
          <w:color w:val="000000"/>
        </w:rPr>
        <w:t>CALD) backgrounds, LGBTI people, people in socioeconomically disadvantaged circumstances and people experiencing mental illness.</w:t>
      </w:r>
    </w:p>
    <w:p w14:paraId="6D7C339D" w14:textId="77777777" w:rsidR="0030442F" w:rsidRPr="00450A17" w:rsidRDefault="0030442F" w:rsidP="0030442F">
      <w:pPr>
        <w:rPr>
          <w:rFonts w:cs="Arial"/>
        </w:rPr>
      </w:pPr>
      <w:r w:rsidRPr="00450A17">
        <w:rPr>
          <w:rFonts w:cs="Arial"/>
        </w:rPr>
        <w:t xml:space="preserve">Feedback from this consultation informed the final recommendations of the Steering Group. The Government considered the recommendations, and released a Consultation Draft of the 10 Year Plan (Draft Plan). Feedback on the Draft Plan reflected the </w:t>
      </w:r>
      <w:r w:rsidR="00AC7085" w:rsidRPr="00450A17">
        <w:rPr>
          <w:rFonts w:cs="Arial"/>
        </w:rPr>
        <w:t xml:space="preserve">input </w:t>
      </w:r>
      <w:r w:rsidRPr="00450A17">
        <w:rPr>
          <w:rFonts w:cs="Arial"/>
        </w:rPr>
        <w:t>received through previous consultation.</w:t>
      </w:r>
    </w:p>
    <w:p w14:paraId="50D4F0DD" w14:textId="0220C687" w:rsidR="0030442F" w:rsidRPr="00450A17" w:rsidRDefault="0030442F" w:rsidP="0030442F">
      <w:pPr>
        <w:rPr>
          <w:rFonts w:cs="Arial"/>
        </w:rPr>
      </w:pPr>
      <w:r w:rsidRPr="00450A17">
        <w:rPr>
          <w:rFonts w:cs="Arial"/>
        </w:rPr>
        <w:t xml:space="preserve">Some stakeholders, generally smaller more specialist interest groups, </w:t>
      </w:r>
      <w:r w:rsidR="00AC7085" w:rsidRPr="00450A17">
        <w:rPr>
          <w:rFonts w:cs="Arial"/>
        </w:rPr>
        <w:t xml:space="preserve">raised concerns with linking </w:t>
      </w:r>
      <w:r w:rsidR="006D3C89" w:rsidRPr="00450A17">
        <w:rPr>
          <w:rFonts w:cs="Arial"/>
        </w:rPr>
        <w:t xml:space="preserve">services </w:t>
      </w:r>
      <w:r w:rsidR="00AC7085" w:rsidRPr="00450A17">
        <w:rPr>
          <w:rFonts w:cs="Arial"/>
        </w:rPr>
        <w:t xml:space="preserve">such as MBS items to </w:t>
      </w:r>
      <w:r w:rsidRPr="00450A17">
        <w:rPr>
          <w:rFonts w:cs="Arial"/>
        </w:rPr>
        <w:t>VPR</w:t>
      </w:r>
      <w:r w:rsidR="00200789" w:rsidRPr="00450A17">
        <w:rPr>
          <w:rFonts w:cs="Arial"/>
        </w:rPr>
        <w:t xml:space="preserve"> due to the perceived </w:t>
      </w:r>
      <w:r w:rsidR="006D3C89" w:rsidRPr="00450A17">
        <w:rPr>
          <w:rFonts w:cs="Arial"/>
        </w:rPr>
        <w:t>potential</w:t>
      </w:r>
      <w:r w:rsidRPr="00450A17">
        <w:rPr>
          <w:rFonts w:cs="Arial"/>
        </w:rPr>
        <w:t xml:space="preserve"> restrict</w:t>
      </w:r>
      <w:r w:rsidR="006D3C89" w:rsidRPr="00450A17">
        <w:rPr>
          <w:rFonts w:cs="Arial"/>
        </w:rPr>
        <w:t>ion of</w:t>
      </w:r>
      <w:r w:rsidRPr="00450A17">
        <w:rPr>
          <w:rFonts w:cs="Arial"/>
        </w:rPr>
        <w:t xml:space="preserve"> access to medical services for some patients. VPR w</w:t>
      </w:r>
      <w:r w:rsidR="00DA62E5" w:rsidRPr="00450A17">
        <w:rPr>
          <w:rFonts w:cs="Arial"/>
        </w:rPr>
        <w:t>ill</w:t>
      </w:r>
      <w:r w:rsidRPr="00450A17">
        <w:rPr>
          <w:rFonts w:cs="Arial"/>
        </w:rPr>
        <w:t xml:space="preserve"> not restrict patients from accessing services from other GPs, but it </w:t>
      </w:r>
      <w:r w:rsidR="00DE4A4E" w:rsidRPr="00450A17">
        <w:rPr>
          <w:rFonts w:cs="Arial"/>
        </w:rPr>
        <w:t xml:space="preserve">will </w:t>
      </w:r>
      <w:r w:rsidRPr="00450A17">
        <w:rPr>
          <w:rFonts w:cs="Arial"/>
        </w:rPr>
        <w:t>restrict patients who are not registered from accessing services</w:t>
      </w:r>
      <w:r w:rsidR="00DE4A4E" w:rsidRPr="00450A17">
        <w:rPr>
          <w:rFonts w:cs="Arial"/>
        </w:rPr>
        <w:t xml:space="preserve"> exclusively linked to VPR</w:t>
      </w:r>
      <w:r w:rsidRPr="00450A17">
        <w:rPr>
          <w:rFonts w:cs="Arial"/>
        </w:rPr>
        <w:t xml:space="preserve">. </w:t>
      </w:r>
    </w:p>
    <w:p w14:paraId="14293E9B" w14:textId="77777777" w:rsidR="0030442F" w:rsidRPr="00450A17" w:rsidRDefault="0030442F" w:rsidP="0030442F">
      <w:pPr>
        <w:rPr>
          <w:rFonts w:cs="Arial"/>
        </w:rPr>
      </w:pPr>
      <w:r w:rsidRPr="00450A17">
        <w:rPr>
          <w:rFonts w:cs="Arial"/>
        </w:rPr>
        <w:t xml:space="preserve">Consumer peak bodies highlighted the need for the model to include some exceptions/reduced eligibility requirements for vulnerable populations such as Indigenous communities. This has been taken into consideration in the VPR model, which includes exemptions and reduced eligibility criteria for vulnerable cohorts. </w:t>
      </w:r>
    </w:p>
    <w:p w14:paraId="0D537E81" w14:textId="77777777" w:rsidR="0030442F" w:rsidRPr="00450A17" w:rsidRDefault="0030442F" w:rsidP="0030442F">
      <w:pPr>
        <w:rPr>
          <w:rFonts w:cs="Arial"/>
        </w:rPr>
      </w:pPr>
      <w:r w:rsidRPr="00450A17">
        <w:rPr>
          <w:rFonts w:cs="Arial"/>
        </w:rPr>
        <w:t>Consultation with the sector also occurred through the external expert and clinician-led MBS Review Taskforce. The MBS Review Taskforce established over 70 Clinical Committees to provide it with expert advice about each area of clinical practice that the MBS supports. During this 5 year process more than 700 clinicians, consumers and health system experts participated in these committees, providing detailed advice on how to improve the MBS.</w:t>
      </w:r>
    </w:p>
    <w:p w14:paraId="5728C532" w14:textId="727F9E8A" w:rsidR="0030442F" w:rsidRPr="00450A17" w:rsidRDefault="0030442F" w:rsidP="00BD15AC">
      <w:pPr>
        <w:rPr>
          <w:rFonts w:cs="Arial"/>
        </w:rPr>
      </w:pPr>
      <w:r w:rsidRPr="00450A17">
        <w:rPr>
          <w:rFonts w:cs="Arial"/>
        </w:rPr>
        <w:t xml:space="preserve">The MBS Review Taskforce recommended that high rebate MBS items, such as chronic disease management items, be restricted to the provider a patient is registered with. These items are currently open to misuse. Current Medicare explanatory notes require that some frequency-limited, high-fee GP services should only be provided by the patients ‘usual GP’, but this is not defined. </w:t>
      </w:r>
      <w:r w:rsidR="00B07736" w:rsidRPr="00450A17">
        <w:rPr>
          <w:rFonts w:cs="Arial"/>
          <w:bCs/>
          <w:iCs/>
        </w:rPr>
        <w:t xml:space="preserve">Such items include chronic disease management, health assessments, home medicines reviews, and team care arrangements. Currently, a GP may claim an item for any patient, even if they are not that patient’s usual GP. This in turn could prevent the patient’s usual GP from claiming that item. This </w:t>
      </w:r>
      <w:r w:rsidR="00200789" w:rsidRPr="00450A17">
        <w:rPr>
          <w:rFonts w:cs="Arial"/>
          <w:bCs/>
          <w:iCs/>
        </w:rPr>
        <w:t xml:space="preserve">scenario </w:t>
      </w:r>
      <w:r w:rsidR="00B07736" w:rsidRPr="00450A17">
        <w:rPr>
          <w:rFonts w:cs="Arial"/>
          <w:bCs/>
          <w:iCs/>
        </w:rPr>
        <w:t>is problematic for both the patient and the patient’s usual GP as it reduces care continuity and places additional burden on the usual GP to provide care for which they are not appropriately reimbursed.</w:t>
      </w:r>
      <w:r w:rsidR="00200789" w:rsidRPr="00450A17">
        <w:rPr>
          <w:rFonts w:cs="Arial"/>
          <w:bCs/>
          <w:iCs/>
        </w:rPr>
        <w:t xml:space="preserve"> This recommendation is noted for further consideration.</w:t>
      </w:r>
    </w:p>
    <w:p w14:paraId="5222010E" w14:textId="77777777" w:rsidR="0030442F" w:rsidRPr="00450A17" w:rsidRDefault="004C4B23" w:rsidP="009065F5">
      <w:pPr>
        <w:rPr>
          <w:rFonts w:cs="Arial"/>
          <w:bCs/>
          <w:iCs/>
        </w:rPr>
      </w:pPr>
      <w:r w:rsidRPr="00450A17">
        <w:rPr>
          <w:rFonts w:cs="Arial"/>
          <w:bCs/>
          <w:iCs/>
        </w:rPr>
        <w:t>On 3 February 2023,</w:t>
      </w:r>
      <w:r w:rsidR="0030442F" w:rsidRPr="00450A17">
        <w:rPr>
          <w:rFonts w:cs="Arial"/>
          <w:bCs/>
          <w:iCs/>
        </w:rPr>
        <w:t xml:space="preserve"> </w:t>
      </w:r>
      <w:r w:rsidRPr="00450A17">
        <w:rPr>
          <w:rFonts w:cs="Arial"/>
          <w:bCs/>
          <w:iCs/>
        </w:rPr>
        <w:t xml:space="preserve">the Minister for Health and Aged Care, the Hon Mark Butler MP, released the report of the </w:t>
      </w:r>
      <w:r w:rsidR="003A22F9" w:rsidRPr="00450A17">
        <w:rPr>
          <w:rFonts w:cs="Arial"/>
          <w:bCs/>
          <w:iCs/>
        </w:rPr>
        <w:t>Taskforce</w:t>
      </w:r>
      <w:r w:rsidR="00176DDC" w:rsidRPr="00450A17">
        <w:rPr>
          <w:rFonts w:cs="Arial"/>
          <w:bCs/>
          <w:iCs/>
        </w:rPr>
        <w:t>.</w:t>
      </w:r>
      <w:r w:rsidRPr="00450A17">
        <w:rPr>
          <w:rFonts w:cs="Arial"/>
          <w:bCs/>
          <w:iCs/>
        </w:rPr>
        <w:t xml:space="preserve"> The members of the Taskforce were health leaders from across Australia’s primary care system. The report recommends significant changes to how primary care is funded and delivered to enable high quality, integrated and person-centred care for all Australians. In the development of the report, the Taskforce </w:t>
      </w:r>
      <w:r w:rsidR="0030442F" w:rsidRPr="00450A17">
        <w:rPr>
          <w:rFonts w:cs="Arial"/>
          <w:bCs/>
          <w:iCs/>
        </w:rPr>
        <w:t>conducted a number of deep dives</w:t>
      </w:r>
      <w:r w:rsidRPr="00450A17">
        <w:rPr>
          <w:rFonts w:cs="Arial"/>
          <w:bCs/>
          <w:iCs/>
        </w:rPr>
        <w:t>, including on VPR</w:t>
      </w:r>
      <w:r w:rsidR="0030442F" w:rsidRPr="00450A17">
        <w:rPr>
          <w:rFonts w:cs="Arial"/>
          <w:bCs/>
          <w:iCs/>
        </w:rPr>
        <w:t>.</w:t>
      </w:r>
      <w:r w:rsidRPr="00450A17">
        <w:rPr>
          <w:rFonts w:cs="Arial"/>
          <w:bCs/>
          <w:iCs/>
        </w:rPr>
        <w:t xml:space="preserve"> In recognising the value of VPR to patients and practices, it was a </w:t>
      </w:r>
      <w:r w:rsidR="0030442F" w:rsidRPr="00450A17">
        <w:rPr>
          <w:rFonts w:cs="Arial"/>
          <w:bCs/>
          <w:iCs/>
        </w:rPr>
        <w:t xml:space="preserve">key </w:t>
      </w:r>
      <w:r w:rsidRPr="00450A17">
        <w:rPr>
          <w:rFonts w:cs="Arial"/>
          <w:bCs/>
          <w:iCs/>
        </w:rPr>
        <w:t xml:space="preserve">component </w:t>
      </w:r>
      <w:r w:rsidR="0030442F" w:rsidRPr="00450A17">
        <w:rPr>
          <w:rFonts w:cs="Arial"/>
          <w:bCs/>
          <w:iCs/>
        </w:rPr>
        <w:t>of their recommendations</w:t>
      </w:r>
      <w:r w:rsidRPr="00450A17">
        <w:rPr>
          <w:rFonts w:cs="Arial"/>
          <w:bCs/>
          <w:iCs/>
        </w:rPr>
        <w:t xml:space="preserve"> </w:t>
      </w:r>
      <w:r w:rsidR="0030442F" w:rsidRPr="00450A17">
        <w:rPr>
          <w:rFonts w:cs="Arial"/>
          <w:bCs/>
          <w:iCs/>
        </w:rPr>
        <w:t>as a way to support better continuity of care, strengthen relationships between the patient and their care team, and provide more integrated, person-centred care.</w:t>
      </w:r>
      <w:r w:rsidR="006005C5" w:rsidRPr="00450A17">
        <w:rPr>
          <w:rFonts w:cs="Arial"/>
          <w:bCs/>
          <w:iCs/>
        </w:rPr>
        <w:t xml:space="preserve"> </w:t>
      </w:r>
      <w:r w:rsidR="00BA23DB" w:rsidRPr="00450A17">
        <w:rPr>
          <w:rFonts w:cs="Arial"/>
          <w:bCs/>
          <w:iCs/>
        </w:rPr>
        <w:t xml:space="preserve">Further details on the Taskforce can be found at: </w:t>
      </w:r>
      <w:hyperlink r:id="rId15" w:history="1">
        <w:r w:rsidR="00BA23DB" w:rsidRPr="00450A17">
          <w:rPr>
            <w:rStyle w:val="Hyperlink"/>
          </w:rPr>
          <w:t>Strengthening Medicare Taskforce | Australian Government Department of Health and Aged Care</w:t>
        </w:r>
      </w:hyperlink>
      <w:r w:rsidR="002517A9" w:rsidRPr="00450A17">
        <w:t>.</w:t>
      </w:r>
    </w:p>
    <w:p w14:paraId="7D8F5385" w14:textId="24F1FDEF" w:rsidR="009065F5" w:rsidRPr="00450A17" w:rsidRDefault="00FA2A9C" w:rsidP="00C83657">
      <w:pPr>
        <w:pStyle w:val="Heading1"/>
        <w:spacing w:line="276" w:lineRule="auto"/>
        <w:ind w:left="927"/>
        <w:rPr>
          <w:rFonts w:cs="Arial"/>
          <w:b/>
          <w:bCs/>
        </w:rPr>
      </w:pPr>
      <w:r w:rsidRPr="00450A17">
        <w:rPr>
          <w:rFonts w:cs="Arial"/>
          <w:b/>
          <w:bCs/>
        </w:rPr>
        <w:t>7</w:t>
      </w:r>
      <w:r w:rsidR="00C83657" w:rsidRPr="00450A17">
        <w:rPr>
          <w:rFonts w:cs="Arial"/>
          <w:b/>
          <w:bCs/>
        </w:rPr>
        <w:t xml:space="preserve">. </w:t>
      </w:r>
      <w:r w:rsidR="009065F5" w:rsidRPr="00450A17">
        <w:rPr>
          <w:rFonts w:cs="Arial"/>
          <w:b/>
          <w:bCs/>
        </w:rPr>
        <w:t xml:space="preserve">Preferred Option </w:t>
      </w:r>
      <w:r w:rsidR="00710486" w:rsidRPr="00450A17">
        <w:rPr>
          <w:rFonts w:cs="Arial"/>
          <w:b/>
          <w:bCs/>
        </w:rPr>
        <w:t>and how it will be implemented</w:t>
      </w:r>
    </w:p>
    <w:p w14:paraId="7E84028F" w14:textId="77777777" w:rsidR="009065F5" w:rsidRPr="00450A17" w:rsidRDefault="009065F5" w:rsidP="009065F5">
      <w:pPr>
        <w:rPr>
          <w:rFonts w:cs="Arial"/>
        </w:rPr>
      </w:pPr>
      <w:r w:rsidRPr="00450A17">
        <w:rPr>
          <w:rFonts w:cs="Arial"/>
        </w:rPr>
        <w:t xml:space="preserve">The preferred option is </w:t>
      </w:r>
      <w:r w:rsidR="00F0184F" w:rsidRPr="00450A17">
        <w:rPr>
          <w:rFonts w:cs="Arial"/>
        </w:rPr>
        <w:t>the implementation of VPR</w:t>
      </w:r>
      <w:r w:rsidR="00F52E2C" w:rsidRPr="00450A17">
        <w:rPr>
          <w:rFonts w:cs="Arial"/>
        </w:rPr>
        <w:t xml:space="preserve"> (Option 2)</w:t>
      </w:r>
      <w:r w:rsidRPr="00450A17">
        <w:rPr>
          <w:rFonts w:cs="Arial"/>
        </w:rPr>
        <w:t>, as it supports better integrated, coordinated health care</w:t>
      </w:r>
      <w:r w:rsidR="00F52E2C" w:rsidRPr="00450A17">
        <w:rPr>
          <w:rFonts w:cs="Arial"/>
        </w:rPr>
        <w:t>, which will benefit patients, practices, providers and the broader health system</w:t>
      </w:r>
      <w:r w:rsidRPr="00450A17">
        <w:rPr>
          <w:rFonts w:cs="Arial"/>
        </w:rPr>
        <w:t xml:space="preserve">. </w:t>
      </w:r>
    </w:p>
    <w:p w14:paraId="296321DC" w14:textId="34884A73" w:rsidR="009004F1" w:rsidRPr="00450A17" w:rsidRDefault="009004F1" w:rsidP="009065F5">
      <w:pPr>
        <w:rPr>
          <w:rFonts w:cs="Arial"/>
          <w:b/>
          <w:i/>
        </w:rPr>
      </w:pPr>
      <w:r w:rsidRPr="00450A17">
        <w:rPr>
          <w:rFonts w:cs="Arial"/>
        </w:rPr>
        <w:t>Although VPR is associated wit</w:t>
      </w:r>
      <w:r w:rsidR="00F22374" w:rsidRPr="00450A17">
        <w:rPr>
          <w:rFonts w:cs="Arial"/>
        </w:rPr>
        <w:t xml:space="preserve">h some upfront </w:t>
      </w:r>
      <w:r w:rsidRPr="00450A17">
        <w:rPr>
          <w:rFonts w:cs="Arial"/>
        </w:rPr>
        <w:t xml:space="preserve">costs and </w:t>
      </w:r>
      <w:r w:rsidR="007F4952" w:rsidRPr="00450A17">
        <w:rPr>
          <w:rFonts w:cs="Arial"/>
        </w:rPr>
        <w:t xml:space="preserve">reducing </w:t>
      </w:r>
      <w:r w:rsidR="00F22374" w:rsidRPr="00450A17">
        <w:rPr>
          <w:rFonts w:cs="Arial"/>
        </w:rPr>
        <w:t xml:space="preserve">ongoing </w:t>
      </w:r>
      <w:r w:rsidRPr="00450A17">
        <w:rPr>
          <w:rFonts w:cs="Arial"/>
        </w:rPr>
        <w:t xml:space="preserve">regulatory burden (as outlined in Section </w:t>
      </w:r>
      <w:r w:rsidR="003259EF" w:rsidRPr="00450A17">
        <w:rPr>
          <w:rFonts w:cs="Arial"/>
        </w:rPr>
        <w:t>5</w:t>
      </w:r>
      <w:r w:rsidRPr="00450A17">
        <w:rPr>
          <w:rFonts w:cs="Arial"/>
        </w:rPr>
        <w:t>),</w:t>
      </w:r>
      <w:r w:rsidR="00F22374" w:rsidRPr="00450A17">
        <w:rPr>
          <w:rFonts w:cs="Arial"/>
        </w:rPr>
        <w:t xml:space="preserve"> it results in a regulatory save over the first 4 years of the program</w:t>
      </w:r>
      <w:r w:rsidR="007F4952" w:rsidRPr="00450A17">
        <w:rPr>
          <w:rFonts w:cs="Arial"/>
        </w:rPr>
        <w:t>,</w:t>
      </w:r>
      <w:r w:rsidR="00A85AC8" w:rsidRPr="00450A17">
        <w:rPr>
          <w:rFonts w:cs="Arial"/>
        </w:rPr>
        <w:t xml:space="preserve"> which will increase over time</w:t>
      </w:r>
      <w:r w:rsidR="00F22374" w:rsidRPr="00450A17">
        <w:rPr>
          <w:rFonts w:cs="Arial"/>
        </w:rPr>
        <w:t>.</w:t>
      </w:r>
      <w:r w:rsidRPr="00450A17">
        <w:rPr>
          <w:rFonts w:cs="Arial"/>
        </w:rPr>
        <w:t xml:space="preserve"> </w:t>
      </w:r>
      <w:r w:rsidR="00F22374" w:rsidRPr="00450A17">
        <w:rPr>
          <w:rFonts w:cs="Arial"/>
        </w:rPr>
        <w:t xml:space="preserve">This </w:t>
      </w:r>
      <w:r w:rsidRPr="00450A17">
        <w:rPr>
          <w:rFonts w:cs="Arial"/>
        </w:rPr>
        <w:t>option</w:t>
      </w:r>
      <w:r w:rsidR="00F22374" w:rsidRPr="00450A17">
        <w:rPr>
          <w:rFonts w:cs="Arial"/>
        </w:rPr>
        <w:t xml:space="preserve"> also</w:t>
      </w:r>
      <w:r w:rsidRPr="00450A17">
        <w:rPr>
          <w:rFonts w:cs="Arial"/>
        </w:rPr>
        <w:t xml:space="preserve"> better addresses the current issues impacting primary care, including inadequate continuity of care and fragmentation of care. As indicated above, several years of consultation with the sector have consistently identified VPR as a reform that will improve patient outcomes. These consultations have informed aspects of program design to ensure that the program is equitable and sustainable. </w:t>
      </w:r>
    </w:p>
    <w:p w14:paraId="5B16BCC7" w14:textId="77777777" w:rsidR="009065F5" w:rsidRPr="00450A17" w:rsidRDefault="009065F5" w:rsidP="009065F5">
      <w:pPr>
        <w:rPr>
          <w:rFonts w:cs="Arial"/>
        </w:rPr>
      </w:pPr>
      <w:r w:rsidRPr="00450A17">
        <w:rPr>
          <w:rFonts w:cs="Arial"/>
        </w:rPr>
        <w:t xml:space="preserve">Without commencing </w:t>
      </w:r>
      <w:r w:rsidR="00526840" w:rsidRPr="00450A17">
        <w:rPr>
          <w:rFonts w:cs="Arial"/>
        </w:rPr>
        <w:t>VPR</w:t>
      </w:r>
      <w:r w:rsidRPr="00450A17">
        <w:rPr>
          <w:rFonts w:cs="Arial"/>
        </w:rPr>
        <w:t>, primary care w</w:t>
      </w:r>
      <w:r w:rsidR="00DA62E5" w:rsidRPr="00450A17">
        <w:rPr>
          <w:rFonts w:cs="Arial"/>
        </w:rPr>
        <w:t>ill</w:t>
      </w:r>
      <w:r w:rsidRPr="00450A17">
        <w:rPr>
          <w:rFonts w:cs="Arial"/>
        </w:rPr>
        <w:t xml:space="preserve"> continue to be delivered without the benefits of enhanced continuity of care which puts patients at risk of low value, fragmented care that is financially inefficient for the health care system. </w:t>
      </w:r>
    </w:p>
    <w:p w14:paraId="1254FF8E" w14:textId="77777777" w:rsidR="00710486" w:rsidRPr="00450A17" w:rsidRDefault="00710486" w:rsidP="009065F5">
      <w:pPr>
        <w:pStyle w:val="CABNETParagraph"/>
        <w:spacing w:line="276" w:lineRule="auto"/>
        <w:rPr>
          <w:rFonts w:cs="Arial"/>
          <w:i/>
        </w:rPr>
      </w:pPr>
      <w:r w:rsidRPr="00450A17">
        <w:rPr>
          <w:rFonts w:cs="Arial"/>
          <w:i/>
        </w:rPr>
        <w:t>Implementation</w:t>
      </w:r>
    </w:p>
    <w:p w14:paraId="61DC9538" w14:textId="6CE17694" w:rsidR="00A858AC" w:rsidRPr="00450A17" w:rsidRDefault="00A858AC" w:rsidP="00A858AC">
      <w:pPr>
        <w:rPr>
          <w:rFonts w:cs="Arial"/>
        </w:rPr>
      </w:pPr>
      <w:r w:rsidRPr="00450A17">
        <w:rPr>
          <w:rFonts w:cs="Arial"/>
        </w:rPr>
        <w:t xml:space="preserve">VPR </w:t>
      </w:r>
      <w:r w:rsidR="00DA62E5" w:rsidRPr="00450A17">
        <w:rPr>
          <w:rFonts w:cs="Arial"/>
        </w:rPr>
        <w:t>will</w:t>
      </w:r>
      <w:r w:rsidRPr="00450A17">
        <w:rPr>
          <w:rFonts w:cs="Arial"/>
        </w:rPr>
        <w:t xml:space="preserve"> be implemented through </w:t>
      </w:r>
      <w:r w:rsidR="00993F82" w:rsidRPr="00450A17">
        <w:rPr>
          <w:rFonts w:cs="Arial"/>
        </w:rPr>
        <w:t xml:space="preserve">a Services Australia based platform called the </w:t>
      </w:r>
      <w:r w:rsidR="00010889" w:rsidRPr="00450A17">
        <w:rPr>
          <w:rFonts w:cs="Arial"/>
        </w:rPr>
        <w:t>Organisation R</w:t>
      </w:r>
      <w:r w:rsidRPr="00450A17">
        <w:rPr>
          <w:rFonts w:cs="Arial"/>
        </w:rPr>
        <w:t>egister</w:t>
      </w:r>
      <w:r w:rsidR="00993F82" w:rsidRPr="00450A17">
        <w:rPr>
          <w:rFonts w:cs="Arial"/>
        </w:rPr>
        <w:t xml:space="preserve">. </w:t>
      </w:r>
      <w:r w:rsidR="009004F1" w:rsidRPr="00450A17">
        <w:rPr>
          <w:rFonts w:cs="Arial"/>
        </w:rPr>
        <w:t xml:space="preserve">As outlined above in Section </w:t>
      </w:r>
      <w:r w:rsidR="00993F82" w:rsidRPr="00450A17">
        <w:rPr>
          <w:rFonts w:cs="Arial"/>
        </w:rPr>
        <w:t>4</w:t>
      </w:r>
      <w:r w:rsidR="009004F1" w:rsidRPr="00450A17">
        <w:rPr>
          <w:rFonts w:cs="Arial"/>
        </w:rPr>
        <w:t>, t</w:t>
      </w:r>
      <w:r w:rsidR="00526840" w:rsidRPr="00450A17">
        <w:rPr>
          <w:rFonts w:cs="Arial"/>
        </w:rPr>
        <w:t xml:space="preserve">his system </w:t>
      </w:r>
      <w:r w:rsidRPr="00450A17">
        <w:rPr>
          <w:rFonts w:cs="Arial"/>
        </w:rPr>
        <w:t>leverages existing Government platforms such as PRODA and HPOS that are already familiar to practices</w:t>
      </w:r>
      <w:r w:rsidR="009004F1" w:rsidRPr="00450A17">
        <w:rPr>
          <w:rFonts w:cs="Arial"/>
        </w:rPr>
        <w:t>, and uses</w:t>
      </w:r>
      <w:r w:rsidRPr="00450A17">
        <w:rPr>
          <w:rFonts w:cs="Arial"/>
        </w:rPr>
        <w:t xml:space="preserve"> existing Medicare numbers</w:t>
      </w:r>
      <w:r w:rsidR="009004F1" w:rsidRPr="00450A17">
        <w:rPr>
          <w:rFonts w:cs="Arial"/>
        </w:rPr>
        <w:t xml:space="preserve">, </w:t>
      </w:r>
      <w:r w:rsidRPr="00450A17">
        <w:rPr>
          <w:rFonts w:cs="Arial"/>
        </w:rPr>
        <w:t>provider numbers</w:t>
      </w:r>
      <w:r w:rsidR="009004F1" w:rsidRPr="00450A17">
        <w:rPr>
          <w:rFonts w:cs="Arial"/>
        </w:rPr>
        <w:t xml:space="preserve"> and</w:t>
      </w:r>
      <w:r w:rsidRPr="00450A17">
        <w:rPr>
          <w:rFonts w:cs="Arial"/>
        </w:rPr>
        <w:t xml:space="preserve"> My Health Record</w:t>
      </w:r>
      <w:r w:rsidR="009004F1" w:rsidRPr="00450A17">
        <w:rPr>
          <w:rFonts w:cs="Arial"/>
        </w:rPr>
        <w:t xml:space="preserve"> infrastructure</w:t>
      </w:r>
      <w:r w:rsidRPr="00450A17">
        <w:rPr>
          <w:rFonts w:cs="Arial"/>
        </w:rPr>
        <w:t xml:space="preserve">. </w:t>
      </w:r>
      <w:r w:rsidR="00010889" w:rsidRPr="00450A17">
        <w:rPr>
          <w:rFonts w:cs="Arial"/>
        </w:rPr>
        <w:t xml:space="preserve">The system currently has the functionality to enable patient registration to a practice and provider. The funding being sought </w:t>
      </w:r>
      <w:r w:rsidR="007F4952" w:rsidRPr="00450A17">
        <w:rPr>
          <w:rFonts w:cs="Arial"/>
        </w:rPr>
        <w:t>to finalise the development of VPR systems</w:t>
      </w:r>
      <w:r w:rsidR="00010889" w:rsidRPr="00450A17">
        <w:rPr>
          <w:rFonts w:cs="Arial"/>
        </w:rPr>
        <w:t xml:space="preserve"> will </w:t>
      </w:r>
      <w:r w:rsidR="00226F8D" w:rsidRPr="00450A17">
        <w:rPr>
          <w:rFonts w:cs="Arial"/>
        </w:rPr>
        <w:t>enhance existing</w:t>
      </w:r>
      <w:r w:rsidR="00010889" w:rsidRPr="00450A17">
        <w:rPr>
          <w:rFonts w:cs="Arial"/>
        </w:rPr>
        <w:t xml:space="preserve"> functionality to include multidisciplinary team care arrangements</w:t>
      </w:r>
      <w:r w:rsidR="00226F8D" w:rsidRPr="00450A17">
        <w:rPr>
          <w:rFonts w:cs="Arial"/>
        </w:rPr>
        <w:t>,</w:t>
      </w:r>
      <w:r w:rsidR="00010889" w:rsidRPr="00450A17">
        <w:rPr>
          <w:rFonts w:cs="Arial"/>
        </w:rPr>
        <w:t xml:space="preserve"> nurse</w:t>
      </w:r>
      <w:r w:rsidR="007F4952" w:rsidRPr="00450A17">
        <w:rPr>
          <w:rFonts w:cs="Arial"/>
        </w:rPr>
        <w:t>-led practices</w:t>
      </w:r>
      <w:r w:rsidR="00010889" w:rsidRPr="00450A17">
        <w:rPr>
          <w:rFonts w:cs="Arial"/>
        </w:rPr>
        <w:t xml:space="preserve">, and expand payment capabilities. </w:t>
      </w:r>
      <w:r w:rsidRPr="00450A17">
        <w:rPr>
          <w:rFonts w:cs="Arial"/>
        </w:rPr>
        <w:t>In addition, the Department of Health and Services Australia w</w:t>
      </w:r>
      <w:r w:rsidR="00DA62E5" w:rsidRPr="00450A17">
        <w:rPr>
          <w:rFonts w:cs="Arial"/>
        </w:rPr>
        <w:t>ill</w:t>
      </w:r>
      <w:r w:rsidRPr="00450A17">
        <w:rPr>
          <w:rFonts w:cs="Arial"/>
        </w:rPr>
        <w:t xml:space="preserve"> work with</w:t>
      </w:r>
      <w:r w:rsidR="00226F8D" w:rsidRPr="00450A17">
        <w:rPr>
          <w:rFonts w:cs="Arial"/>
        </w:rPr>
        <w:t xml:space="preserve"> practice management</w:t>
      </w:r>
      <w:r w:rsidRPr="00450A17">
        <w:rPr>
          <w:rFonts w:cs="Arial"/>
        </w:rPr>
        <w:t xml:space="preserve"> software vendors to </w:t>
      </w:r>
      <w:r w:rsidR="00226F8D" w:rsidRPr="00450A17">
        <w:rPr>
          <w:rFonts w:cs="Arial"/>
        </w:rPr>
        <w:t>co-design options</w:t>
      </w:r>
      <w:r w:rsidRPr="00450A17">
        <w:rPr>
          <w:rFonts w:cs="Arial"/>
        </w:rPr>
        <w:t xml:space="preserve"> </w:t>
      </w:r>
      <w:r w:rsidR="00226F8D" w:rsidRPr="00450A17">
        <w:rPr>
          <w:rFonts w:cs="Arial"/>
        </w:rPr>
        <w:t xml:space="preserve">for integration </w:t>
      </w:r>
      <w:r w:rsidRPr="00450A17">
        <w:rPr>
          <w:rFonts w:cs="Arial"/>
        </w:rPr>
        <w:t>with clinical software over time.</w:t>
      </w:r>
    </w:p>
    <w:p w14:paraId="0DAD0D4D" w14:textId="58821A69" w:rsidR="007F4952" w:rsidRPr="00450A17" w:rsidRDefault="007F4952" w:rsidP="00A858AC">
      <w:pPr>
        <w:rPr>
          <w:rFonts w:cs="Arial"/>
        </w:rPr>
      </w:pPr>
      <w:r w:rsidRPr="00450A17">
        <w:rPr>
          <w:rFonts w:cs="Arial"/>
        </w:rPr>
        <w:t xml:space="preserve">Activities prior to go-live in October 2023 will focus on final testing of the end to end system capabilities, </w:t>
      </w:r>
      <w:r w:rsidR="009154DA" w:rsidRPr="00450A17">
        <w:rPr>
          <w:rFonts w:cs="Arial"/>
        </w:rPr>
        <w:t>on-boarding additional practices, working with the sector on change management, and developing and disseminating communications materials.</w:t>
      </w:r>
    </w:p>
    <w:p w14:paraId="7639A856" w14:textId="52045259" w:rsidR="00710486" w:rsidRPr="00450A17" w:rsidRDefault="00993F82" w:rsidP="00710486">
      <w:pPr>
        <w:rPr>
          <w:rFonts w:cs="Arial"/>
        </w:rPr>
      </w:pPr>
      <w:r w:rsidRPr="00450A17">
        <w:rPr>
          <w:rFonts w:cs="Arial"/>
        </w:rPr>
        <w:t xml:space="preserve">To </w:t>
      </w:r>
      <w:r w:rsidR="00710486" w:rsidRPr="00450A17">
        <w:rPr>
          <w:rFonts w:cs="Arial"/>
        </w:rPr>
        <w:t xml:space="preserve">support implementation </w:t>
      </w:r>
      <w:r w:rsidR="00473BBC" w:rsidRPr="00450A17">
        <w:rPr>
          <w:rFonts w:cs="Arial"/>
        </w:rPr>
        <w:t>(as part of this proposal)</w:t>
      </w:r>
      <w:r w:rsidRPr="00450A17">
        <w:rPr>
          <w:rFonts w:cs="Arial"/>
        </w:rPr>
        <w:t>,</w:t>
      </w:r>
      <w:r w:rsidR="00473BBC" w:rsidRPr="00450A17">
        <w:rPr>
          <w:rFonts w:cs="Arial"/>
        </w:rPr>
        <w:t xml:space="preserve"> </w:t>
      </w:r>
      <w:r w:rsidR="00710486" w:rsidRPr="00450A17">
        <w:rPr>
          <w:rFonts w:cs="Arial"/>
        </w:rPr>
        <w:t xml:space="preserve">funding is being sought for the establishment and ongoing management of an expert </w:t>
      </w:r>
      <w:r w:rsidR="00FA6A9B" w:rsidRPr="00450A17">
        <w:rPr>
          <w:rFonts w:cs="Arial"/>
        </w:rPr>
        <w:t>advisory</w:t>
      </w:r>
      <w:r w:rsidR="00710486" w:rsidRPr="00450A17">
        <w:rPr>
          <w:rFonts w:cs="Arial"/>
        </w:rPr>
        <w:t xml:space="preserve"> committee</w:t>
      </w:r>
      <w:r w:rsidRPr="00450A17">
        <w:rPr>
          <w:rFonts w:cs="Arial"/>
        </w:rPr>
        <w:t xml:space="preserve">. This committee will be </w:t>
      </w:r>
      <w:r w:rsidR="00710486" w:rsidRPr="00450A17">
        <w:rPr>
          <w:rFonts w:cs="Arial"/>
        </w:rPr>
        <w:t>a key mechanism to ensure VPR meets sector needs and expectations whilst delivering quality health outcomes and value for government.</w:t>
      </w:r>
    </w:p>
    <w:p w14:paraId="1CFBD9FD" w14:textId="7020D430" w:rsidR="00710486" w:rsidRPr="00450A17" w:rsidRDefault="00710486" w:rsidP="00661595">
      <w:pPr>
        <w:pStyle w:val="CABNETParagraph"/>
        <w:spacing w:line="276" w:lineRule="auto"/>
      </w:pPr>
      <w:r w:rsidRPr="00450A17">
        <w:rPr>
          <w:rFonts w:cs="Arial"/>
          <w:bCs/>
          <w:iCs/>
        </w:rPr>
        <w:t xml:space="preserve">A </w:t>
      </w:r>
      <w:r w:rsidR="00EE4881" w:rsidRPr="00450A17">
        <w:rPr>
          <w:rFonts w:cs="Arial"/>
          <w:bCs/>
          <w:iCs/>
        </w:rPr>
        <w:t xml:space="preserve">tailored stakeholder </w:t>
      </w:r>
      <w:r w:rsidRPr="00450A17">
        <w:rPr>
          <w:rFonts w:cs="Arial"/>
          <w:bCs/>
          <w:iCs/>
        </w:rPr>
        <w:t>and communications strategy</w:t>
      </w:r>
      <w:r w:rsidR="00EE4881" w:rsidRPr="00450A17">
        <w:rPr>
          <w:rFonts w:cs="Arial"/>
          <w:bCs/>
          <w:iCs/>
        </w:rPr>
        <w:t xml:space="preserve"> w</w:t>
      </w:r>
      <w:r w:rsidR="002C11A1" w:rsidRPr="00450A17">
        <w:rPr>
          <w:rFonts w:cs="Arial"/>
          <w:bCs/>
          <w:iCs/>
        </w:rPr>
        <w:t xml:space="preserve">ill be </w:t>
      </w:r>
      <w:r w:rsidR="00EE4881" w:rsidRPr="00450A17">
        <w:rPr>
          <w:rFonts w:cs="Arial"/>
          <w:bCs/>
          <w:iCs/>
        </w:rPr>
        <w:t xml:space="preserve">developed and </w:t>
      </w:r>
      <w:r w:rsidRPr="00450A17">
        <w:rPr>
          <w:rFonts w:cs="Arial"/>
          <w:bCs/>
          <w:iCs/>
        </w:rPr>
        <w:t>delivered through a range of media to ensure that both patients and practices understand VPR and its benefits.</w:t>
      </w:r>
      <w:r w:rsidRPr="00450A17">
        <w:rPr>
          <w:rFonts w:cs="Arial"/>
        </w:rPr>
        <w:t xml:space="preserve"> This will include specifically targeted engagement with rural and remote communities, First Nations peoples, culturally and linguistically diverse populations, at risk and/or disadvantaged populations as well as the broad range of primary health care providers.</w:t>
      </w:r>
      <w:r w:rsidR="00EE4881" w:rsidRPr="00450A17">
        <w:rPr>
          <w:rFonts w:cs="Arial"/>
        </w:rPr>
        <w:t xml:space="preserve"> In addition,</w:t>
      </w:r>
      <w:r w:rsidR="00DB5998" w:rsidRPr="00450A17">
        <w:rPr>
          <w:rFonts w:cs="Arial"/>
        </w:rPr>
        <w:t xml:space="preserve"> training material</w:t>
      </w:r>
      <w:r w:rsidR="00661595" w:rsidRPr="00450A17">
        <w:rPr>
          <w:rFonts w:cs="Arial"/>
        </w:rPr>
        <w:t>s</w:t>
      </w:r>
      <w:r w:rsidR="002C11A1" w:rsidRPr="00450A17">
        <w:rPr>
          <w:rFonts w:cs="Arial"/>
        </w:rPr>
        <w:t>, fact sheets,</w:t>
      </w:r>
      <w:r w:rsidR="00DB5998" w:rsidRPr="00450A17">
        <w:rPr>
          <w:rFonts w:cs="Arial"/>
        </w:rPr>
        <w:t xml:space="preserve"> and stakeholder kits </w:t>
      </w:r>
      <w:r w:rsidR="002C11A1" w:rsidRPr="00450A17">
        <w:rPr>
          <w:rFonts w:cs="Arial"/>
        </w:rPr>
        <w:t>will</w:t>
      </w:r>
      <w:r w:rsidR="00EE4881" w:rsidRPr="00450A17">
        <w:rPr>
          <w:rFonts w:cs="Arial"/>
        </w:rPr>
        <w:t xml:space="preserve"> </w:t>
      </w:r>
      <w:r w:rsidR="00A17460" w:rsidRPr="00450A17">
        <w:t>be developed to support practices to engage with</w:t>
      </w:r>
      <w:r w:rsidR="00DB5998" w:rsidRPr="00450A17">
        <w:t xml:space="preserve"> and register</w:t>
      </w:r>
      <w:r w:rsidR="00A17460" w:rsidRPr="00450A17">
        <w:t xml:space="preserve"> their patients, and for consumers to be well-informed about their choices and the benefits of VPR.</w:t>
      </w:r>
      <w:r w:rsidR="00CB154C" w:rsidRPr="00450A17">
        <w:t xml:space="preserve"> Specific training and support for practice managers, as key sector partners and delivery champions</w:t>
      </w:r>
      <w:r w:rsidR="009B02D4" w:rsidRPr="00450A17">
        <w:t>,</w:t>
      </w:r>
      <w:r w:rsidR="00CB154C" w:rsidRPr="00450A17">
        <w:t xml:space="preserve"> will also be provided</w:t>
      </w:r>
      <w:r w:rsidR="00B37570" w:rsidRPr="00450A17">
        <w:t xml:space="preserve">. </w:t>
      </w:r>
      <w:r w:rsidRPr="00450A17">
        <w:t xml:space="preserve">To support practices in gaining accreditation, funding is proposed for PHNs to work with unaccredited practices in their regions, and develop resources and supports to ensure those practices are able to achieve accreditation with the ACSQHC. </w:t>
      </w:r>
    </w:p>
    <w:p w14:paraId="491D1795" w14:textId="120468C3" w:rsidR="00FA6A9B" w:rsidRPr="00450A17" w:rsidRDefault="00FA6A9B" w:rsidP="00661595">
      <w:pPr>
        <w:pStyle w:val="CABNETParagraph"/>
        <w:spacing w:line="276" w:lineRule="auto"/>
      </w:pPr>
      <w:r w:rsidRPr="00450A17">
        <w:t xml:space="preserve">It is expected VPR will be implemented through a staged process that supports practice registration in the first instance with patient registration following broader consultation and communications. The Expert Advisory Committee and ongoing market research processes will also help to inform implementation.  </w:t>
      </w:r>
    </w:p>
    <w:p w14:paraId="04E6845F" w14:textId="4E33AE9F" w:rsidR="009065F5" w:rsidRPr="00450A17" w:rsidRDefault="00FA2A9C" w:rsidP="00C83657">
      <w:pPr>
        <w:pStyle w:val="Heading1"/>
        <w:spacing w:line="276" w:lineRule="auto"/>
        <w:ind w:left="927"/>
        <w:rPr>
          <w:rFonts w:cs="Arial"/>
          <w:b/>
          <w:bCs/>
        </w:rPr>
      </w:pPr>
      <w:r w:rsidRPr="00450A17">
        <w:rPr>
          <w:rFonts w:cs="Arial"/>
          <w:b/>
          <w:bCs/>
        </w:rPr>
        <w:t>8</w:t>
      </w:r>
      <w:r w:rsidR="00C83657" w:rsidRPr="00450A17">
        <w:rPr>
          <w:rFonts w:cs="Arial"/>
          <w:b/>
          <w:bCs/>
        </w:rPr>
        <w:t xml:space="preserve">. </w:t>
      </w:r>
      <w:r w:rsidR="009065F5" w:rsidRPr="00450A17">
        <w:rPr>
          <w:rFonts w:cs="Arial"/>
          <w:b/>
          <w:bCs/>
        </w:rPr>
        <w:t>Evaluation</w:t>
      </w:r>
    </w:p>
    <w:p w14:paraId="6E7DE046" w14:textId="49147DC8" w:rsidR="007104F2" w:rsidRPr="00450A17" w:rsidRDefault="009065F5" w:rsidP="007104F2">
      <w:pPr>
        <w:rPr>
          <w:rFonts w:cs="Arial"/>
        </w:rPr>
      </w:pPr>
      <w:r w:rsidRPr="00450A17">
        <w:rPr>
          <w:rFonts w:cs="Arial"/>
        </w:rPr>
        <w:t>Ongoing program monitoring w</w:t>
      </w:r>
      <w:r w:rsidR="00DA62E5" w:rsidRPr="00450A17">
        <w:rPr>
          <w:rFonts w:cs="Arial"/>
        </w:rPr>
        <w:t>ill</w:t>
      </w:r>
      <w:r w:rsidRPr="00450A17">
        <w:rPr>
          <w:rFonts w:cs="Arial"/>
        </w:rPr>
        <w:t xml:space="preserve"> consider</w:t>
      </w:r>
      <w:r w:rsidR="00EC3BF0" w:rsidRPr="00450A17">
        <w:rPr>
          <w:rFonts w:cs="Arial"/>
        </w:rPr>
        <w:t xml:space="preserve"> a number of metrics to track progress of registration rates at patient and practice level, and monitor other </w:t>
      </w:r>
      <w:r w:rsidR="00526840" w:rsidRPr="00450A17">
        <w:rPr>
          <w:rFonts w:cs="Arial"/>
        </w:rPr>
        <w:t xml:space="preserve">metrics related to the program. </w:t>
      </w:r>
      <w:r w:rsidR="004D4C59" w:rsidRPr="00450A17">
        <w:rPr>
          <w:rFonts w:cs="Arial"/>
        </w:rPr>
        <w:t>A comprehensive e</w:t>
      </w:r>
      <w:r w:rsidRPr="00450A17">
        <w:rPr>
          <w:rFonts w:cs="Arial"/>
        </w:rPr>
        <w:t>valuation</w:t>
      </w:r>
      <w:r w:rsidR="004D4C59" w:rsidRPr="00450A17">
        <w:rPr>
          <w:rFonts w:cs="Arial"/>
        </w:rPr>
        <w:t xml:space="preserve"> of VPR will form part of a broader evaluation project</w:t>
      </w:r>
      <w:r w:rsidRPr="00450A17">
        <w:rPr>
          <w:rFonts w:cs="Arial"/>
        </w:rPr>
        <w:t xml:space="preserve"> of</w:t>
      </w:r>
      <w:r w:rsidR="004D4C59" w:rsidRPr="00450A17">
        <w:rPr>
          <w:rFonts w:cs="Arial"/>
        </w:rPr>
        <w:t xml:space="preserve"> policy</w:t>
      </w:r>
      <w:r w:rsidRPr="00450A17">
        <w:rPr>
          <w:rFonts w:cs="Arial"/>
        </w:rPr>
        <w:t xml:space="preserve"> measures implemented under the </w:t>
      </w:r>
      <w:r w:rsidR="005C10F3" w:rsidRPr="00450A17">
        <w:rPr>
          <w:rFonts w:cs="Arial"/>
        </w:rPr>
        <w:t>Strengthening Medicare Fund</w:t>
      </w:r>
      <w:r w:rsidR="004E559A" w:rsidRPr="00450A17">
        <w:rPr>
          <w:rFonts w:cs="Arial"/>
        </w:rPr>
        <w:t>. The specific VPR evaluation plan will be in pla</w:t>
      </w:r>
      <w:r w:rsidR="00993F82" w:rsidRPr="00450A17">
        <w:rPr>
          <w:rFonts w:cs="Arial"/>
        </w:rPr>
        <w:t xml:space="preserve">ce prior to </w:t>
      </w:r>
      <w:r w:rsidR="007104F2" w:rsidRPr="00450A17">
        <w:rPr>
          <w:rFonts w:cs="Arial"/>
        </w:rPr>
        <w:t xml:space="preserve">1 </w:t>
      </w:r>
      <w:r w:rsidR="00993F82" w:rsidRPr="00450A17">
        <w:rPr>
          <w:rFonts w:cs="Arial"/>
        </w:rPr>
        <w:t>O</w:t>
      </w:r>
      <w:r w:rsidR="007104F2" w:rsidRPr="00450A17">
        <w:rPr>
          <w:rFonts w:cs="Arial"/>
        </w:rPr>
        <w:t>ctober 2023</w:t>
      </w:r>
      <w:r w:rsidR="004D4C59" w:rsidRPr="00450A17">
        <w:rPr>
          <w:rFonts w:cs="Arial"/>
        </w:rPr>
        <w:t>.</w:t>
      </w:r>
      <w:r w:rsidR="007104F2" w:rsidRPr="00450A17">
        <w:rPr>
          <w:rFonts w:cs="Arial"/>
        </w:rPr>
        <w:t xml:space="preserve"> </w:t>
      </w:r>
      <w:r w:rsidR="007104F2" w:rsidRPr="00450A17">
        <w:rPr>
          <w:rFonts w:cs="Arial"/>
        </w:rPr>
        <w:br/>
      </w:r>
      <w:r w:rsidR="007104F2" w:rsidRPr="00450A17">
        <w:rPr>
          <w:rFonts w:cs="Arial"/>
        </w:rPr>
        <w:br/>
        <w:t xml:space="preserve">An evaluation framework will </w:t>
      </w:r>
      <w:r w:rsidR="009154DA" w:rsidRPr="00450A17">
        <w:rPr>
          <w:rFonts w:cs="Arial"/>
        </w:rPr>
        <w:t>develop</w:t>
      </w:r>
      <w:r w:rsidR="007104F2" w:rsidRPr="00450A17">
        <w:rPr>
          <w:rFonts w:cs="Arial"/>
        </w:rPr>
        <w:t xml:space="preserve"> a baseline for primary health care and performance indicators. The evaluation will consider patient and practice experience, measures of patient activation and care coordination, and measures of patient outcomes, as well as aspects such as reported misuse of high rebate MBS items linked to VPR, any competition effects arising from practices choosing or choosing not to participate in VPR. A formal whole-of-plan evaluation will be undertaken in 2024-25 and 2027-28. A final evaluation will be undertaken in 2030-31 to help inform future plans and strategies. </w:t>
      </w:r>
    </w:p>
    <w:p w14:paraId="1A70F29A" w14:textId="0B9766E8" w:rsidR="009065F5" w:rsidRPr="00450A17" w:rsidRDefault="009065F5" w:rsidP="009065F5">
      <w:pPr>
        <w:rPr>
          <w:rFonts w:cs="Arial"/>
        </w:rPr>
      </w:pPr>
    </w:p>
    <w:tbl>
      <w:tblPr>
        <w:tblStyle w:val="TableGrid1"/>
        <w:tblpPr w:leftFromText="180" w:rightFromText="180" w:vertAnchor="page" w:horzAnchor="margin" w:tblpY="1621"/>
        <w:tblW w:w="9593" w:type="dxa"/>
        <w:tblLook w:val="04A0" w:firstRow="1" w:lastRow="0" w:firstColumn="1" w:lastColumn="0" w:noHBand="0" w:noVBand="1"/>
        <w:tblCaption w:val="Evaluation Table "/>
        <w:tblDescription w:val="This table describes how voluntary patient registration will be evaluated. "/>
      </w:tblPr>
      <w:tblGrid>
        <w:gridCol w:w="1468"/>
        <w:gridCol w:w="1462"/>
        <w:gridCol w:w="1373"/>
        <w:gridCol w:w="1228"/>
        <w:gridCol w:w="1206"/>
        <w:gridCol w:w="1450"/>
        <w:gridCol w:w="1406"/>
      </w:tblGrid>
      <w:tr w:rsidR="007104F2" w:rsidRPr="00450A17" w14:paraId="51DB4F70" w14:textId="77777777" w:rsidTr="007104F2">
        <w:trPr>
          <w:cnfStyle w:val="100000000000" w:firstRow="1" w:lastRow="0" w:firstColumn="0" w:lastColumn="0" w:oddVBand="0" w:evenVBand="0" w:oddHBand="0" w:evenHBand="0" w:firstRowFirstColumn="0" w:firstRowLastColumn="0" w:lastRowFirstColumn="0" w:lastRowLastColumn="0"/>
          <w:trHeight w:val="786"/>
        </w:trPr>
        <w:tc>
          <w:tcPr>
            <w:tcW w:w="1468" w:type="dxa"/>
            <w:hideMark/>
          </w:tcPr>
          <w:p w14:paraId="32F2704E" w14:textId="77777777" w:rsidR="007104F2" w:rsidRPr="00450A17" w:rsidRDefault="007104F2" w:rsidP="007104F2">
            <w:pPr>
              <w:rPr>
                <w:rFonts w:cs="Arial"/>
              </w:rPr>
            </w:pPr>
            <w:r w:rsidRPr="00450A17">
              <w:rPr>
                <w:rFonts w:cs="Arial"/>
                <w:b/>
                <w:bCs/>
              </w:rPr>
              <w:t>Policy objective</w:t>
            </w:r>
          </w:p>
        </w:tc>
        <w:tc>
          <w:tcPr>
            <w:tcW w:w="1462" w:type="dxa"/>
            <w:hideMark/>
          </w:tcPr>
          <w:p w14:paraId="19CB3E60" w14:textId="77777777" w:rsidR="007104F2" w:rsidRPr="00450A17" w:rsidRDefault="007104F2" w:rsidP="007104F2">
            <w:pPr>
              <w:rPr>
                <w:rFonts w:cs="Arial"/>
              </w:rPr>
            </w:pPr>
            <w:r w:rsidRPr="00450A17">
              <w:rPr>
                <w:rFonts w:cs="Arial"/>
                <w:b/>
                <w:bCs/>
              </w:rPr>
              <w:t xml:space="preserve">Evaluation metric </w:t>
            </w:r>
          </w:p>
        </w:tc>
        <w:tc>
          <w:tcPr>
            <w:tcW w:w="1373" w:type="dxa"/>
            <w:hideMark/>
          </w:tcPr>
          <w:p w14:paraId="25249AC7" w14:textId="77777777" w:rsidR="007104F2" w:rsidRPr="00450A17" w:rsidRDefault="007104F2" w:rsidP="007104F2">
            <w:pPr>
              <w:rPr>
                <w:rFonts w:cs="Arial"/>
              </w:rPr>
            </w:pPr>
            <w:r w:rsidRPr="00450A17">
              <w:rPr>
                <w:rFonts w:cs="Arial"/>
                <w:b/>
                <w:bCs/>
              </w:rPr>
              <w:t>Data to be collected</w:t>
            </w:r>
          </w:p>
        </w:tc>
        <w:tc>
          <w:tcPr>
            <w:tcW w:w="1228" w:type="dxa"/>
            <w:hideMark/>
          </w:tcPr>
          <w:p w14:paraId="08529D16" w14:textId="77777777" w:rsidR="007104F2" w:rsidRPr="00450A17" w:rsidRDefault="007104F2" w:rsidP="007104F2">
            <w:pPr>
              <w:rPr>
                <w:rFonts w:cs="Arial"/>
              </w:rPr>
            </w:pPr>
            <w:r w:rsidRPr="00450A17">
              <w:rPr>
                <w:rFonts w:cs="Arial"/>
                <w:b/>
                <w:bCs/>
              </w:rPr>
              <w:t>Frequency of data collection</w:t>
            </w:r>
          </w:p>
        </w:tc>
        <w:tc>
          <w:tcPr>
            <w:tcW w:w="0" w:type="auto"/>
            <w:hideMark/>
          </w:tcPr>
          <w:p w14:paraId="646111D5" w14:textId="77777777" w:rsidR="007104F2" w:rsidRPr="00450A17" w:rsidRDefault="007104F2" w:rsidP="007104F2">
            <w:pPr>
              <w:rPr>
                <w:rFonts w:cs="Arial"/>
              </w:rPr>
            </w:pPr>
            <w:r w:rsidRPr="00450A17">
              <w:rPr>
                <w:rFonts w:cs="Arial"/>
                <w:b/>
                <w:bCs/>
              </w:rPr>
              <w:t>How will data be collected</w:t>
            </w:r>
          </w:p>
        </w:tc>
        <w:tc>
          <w:tcPr>
            <w:tcW w:w="0" w:type="auto"/>
            <w:hideMark/>
          </w:tcPr>
          <w:p w14:paraId="7AF60519" w14:textId="77777777" w:rsidR="007104F2" w:rsidRPr="00450A17" w:rsidRDefault="007104F2" w:rsidP="007104F2">
            <w:pPr>
              <w:rPr>
                <w:rFonts w:cs="Arial"/>
              </w:rPr>
            </w:pPr>
            <w:r w:rsidRPr="00450A17">
              <w:rPr>
                <w:rFonts w:cs="Arial"/>
                <w:b/>
                <w:bCs/>
              </w:rPr>
              <w:t>Required stakeholders</w:t>
            </w:r>
          </w:p>
        </w:tc>
        <w:tc>
          <w:tcPr>
            <w:tcW w:w="0" w:type="auto"/>
            <w:hideMark/>
          </w:tcPr>
          <w:p w14:paraId="4B2E7F6D" w14:textId="77777777" w:rsidR="007104F2" w:rsidRPr="00450A17" w:rsidRDefault="007104F2" w:rsidP="007104F2">
            <w:pPr>
              <w:rPr>
                <w:rFonts w:cs="Arial"/>
              </w:rPr>
            </w:pPr>
            <w:r w:rsidRPr="00450A17">
              <w:rPr>
                <w:rFonts w:cs="Arial"/>
                <w:b/>
                <w:bCs/>
              </w:rPr>
              <w:t>Responsible entity</w:t>
            </w:r>
          </w:p>
        </w:tc>
      </w:tr>
      <w:tr w:rsidR="007104F2" w:rsidRPr="00450A17" w14:paraId="1D7B0180" w14:textId="77777777" w:rsidTr="007104F2">
        <w:trPr>
          <w:trHeight w:val="1796"/>
        </w:trPr>
        <w:tc>
          <w:tcPr>
            <w:tcW w:w="1468" w:type="dxa"/>
            <w:hideMark/>
          </w:tcPr>
          <w:p w14:paraId="65836988" w14:textId="77777777" w:rsidR="007104F2" w:rsidRPr="00450A17" w:rsidRDefault="007104F2" w:rsidP="007104F2">
            <w:pPr>
              <w:spacing w:after="0" w:line="240" w:lineRule="auto"/>
              <w:rPr>
                <w:rFonts w:eastAsia="Arial" w:cs="Times New Roman"/>
              </w:rPr>
            </w:pPr>
            <w:r w:rsidRPr="00450A17">
              <w:rPr>
                <w:rFonts w:eastAsia="Arial" w:cs="Times New Roman"/>
              </w:rPr>
              <w:t>Continuity of care - To formally recognise and strengthen relationships between a patient, their provider and practice</w:t>
            </w:r>
          </w:p>
          <w:p w14:paraId="7D746B2E" w14:textId="77777777" w:rsidR="007104F2" w:rsidRPr="00450A17" w:rsidRDefault="007104F2" w:rsidP="007104F2">
            <w:pPr>
              <w:rPr>
                <w:rFonts w:cs="Arial"/>
              </w:rPr>
            </w:pPr>
          </w:p>
        </w:tc>
        <w:tc>
          <w:tcPr>
            <w:tcW w:w="1462" w:type="dxa"/>
            <w:hideMark/>
          </w:tcPr>
          <w:p w14:paraId="7640CFAD" w14:textId="77777777" w:rsidR="007104F2" w:rsidRPr="00450A17" w:rsidRDefault="007104F2" w:rsidP="007104F2">
            <w:pPr>
              <w:rPr>
                <w:rFonts w:cs="Arial"/>
              </w:rPr>
            </w:pPr>
            <w:r w:rsidRPr="00450A17">
              <w:rPr>
                <w:rFonts w:eastAsia="Arial" w:cs="Times New Roman"/>
              </w:rPr>
              <w:t xml:space="preserve">Evaluation metrics will be developed through the formal evaluation design as part of the Strengthening Medicare Fund evaluation. </w:t>
            </w:r>
            <w:r w:rsidRPr="00450A17">
              <w:rPr>
                <w:rFonts w:eastAsia="Arial" w:cs="Times New Roman"/>
              </w:rPr>
              <w:br/>
              <w:t xml:space="preserve"> </w:t>
            </w:r>
          </w:p>
        </w:tc>
        <w:tc>
          <w:tcPr>
            <w:tcW w:w="1373" w:type="dxa"/>
            <w:hideMark/>
          </w:tcPr>
          <w:p w14:paraId="2F6C0560" w14:textId="77777777" w:rsidR="007104F2" w:rsidRPr="00450A17" w:rsidRDefault="007104F2" w:rsidP="007104F2">
            <w:pPr>
              <w:rPr>
                <w:rFonts w:eastAsia="Arial" w:cs="Times New Roman"/>
              </w:rPr>
            </w:pPr>
            <w:r w:rsidRPr="00450A17">
              <w:rPr>
                <w:rFonts w:eastAsia="Arial" w:cs="Times New Roman"/>
              </w:rPr>
              <w:t xml:space="preserve">From 1 October 2023 – Practice and de-identified patient registration data will be available to support analysis. </w:t>
            </w:r>
          </w:p>
          <w:p w14:paraId="5E171282" w14:textId="77777777" w:rsidR="007104F2" w:rsidRPr="00450A17" w:rsidRDefault="007104F2" w:rsidP="007104F2">
            <w:pPr>
              <w:rPr>
                <w:rFonts w:cs="Arial"/>
              </w:rPr>
            </w:pPr>
            <w:r w:rsidRPr="00450A17">
              <w:rPr>
                <w:rFonts w:eastAsia="Arial" w:cs="Times New Roman"/>
              </w:rPr>
              <w:t xml:space="preserve">Participating practices, providers and patients.  </w:t>
            </w:r>
          </w:p>
        </w:tc>
        <w:tc>
          <w:tcPr>
            <w:tcW w:w="1228" w:type="dxa"/>
            <w:hideMark/>
          </w:tcPr>
          <w:p w14:paraId="362DEEE0" w14:textId="77777777" w:rsidR="007104F2" w:rsidRPr="00450A17" w:rsidRDefault="007104F2" w:rsidP="007104F2">
            <w:pPr>
              <w:rPr>
                <w:rFonts w:cs="Arial"/>
              </w:rPr>
            </w:pPr>
            <w:r w:rsidRPr="00450A17">
              <w:rPr>
                <w:rFonts w:cs="Arial"/>
                <w:lang w:val="en-US"/>
              </w:rPr>
              <w:t xml:space="preserve">Ongoing monitoring throughout duration of evaluation activities </w:t>
            </w:r>
          </w:p>
        </w:tc>
        <w:tc>
          <w:tcPr>
            <w:tcW w:w="0" w:type="auto"/>
            <w:hideMark/>
          </w:tcPr>
          <w:p w14:paraId="1B31E590" w14:textId="77777777" w:rsidR="007104F2" w:rsidRPr="00450A17" w:rsidRDefault="007104F2" w:rsidP="007104F2">
            <w:pPr>
              <w:rPr>
                <w:rFonts w:cs="Arial"/>
              </w:rPr>
            </w:pPr>
            <w:r w:rsidRPr="00450A17">
              <w:rPr>
                <w:rFonts w:cs="Arial"/>
              </w:rPr>
              <w:t xml:space="preserve">Automatic de-identified registration data feed. </w:t>
            </w:r>
            <w:r w:rsidRPr="00450A17">
              <w:rPr>
                <w:rFonts w:cs="Arial"/>
              </w:rPr>
              <w:br/>
            </w:r>
          </w:p>
          <w:p w14:paraId="64408526" w14:textId="77777777" w:rsidR="007104F2" w:rsidRPr="00450A17" w:rsidRDefault="007104F2" w:rsidP="007104F2">
            <w:pPr>
              <w:rPr>
                <w:rFonts w:cs="Arial"/>
              </w:rPr>
            </w:pPr>
            <w:r w:rsidRPr="00450A17">
              <w:rPr>
                <w:rFonts w:cs="Arial"/>
              </w:rPr>
              <w:t xml:space="preserve">Data collected through registration  </w:t>
            </w:r>
          </w:p>
        </w:tc>
        <w:tc>
          <w:tcPr>
            <w:tcW w:w="0" w:type="auto"/>
            <w:hideMark/>
          </w:tcPr>
          <w:p w14:paraId="1A40F9B8" w14:textId="77777777" w:rsidR="007104F2" w:rsidRPr="00450A17" w:rsidRDefault="007104F2" w:rsidP="007104F2">
            <w:pPr>
              <w:rPr>
                <w:rFonts w:eastAsia="Arial" w:cs="Times New Roman"/>
              </w:rPr>
            </w:pPr>
            <w:r w:rsidRPr="00450A17">
              <w:rPr>
                <w:rFonts w:eastAsia="Arial" w:cs="Times New Roman"/>
              </w:rPr>
              <w:t xml:space="preserve">Patients successfully engaged in system. </w:t>
            </w:r>
          </w:p>
          <w:p w14:paraId="49B8C56F" w14:textId="77777777" w:rsidR="007104F2" w:rsidRPr="00450A17" w:rsidRDefault="007104F2" w:rsidP="007104F2">
            <w:pPr>
              <w:rPr>
                <w:rFonts w:cs="Arial"/>
              </w:rPr>
            </w:pPr>
            <w:r w:rsidRPr="00450A17">
              <w:rPr>
                <w:rFonts w:eastAsia="Arial" w:cs="Times New Roman"/>
              </w:rPr>
              <w:t xml:space="preserve">Participating practices and  providers </w:t>
            </w:r>
          </w:p>
        </w:tc>
        <w:tc>
          <w:tcPr>
            <w:tcW w:w="0" w:type="auto"/>
            <w:hideMark/>
          </w:tcPr>
          <w:p w14:paraId="507B1900" w14:textId="77777777" w:rsidR="007104F2" w:rsidRPr="00450A17" w:rsidRDefault="007104F2" w:rsidP="007104F2">
            <w:pPr>
              <w:rPr>
                <w:rFonts w:cs="Arial"/>
              </w:rPr>
            </w:pPr>
            <w:r w:rsidRPr="00450A17">
              <w:rPr>
                <w:rFonts w:cs="Arial"/>
                <w:lang w:val="x-none"/>
              </w:rPr>
              <w:t>Department of Health and Aged Care</w:t>
            </w:r>
            <w:r w:rsidRPr="00450A17">
              <w:rPr>
                <w:rFonts w:cs="Arial"/>
              </w:rPr>
              <w:t xml:space="preserve"> </w:t>
            </w:r>
          </w:p>
        </w:tc>
      </w:tr>
      <w:tr w:rsidR="007104F2" w:rsidRPr="00450A17" w14:paraId="695EDD60" w14:textId="77777777" w:rsidTr="007104F2">
        <w:trPr>
          <w:trHeight w:val="449"/>
        </w:trPr>
        <w:tc>
          <w:tcPr>
            <w:tcW w:w="1468" w:type="dxa"/>
            <w:hideMark/>
          </w:tcPr>
          <w:p w14:paraId="12F53F94" w14:textId="77777777" w:rsidR="007104F2" w:rsidRPr="00450A17" w:rsidRDefault="007104F2" w:rsidP="007104F2">
            <w:pPr>
              <w:rPr>
                <w:rFonts w:cs="Arial"/>
              </w:rPr>
            </w:pPr>
            <w:r w:rsidRPr="00450A17">
              <w:rPr>
                <w:rFonts w:eastAsia="Arial" w:cs="Times New Roman"/>
              </w:rPr>
              <w:t>Funding reform - To support payment models that enable wrap around, patient centred care</w:t>
            </w:r>
          </w:p>
        </w:tc>
        <w:tc>
          <w:tcPr>
            <w:tcW w:w="1462" w:type="dxa"/>
            <w:hideMark/>
          </w:tcPr>
          <w:p w14:paraId="6594CD75" w14:textId="77777777" w:rsidR="007104F2" w:rsidRPr="00450A17" w:rsidRDefault="007104F2" w:rsidP="007104F2">
            <w:pPr>
              <w:spacing w:after="0" w:line="240" w:lineRule="auto"/>
              <w:rPr>
                <w:rFonts w:eastAsia="Arial" w:cs="Times New Roman"/>
              </w:rPr>
            </w:pPr>
            <w:r w:rsidRPr="00450A17">
              <w:rPr>
                <w:rFonts w:eastAsia="Arial" w:cs="Times New Roman"/>
              </w:rPr>
              <w:t xml:space="preserve">Evaluation  metrics will be developed through the evaluation design once the scope and timing of new incentives and MBS items are confirmed </w:t>
            </w:r>
            <w:r w:rsidRPr="00450A17">
              <w:rPr>
                <w:rFonts w:eastAsia="Arial" w:cs="Times New Roman"/>
              </w:rPr>
              <w:br/>
              <w:t xml:space="preserve"> </w:t>
            </w:r>
          </w:p>
          <w:p w14:paraId="189AE04A" w14:textId="77777777" w:rsidR="007104F2" w:rsidRPr="00450A17" w:rsidRDefault="007104F2" w:rsidP="007104F2">
            <w:pPr>
              <w:spacing w:after="0" w:line="240" w:lineRule="auto"/>
              <w:rPr>
                <w:rFonts w:eastAsia="Arial" w:cs="Times New Roman"/>
              </w:rPr>
            </w:pPr>
          </w:p>
          <w:p w14:paraId="089B481C" w14:textId="77777777" w:rsidR="007104F2" w:rsidRPr="00450A17" w:rsidRDefault="007104F2" w:rsidP="007104F2">
            <w:pPr>
              <w:spacing w:after="0" w:line="240" w:lineRule="auto"/>
              <w:rPr>
                <w:rFonts w:cs="Arial"/>
              </w:rPr>
            </w:pPr>
          </w:p>
        </w:tc>
        <w:tc>
          <w:tcPr>
            <w:tcW w:w="1373" w:type="dxa"/>
            <w:hideMark/>
          </w:tcPr>
          <w:p w14:paraId="482A09C0" w14:textId="77777777" w:rsidR="007104F2" w:rsidRPr="00450A17" w:rsidRDefault="007104F2" w:rsidP="007104F2">
            <w:pPr>
              <w:rPr>
                <w:rFonts w:eastAsia="Arial" w:cs="Times New Roman"/>
              </w:rPr>
            </w:pPr>
            <w:r w:rsidRPr="00450A17">
              <w:rPr>
                <w:rFonts w:eastAsia="Arial" w:cs="Times New Roman"/>
              </w:rPr>
              <w:t xml:space="preserve">From 1 October 2023 – Practice and de-identified patient registration data will be available to support analysis </w:t>
            </w:r>
          </w:p>
          <w:p w14:paraId="0FC4F1B4" w14:textId="77777777" w:rsidR="007104F2" w:rsidRPr="00450A17" w:rsidRDefault="007104F2" w:rsidP="007104F2">
            <w:pPr>
              <w:spacing w:after="0" w:line="240" w:lineRule="auto"/>
              <w:rPr>
                <w:rFonts w:eastAsia="Arial" w:cs="Times New Roman"/>
              </w:rPr>
            </w:pPr>
            <w:r w:rsidRPr="00450A17">
              <w:rPr>
                <w:rFonts w:eastAsia="Arial" w:cs="Times New Roman"/>
              </w:rPr>
              <w:t>Incentives and new MBS items commence, as decided by Government.</w:t>
            </w:r>
          </w:p>
          <w:p w14:paraId="11794FE6" w14:textId="77777777" w:rsidR="007104F2" w:rsidRPr="00450A17" w:rsidRDefault="007104F2" w:rsidP="007104F2">
            <w:pPr>
              <w:rPr>
                <w:rFonts w:cs="Arial"/>
              </w:rPr>
            </w:pPr>
          </w:p>
        </w:tc>
        <w:tc>
          <w:tcPr>
            <w:tcW w:w="1228" w:type="dxa"/>
            <w:hideMark/>
          </w:tcPr>
          <w:p w14:paraId="75FAE54C" w14:textId="77777777" w:rsidR="007104F2" w:rsidRPr="00450A17" w:rsidRDefault="007104F2" w:rsidP="007104F2">
            <w:pPr>
              <w:rPr>
                <w:rFonts w:cs="Arial"/>
              </w:rPr>
            </w:pPr>
            <w:r w:rsidRPr="00450A17">
              <w:rPr>
                <w:rFonts w:cs="Arial"/>
                <w:lang w:val="en-US"/>
              </w:rPr>
              <w:t>Ongoing monitoring throughout duration of evaluation activities</w:t>
            </w:r>
          </w:p>
        </w:tc>
        <w:tc>
          <w:tcPr>
            <w:tcW w:w="0" w:type="auto"/>
            <w:hideMark/>
          </w:tcPr>
          <w:p w14:paraId="353B7E09" w14:textId="77777777" w:rsidR="007104F2" w:rsidRPr="00450A17" w:rsidRDefault="007104F2" w:rsidP="007104F2">
            <w:pPr>
              <w:rPr>
                <w:rFonts w:cs="Arial"/>
              </w:rPr>
            </w:pPr>
            <w:r w:rsidRPr="00450A17">
              <w:rPr>
                <w:rFonts w:cs="Arial"/>
              </w:rPr>
              <w:t xml:space="preserve">Automatic de-identified registration data feed. </w:t>
            </w:r>
          </w:p>
          <w:p w14:paraId="465EE8A0" w14:textId="77777777" w:rsidR="007104F2" w:rsidRPr="00450A17" w:rsidRDefault="007104F2" w:rsidP="007104F2">
            <w:pPr>
              <w:rPr>
                <w:rFonts w:cs="Arial"/>
              </w:rPr>
            </w:pPr>
            <w:r w:rsidRPr="00450A17">
              <w:rPr>
                <w:rFonts w:cs="Arial"/>
              </w:rPr>
              <w:t xml:space="preserve">Data collected through registration  </w:t>
            </w:r>
          </w:p>
        </w:tc>
        <w:tc>
          <w:tcPr>
            <w:tcW w:w="0" w:type="auto"/>
            <w:hideMark/>
          </w:tcPr>
          <w:p w14:paraId="420F154C" w14:textId="77777777" w:rsidR="007104F2" w:rsidRPr="00450A17" w:rsidRDefault="007104F2" w:rsidP="007104F2">
            <w:pPr>
              <w:rPr>
                <w:rFonts w:eastAsia="Arial" w:cs="Times New Roman"/>
              </w:rPr>
            </w:pPr>
            <w:r w:rsidRPr="00450A17">
              <w:rPr>
                <w:rFonts w:eastAsia="Arial" w:cs="Times New Roman"/>
              </w:rPr>
              <w:t xml:space="preserve">Patients successfully engaged in system. </w:t>
            </w:r>
          </w:p>
          <w:p w14:paraId="57B0CFE9" w14:textId="77777777" w:rsidR="007104F2" w:rsidRPr="00450A17" w:rsidRDefault="007104F2" w:rsidP="007104F2">
            <w:pPr>
              <w:rPr>
                <w:rFonts w:cs="Arial"/>
              </w:rPr>
            </w:pPr>
            <w:r w:rsidRPr="00450A17">
              <w:rPr>
                <w:rFonts w:eastAsia="Arial" w:cs="Times New Roman"/>
              </w:rPr>
              <w:t>Participating practices and  providers</w:t>
            </w:r>
          </w:p>
        </w:tc>
        <w:tc>
          <w:tcPr>
            <w:tcW w:w="0" w:type="auto"/>
            <w:hideMark/>
          </w:tcPr>
          <w:p w14:paraId="35250C8A" w14:textId="77777777" w:rsidR="007104F2" w:rsidRPr="00450A17" w:rsidRDefault="007104F2" w:rsidP="007104F2">
            <w:pPr>
              <w:rPr>
                <w:rFonts w:cs="Arial"/>
              </w:rPr>
            </w:pPr>
            <w:r w:rsidRPr="00450A17">
              <w:rPr>
                <w:rFonts w:cs="Arial"/>
                <w:lang w:val="x-none"/>
              </w:rPr>
              <w:t>Department of Health and Aged Care</w:t>
            </w:r>
          </w:p>
        </w:tc>
      </w:tr>
    </w:tbl>
    <w:p w14:paraId="410CBFBF" w14:textId="77777777" w:rsidR="005C10F3" w:rsidRPr="00450A17" w:rsidRDefault="005C10F3" w:rsidP="009065F5">
      <w:pPr>
        <w:rPr>
          <w:rFonts w:cs="Arial"/>
        </w:rPr>
      </w:pPr>
    </w:p>
    <w:p w14:paraId="07EC84F9" w14:textId="18F72BC9" w:rsidR="00904AAC" w:rsidRPr="008215EF" w:rsidRDefault="004F3EA0" w:rsidP="008215EF">
      <w:pPr>
        <w:pStyle w:val="Heading1"/>
        <w:jc w:val="right"/>
        <w:rPr>
          <w:b/>
          <w:color w:val="auto"/>
          <w:sz w:val="32"/>
        </w:rPr>
      </w:pPr>
      <w:r w:rsidRPr="00450A17">
        <w:br w:type="page"/>
      </w:r>
      <w:r w:rsidR="00904AAC" w:rsidRPr="008215EF">
        <w:rPr>
          <w:b/>
          <w:color w:val="auto"/>
          <w:sz w:val="32"/>
        </w:rPr>
        <w:t>Appendix 1</w:t>
      </w:r>
    </w:p>
    <w:p w14:paraId="17B5F29E" w14:textId="77777777" w:rsidR="00904AAC" w:rsidRPr="00450A17" w:rsidRDefault="00904AAC" w:rsidP="00904AAC">
      <w:pPr>
        <w:pStyle w:val="CABParagraph"/>
        <w:spacing w:after="120" w:line="276" w:lineRule="auto"/>
        <w:rPr>
          <w:rFonts w:cs="Arial"/>
        </w:rPr>
      </w:pPr>
      <w:r w:rsidRPr="00450A17">
        <w:rPr>
          <w:rFonts w:eastAsiaTheme="majorEastAsia" w:cs="Arial"/>
          <w:b/>
          <w:bCs/>
          <w:color w:val="003865"/>
          <w:sz w:val="28"/>
          <w:szCs w:val="24"/>
        </w:rPr>
        <w:t>National policy work in primary health care reform: 2009 to present</w:t>
      </w:r>
    </w:p>
    <w:p w14:paraId="3A2946AE" w14:textId="77777777" w:rsidR="00904AAC" w:rsidRPr="00450A17" w:rsidRDefault="00904AAC" w:rsidP="00904AAC">
      <w:pPr>
        <w:pStyle w:val="CABParagraph"/>
        <w:spacing w:after="120" w:line="276" w:lineRule="auto"/>
        <w:rPr>
          <w:rFonts w:cs="Arial"/>
        </w:rPr>
      </w:pPr>
      <w:r w:rsidRPr="00450A17">
        <w:rPr>
          <w:rFonts w:cs="Arial"/>
        </w:rPr>
        <w:t xml:space="preserve">In 2009, the National Health and Hospitals Reform Commission identified and proposed a number of primary health care solutions to Australia’s fragmented health care system. This included trialling of a Health Care Home (HCH) model for general practice and Aboriginal Community Controlled Health Services (ACCHS), and much closer integration between primary and acute care. </w:t>
      </w:r>
    </w:p>
    <w:p w14:paraId="5C894C4A" w14:textId="77777777" w:rsidR="00904AAC" w:rsidRPr="00450A17" w:rsidRDefault="00904AAC" w:rsidP="00904AAC">
      <w:pPr>
        <w:pStyle w:val="CABParagraph"/>
        <w:spacing w:after="120" w:line="276" w:lineRule="auto"/>
        <w:rPr>
          <w:rFonts w:cs="Arial"/>
        </w:rPr>
      </w:pPr>
      <w:r w:rsidRPr="00450A17">
        <w:rPr>
          <w:rFonts w:cs="Arial"/>
        </w:rPr>
        <w:t xml:space="preserve">In 2013, Australia’s first National Primary Care Strategic Framework recommended the formation of Medicare Locals – since 2015, Primary Health Networks – to better integrate the diverse players across the sector, and create a geographically based representation and commissioning body for relevant primary health care services. In 2016, the Primary Health Care Advisory Group made 15 recommendations to better equip primary health care to deliver optimal services for Australians with chronic disease. It more fully defined the HCH model of care, and its centrality to linkages between key elements of Australia’s complex health care system; and raised the importance of patient activation and partnership in a continuity of care relationship. </w:t>
      </w:r>
    </w:p>
    <w:p w14:paraId="1A408CE0" w14:textId="77777777" w:rsidR="00904AAC" w:rsidRPr="00450A17" w:rsidRDefault="00904AAC" w:rsidP="00904AAC">
      <w:pPr>
        <w:pStyle w:val="CABParagraph"/>
        <w:spacing w:after="120" w:line="276" w:lineRule="auto"/>
        <w:rPr>
          <w:rFonts w:cs="Arial"/>
        </w:rPr>
      </w:pPr>
      <w:r w:rsidRPr="00450A17">
        <w:rPr>
          <w:rFonts w:cs="Arial"/>
        </w:rPr>
        <w:t>The 2016, Council of Australian Governments (COAG) reform agreements again re-enforced the HCH model of care, and in addition, committed jurisdictions to the consideration of joint commissioning and joint planning arrangements for general practice and primary care at Primary Health Network (PHN) / Local Health Network (LHN) level.</w:t>
      </w:r>
    </w:p>
    <w:p w14:paraId="3969269F" w14:textId="77777777" w:rsidR="00904AAC" w:rsidRPr="00450A17" w:rsidRDefault="00904AAC" w:rsidP="00904AAC">
      <w:pPr>
        <w:pStyle w:val="CABParagraph"/>
        <w:spacing w:after="120" w:line="276" w:lineRule="auto"/>
        <w:rPr>
          <w:rFonts w:cs="Arial"/>
        </w:rPr>
      </w:pPr>
      <w:r w:rsidRPr="00450A17">
        <w:rPr>
          <w:rFonts w:cs="Arial"/>
        </w:rPr>
        <w:t xml:space="preserve">The HCH model was implemented in a trial running from 2017 to 2021. The trial saw general practices become home bases for patients with complex and chronic conditions to receive team-based, coordinated care from within the practice. Most evidence of the success of the HCH trial and the continuity of care that it supported, comes from individual GP and patient experiences, which indicate that when the model is fully accepted and well-implemented, the result is increased patient-centred care and improved outcomes, achieved through stronger team-based culture in participating practices. </w:t>
      </w:r>
    </w:p>
    <w:p w14:paraId="11FB72EA" w14:textId="77777777" w:rsidR="00904AAC" w:rsidRPr="00450A17" w:rsidRDefault="00904AAC" w:rsidP="00904AAC">
      <w:pPr>
        <w:pStyle w:val="CABParagraph"/>
        <w:spacing w:after="120" w:line="276" w:lineRule="auto"/>
        <w:rPr>
          <w:rFonts w:cs="Arial"/>
        </w:rPr>
      </w:pPr>
      <w:r w:rsidRPr="00450A17">
        <w:rPr>
          <w:rFonts w:cs="Arial"/>
        </w:rPr>
        <w:t>In 2019, the Expert Advisory Group on Primary Care recommended the introduction of a population focused enrolment program to support enhanced access to non-face-to-face services, and support the changes necessary to provide care which meets the modern day expectations and needs of the community. It was also recommended that the model formalise and strengthen the existing relationship between a patient and their regular general practitioner through a simple process of ‘voluntary patient enrolment’.</w:t>
      </w:r>
    </w:p>
    <w:p w14:paraId="7674239E" w14:textId="77777777" w:rsidR="00904AAC" w:rsidRPr="00450A17" w:rsidRDefault="00904AAC" w:rsidP="00904AAC">
      <w:pPr>
        <w:pStyle w:val="CABParagraph"/>
        <w:spacing w:after="120" w:line="276" w:lineRule="auto"/>
        <w:rPr>
          <w:rFonts w:cs="Arial"/>
        </w:rPr>
      </w:pPr>
      <w:r w:rsidRPr="00450A17">
        <w:rPr>
          <w:rFonts w:cs="Arial"/>
        </w:rPr>
        <w:t>In 2020 the Medicare Benefits Schedule Review identified the need for a sharper focus on continuity of care and chronic disease management for primary health care, a shift away from volume based funding models and also supported a patient enrolment model.</w:t>
      </w:r>
    </w:p>
    <w:p w14:paraId="60874F78" w14:textId="77777777" w:rsidR="00904AAC" w:rsidRPr="00450A17" w:rsidRDefault="00904AAC" w:rsidP="00904AAC">
      <w:pPr>
        <w:pStyle w:val="CABParagraph"/>
        <w:spacing w:after="120" w:line="276" w:lineRule="auto"/>
        <w:rPr>
          <w:rFonts w:cs="Arial"/>
        </w:rPr>
      </w:pPr>
      <w:r w:rsidRPr="00450A17">
        <w:rPr>
          <w:rFonts w:cs="Arial"/>
        </w:rPr>
        <w:t>In 2021, The Primary Health Care Reform Steering Group (the Steering Group), which included the Royal Australian College of General Practitioners (RACGP), the Australian Medical Association, the Australian College of Rural and Remote Medicine, and the Consumers Health Forum, recommended the Government pursue a model of voluntary patient registration post COVID</w:t>
      </w:r>
      <w:r w:rsidRPr="00450A17">
        <w:rPr>
          <w:rFonts w:cs="Arial"/>
        </w:rPr>
        <w:noBreakHyphen/>
        <w:t>19.</w:t>
      </w:r>
    </w:p>
    <w:p w14:paraId="42009E2A" w14:textId="77777777" w:rsidR="00904AAC" w:rsidRPr="00450A17" w:rsidRDefault="00904AAC" w:rsidP="00904AAC">
      <w:pPr>
        <w:pStyle w:val="CABParagraph"/>
        <w:spacing w:after="120" w:line="276" w:lineRule="auto"/>
        <w:rPr>
          <w:rFonts w:cs="Arial"/>
        </w:rPr>
      </w:pPr>
      <w:r w:rsidRPr="00450A17">
        <w:rPr>
          <w:rFonts w:cs="Arial"/>
        </w:rPr>
        <w:t>In 2022, the publication of Future Focused Primary Care: Australia’s Primary Health Care 10 Year Plan 2022-2032, laid out a vision for reform and structural change of the primary health care system. Aiming to improve access to care that is better integrated and more efficient, this roadmap proposed introducing voluntary patient registration within general practice.</w:t>
      </w:r>
    </w:p>
    <w:p w14:paraId="2CC0767E" w14:textId="77777777" w:rsidR="00904AAC" w:rsidRPr="00450A17" w:rsidRDefault="00904AAC">
      <w:pPr>
        <w:spacing w:after="160" w:line="259" w:lineRule="auto"/>
        <w:rPr>
          <w:rFonts w:cs="Arial"/>
        </w:rPr>
      </w:pPr>
      <w:r w:rsidRPr="00450A17">
        <w:rPr>
          <w:rFonts w:cs="Arial"/>
        </w:rPr>
        <w:br w:type="page"/>
      </w:r>
    </w:p>
    <w:p w14:paraId="6EB67891" w14:textId="5D57831A" w:rsidR="009065F5" w:rsidRPr="008215EF" w:rsidRDefault="009065F5" w:rsidP="008215EF">
      <w:pPr>
        <w:pStyle w:val="Heading1"/>
        <w:jc w:val="right"/>
        <w:rPr>
          <w:b/>
          <w:color w:val="auto"/>
          <w:sz w:val="32"/>
        </w:rPr>
      </w:pPr>
      <w:r w:rsidRPr="008215EF">
        <w:rPr>
          <w:b/>
          <w:color w:val="auto"/>
          <w:sz w:val="32"/>
        </w:rPr>
        <w:t xml:space="preserve">Appendix </w:t>
      </w:r>
      <w:r w:rsidR="00904AAC" w:rsidRPr="008215EF">
        <w:rPr>
          <w:b/>
          <w:color w:val="auto"/>
          <w:sz w:val="32"/>
        </w:rPr>
        <w:t>2</w:t>
      </w:r>
    </w:p>
    <w:p w14:paraId="693C537A" w14:textId="014D686C" w:rsidR="009065F5" w:rsidRPr="00450A17" w:rsidRDefault="009065F5" w:rsidP="009065F5">
      <w:pPr>
        <w:rPr>
          <w:rFonts w:eastAsiaTheme="majorEastAsia" w:cs="Arial"/>
          <w:b/>
          <w:bCs/>
          <w:color w:val="003865"/>
          <w:sz w:val="28"/>
          <w:szCs w:val="24"/>
        </w:rPr>
      </w:pPr>
      <w:r w:rsidRPr="00450A17">
        <w:rPr>
          <w:rFonts w:eastAsiaTheme="majorEastAsia" w:cs="Arial"/>
          <w:b/>
          <w:bCs/>
          <w:color w:val="003865"/>
          <w:sz w:val="28"/>
          <w:szCs w:val="24"/>
        </w:rPr>
        <w:t xml:space="preserve">Options </w:t>
      </w:r>
      <w:r w:rsidR="00127048" w:rsidRPr="00450A17">
        <w:rPr>
          <w:rFonts w:eastAsiaTheme="majorEastAsia" w:cs="Arial"/>
          <w:b/>
          <w:bCs/>
          <w:color w:val="003865"/>
          <w:sz w:val="28"/>
          <w:szCs w:val="24"/>
        </w:rPr>
        <w:t>2</w:t>
      </w:r>
      <w:r w:rsidRPr="00450A17">
        <w:rPr>
          <w:rFonts w:eastAsiaTheme="majorEastAsia" w:cs="Arial"/>
          <w:b/>
          <w:bCs/>
          <w:color w:val="003865"/>
          <w:sz w:val="28"/>
          <w:szCs w:val="24"/>
        </w:rPr>
        <w:t xml:space="preserve"> Regulatory Burden Estimate</w:t>
      </w:r>
    </w:p>
    <w:p w14:paraId="4A5B5273" w14:textId="1ACFFFED" w:rsidR="000D6322" w:rsidRPr="00450A17" w:rsidRDefault="000D6322" w:rsidP="000D6322">
      <w:pPr>
        <w:keepLines/>
        <w:rPr>
          <w:rFonts w:cs="Arial"/>
        </w:rPr>
      </w:pPr>
      <w:r w:rsidRPr="00450A17">
        <w:rPr>
          <w:rFonts w:cs="Arial"/>
        </w:rPr>
        <w:t>Option 2 was calculated on the basis that VPR w</w:t>
      </w:r>
      <w:r w:rsidR="00DA62E5" w:rsidRPr="00450A17">
        <w:rPr>
          <w:rFonts w:cs="Arial"/>
        </w:rPr>
        <w:t>ill</w:t>
      </w:r>
      <w:r w:rsidRPr="00450A17">
        <w:rPr>
          <w:rFonts w:cs="Arial"/>
        </w:rPr>
        <w:t xml:space="preserve"> </w:t>
      </w:r>
      <w:r w:rsidR="003866EF" w:rsidRPr="00450A17">
        <w:rPr>
          <w:rFonts w:cs="Arial"/>
        </w:rPr>
        <w:t xml:space="preserve">save </w:t>
      </w:r>
      <w:r w:rsidRPr="00450A17">
        <w:rPr>
          <w:rFonts w:cs="Arial"/>
        </w:rPr>
        <w:t>businesses an average of $</w:t>
      </w:r>
      <w:r w:rsidR="00E41427" w:rsidRPr="00450A17">
        <w:rPr>
          <w:rFonts w:cs="Arial"/>
        </w:rPr>
        <w:t>22.9</w:t>
      </w:r>
      <w:r w:rsidR="00321897" w:rsidRPr="00450A17">
        <w:rPr>
          <w:rFonts w:cs="Arial"/>
        </w:rPr>
        <w:t> </w:t>
      </w:r>
      <w:r w:rsidRPr="00450A17">
        <w:rPr>
          <w:rFonts w:cs="Arial"/>
        </w:rPr>
        <w:t>million over the first four years and the t</w:t>
      </w:r>
      <w:r w:rsidR="00FE69C6" w:rsidRPr="00450A17">
        <w:rPr>
          <w:rFonts w:cs="Arial"/>
        </w:rPr>
        <w:t xml:space="preserve">otal regulatory </w:t>
      </w:r>
      <w:r w:rsidR="003866EF" w:rsidRPr="00450A17">
        <w:rPr>
          <w:rFonts w:cs="Arial"/>
        </w:rPr>
        <w:t xml:space="preserve">save </w:t>
      </w:r>
      <w:r w:rsidR="00FE69C6" w:rsidRPr="00450A17">
        <w:rPr>
          <w:rFonts w:cs="Arial"/>
        </w:rPr>
        <w:t>w</w:t>
      </w:r>
      <w:r w:rsidR="00DA62E5" w:rsidRPr="00450A17">
        <w:rPr>
          <w:rFonts w:cs="Arial"/>
        </w:rPr>
        <w:t>ill</w:t>
      </w:r>
      <w:r w:rsidR="00FE69C6" w:rsidRPr="00450A17">
        <w:rPr>
          <w:rFonts w:cs="Arial"/>
        </w:rPr>
        <w:t xml:space="preserve"> be </w:t>
      </w:r>
      <w:r w:rsidR="00B21A77" w:rsidRPr="00450A17">
        <w:rPr>
          <w:rFonts w:cs="Arial"/>
        </w:rPr>
        <w:t>$</w:t>
      </w:r>
      <w:r w:rsidR="00E41427" w:rsidRPr="00450A17">
        <w:rPr>
          <w:rFonts w:cs="Arial"/>
        </w:rPr>
        <w:t>91.7</w:t>
      </w:r>
      <w:r w:rsidR="00321897" w:rsidRPr="00450A17">
        <w:rPr>
          <w:rFonts w:cs="Arial"/>
        </w:rPr>
        <w:t> </w:t>
      </w:r>
      <w:r w:rsidR="00FE69C6" w:rsidRPr="00450A17">
        <w:rPr>
          <w:rFonts w:cs="Arial"/>
        </w:rPr>
        <w:t>million</w:t>
      </w:r>
      <w:r w:rsidRPr="00450A17">
        <w:rPr>
          <w:rFonts w:cs="Arial"/>
        </w:rPr>
        <w:t xml:space="preserve">. </w:t>
      </w:r>
    </w:p>
    <w:p w14:paraId="2C76EB88" w14:textId="77777777" w:rsidR="005C5B53" w:rsidRPr="00450A17" w:rsidRDefault="00091CF5" w:rsidP="000D6322">
      <w:pPr>
        <w:rPr>
          <w:rFonts w:cs="Arial"/>
        </w:rPr>
      </w:pPr>
      <w:r w:rsidRPr="00450A17">
        <w:rPr>
          <w:rFonts w:cs="Arial"/>
        </w:rPr>
        <w:t>The analysis of the b</w:t>
      </w:r>
      <w:r w:rsidR="0039002E" w:rsidRPr="00450A17">
        <w:rPr>
          <w:rFonts w:cs="Arial"/>
        </w:rPr>
        <w:t xml:space="preserve">usiness </w:t>
      </w:r>
      <w:r w:rsidRPr="00450A17">
        <w:rPr>
          <w:rFonts w:cs="Arial"/>
        </w:rPr>
        <w:t xml:space="preserve">regulatory burden </w:t>
      </w:r>
      <w:r w:rsidR="00F22374" w:rsidRPr="00450A17">
        <w:rPr>
          <w:rFonts w:cs="Arial"/>
        </w:rPr>
        <w:t>include</w:t>
      </w:r>
      <w:r w:rsidRPr="00450A17">
        <w:rPr>
          <w:rFonts w:cs="Arial"/>
        </w:rPr>
        <w:t>s</w:t>
      </w:r>
      <w:r w:rsidR="00F22374" w:rsidRPr="00450A17">
        <w:rPr>
          <w:rFonts w:cs="Arial"/>
        </w:rPr>
        <w:t xml:space="preserve"> costs </w:t>
      </w:r>
      <w:r w:rsidR="0039002E" w:rsidRPr="00450A17">
        <w:rPr>
          <w:rFonts w:cs="Arial"/>
        </w:rPr>
        <w:t xml:space="preserve">for medical providers/practices (including standard general practices and other practice models such as ACCHS, mobile and outreach practices) </w:t>
      </w:r>
      <w:r w:rsidRPr="00450A17">
        <w:rPr>
          <w:rFonts w:cs="Arial"/>
        </w:rPr>
        <w:t xml:space="preserve">to </w:t>
      </w:r>
      <w:r w:rsidR="00136B90" w:rsidRPr="00450A17">
        <w:rPr>
          <w:rFonts w:cs="Arial"/>
        </w:rPr>
        <w:t>establish</w:t>
      </w:r>
      <w:r w:rsidR="0039002E" w:rsidRPr="00450A17">
        <w:rPr>
          <w:rFonts w:cs="Arial"/>
        </w:rPr>
        <w:t xml:space="preserve"> VPR. </w:t>
      </w:r>
      <w:r w:rsidR="000D6322" w:rsidRPr="00450A17">
        <w:rPr>
          <w:rFonts w:cs="Arial"/>
        </w:rPr>
        <w:t>This includes</w:t>
      </w:r>
      <w:r w:rsidR="005C5B53" w:rsidRPr="00450A17">
        <w:rPr>
          <w:rFonts w:cs="Arial"/>
        </w:rPr>
        <w:t>:</w:t>
      </w:r>
    </w:p>
    <w:p w14:paraId="69368D81" w14:textId="5993F2BE" w:rsidR="005C5B53" w:rsidRPr="00450A17" w:rsidRDefault="005A709D" w:rsidP="00480067">
      <w:pPr>
        <w:pStyle w:val="ListParagraph"/>
        <w:numPr>
          <w:ilvl w:val="0"/>
          <w:numId w:val="12"/>
        </w:numPr>
        <w:rPr>
          <w:rFonts w:cs="Arial"/>
        </w:rPr>
      </w:pPr>
      <w:r w:rsidRPr="00450A17">
        <w:rPr>
          <w:rFonts w:cs="Arial"/>
        </w:rPr>
        <w:t>Average</w:t>
      </w:r>
      <w:r w:rsidR="00F12769" w:rsidRPr="00450A17">
        <w:rPr>
          <w:rFonts w:cs="Arial"/>
        </w:rPr>
        <w:t xml:space="preserve"> annual cost</w:t>
      </w:r>
      <w:r w:rsidRPr="00450A17">
        <w:rPr>
          <w:rFonts w:cs="Arial"/>
        </w:rPr>
        <w:t xml:space="preserve"> of $1.1 million over four years for</w:t>
      </w:r>
      <w:r w:rsidR="00330FBB" w:rsidRPr="00450A17">
        <w:rPr>
          <w:rFonts w:cs="Arial"/>
        </w:rPr>
        <w:t xml:space="preserve"> </w:t>
      </w:r>
      <w:r w:rsidR="000D6322" w:rsidRPr="00450A17">
        <w:rPr>
          <w:rFonts w:cs="Arial"/>
        </w:rPr>
        <w:t>practice</w:t>
      </w:r>
      <w:r w:rsidRPr="00450A17">
        <w:rPr>
          <w:rFonts w:cs="Arial"/>
        </w:rPr>
        <w:t>s to</w:t>
      </w:r>
      <w:r w:rsidR="000D6322" w:rsidRPr="00450A17">
        <w:rPr>
          <w:rFonts w:cs="Arial"/>
        </w:rPr>
        <w:t xml:space="preserve"> </w:t>
      </w:r>
      <w:r w:rsidR="00330FBB" w:rsidRPr="00450A17">
        <w:rPr>
          <w:rFonts w:cs="Arial"/>
        </w:rPr>
        <w:t>set up VPR</w:t>
      </w:r>
      <w:r w:rsidR="00987BFE" w:rsidRPr="00450A17">
        <w:rPr>
          <w:rFonts w:cs="Arial"/>
        </w:rPr>
        <w:t xml:space="preserve"> in terms of staff </w:t>
      </w:r>
      <w:r w:rsidR="00B011C8" w:rsidRPr="00450A17">
        <w:rPr>
          <w:rFonts w:cs="Arial"/>
        </w:rPr>
        <w:t>time and salary</w:t>
      </w:r>
      <w:r w:rsidR="00987BFE" w:rsidRPr="00450A17">
        <w:rPr>
          <w:rFonts w:cs="Arial"/>
        </w:rPr>
        <w:t xml:space="preserve"> </w:t>
      </w:r>
      <w:r w:rsidR="005C5B53" w:rsidRPr="00450A17">
        <w:rPr>
          <w:rFonts w:cs="Arial"/>
        </w:rPr>
        <w:t xml:space="preserve">(noting that currently 2317 </w:t>
      </w:r>
      <w:r w:rsidR="00330FBB" w:rsidRPr="00450A17">
        <w:rPr>
          <w:rFonts w:cs="Arial"/>
        </w:rPr>
        <w:t xml:space="preserve">practices </w:t>
      </w:r>
      <w:r w:rsidR="005C5B53" w:rsidRPr="00450A17">
        <w:rPr>
          <w:rFonts w:cs="Arial"/>
        </w:rPr>
        <w:t>are already on the organisation register which reduces cost and time</w:t>
      </w:r>
      <w:r w:rsidR="00330FBB" w:rsidRPr="00450A17">
        <w:rPr>
          <w:rFonts w:cs="Arial"/>
        </w:rPr>
        <w:t xml:space="preserve"> for those practices</w:t>
      </w:r>
      <w:r w:rsidR="005C5B53" w:rsidRPr="00450A17">
        <w:rPr>
          <w:rFonts w:cs="Arial"/>
        </w:rPr>
        <w:t>)</w:t>
      </w:r>
      <w:r w:rsidR="00330FBB" w:rsidRPr="00450A17">
        <w:rPr>
          <w:rFonts w:cs="Arial"/>
        </w:rPr>
        <w:t>.</w:t>
      </w:r>
    </w:p>
    <w:p w14:paraId="2ED88FA2" w14:textId="77777777" w:rsidR="00953F09" w:rsidRDefault="00953F09" w:rsidP="00953F09">
      <w:pPr>
        <w:pStyle w:val="ListParagraph"/>
        <w:ind w:left="780" w:firstLine="0"/>
        <w:rPr>
          <w:rFonts w:cs="Arial"/>
        </w:rPr>
      </w:pPr>
    </w:p>
    <w:p w14:paraId="6CDF8A8B" w14:textId="79EDB228" w:rsidR="005C5B53" w:rsidRPr="00450A17" w:rsidRDefault="005A709D" w:rsidP="00480067">
      <w:pPr>
        <w:pStyle w:val="ListParagraph"/>
        <w:numPr>
          <w:ilvl w:val="0"/>
          <w:numId w:val="12"/>
        </w:numPr>
        <w:rPr>
          <w:rFonts w:cs="Arial"/>
        </w:rPr>
      </w:pPr>
      <w:r w:rsidRPr="00450A17">
        <w:rPr>
          <w:rFonts w:cs="Arial"/>
        </w:rPr>
        <w:t xml:space="preserve">Average </w:t>
      </w:r>
      <w:r w:rsidR="00F12769" w:rsidRPr="00450A17">
        <w:rPr>
          <w:rFonts w:cs="Arial"/>
        </w:rPr>
        <w:t xml:space="preserve">annual cost </w:t>
      </w:r>
      <w:r w:rsidRPr="00450A17">
        <w:rPr>
          <w:rFonts w:cs="Arial"/>
        </w:rPr>
        <w:t>of $</w:t>
      </w:r>
      <w:r w:rsidR="00E41427" w:rsidRPr="00450A17">
        <w:rPr>
          <w:rFonts w:cs="Arial"/>
        </w:rPr>
        <w:t>2.4</w:t>
      </w:r>
      <w:r w:rsidRPr="00450A17">
        <w:rPr>
          <w:rFonts w:cs="Arial"/>
        </w:rPr>
        <w:t xml:space="preserve"> million over four years for a</w:t>
      </w:r>
      <w:r w:rsidR="000D6322" w:rsidRPr="00450A17">
        <w:rPr>
          <w:rFonts w:cs="Arial"/>
        </w:rPr>
        <w:t>ccreditation costs for currently unaccredited practices</w:t>
      </w:r>
      <w:r w:rsidR="00330FBB" w:rsidRPr="00450A17">
        <w:rPr>
          <w:rFonts w:cs="Arial"/>
        </w:rPr>
        <w:t>.</w:t>
      </w:r>
    </w:p>
    <w:p w14:paraId="74B5E910" w14:textId="77777777" w:rsidR="00953F09" w:rsidRDefault="00953F09" w:rsidP="00953F09">
      <w:pPr>
        <w:pStyle w:val="ListParagraph"/>
        <w:ind w:left="780" w:firstLine="0"/>
        <w:rPr>
          <w:rFonts w:cs="Arial"/>
        </w:rPr>
      </w:pPr>
    </w:p>
    <w:p w14:paraId="56D2D9ED" w14:textId="5C098811" w:rsidR="005C5B53" w:rsidRPr="00450A17" w:rsidRDefault="005A709D" w:rsidP="00480067">
      <w:pPr>
        <w:pStyle w:val="ListParagraph"/>
        <w:numPr>
          <w:ilvl w:val="0"/>
          <w:numId w:val="12"/>
        </w:numPr>
        <w:rPr>
          <w:rFonts w:cs="Arial"/>
        </w:rPr>
      </w:pPr>
      <w:r w:rsidRPr="00450A17">
        <w:rPr>
          <w:rFonts w:cs="Arial"/>
        </w:rPr>
        <w:t xml:space="preserve">Average </w:t>
      </w:r>
      <w:r w:rsidR="00F12769" w:rsidRPr="00450A17">
        <w:rPr>
          <w:rFonts w:cs="Arial"/>
        </w:rPr>
        <w:t xml:space="preserve">annual cost </w:t>
      </w:r>
      <w:r w:rsidRPr="00450A17">
        <w:rPr>
          <w:rFonts w:cs="Arial"/>
        </w:rPr>
        <w:t>of $</w:t>
      </w:r>
      <w:r w:rsidR="00E41427" w:rsidRPr="00450A17">
        <w:rPr>
          <w:rFonts w:cs="Arial"/>
        </w:rPr>
        <w:t>12.3</w:t>
      </w:r>
      <w:r w:rsidRPr="00450A17">
        <w:rPr>
          <w:rFonts w:cs="Arial"/>
        </w:rPr>
        <w:t xml:space="preserve"> million over four years </w:t>
      </w:r>
      <w:r w:rsidR="00F12769" w:rsidRPr="00450A17">
        <w:rPr>
          <w:rFonts w:cs="Arial"/>
        </w:rPr>
        <w:t xml:space="preserve">for the </w:t>
      </w:r>
      <w:r w:rsidR="00B011C8" w:rsidRPr="00450A17">
        <w:rPr>
          <w:rFonts w:cs="Arial"/>
        </w:rPr>
        <w:t xml:space="preserve">salary and </w:t>
      </w:r>
      <w:r w:rsidR="00330FBB" w:rsidRPr="00450A17">
        <w:rPr>
          <w:rFonts w:cs="Arial"/>
        </w:rPr>
        <w:t xml:space="preserve">time </w:t>
      </w:r>
      <w:r w:rsidR="00B011C8" w:rsidRPr="00450A17">
        <w:rPr>
          <w:rFonts w:cs="Arial"/>
        </w:rPr>
        <w:t>associated with the practice registering a</w:t>
      </w:r>
      <w:r w:rsidR="000D6322" w:rsidRPr="00450A17">
        <w:rPr>
          <w:rFonts w:cs="Arial"/>
        </w:rPr>
        <w:t xml:space="preserve"> patient</w:t>
      </w:r>
      <w:r w:rsidR="005C5B53" w:rsidRPr="00450A17">
        <w:rPr>
          <w:rFonts w:cs="Arial"/>
        </w:rPr>
        <w:t xml:space="preserve"> (noting a proportion of patien</w:t>
      </w:r>
      <w:r w:rsidR="00B011C8" w:rsidRPr="00450A17">
        <w:rPr>
          <w:rFonts w:cs="Arial"/>
        </w:rPr>
        <w:t xml:space="preserve">ts are expected to </w:t>
      </w:r>
      <w:r w:rsidR="005C5B53" w:rsidRPr="00450A17">
        <w:rPr>
          <w:rFonts w:cs="Arial"/>
        </w:rPr>
        <w:t>register through a self-service functionality</w:t>
      </w:r>
      <w:r w:rsidR="00FE4E6F" w:rsidRPr="00450A17">
        <w:rPr>
          <w:rFonts w:cs="Arial"/>
        </w:rPr>
        <w:t>,</w:t>
      </w:r>
      <w:r w:rsidR="005C5B53" w:rsidRPr="00450A17">
        <w:rPr>
          <w:rFonts w:cs="Arial"/>
        </w:rPr>
        <w:t xml:space="preserve"> which reduces practice time and effort). </w:t>
      </w:r>
    </w:p>
    <w:p w14:paraId="4B9419B3" w14:textId="2C89ED71" w:rsidR="00953F09" w:rsidRDefault="00953F09" w:rsidP="00953F09">
      <w:pPr>
        <w:pStyle w:val="ListParagraph"/>
        <w:ind w:left="780" w:firstLine="0"/>
        <w:rPr>
          <w:rFonts w:cs="Arial"/>
        </w:rPr>
      </w:pPr>
    </w:p>
    <w:p w14:paraId="71FF346F" w14:textId="7251EA3D" w:rsidR="00330FBB" w:rsidRPr="00450A17" w:rsidRDefault="00F12769" w:rsidP="00480067">
      <w:pPr>
        <w:pStyle w:val="ListParagraph"/>
        <w:numPr>
          <w:ilvl w:val="0"/>
          <w:numId w:val="12"/>
        </w:numPr>
        <w:rPr>
          <w:rFonts w:cs="Arial"/>
        </w:rPr>
      </w:pPr>
      <w:r w:rsidRPr="00450A17">
        <w:rPr>
          <w:rFonts w:cs="Arial"/>
        </w:rPr>
        <w:t>Average annual save of $</w:t>
      </w:r>
      <w:r w:rsidR="002A4F70" w:rsidRPr="00450A17">
        <w:rPr>
          <w:rFonts w:cs="Arial"/>
        </w:rPr>
        <w:t>12.5</w:t>
      </w:r>
      <w:r w:rsidRPr="00450A17">
        <w:rPr>
          <w:rFonts w:cs="Arial"/>
        </w:rPr>
        <w:t xml:space="preserve"> million over four years for e</w:t>
      </w:r>
      <w:r w:rsidR="00330FBB" w:rsidRPr="00450A17">
        <w:rPr>
          <w:rFonts w:cs="Arial"/>
        </w:rPr>
        <w:t>fficiencies gained from VPR in terms of greater visibility of registered population</w:t>
      </w:r>
      <w:r w:rsidRPr="00450A17">
        <w:rPr>
          <w:rFonts w:cs="Arial"/>
        </w:rPr>
        <w:t xml:space="preserve"> and not wasting resources </w:t>
      </w:r>
      <w:r w:rsidR="00FE4E6F" w:rsidRPr="00450A17">
        <w:rPr>
          <w:rFonts w:cs="Arial"/>
        </w:rPr>
        <w:t>on proactive health prevention and other activities with</w:t>
      </w:r>
      <w:r w:rsidRPr="00450A17">
        <w:rPr>
          <w:rFonts w:cs="Arial"/>
        </w:rPr>
        <w:t xml:space="preserve"> patients who no longer wish to see </w:t>
      </w:r>
      <w:r w:rsidR="00FE4E6F" w:rsidRPr="00450A17">
        <w:rPr>
          <w:rFonts w:cs="Arial"/>
        </w:rPr>
        <w:t xml:space="preserve">providers within </w:t>
      </w:r>
      <w:r w:rsidRPr="00450A17">
        <w:rPr>
          <w:rFonts w:cs="Arial"/>
        </w:rPr>
        <w:t>the practice</w:t>
      </w:r>
      <w:r w:rsidR="00480309" w:rsidRPr="00450A17">
        <w:rPr>
          <w:rFonts w:cs="Arial"/>
        </w:rPr>
        <w:t xml:space="preserve"> (see Section 5)</w:t>
      </w:r>
      <w:r w:rsidR="00AA4563" w:rsidRPr="00450A17">
        <w:rPr>
          <w:rStyle w:val="CommentReference"/>
        </w:rPr>
        <w:t>.</w:t>
      </w:r>
    </w:p>
    <w:p w14:paraId="20399A6B" w14:textId="77777777" w:rsidR="00953F09" w:rsidRDefault="00953F09" w:rsidP="00953F09">
      <w:pPr>
        <w:pStyle w:val="ListParagraph"/>
        <w:ind w:left="780" w:firstLine="0"/>
        <w:rPr>
          <w:rFonts w:cs="Arial"/>
        </w:rPr>
      </w:pPr>
    </w:p>
    <w:p w14:paraId="668B7045" w14:textId="5E19D628" w:rsidR="00921958" w:rsidRPr="00450A17" w:rsidRDefault="00F12769" w:rsidP="00480067">
      <w:pPr>
        <w:pStyle w:val="ListParagraph"/>
        <w:numPr>
          <w:ilvl w:val="0"/>
          <w:numId w:val="12"/>
        </w:numPr>
        <w:rPr>
          <w:rFonts w:cs="Arial"/>
        </w:rPr>
      </w:pPr>
      <w:r w:rsidRPr="00450A17">
        <w:rPr>
          <w:rFonts w:cs="Arial"/>
        </w:rPr>
        <w:t xml:space="preserve">Average annual </w:t>
      </w:r>
      <w:r w:rsidR="00AA4563" w:rsidRPr="00450A17">
        <w:rPr>
          <w:rFonts w:cs="Arial"/>
        </w:rPr>
        <w:t>save</w:t>
      </w:r>
      <w:r w:rsidRPr="00450A17">
        <w:rPr>
          <w:rFonts w:cs="Arial"/>
        </w:rPr>
        <w:t xml:space="preserve"> of $</w:t>
      </w:r>
      <w:r w:rsidR="00E41427" w:rsidRPr="00450A17">
        <w:rPr>
          <w:rFonts w:cs="Arial"/>
        </w:rPr>
        <w:t xml:space="preserve">26 </w:t>
      </w:r>
      <w:r w:rsidRPr="00450A17">
        <w:rPr>
          <w:rFonts w:cs="Arial"/>
        </w:rPr>
        <w:t>million over four years relating to</w:t>
      </w:r>
      <w:r w:rsidR="00091CF5" w:rsidRPr="00450A17">
        <w:rPr>
          <w:rFonts w:cs="Arial"/>
        </w:rPr>
        <w:t xml:space="preserve"> </w:t>
      </w:r>
      <w:r w:rsidR="00B011C8" w:rsidRPr="00450A17">
        <w:rPr>
          <w:rFonts w:cs="Arial"/>
        </w:rPr>
        <w:t>incentive</w:t>
      </w:r>
      <w:r w:rsidR="008D387A" w:rsidRPr="00450A17">
        <w:rPr>
          <w:rFonts w:cs="Arial"/>
        </w:rPr>
        <w:t>s</w:t>
      </w:r>
      <w:r w:rsidR="00091CF5" w:rsidRPr="00450A17">
        <w:rPr>
          <w:rFonts w:cs="Arial"/>
        </w:rPr>
        <w:t xml:space="preserve"> being</w:t>
      </w:r>
      <w:r w:rsidR="00B011C8" w:rsidRPr="00450A17">
        <w:rPr>
          <w:rFonts w:cs="Arial"/>
        </w:rPr>
        <w:t xml:space="preserve"> linked to VPR</w:t>
      </w:r>
      <w:r w:rsidR="008D387A" w:rsidRPr="00450A17">
        <w:rPr>
          <w:rFonts w:cs="Arial"/>
        </w:rPr>
        <w:t>.</w:t>
      </w:r>
      <w:r w:rsidR="0053038E" w:rsidRPr="00450A17">
        <w:rPr>
          <w:rFonts w:cs="Arial"/>
        </w:rPr>
        <w:t xml:space="preserve"> </w:t>
      </w:r>
    </w:p>
    <w:p w14:paraId="0E5F0147" w14:textId="77777777" w:rsidR="0039002E" w:rsidRPr="00450A17" w:rsidRDefault="00921958">
      <w:pPr>
        <w:rPr>
          <w:rFonts w:cs="Arial"/>
        </w:rPr>
      </w:pPr>
      <w:r w:rsidRPr="00450A17">
        <w:rPr>
          <w:rFonts w:cs="Arial"/>
        </w:rPr>
        <w:br/>
      </w:r>
      <w:r w:rsidR="0039002E" w:rsidRPr="00450A17">
        <w:rPr>
          <w:rFonts w:cs="Arial"/>
        </w:rPr>
        <w:t>There is no regulatory burden identified for individual consumers/patients as</w:t>
      </w:r>
      <w:r w:rsidR="00F22374" w:rsidRPr="00450A17">
        <w:rPr>
          <w:rFonts w:cs="Arial"/>
        </w:rPr>
        <w:t xml:space="preserve"> a patient’s personal </w:t>
      </w:r>
      <w:r w:rsidR="0039002E" w:rsidRPr="00450A17">
        <w:rPr>
          <w:rFonts w:cs="Arial"/>
        </w:rPr>
        <w:t xml:space="preserve">registration in VPR is consistent with existing standard health care processes. </w:t>
      </w:r>
    </w:p>
    <w:p w14:paraId="6DC0BE15" w14:textId="77777777" w:rsidR="000D6322" w:rsidRPr="00450A17" w:rsidRDefault="000D6322" w:rsidP="000D6322">
      <w:pPr>
        <w:rPr>
          <w:rFonts w:cs="Arial"/>
        </w:rPr>
      </w:pPr>
      <w:r w:rsidRPr="00450A17">
        <w:rPr>
          <w:rFonts w:cs="Arial"/>
          <w:b/>
        </w:rPr>
        <w:t xml:space="preserve">Are all new costs offset?  </w:t>
      </w:r>
      <w:r w:rsidR="003866EF" w:rsidRPr="00450A17">
        <w:rPr>
          <w:rFonts w:cs="Arial"/>
        </w:rPr>
        <w:t>Yes</w:t>
      </w:r>
    </w:p>
    <w:p w14:paraId="16491BCD" w14:textId="35BF0518" w:rsidR="000D6322" w:rsidRPr="00450A17" w:rsidRDefault="000D6322" w:rsidP="000D6322">
      <w:pPr>
        <w:tabs>
          <w:tab w:val="left" w:pos="2694"/>
          <w:tab w:val="left" w:pos="3544"/>
        </w:tabs>
        <w:spacing w:after="120"/>
        <w:rPr>
          <w:rFonts w:cs="Arial"/>
        </w:rPr>
      </w:pPr>
      <w:r w:rsidRPr="00450A17">
        <w:rPr>
          <w:rFonts w:cs="Arial"/>
          <w:b/>
        </w:rPr>
        <w:t xml:space="preserve">Total (Change in costs - cost offset) ($ million): </w:t>
      </w:r>
      <w:r w:rsidR="003866EF" w:rsidRPr="00450A17">
        <w:rPr>
          <w:rFonts w:cs="Arial"/>
          <w:b/>
        </w:rPr>
        <w:t>-</w:t>
      </w:r>
      <w:r w:rsidR="000E466D" w:rsidRPr="00450A17">
        <w:rPr>
          <w:rFonts w:cs="Arial"/>
        </w:rPr>
        <w:t>$</w:t>
      </w:r>
      <w:r w:rsidR="00E41427" w:rsidRPr="00450A17">
        <w:rPr>
          <w:rFonts w:cs="Arial"/>
        </w:rPr>
        <w:t>91.7</w:t>
      </w:r>
    </w:p>
    <w:p w14:paraId="0DBC37CE" w14:textId="77777777" w:rsidR="000D6322" w:rsidRPr="00450A17" w:rsidRDefault="000D6322" w:rsidP="000D6322">
      <w:pPr>
        <w:tabs>
          <w:tab w:val="left" w:pos="2694"/>
          <w:tab w:val="left" w:pos="3544"/>
        </w:tabs>
        <w:spacing w:after="120"/>
        <w:rPr>
          <w:rFonts w:cs="Arial"/>
          <w:b/>
        </w:rPr>
      </w:pPr>
      <w:r w:rsidRPr="00450A17">
        <w:rPr>
          <w:rFonts w:cs="Arial"/>
          <w:b/>
        </w:rPr>
        <w:t xml:space="preserve">What are the offsets for increases in regulatory costs associated with this proposal? </w:t>
      </w:r>
    </w:p>
    <w:p w14:paraId="08B59362" w14:textId="1F7BDC8A" w:rsidR="002E40FD" w:rsidRPr="00450A17" w:rsidRDefault="00CD36E0" w:rsidP="000D6322">
      <w:pPr>
        <w:keepLines/>
        <w:rPr>
          <w:rFonts w:cs="Arial"/>
        </w:rPr>
      </w:pPr>
      <w:r w:rsidRPr="00450A17">
        <w:rPr>
          <w:rFonts w:cs="Arial"/>
        </w:rPr>
        <w:t xml:space="preserve">The business change costs are offset by the efficiencies gained from VPR at the practice once </w:t>
      </w:r>
      <w:r w:rsidR="000D6322" w:rsidRPr="00450A17">
        <w:rPr>
          <w:rFonts w:cs="Arial"/>
        </w:rPr>
        <w:t>the registration is established</w:t>
      </w:r>
      <w:r w:rsidRPr="00450A17">
        <w:rPr>
          <w:rFonts w:cs="Arial"/>
        </w:rPr>
        <w:t xml:space="preserve">. </w:t>
      </w:r>
      <w:r w:rsidR="000D6322" w:rsidRPr="00450A17">
        <w:rPr>
          <w:rFonts w:cs="Arial"/>
        </w:rPr>
        <w:t xml:space="preserve">In addition, the linking of incentives to VPR will result in </w:t>
      </w:r>
      <w:r w:rsidR="00661595" w:rsidRPr="00450A17">
        <w:rPr>
          <w:rFonts w:cs="Arial"/>
        </w:rPr>
        <w:t xml:space="preserve">significant </w:t>
      </w:r>
      <w:r w:rsidR="000D6322" w:rsidRPr="00450A17">
        <w:rPr>
          <w:rFonts w:cs="Arial"/>
        </w:rPr>
        <w:t>regulatory save</w:t>
      </w:r>
      <w:r w:rsidR="00661595" w:rsidRPr="00450A17">
        <w:rPr>
          <w:rFonts w:cs="Arial"/>
        </w:rPr>
        <w:t>s</w:t>
      </w:r>
      <w:r w:rsidR="000D6322" w:rsidRPr="00450A17">
        <w:rPr>
          <w:rFonts w:cs="Arial"/>
        </w:rPr>
        <w:t xml:space="preserve"> for businesses. </w:t>
      </w:r>
    </w:p>
    <w:p w14:paraId="38E3DD42" w14:textId="5663778F" w:rsidR="00CD36E0" w:rsidRPr="00450A17" w:rsidRDefault="00CD36E0" w:rsidP="000D6322">
      <w:pPr>
        <w:keepLines/>
        <w:rPr>
          <w:rFonts w:cs="Arial"/>
        </w:rPr>
      </w:pPr>
      <w:r w:rsidRPr="00450A17">
        <w:rPr>
          <w:rFonts w:cs="Arial"/>
        </w:rPr>
        <w:t>It should also be noted that individuals will also benefit (as they will be receiving better health care, and therefore will have better health outcomes.</w:t>
      </w:r>
    </w:p>
    <w:p w14:paraId="278B7244" w14:textId="77777777" w:rsidR="003258AE" w:rsidRDefault="003258AE">
      <w:pPr>
        <w:spacing w:after="160" w:line="259" w:lineRule="auto"/>
        <w:rPr>
          <w:rFonts w:cs="Arial"/>
          <w:b/>
          <w:sz w:val="20"/>
          <w:szCs w:val="20"/>
        </w:rPr>
      </w:pPr>
      <w:r>
        <w:rPr>
          <w:rFonts w:cs="Arial"/>
          <w:b/>
          <w:sz w:val="20"/>
          <w:szCs w:val="20"/>
        </w:rPr>
        <w:br w:type="page"/>
      </w:r>
    </w:p>
    <w:p w14:paraId="18AC11D5" w14:textId="37C1F973" w:rsidR="000D6322" w:rsidRPr="00360FD6" w:rsidRDefault="000D6322" w:rsidP="000D6322">
      <w:pPr>
        <w:rPr>
          <w:rFonts w:cs="Arial"/>
          <w:b/>
          <w:sz w:val="20"/>
          <w:szCs w:val="20"/>
        </w:rPr>
      </w:pPr>
      <w:r w:rsidRPr="00360FD6">
        <w:rPr>
          <w:rFonts w:cs="Arial"/>
          <w:b/>
          <w:sz w:val="20"/>
          <w:szCs w:val="20"/>
        </w:rPr>
        <w:t xml:space="preserve">Option </w:t>
      </w:r>
      <w:r w:rsidR="00775404" w:rsidRPr="00360FD6">
        <w:rPr>
          <w:rFonts w:cs="Arial"/>
          <w:b/>
          <w:sz w:val="20"/>
          <w:szCs w:val="20"/>
        </w:rPr>
        <w:t>2</w:t>
      </w:r>
      <w:r w:rsidR="00FE67D1" w:rsidRPr="00360FD6">
        <w:rPr>
          <w:rFonts w:cs="Arial"/>
          <w:b/>
          <w:sz w:val="20"/>
          <w:szCs w:val="20"/>
        </w:rPr>
        <w:t xml:space="preserve"> </w:t>
      </w:r>
      <w:r w:rsidRPr="00360FD6">
        <w:rPr>
          <w:rFonts w:cs="Arial"/>
          <w:b/>
          <w:sz w:val="20"/>
          <w:szCs w:val="20"/>
        </w:rPr>
        <w:t xml:space="preserve">Regulatory Burden Estimate Calculations </w:t>
      </w:r>
    </w:p>
    <w:tbl>
      <w:tblPr>
        <w:tblW w:w="12240" w:type="dxa"/>
        <w:tblInd w:w="-1267" w:type="dxa"/>
        <w:tblLook w:val="04A0" w:firstRow="1" w:lastRow="0" w:firstColumn="1" w:lastColumn="0" w:noHBand="0" w:noVBand="1"/>
      </w:tblPr>
      <w:tblGrid>
        <w:gridCol w:w="1037"/>
        <w:gridCol w:w="1359"/>
        <w:gridCol w:w="1418"/>
        <w:gridCol w:w="1417"/>
        <w:gridCol w:w="1394"/>
        <w:gridCol w:w="1410"/>
        <w:gridCol w:w="189"/>
        <w:gridCol w:w="1228"/>
        <w:gridCol w:w="371"/>
        <w:gridCol w:w="1472"/>
        <w:gridCol w:w="127"/>
        <w:gridCol w:w="237"/>
        <w:gridCol w:w="581"/>
      </w:tblGrid>
      <w:tr w:rsidR="00360FD6" w:rsidRPr="00360FD6" w14:paraId="0595FA0B" w14:textId="77777777" w:rsidTr="003258AE">
        <w:trPr>
          <w:trHeight w:val="297"/>
        </w:trPr>
        <w:tc>
          <w:tcPr>
            <w:tcW w:w="1037" w:type="dxa"/>
            <w:shd w:val="clear" w:color="000000" w:fill="002060"/>
            <w:noWrap/>
            <w:vAlign w:val="bottom"/>
            <w:hideMark/>
          </w:tcPr>
          <w:p w14:paraId="7481C324" w14:textId="77777777" w:rsidR="00360FD6" w:rsidRPr="00C3650C" w:rsidRDefault="00360FD6" w:rsidP="00360FD6">
            <w:pPr>
              <w:spacing w:after="0" w:line="240" w:lineRule="auto"/>
              <w:rPr>
                <w:rFonts w:eastAsia="Times New Roman" w:cs="Arial"/>
                <w:b/>
                <w:bCs/>
                <w:color w:val="FFFFFF"/>
                <w:sz w:val="18"/>
                <w:szCs w:val="18"/>
                <w:lang w:eastAsia="en-AU"/>
              </w:rPr>
            </w:pPr>
            <w:r w:rsidRPr="00C3650C">
              <w:rPr>
                <w:rFonts w:eastAsia="Times New Roman" w:cs="Arial"/>
                <w:b/>
                <w:bCs/>
                <w:color w:val="FFFFFF"/>
                <w:sz w:val="18"/>
                <w:szCs w:val="18"/>
                <w:lang w:eastAsia="en-AU"/>
              </w:rPr>
              <w:t>Summary</w:t>
            </w:r>
          </w:p>
        </w:tc>
        <w:tc>
          <w:tcPr>
            <w:tcW w:w="2777" w:type="dxa"/>
            <w:gridSpan w:val="2"/>
            <w:shd w:val="clear" w:color="000000" w:fill="002060"/>
            <w:noWrap/>
            <w:vAlign w:val="bottom"/>
            <w:hideMark/>
          </w:tcPr>
          <w:p w14:paraId="31283D8E" w14:textId="77777777" w:rsidR="00360FD6" w:rsidRPr="00C3650C" w:rsidRDefault="00360FD6" w:rsidP="00360FD6">
            <w:pPr>
              <w:spacing w:after="0" w:line="240" w:lineRule="auto"/>
              <w:rPr>
                <w:rFonts w:eastAsia="Times New Roman" w:cs="Arial"/>
                <w:b/>
                <w:bCs/>
                <w:color w:val="FFFFFF"/>
                <w:sz w:val="18"/>
                <w:szCs w:val="18"/>
                <w:lang w:eastAsia="en-AU"/>
              </w:rPr>
            </w:pPr>
            <w:r w:rsidRPr="00C3650C">
              <w:rPr>
                <w:rFonts w:eastAsia="Times New Roman" w:cs="Arial"/>
                <w:b/>
                <w:bCs/>
                <w:color w:val="FFFFFF"/>
                <w:sz w:val="18"/>
                <w:szCs w:val="18"/>
                <w:lang w:eastAsia="en-AU"/>
              </w:rPr>
              <w:t> </w:t>
            </w:r>
          </w:p>
        </w:tc>
        <w:tc>
          <w:tcPr>
            <w:tcW w:w="2811" w:type="dxa"/>
            <w:gridSpan w:val="2"/>
            <w:shd w:val="clear" w:color="000000" w:fill="002060"/>
            <w:noWrap/>
            <w:vAlign w:val="bottom"/>
            <w:hideMark/>
          </w:tcPr>
          <w:p w14:paraId="6FCE45A1" w14:textId="77777777" w:rsidR="00360FD6" w:rsidRPr="00C3650C" w:rsidRDefault="00360FD6" w:rsidP="00360FD6">
            <w:pPr>
              <w:spacing w:after="0" w:line="240" w:lineRule="auto"/>
              <w:rPr>
                <w:rFonts w:eastAsia="Times New Roman" w:cs="Arial"/>
                <w:color w:val="FFFFFF"/>
                <w:sz w:val="18"/>
                <w:szCs w:val="18"/>
                <w:lang w:eastAsia="en-AU"/>
              </w:rPr>
            </w:pPr>
            <w:r w:rsidRPr="00C3650C">
              <w:rPr>
                <w:rFonts w:eastAsia="Times New Roman" w:cs="Arial"/>
                <w:color w:val="FFFFFF"/>
                <w:sz w:val="18"/>
                <w:szCs w:val="18"/>
                <w:lang w:eastAsia="en-AU"/>
              </w:rPr>
              <w:t> </w:t>
            </w:r>
          </w:p>
        </w:tc>
        <w:tc>
          <w:tcPr>
            <w:tcW w:w="1599" w:type="dxa"/>
            <w:gridSpan w:val="2"/>
            <w:shd w:val="clear" w:color="000000" w:fill="002060"/>
            <w:noWrap/>
            <w:vAlign w:val="bottom"/>
            <w:hideMark/>
          </w:tcPr>
          <w:p w14:paraId="5752118C" w14:textId="77777777" w:rsidR="00360FD6" w:rsidRPr="00C3650C" w:rsidRDefault="00360FD6" w:rsidP="00360FD6">
            <w:pPr>
              <w:spacing w:after="0" w:line="240" w:lineRule="auto"/>
              <w:rPr>
                <w:rFonts w:eastAsia="Times New Roman" w:cs="Arial"/>
                <w:color w:val="FFFFFF"/>
                <w:sz w:val="18"/>
                <w:szCs w:val="18"/>
                <w:lang w:eastAsia="en-AU"/>
              </w:rPr>
            </w:pPr>
            <w:r w:rsidRPr="00C3650C">
              <w:rPr>
                <w:rFonts w:eastAsia="Times New Roman" w:cs="Arial"/>
                <w:color w:val="FFFFFF"/>
                <w:sz w:val="18"/>
                <w:szCs w:val="18"/>
                <w:lang w:eastAsia="en-AU"/>
              </w:rPr>
              <w:t> </w:t>
            </w:r>
          </w:p>
        </w:tc>
        <w:tc>
          <w:tcPr>
            <w:tcW w:w="1599" w:type="dxa"/>
            <w:gridSpan w:val="2"/>
            <w:shd w:val="clear" w:color="000000" w:fill="002060"/>
            <w:noWrap/>
            <w:vAlign w:val="bottom"/>
            <w:hideMark/>
          </w:tcPr>
          <w:p w14:paraId="0277FC9B" w14:textId="77777777" w:rsidR="00360FD6" w:rsidRPr="00C3650C" w:rsidRDefault="00360FD6" w:rsidP="00360FD6">
            <w:pPr>
              <w:spacing w:after="0" w:line="240" w:lineRule="auto"/>
              <w:rPr>
                <w:rFonts w:eastAsia="Times New Roman" w:cs="Arial"/>
                <w:color w:val="FFFFFF"/>
                <w:sz w:val="18"/>
                <w:szCs w:val="18"/>
                <w:lang w:eastAsia="en-AU"/>
              </w:rPr>
            </w:pPr>
            <w:r w:rsidRPr="00C3650C">
              <w:rPr>
                <w:rFonts w:eastAsia="Times New Roman" w:cs="Arial"/>
                <w:color w:val="FFFFFF"/>
                <w:sz w:val="18"/>
                <w:szCs w:val="18"/>
                <w:lang w:eastAsia="en-AU"/>
              </w:rPr>
              <w:t> </w:t>
            </w:r>
          </w:p>
        </w:tc>
        <w:tc>
          <w:tcPr>
            <w:tcW w:w="1599" w:type="dxa"/>
            <w:gridSpan w:val="2"/>
            <w:shd w:val="clear" w:color="000000" w:fill="002060"/>
            <w:noWrap/>
            <w:vAlign w:val="bottom"/>
          </w:tcPr>
          <w:p w14:paraId="50228A7E" w14:textId="77777777" w:rsidR="00360FD6" w:rsidRPr="00C3650C" w:rsidRDefault="00360FD6" w:rsidP="00360FD6">
            <w:pPr>
              <w:spacing w:after="0" w:line="240" w:lineRule="auto"/>
              <w:rPr>
                <w:rFonts w:eastAsia="Times New Roman" w:cs="Arial"/>
                <w:color w:val="FFFFFF"/>
                <w:sz w:val="18"/>
                <w:szCs w:val="18"/>
                <w:lang w:eastAsia="en-AU"/>
              </w:rPr>
            </w:pPr>
          </w:p>
        </w:tc>
        <w:tc>
          <w:tcPr>
            <w:tcW w:w="237" w:type="dxa"/>
            <w:shd w:val="clear" w:color="000000" w:fill="002060"/>
            <w:noWrap/>
            <w:vAlign w:val="bottom"/>
          </w:tcPr>
          <w:p w14:paraId="5827E8DA" w14:textId="77777777" w:rsidR="00360FD6" w:rsidRPr="00360FD6" w:rsidRDefault="00360FD6" w:rsidP="00360FD6">
            <w:pPr>
              <w:spacing w:after="0" w:line="240" w:lineRule="auto"/>
              <w:rPr>
                <w:rFonts w:ascii="Calibri" w:eastAsia="Times New Roman" w:hAnsi="Calibri" w:cs="Times New Roman"/>
                <w:color w:val="FFFFFF"/>
                <w:sz w:val="16"/>
                <w:szCs w:val="16"/>
                <w:lang w:eastAsia="en-AU"/>
              </w:rPr>
            </w:pPr>
          </w:p>
        </w:tc>
        <w:tc>
          <w:tcPr>
            <w:tcW w:w="581" w:type="dxa"/>
            <w:shd w:val="clear" w:color="000000" w:fill="002060"/>
            <w:noWrap/>
            <w:vAlign w:val="bottom"/>
          </w:tcPr>
          <w:p w14:paraId="0E1CE551" w14:textId="77777777" w:rsidR="00360FD6" w:rsidRPr="00360FD6" w:rsidRDefault="00360FD6" w:rsidP="00360FD6">
            <w:pPr>
              <w:spacing w:after="0" w:line="240" w:lineRule="auto"/>
              <w:rPr>
                <w:rFonts w:ascii="Calibri" w:eastAsia="Times New Roman" w:hAnsi="Calibri" w:cs="Times New Roman"/>
                <w:color w:val="FFFFFF"/>
                <w:sz w:val="16"/>
                <w:szCs w:val="16"/>
                <w:lang w:eastAsia="en-AU"/>
              </w:rPr>
            </w:pPr>
          </w:p>
        </w:tc>
      </w:tr>
      <w:tr w:rsidR="00360FD6" w:rsidRPr="00360FD6" w14:paraId="253D941B" w14:textId="77777777" w:rsidTr="003258AE">
        <w:trPr>
          <w:gridAfter w:val="3"/>
          <w:wAfter w:w="945" w:type="dxa"/>
          <w:trHeight w:val="297"/>
        </w:trPr>
        <w:tc>
          <w:tcPr>
            <w:tcW w:w="2396" w:type="dxa"/>
            <w:gridSpan w:val="2"/>
            <w:shd w:val="clear" w:color="000000" w:fill="FFFFFF"/>
            <w:noWrap/>
            <w:vAlign w:val="bottom"/>
            <w:hideMark/>
          </w:tcPr>
          <w:p w14:paraId="65A63283" w14:textId="77777777" w:rsidR="00360FD6" w:rsidRPr="00C3650C" w:rsidRDefault="00360FD6" w:rsidP="00360FD6">
            <w:pPr>
              <w:spacing w:after="0" w:line="240" w:lineRule="auto"/>
              <w:rPr>
                <w:rFonts w:eastAsia="Times New Roman" w:cs="Arial"/>
                <w:b/>
                <w:bCs/>
                <w:color w:val="000000"/>
                <w:sz w:val="18"/>
                <w:szCs w:val="18"/>
                <w:lang w:eastAsia="en-AU"/>
              </w:rPr>
            </w:pPr>
            <w:r w:rsidRPr="00C3650C">
              <w:rPr>
                <w:rFonts w:eastAsia="Times New Roman" w:cs="Arial"/>
                <w:b/>
                <w:bCs/>
                <w:color w:val="000000"/>
                <w:sz w:val="18"/>
                <w:szCs w:val="18"/>
                <w:lang w:eastAsia="en-AU"/>
              </w:rPr>
              <w:t>Implementation year</w:t>
            </w:r>
          </w:p>
        </w:tc>
        <w:tc>
          <w:tcPr>
            <w:tcW w:w="1418" w:type="dxa"/>
            <w:shd w:val="clear" w:color="000000" w:fill="FFFFFF"/>
            <w:noWrap/>
            <w:vAlign w:val="bottom"/>
            <w:hideMark/>
          </w:tcPr>
          <w:p w14:paraId="33ECC679" w14:textId="77777777" w:rsidR="00360FD6" w:rsidRPr="00C3650C" w:rsidRDefault="00360FD6" w:rsidP="00360FD6">
            <w:pPr>
              <w:spacing w:after="0" w:line="240" w:lineRule="auto"/>
              <w:rPr>
                <w:rFonts w:eastAsia="Times New Roman" w:cs="Arial"/>
                <w:b/>
                <w:bCs/>
                <w:color w:val="000000"/>
                <w:sz w:val="18"/>
                <w:szCs w:val="18"/>
                <w:lang w:eastAsia="en-AU"/>
              </w:rPr>
            </w:pPr>
            <w:r w:rsidRPr="00C3650C">
              <w:rPr>
                <w:rFonts w:eastAsia="Times New Roman" w:cs="Arial"/>
                <w:b/>
                <w:bCs/>
                <w:color w:val="000000"/>
                <w:sz w:val="18"/>
                <w:szCs w:val="18"/>
                <w:lang w:eastAsia="en-AU"/>
              </w:rPr>
              <w:t xml:space="preserve">    1</w:t>
            </w:r>
          </w:p>
        </w:tc>
        <w:tc>
          <w:tcPr>
            <w:tcW w:w="1417" w:type="dxa"/>
            <w:shd w:val="clear" w:color="000000" w:fill="FFFFFF"/>
            <w:noWrap/>
            <w:vAlign w:val="bottom"/>
            <w:hideMark/>
          </w:tcPr>
          <w:p w14:paraId="1D86E59A" w14:textId="77777777" w:rsidR="00360FD6" w:rsidRPr="00C3650C" w:rsidRDefault="00360FD6" w:rsidP="00360FD6">
            <w:pPr>
              <w:spacing w:after="0" w:line="240" w:lineRule="auto"/>
              <w:rPr>
                <w:rFonts w:eastAsia="Times New Roman" w:cs="Arial"/>
                <w:b/>
                <w:bCs/>
                <w:color w:val="000000"/>
                <w:sz w:val="18"/>
                <w:szCs w:val="18"/>
                <w:lang w:eastAsia="en-AU"/>
              </w:rPr>
            </w:pPr>
            <w:r w:rsidRPr="00C3650C">
              <w:rPr>
                <w:rFonts w:eastAsia="Times New Roman" w:cs="Arial"/>
                <w:b/>
                <w:bCs/>
                <w:color w:val="000000"/>
                <w:sz w:val="18"/>
                <w:szCs w:val="18"/>
                <w:lang w:eastAsia="en-AU"/>
              </w:rPr>
              <w:t xml:space="preserve">   2</w:t>
            </w:r>
          </w:p>
        </w:tc>
        <w:tc>
          <w:tcPr>
            <w:tcW w:w="1394" w:type="dxa"/>
            <w:shd w:val="clear" w:color="000000" w:fill="FFFFFF"/>
            <w:noWrap/>
            <w:vAlign w:val="bottom"/>
            <w:hideMark/>
          </w:tcPr>
          <w:p w14:paraId="5B231006" w14:textId="77777777" w:rsidR="00360FD6" w:rsidRPr="00C3650C" w:rsidRDefault="00360FD6" w:rsidP="00360FD6">
            <w:pPr>
              <w:spacing w:after="0" w:line="240" w:lineRule="auto"/>
              <w:rPr>
                <w:rFonts w:eastAsia="Times New Roman" w:cs="Arial"/>
                <w:b/>
                <w:bCs/>
                <w:color w:val="000000"/>
                <w:sz w:val="18"/>
                <w:szCs w:val="18"/>
                <w:lang w:eastAsia="en-AU"/>
              </w:rPr>
            </w:pPr>
            <w:r w:rsidRPr="00C3650C">
              <w:rPr>
                <w:rFonts w:eastAsia="Times New Roman" w:cs="Arial"/>
                <w:b/>
                <w:bCs/>
                <w:color w:val="000000"/>
                <w:sz w:val="18"/>
                <w:szCs w:val="18"/>
                <w:lang w:eastAsia="en-AU"/>
              </w:rPr>
              <w:t xml:space="preserve">   3</w:t>
            </w:r>
          </w:p>
        </w:tc>
        <w:tc>
          <w:tcPr>
            <w:tcW w:w="1410" w:type="dxa"/>
            <w:shd w:val="clear" w:color="000000" w:fill="FFFFFF"/>
            <w:noWrap/>
            <w:vAlign w:val="bottom"/>
            <w:hideMark/>
          </w:tcPr>
          <w:p w14:paraId="6B2A902B" w14:textId="77777777" w:rsidR="00360FD6" w:rsidRPr="00C3650C" w:rsidRDefault="00360FD6" w:rsidP="00360FD6">
            <w:pPr>
              <w:spacing w:after="0" w:line="240" w:lineRule="auto"/>
              <w:rPr>
                <w:rFonts w:eastAsia="Times New Roman" w:cs="Arial"/>
                <w:b/>
                <w:bCs/>
                <w:color w:val="000000"/>
                <w:sz w:val="18"/>
                <w:szCs w:val="18"/>
                <w:lang w:eastAsia="en-AU"/>
              </w:rPr>
            </w:pPr>
            <w:r w:rsidRPr="00C3650C">
              <w:rPr>
                <w:rFonts w:eastAsia="Times New Roman" w:cs="Arial"/>
                <w:b/>
                <w:bCs/>
                <w:color w:val="000000"/>
                <w:sz w:val="18"/>
                <w:szCs w:val="18"/>
                <w:lang w:eastAsia="en-AU"/>
              </w:rPr>
              <w:t xml:space="preserve">   4</w:t>
            </w:r>
          </w:p>
        </w:tc>
        <w:tc>
          <w:tcPr>
            <w:tcW w:w="1417" w:type="dxa"/>
            <w:gridSpan w:val="2"/>
            <w:shd w:val="clear" w:color="000000" w:fill="FFFFFF"/>
            <w:noWrap/>
            <w:vAlign w:val="bottom"/>
            <w:hideMark/>
          </w:tcPr>
          <w:p w14:paraId="5AE9A13A" w14:textId="77777777" w:rsidR="00360FD6" w:rsidRPr="00C3650C" w:rsidRDefault="00360FD6" w:rsidP="00360FD6">
            <w:pPr>
              <w:spacing w:after="0" w:line="240" w:lineRule="auto"/>
              <w:rPr>
                <w:rFonts w:eastAsia="Times New Roman" w:cs="Arial"/>
                <w:b/>
                <w:bCs/>
                <w:color w:val="000000"/>
                <w:sz w:val="18"/>
                <w:szCs w:val="18"/>
                <w:lang w:eastAsia="en-AU"/>
              </w:rPr>
            </w:pPr>
            <w:r w:rsidRPr="00C3650C">
              <w:rPr>
                <w:rFonts w:eastAsia="Times New Roman" w:cs="Arial"/>
                <w:b/>
                <w:bCs/>
                <w:color w:val="000000"/>
                <w:sz w:val="18"/>
                <w:szCs w:val="18"/>
                <w:lang w:eastAsia="en-AU"/>
              </w:rPr>
              <w:t xml:space="preserve">    Total</w:t>
            </w:r>
          </w:p>
        </w:tc>
        <w:tc>
          <w:tcPr>
            <w:tcW w:w="1843" w:type="dxa"/>
            <w:gridSpan w:val="2"/>
            <w:shd w:val="clear" w:color="000000" w:fill="FFFFFF"/>
            <w:noWrap/>
            <w:vAlign w:val="bottom"/>
            <w:hideMark/>
          </w:tcPr>
          <w:p w14:paraId="4FDB2595" w14:textId="77777777" w:rsidR="00360FD6" w:rsidRPr="00C3650C" w:rsidRDefault="00360FD6" w:rsidP="00360FD6">
            <w:pPr>
              <w:spacing w:after="0" w:line="240" w:lineRule="auto"/>
              <w:rPr>
                <w:rFonts w:eastAsia="Times New Roman" w:cs="Arial"/>
                <w:b/>
                <w:bCs/>
                <w:color w:val="000000"/>
                <w:sz w:val="18"/>
                <w:szCs w:val="18"/>
                <w:lang w:eastAsia="en-AU"/>
              </w:rPr>
            </w:pPr>
            <w:r w:rsidRPr="00C3650C">
              <w:rPr>
                <w:rFonts w:eastAsia="Times New Roman" w:cs="Arial"/>
                <w:b/>
                <w:bCs/>
                <w:color w:val="000000"/>
                <w:sz w:val="18"/>
                <w:szCs w:val="18"/>
                <w:lang w:eastAsia="en-AU"/>
              </w:rPr>
              <w:t xml:space="preserve"> Average over 4 years </w:t>
            </w:r>
          </w:p>
        </w:tc>
      </w:tr>
      <w:tr w:rsidR="00360FD6" w:rsidRPr="00360FD6" w14:paraId="5E1F761D" w14:textId="77777777" w:rsidTr="003258AE">
        <w:trPr>
          <w:gridAfter w:val="3"/>
          <w:wAfter w:w="945" w:type="dxa"/>
          <w:trHeight w:val="240"/>
        </w:trPr>
        <w:tc>
          <w:tcPr>
            <w:tcW w:w="2396" w:type="dxa"/>
            <w:gridSpan w:val="2"/>
            <w:shd w:val="clear" w:color="000000" w:fill="FFFFFF"/>
            <w:noWrap/>
            <w:vAlign w:val="bottom"/>
            <w:hideMark/>
          </w:tcPr>
          <w:p w14:paraId="46679485" w14:textId="77777777" w:rsidR="00360FD6" w:rsidRPr="00C3650C" w:rsidRDefault="00360FD6" w:rsidP="00360FD6">
            <w:pPr>
              <w:spacing w:after="0" w:line="240" w:lineRule="auto"/>
              <w:rPr>
                <w:rFonts w:eastAsia="Times New Roman" w:cs="Arial"/>
                <w:color w:val="000000"/>
                <w:sz w:val="18"/>
                <w:szCs w:val="18"/>
                <w:lang w:eastAsia="en-AU"/>
              </w:rPr>
            </w:pPr>
            <w:r w:rsidRPr="00C3650C">
              <w:rPr>
                <w:rFonts w:eastAsia="Times New Roman" w:cs="Arial"/>
                <w:color w:val="000000"/>
                <w:sz w:val="18"/>
                <w:szCs w:val="18"/>
                <w:lang w:eastAsia="en-AU"/>
              </w:rPr>
              <w:t>Patient registration cost</w:t>
            </w:r>
          </w:p>
        </w:tc>
        <w:tc>
          <w:tcPr>
            <w:tcW w:w="1418" w:type="dxa"/>
            <w:shd w:val="clear" w:color="000000" w:fill="FFFFFF"/>
            <w:noWrap/>
            <w:vAlign w:val="bottom"/>
            <w:hideMark/>
          </w:tcPr>
          <w:p w14:paraId="0EB97B73" w14:textId="77777777" w:rsidR="00360FD6" w:rsidRPr="00C3650C" w:rsidRDefault="00360FD6" w:rsidP="00360FD6">
            <w:pPr>
              <w:spacing w:after="0" w:line="240" w:lineRule="auto"/>
              <w:rPr>
                <w:rFonts w:eastAsia="Times New Roman" w:cs="Arial"/>
                <w:color w:val="000000"/>
                <w:sz w:val="18"/>
                <w:szCs w:val="18"/>
                <w:lang w:eastAsia="en-AU"/>
              </w:rPr>
            </w:pPr>
            <w:r w:rsidRPr="00C3650C">
              <w:rPr>
                <w:rFonts w:eastAsia="Times New Roman" w:cs="Arial"/>
                <w:color w:val="000000"/>
                <w:sz w:val="18"/>
                <w:szCs w:val="18"/>
                <w:lang w:eastAsia="en-AU"/>
              </w:rPr>
              <w:t xml:space="preserve"> $16,900,596 </w:t>
            </w:r>
          </w:p>
        </w:tc>
        <w:tc>
          <w:tcPr>
            <w:tcW w:w="1417" w:type="dxa"/>
            <w:shd w:val="clear" w:color="000000" w:fill="FFFFFF"/>
            <w:noWrap/>
            <w:vAlign w:val="bottom"/>
            <w:hideMark/>
          </w:tcPr>
          <w:p w14:paraId="7CC1A90A" w14:textId="77777777" w:rsidR="00360FD6" w:rsidRPr="00C3650C" w:rsidRDefault="00360FD6" w:rsidP="00360FD6">
            <w:pPr>
              <w:spacing w:after="0" w:line="240" w:lineRule="auto"/>
              <w:rPr>
                <w:rFonts w:eastAsia="Times New Roman" w:cs="Arial"/>
                <w:color w:val="000000"/>
                <w:sz w:val="18"/>
                <w:szCs w:val="18"/>
                <w:lang w:eastAsia="en-AU"/>
              </w:rPr>
            </w:pPr>
            <w:r w:rsidRPr="00C3650C">
              <w:rPr>
                <w:rFonts w:eastAsia="Times New Roman" w:cs="Arial"/>
                <w:color w:val="000000"/>
                <w:sz w:val="18"/>
                <w:szCs w:val="18"/>
                <w:lang w:eastAsia="en-AU"/>
              </w:rPr>
              <w:t xml:space="preserve"> $24,340,661 </w:t>
            </w:r>
          </w:p>
        </w:tc>
        <w:tc>
          <w:tcPr>
            <w:tcW w:w="1394" w:type="dxa"/>
            <w:shd w:val="clear" w:color="000000" w:fill="FFFFFF"/>
            <w:noWrap/>
            <w:vAlign w:val="bottom"/>
            <w:hideMark/>
          </w:tcPr>
          <w:p w14:paraId="2C7EE2AA" w14:textId="77777777" w:rsidR="00360FD6" w:rsidRPr="00C3650C" w:rsidRDefault="00360FD6" w:rsidP="00360FD6">
            <w:pPr>
              <w:spacing w:after="0" w:line="240" w:lineRule="auto"/>
              <w:rPr>
                <w:rFonts w:eastAsia="Times New Roman" w:cs="Arial"/>
                <w:color w:val="000000"/>
                <w:sz w:val="18"/>
                <w:szCs w:val="18"/>
                <w:lang w:eastAsia="en-AU"/>
              </w:rPr>
            </w:pPr>
            <w:r w:rsidRPr="00C3650C">
              <w:rPr>
                <w:rFonts w:eastAsia="Times New Roman" w:cs="Arial"/>
                <w:color w:val="000000"/>
                <w:sz w:val="18"/>
                <w:szCs w:val="18"/>
                <w:lang w:eastAsia="en-AU"/>
              </w:rPr>
              <w:t xml:space="preserve"> $5,193,178 </w:t>
            </w:r>
          </w:p>
        </w:tc>
        <w:tc>
          <w:tcPr>
            <w:tcW w:w="1410" w:type="dxa"/>
            <w:shd w:val="clear" w:color="000000" w:fill="FFFFFF"/>
            <w:noWrap/>
            <w:vAlign w:val="bottom"/>
            <w:hideMark/>
          </w:tcPr>
          <w:p w14:paraId="1ACA5B51" w14:textId="77777777" w:rsidR="00360FD6" w:rsidRPr="00C3650C" w:rsidRDefault="00360FD6" w:rsidP="00360FD6">
            <w:pPr>
              <w:spacing w:after="0" w:line="240" w:lineRule="auto"/>
              <w:rPr>
                <w:rFonts w:eastAsia="Times New Roman" w:cs="Arial"/>
                <w:color w:val="000000"/>
                <w:sz w:val="18"/>
                <w:szCs w:val="18"/>
                <w:lang w:eastAsia="en-AU"/>
              </w:rPr>
            </w:pPr>
            <w:r w:rsidRPr="00C3650C">
              <w:rPr>
                <w:rFonts w:eastAsia="Times New Roman" w:cs="Arial"/>
                <w:color w:val="000000"/>
                <w:sz w:val="18"/>
                <w:szCs w:val="18"/>
                <w:lang w:eastAsia="en-AU"/>
              </w:rPr>
              <w:t xml:space="preserve"> $2,822,923 </w:t>
            </w:r>
          </w:p>
        </w:tc>
        <w:tc>
          <w:tcPr>
            <w:tcW w:w="1417" w:type="dxa"/>
            <w:gridSpan w:val="2"/>
            <w:shd w:val="clear" w:color="000000" w:fill="FFFFFF"/>
            <w:noWrap/>
            <w:vAlign w:val="bottom"/>
            <w:hideMark/>
          </w:tcPr>
          <w:p w14:paraId="601DF7CF" w14:textId="77777777" w:rsidR="00360FD6" w:rsidRPr="00C3650C" w:rsidRDefault="00360FD6" w:rsidP="00360FD6">
            <w:pPr>
              <w:spacing w:after="0" w:line="240" w:lineRule="auto"/>
              <w:rPr>
                <w:rFonts w:eastAsia="Times New Roman" w:cs="Arial"/>
                <w:b/>
                <w:bCs/>
                <w:color w:val="000000"/>
                <w:sz w:val="18"/>
                <w:szCs w:val="18"/>
                <w:lang w:eastAsia="en-AU"/>
              </w:rPr>
            </w:pPr>
            <w:r w:rsidRPr="00C3650C">
              <w:rPr>
                <w:rFonts w:eastAsia="Times New Roman" w:cs="Arial"/>
                <w:b/>
                <w:bCs/>
                <w:color w:val="000000"/>
                <w:sz w:val="18"/>
                <w:szCs w:val="18"/>
                <w:lang w:eastAsia="en-AU"/>
              </w:rPr>
              <w:t xml:space="preserve"> $49,257,358 </w:t>
            </w:r>
          </w:p>
        </w:tc>
        <w:tc>
          <w:tcPr>
            <w:tcW w:w="1843" w:type="dxa"/>
            <w:gridSpan w:val="2"/>
            <w:shd w:val="clear" w:color="000000" w:fill="FFFFFF"/>
            <w:noWrap/>
            <w:vAlign w:val="bottom"/>
            <w:hideMark/>
          </w:tcPr>
          <w:p w14:paraId="78B8A1AE" w14:textId="77777777" w:rsidR="00360FD6" w:rsidRPr="00C3650C" w:rsidRDefault="00360FD6" w:rsidP="00360FD6">
            <w:pPr>
              <w:spacing w:after="0" w:line="240" w:lineRule="auto"/>
              <w:rPr>
                <w:rFonts w:eastAsia="Times New Roman" w:cs="Arial"/>
                <w:color w:val="000000"/>
                <w:sz w:val="18"/>
                <w:szCs w:val="18"/>
                <w:lang w:eastAsia="en-AU"/>
              </w:rPr>
            </w:pPr>
            <w:r w:rsidRPr="00C3650C">
              <w:rPr>
                <w:rFonts w:eastAsia="Times New Roman" w:cs="Arial"/>
                <w:color w:val="000000"/>
                <w:sz w:val="18"/>
                <w:szCs w:val="18"/>
                <w:lang w:eastAsia="en-AU"/>
              </w:rPr>
              <w:t xml:space="preserve"> $12,314,339 </w:t>
            </w:r>
          </w:p>
        </w:tc>
      </w:tr>
      <w:tr w:rsidR="00360FD6" w:rsidRPr="00360FD6" w14:paraId="760579DC" w14:textId="77777777" w:rsidTr="003258AE">
        <w:trPr>
          <w:gridAfter w:val="3"/>
          <w:wAfter w:w="945" w:type="dxa"/>
          <w:trHeight w:val="297"/>
        </w:trPr>
        <w:tc>
          <w:tcPr>
            <w:tcW w:w="2396" w:type="dxa"/>
            <w:gridSpan w:val="2"/>
            <w:shd w:val="clear" w:color="000000" w:fill="FFFFFF"/>
            <w:noWrap/>
            <w:vAlign w:val="bottom"/>
            <w:hideMark/>
          </w:tcPr>
          <w:p w14:paraId="78031192" w14:textId="77777777" w:rsidR="00360FD6" w:rsidRPr="00C3650C" w:rsidRDefault="00360FD6" w:rsidP="00360FD6">
            <w:pPr>
              <w:spacing w:after="0" w:line="240" w:lineRule="auto"/>
              <w:rPr>
                <w:rFonts w:eastAsia="Times New Roman" w:cs="Arial"/>
                <w:color w:val="000000"/>
                <w:sz w:val="18"/>
                <w:szCs w:val="18"/>
                <w:lang w:eastAsia="en-AU"/>
              </w:rPr>
            </w:pPr>
            <w:r w:rsidRPr="00C3650C">
              <w:rPr>
                <w:rFonts w:eastAsia="Times New Roman" w:cs="Arial"/>
                <w:color w:val="000000"/>
                <w:sz w:val="18"/>
                <w:szCs w:val="18"/>
                <w:lang w:eastAsia="en-AU"/>
              </w:rPr>
              <w:t>Process, procedures and training cost</w:t>
            </w:r>
          </w:p>
        </w:tc>
        <w:tc>
          <w:tcPr>
            <w:tcW w:w="1418" w:type="dxa"/>
            <w:shd w:val="clear" w:color="000000" w:fill="FFFFFF"/>
            <w:noWrap/>
            <w:vAlign w:val="bottom"/>
            <w:hideMark/>
          </w:tcPr>
          <w:p w14:paraId="28C6027B" w14:textId="77777777" w:rsidR="00360FD6" w:rsidRPr="00C3650C" w:rsidRDefault="00360FD6" w:rsidP="00360FD6">
            <w:pPr>
              <w:spacing w:after="0" w:line="240" w:lineRule="auto"/>
              <w:rPr>
                <w:rFonts w:eastAsia="Times New Roman" w:cs="Arial"/>
                <w:color w:val="000000"/>
                <w:sz w:val="18"/>
                <w:szCs w:val="18"/>
                <w:lang w:eastAsia="en-AU"/>
              </w:rPr>
            </w:pPr>
            <w:r w:rsidRPr="00C3650C">
              <w:rPr>
                <w:rFonts w:eastAsia="Times New Roman" w:cs="Arial"/>
                <w:color w:val="000000"/>
                <w:sz w:val="18"/>
                <w:szCs w:val="18"/>
                <w:lang w:eastAsia="en-AU"/>
              </w:rPr>
              <w:t xml:space="preserve"> $2,745,247 </w:t>
            </w:r>
          </w:p>
        </w:tc>
        <w:tc>
          <w:tcPr>
            <w:tcW w:w="1417" w:type="dxa"/>
            <w:shd w:val="clear" w:color="000000" w:fill="FFFFFF"/>
            <w:noWrap/>
            <w:vAlign w:val="bottom"/>
            <w:hideMark/>
          </w:tcPr>
          <w:p w14:paraId="4F59E6A6" w14:textId="77777777" w:rsidR="00360FD6" w:rsidRPr="00C3650C" w:rsidRDefault="00360FD6" w:rsidP="00360FD6">
            <w:pPr>
              <w:spacing w:after="0" w:line="240" w:lineRule="auto"/>
              <w:rPr>
                <w:rFonts w:eastAsia="Times New Roman" w:cs="Arial"/>
                <w:color w:val="000000"/>
                <w:sz w:val="18"/>
                <w:szCs w:val="18"/>
                <w:lang w:eastAsia="en-AU"/>
              </w:rPr>
            </w:pPr>
            <w:r w:rsidRPr="00C3650C">
              <w:rPr>
                <w:rFonts w:eastAsia="Times New Roman" w:cs="Arial"/>
                <w:color w:val="000000"/>
                <w:sz w:val="18"/>
                <w:szCs w:val="18"/>
                <w:lang w:eastAsia="en-AU"/>
              </w:rPr>
              <w:t xml:space="preserve"> $656,412 </w:t>
            </w:r>
          </w:p>
        </w:tc>
        <w:tc>
          <w:tcPr>
            <w:tcW w:w="1394" w:type="dxa"/>
            <w:shd w:val="clear" w:color="000000" w:fill="FFFFFF"/>
            <w:noWrap/>
            <w:vAlign w:val="bottom"/>
            <w:hideMark/>
          </w:tcPr>
          <w:p w14:paraId="46F25076" w14:textId="77777777" w:rsidR="00360FD6" w:rsidRPr="00C3650C" w:rsidRDefault="00360FD6" w:rsidP="00360FD6">
            <w:pPr>
              <w:spacing w:after="0" w:line="240" w:lineRule="auto"/>
              <w:rPr>
                <w:rFonts w:eastAsia="Times New Roman" w:cs="Arial"/>
                <w:color w:val="000000"/>
                <w:sz w:val="18"/>
                <w:szCs w:val="18"/>
                <w:lang w:eastAsia="en-AU"/>
              </w:rPr>
            </w:pPr>
            <w:r w:rsidRPr="00C3650C">
              <w:rPr>
                <w:rFonts w:eastAsia="Times New Roman" w:cs="Arial"/>
                <w:color w:val="000000"/>
                <w:sz w:val="18"/>
                <w:szCs w:val="18"/>
                <w:lang w:eastAsia="en-AU"/>
              </w:rPr>
              <w:t xml:space="preserve"> $437,608 </w:t>
            </w:r>
          </w:p>
        </w:tc>
        <w:tc>
          <w:tcPr>
            <w:tcW w:w="1410" w:type="dxa"/>
            <w:shd w:val="clear" w:color="000000" w:fill="FFFFFF"/>
            <w:noWrap/>
            <w:vAlign w:val="bottom"/>
            <w:hideMark/>
          </w:tcPr>
          <w:p w14:paraId="590596C2" w14:textId="77777777" w:rsidR="00360FD6" w:rsidRPr="00C3650C" w:rsidRDefault="00360FD6" w:rsidP="00360FD6">
            <w:pPr>
              <w:spacing w:after="0" w:line="240" w:lineRule="auto"/>
              <w:rPr>
                <w:rFonts w:eastAsia="Times New Roman" w:cs="Arial"/>
                <w:color w:val="000000"/>
                <w:sz w:val="18"/>
                <w:szCs w:val="18"/>
                <w:lang w:eastAsia="en-AU"/>
              </w:rPr>
            </w:pPr>
            <w:r w:rsidRPr="00C3650C">
              <w:rPr>
                <w:rFonts w:eastAsia="Times New Roman" w:cs="Arial"/>
                <w:color w:val="000000"/>
                <w:sz w:val="18"/>
                <w:szCs w:val="18"/>
                <w:lang w:eastAsia="en-AU"/>
              </w:rPr>
              <w:t xml:space="preserve"> $437,608 </w:t>
            </w:r>
          </w:p>
        </w:tc>
        <w:tc>
          <w:tcPr>
            <w:tcW w:w="1417" w:type="dxa"/>
            <w:gridSpan w:val="2"/>
            <w:shd w:val="clear" w:color="000000" w:fill="FFFFFF"/>
            <w:noWrap/>
            <w:vAlign w:val="bottom"/>
            <w:hideMark/>
          </w:tcPr>
          <w:p w14:paraId="46756CCA" w14:textId="77777777" w:rsidR="00360FD6" w:rsidRPr="00C3650C" w:rsidRDefault="00360FD6" w:rsidP="00360FD6">
            <w:pPr>
              <w:spacing w:after="0" w:line="240" w:lineRule="auto"/>
              <w:rPr>
                <w:rFonts w:eastAsia="Times New Roman" w:cs="Arial"/>
                <w:b/>
                <w:bCs/>
                <w:color w:val="000000"/>
                <w:sz w:val="18"/>
                <w:szCs w:val="18"/>
                <w:lang w:eastAsia="en-AU"/>
              </w:rPr>
            </w:pPr>
            <w:r w:rsidRPr="00C3650C">
              <w:rPr>
                <w:rFonts w:eastAsia="Times New Roman" w:cs="Arial"/>
                <w:b/>
                <w:bCs/>
                <w:color w:val="000000"/>
                <w:sz w:val="18"/>
                <w:szCs w:val="18"/>
                <w:lang w:eastAsia="en-AU"/>
              </w:rPr>
              <w:t xml:space="preserve"> $4,276,875 </w:t>
            </w:r>
          </w:p>
        </w:tc>
        <w:tc>
          <w:tcPr>
            <w:tcW w:w="1843" w:type="dxa"/>
            <w:gridSpan w:val="2"/>
            <w:shd w:val="clear" w:color="000000" w:fill="FFFFFF"/>
            <w:noWrap/>
            <w:vAlign w:val="bottom"/>
            <w:hideMark/>
          </w:tcPr>
          <w:p w14:paraId="21DB52D5" w14:textId="77777777" w:rsidR="00360FD6" w:rsidRPr="00C3650C" w:rsidRDefault="00360FD6" w:rsidP="00360FD6">
            <w:pPr>
              <w:spacing w:after="0" w:line="240" w:lineRule="auto"/>
              <w:rPr>
                <w:rFonts w:eastAsia="Times New Roman" w:cs="Arial"/>
                <w:color w:val="000000"/>
                <w:sz w:val="18"/>
                <w:szCs w:val="18"/>
                <w:lang w:eastAsia="en-AU"/>
              </w:rPr>
            </w:pPr>
            <w:r w:rsidRPr="00C3650C">
              <w:rPr>
                <w:rFonts w:eastAsia="Times New Roman" w:cs="Arial"/>
                <w:color w:val="000000"/>
                <w:sz w:val="18"/>
                <w:szCs w:val="18"/>
                <w:lang w:eastAsia="en-AU"/>
              </w:rPr>
              <w:t xml:space="preserve"> $1,069,219 </w:t>
            </w:r>
          </w:p>
        </w:tc>
      </w:tr>
      <w:tr w:rsidR="00360FD6" w:rsidRPr="00360FD6" w14:paraId="49CE529E" w14:textId="77777777" w:rsidTr="003258AE">
        <w:trPr>
          <w:gridAfter w:val="3"/>
          <w:wAfter w:w="945" w:type="dxa"/>
          <w:trHeight w:val="272"/>
        </w:trPr>
        <w:tc>
          <w:tcPr>
            <w:tcW w:w="2396" w:type="dxa"/>
            <w:gridSpan w:val="2"/>
            <w:shd w:val="clear" w:color="000000" w:fill="FFFFFF"/>
            <w:noWrap/>
            <w:vAlign w:val="bottom"/>
            <w:hideMark/>
          </w:tcPr>
          <w:p w14:paraId="4B20EDE0" w14:textId="77777777" w:rsidR="00360FD6" w:rsidRPr="00C3650C" w:rsidRDefault="00360FD6" w:rsidP="00360FD6">
            <w:pPr>
              <w:spacing w:after="0" w:line="240" w:lineRule="auto"/>
              <w:rPr>
                <w:rFonts w:eastAsia="Times New Roman" w:cs="Arial"/>
                <w:color w:val="000000"/>
                <w:sz w:val="18"/>
                <w:szCs w:val="18"/>
                <w:lang w:eastAsia="en-AU"/>
              </w:rPr>
            </w:pPr>
            <w:r w:rsidRPr="00C3650C">
              <w:rPr>
                <w:rFonts w:eastAsia="Times New Roman" w:cs="Arial"/>
                <w:color w:val="000000"/>
                <w:sz w:val="18"/>
                <w:szCs w:val="18"/>
                <w:lang w:eastAsia="en-AU"/>
              </w:rPr>
              <w:t xml:space="preserve">Accreditation cost </w:t>
            </w:r>
          </w:p>
        </w:tc>
        <w:tc>
          <w:tcPr>
            <w:tcW w:w="1418" w:type="dxa"/>
            <w:shd w:val="clear" w:color="000000" w:fill="FFFFFF"/>
            <w:noWrap/>
            <w:vAlign w:val="bottom"/>
            <w:hideMark/>
          </w:tcPr>
          <w:p w14:paraId="49527514" w14:textId="77777777" w:rsidR="00360FD6" w:rsidRPr="00C3650C" w:rsidRDefault="00360FD6" w:rsidP="00360FD6">
            <w:pPr>
              <w:spacing w:after="0" w:line="240" w:lineRule="auto"/>
              <w:rPr>
                <w:rFonts w:eastAsia="Times New Roman" w:cs="Arial"/>
                <w:color w:val="000000"/>
                <w:sz w:val="18"/>
                <w:szCs w:val="18"/>
                <w:lang w:eastAsia="en-AU"/>
              </w:rPr>
            </w:pPr>
            <w:r w:rsidRPr="00C3650C">
              <w:rPr>
                <w:rFonts w:eastAsia="Times New Roman" w:cs="Arial"/>
                <w:color w:val="000000"/>
                <w:sz w:val="18"/>
                <w:szCs w:val="18"/>
                <w:lang w:eastAsia="en-AU"/>
              </w:rPr>
              <w:t xml:space="preserve"> $6,289,070 </w:t>
            </w:r>
          </w:p>
        </w:tc>
        <w:tc>
          <w:tcPr>
            <w:tcW w:w="1417" w:type="dxa"/>
            <w:shd w:val="clear" w:color="000000" w:fill="FFFFFF"/>
            <w:noWrap/>
            <w:vAlign w:val="bottom"/>
            <w:hideMark/>
          </w:tcPr>
          <w:p w14:paraId="7B625DC6" w14:textId="77777777" w:rsidR="00360FD6" w:rsidRPr="00C3650C" w:rsidRDefault="00360FD6" w:rsidP="00360FD6">
            <w:pPr>
              <w:spacing w:after="0" w:line="240" w:lineRule="auto"/>
              <w:rPr>
                <w:rFonts w:eastAsia="Times New Roman" w:cs="Arial"/>
                <w:color w:val="000000"/>
                <w:sz w:val="18"/>
                <w:szCs w:val="18"/>
                <w:lang w:eastAsia="en-AU"/>
              </w:rPr>
            </w:pPr>
            <w:r w:rsidRPr="00C3650C">
              <w:rPr>
                <w:rFonts w:eastAsia="Times New Roman" w:cs="Arial"/>
                <w:color w:val="000000"/>
                <w:sz w:val="18"/>
                <w:szCs w:val="18"/>
                <w:lang w:eastAsia="en-AU"/>
              </w:rPr>
              <w:t xml:space="preserve"> $1,347,658 </w:t>
            </w:r>
          </w:p>
        </w:tc>
        <w:tc>
          <w:tcPr>
            <w:tcW w:w="1394" w:type="dxa"/>
            <w:shd w:val="clear" w:color="000000" w:fill="FFFFFF"/>
            <w:noWrap/>
            <w:vAlign w:val="bottom"/>
            <w:hideMark/>
          </w:tcPr>
          <w:p w14:paraId="07B46926" w14:textId="77777777" w:rsidR="00360FD6" w:rsidRPr="00C3650C" w:rsidRDefault="00360FD6" w:rsidP="00360FD6">
            <w:pPr>
              <w:spacing w:after="0" w:line="240" w:lineRule="auto"/>
              <w:rPr>
                <w:rFonts w:eastAsia="Times New Roman" w:cs="Arial"/>
                <w:color w:val="000000"/>
                <w:sz w:val="18"/>
                <w:szCs w:val="18"/>
                <w:lang w:eastAsia="en-AU"/>
              </w:rPr>
            </w:pPr>
            <w:r w:rsidRPr="00C3650C">
              <w:rPr>
                <w:rFonts w:eastAsia="Times New Roman" w:cs="Arial"/>
                <w:color w:val="000000"/>
                <w:sz w:val="18"/>
                <w:szCs w:val="18"/>
                <w:lang w:eastAsia="en-AU"/>
              </w:rPr>
              <w:t xml:space="preserve"> $898,439 </w:t>
            </w:r>
          </w:p>
        </w:tc>
        <w:tc>
          <w:tcPr>
            <w:tcW w:w="1410" w:type="dxa"/>
            <w:shd w:val="clear" w:color="000000" w:fill="FFFFFF"/>
            <w:noWrap/>
            <w:vAlign w:val="bottom"/>
            <w:hideMark/>
          </w:tcPr>
          <w:p w14:paraId="2F327FCB" w14:textId="77777777" w:rsidR="00360FD6" w:rsidRPr="00C3650C" w:rsidRDefault="00360FD6" w:rsidP="00360FD6">
            <w:pPr>
              <w:spacing w:after="0" w:line="240" w:lineRule="auto"/>
              <w:rPr>
                <w:rFonts w:eastAsia="Times New Roman" w:cs="Arial"/>
                <w:color w:val="000000"/>
                <w:sz w:val="18"/>
                <w:szCs w:val="18"/>
                <w:lang w:eastAsia="en-AU"/>
              </w:rPr>
            </w:pPr>
            <w:r w:rsidRPr="00C3650C">
              <w:rPr>
                <w:rFonts w:eastAsia="Times New Roman" w:cs="Arial"/>
                <w:color w:val="000000"/>
                <w:sz w:val="18"/>
                <w:szCs w:val="18"/>
                <w:lang w:eastAsia="en-AU"/>
              </w:rPr>
              <w:t xml:space="preserve"> $898,439 </w:t>
            </w:r>
          </w:p>
        </w:tc>
        <w:tc>
          <w:tcPr>
            <w:tcW w:w="1417" w:type="dxa"/>
            <w:gridSpan w:val="2"/>
            <w:shd w:val="clear" w:color="000000" w:fill="FFFFFF"/>
            <w:noWrap/>
            <w:vAlign w:val="bottom"/>
            <w:hideMark/>
          </w:tcPr>
          <w:p w14:paraId="3F5D4FEF" w14:textId="77777777" w:rsidR="00360FD6" w:rsidRPr="00C3650C" w:rsidRDefault="00360FD6" w:rsidP="00360FD6">
            <w:pPr>
              <w:spacing w:after="0" w:line="240" w:lineRule="auto"/>
              <w:rPr>
                <w:rFonts w:eastAsia="Times New Roman" w:cs="Arial"/>
                <w:b/>
                <w:bCs/>
                <w:color w:val="000000"/>
                <w:sz w:val="18"/>
                <w:szCs w:val="18"/>
                <w:lang w:eastAsia="en-AU"/>
              </w:rPr>
            </w:pPr>
            <w:r w:rsidRPr="00C3650C">
              <w:rPr>
                <w:rFonts w:eastAsia="Times New Roman" w:cs="Arial"/>
                <w:b/>
                <w:bCs/>
                <w:color w:val="000000"/>
                <w:sz w:val="18"/>
                <w:szCs w:val="18"/>
                <w:lang w:eastAsia="en-AU"/>
              </w:rPr>
              <w:t xml:space="preserve"> $9,433,604 </w:t>
            </w:r>
          </w:p>
        </w:tc>
        <w:tc>
          <w:tcPr>
            <w:tcW w:w="1843" w:type="dxa"/>
            <w:gridSpan w:val="2"/>
            <w:shd w:val="clear" w:color="000000" w:fill="FFFFFF"/>
            <w:noWrap/>
            <w:vAlign w:val="bottom"/>
            <w:hideMark/>
          </w:tcPr>
          <w:p w14:paraId="79D05EB6" w14:textId="77777777" w:rsidR="00360FD6" w:rsidRPr="00C3650C" w:rsidRDefault="00360FD6" w:rsidP="00360FD6">
            <w:pPr>
              <w:spacing w:after="0" w:line="240" w:lineRule="auto"/>
              <w:rPr>
                <w:rFonts w:eastAsia="Times New Roman" w:cs="Arial"/>
                <w:color w:val="000000"/>
                <w:sz w:val="18"/>
                <w:szCs w:val="18"/>
                <w:lang w:eastAsia="en-AU"/>
              </w:rPr>
            </w:pPr>
            <w:r w:rsidRPr="00C3650C">
              <w:rPr>
                <w:rFonts w:eastAsia="Times New Roman" w:cs="Arial"/>
                <w:color w:val="000000"/>
                <w:sz w:val="18"/>
                <w:szCs w:val="18"/>
                <w:lang w:eastAsia="en-AU"/>
              </w:rPr>
              <w:t xml:space="preserve"> $2,358,401 </w:t>
            </w:r>
          </w:p>
        </w:tc>
      </w:tr>
      <w:tr w:rsidR="00360FD6" w:rsidRPr="00360FD6" w14:paraId="6492993A" w14:textId="77777777" w:rsidTr="003258AE">
        <w:trPr>
          <w:gridAfter w:val="3"/>
          <w:wAfter w:w="945" w:type="dxa"/>
          <w:trHeight w:val="276"/>
        </w:trPr>
        <w:tc>
          <w:tcPr>
            <w:tcW w:w="2396" w:type="dxa"/>
            <w:gridSpan w:val="2"/>
            <w:shd w:val="clear" w:color="000000" w:fill="FFFFFF"/>
            <w:noWrap/>
            <w:vAlign w:val="bottom"/>
            <w:hideMark/>
          </w:tcPr>
          <w:p w14:paraId="0B4463D3" w14:textId="77777777" w:rsidR="00360FD6" w:rsidRPr="00C3650C" w:rsidRDefault="00360FD6" w:rsidP="00360FD6">
            <w:pPr>
              <w:spacing w:after="0" w:line="240" w:lineRule="auto"/>
              <w:rPr>
                <w:rFonts w:eastAsia="Times New Roman" w:cs="Arial"/>
                <w:color w:val="000000"/>
                <w:sz w:val="18"/>
                <w:szCs w:val="18"/>
                <w:lang w:eastAsia="en-AU"/>
              </w:rPr>
            </w:pPr>
            <w:r w:rsidRPr="00C3650C">
              <w:rPr>
                <w:rFonts w:eastAsia="Times New Roman" w:cs="Arial"/>
                <w:color w:val="000000"/>
                <w:sz w:val="18"/>
                <w:szCs w:val="18"/>
                <w:lang w:eastAsia="en-AU"/>
              </w:rPr>
              <w:t>Practice efficiencies from VPR (saving)</w:t>
            </w:r>
          </w:p>
        </w:tc>
        <w:tc>
          <w:tcPr>
            <w:tcW w:w="1418" w:type="dxa"/>
            <w:shd w:val="clear" w:color="000000" w:fill="FFFFFF"/>
            <w:noWrap/>
            <w:vAlign w:val="bottom"/>
            <w:hideMark/>
          </w:tcPr>
          <w:p w14:paraId="59B642C2" w14:textId="77777777" w:rsidR="00360FD6" w:rsidRPr="00C3650C" w:rsidRDefault="00360FD6" w:rsidP="00360FD6">
            <w:pPr>
              <w:spacing w:after="0" w:line="240" w:lineRule="auto"/>
              <w:rPr>
                <w:rFonts w:eastAsia="Times New Roman" w:cs="Arial"/>
                <w:color w:val="000000"/>
                <w:sz w:val="18"/>
                <w:szCs w:val="18"/>
                <w:lang w:eastAsia="en-AU"/>
              </w:rPr>
            </w:pPr>
            <w:r w:rsidRPr="00C3650C">
              <w:rPr>
                <w:rFonts w:eastAsia="Times New Roman" w:cs="Arial"/>
                <w:color w:val="000000"/>
                <w:sz w:val="18"/>
                <w:szCs w:val="18"/>
                <w:lang w:eastAsia="en-AU"/>
              </w:rPr>
              <w:t xml:space="preserve">-$16,653,000 </w:t>
            </w:r>
          </w:p>
        </w:tc>
        <w:tc>
          <w:tcPr>
            <w:tcW w:w="1417" w:type="dxa"/>
            <w:shd w:val="clear" w:color="000000" w:fill="FFFFFF"/>
            <w:noWrap/>
            <w:vAlign w:val="bottom"/>
            <w:hideMark/>
          </w:tcPr>
          <w:p w14:paraId="402BF3A7" w14:textId="77777777" w:rsidR="00360FD6" w:rsidRPr="00C3650C" w:rsidRDefault="00360FD6" w:rsidP="00360FD6">
            <w:pPr>
              <w:spacing w:after="0" w:line="240" w:lineRule="auto"/>
              <w:rPr>
                <w:rFonts w:eastAsia="Times New Roman" w:cs="Arial"/>
                <w:color w:val="000000"/>
                <w:sz w:val="18"/>
                <w:szCs w:val="18"/>
                <w:lang w:eastAsia="en-AU"/>
              </w:rPr>
            </w:pPr>
            <w:r w:rsidRPr="00C3650C">
              <w:rPr>
                <w:rFonts w:eastAsia="Times New Roman" w:cs="Arial"/>
                <w:color w:val="000000"/>
                <w:sz w:val="18"/>
                <w:szCs w:val="18"/>
                <w:lang w:eastAsia="en-AU"/>
              </w:rPr>
              <w:t xml:space="preserve">-$23,790,000 </w:t>
            </w:r>
          </w:p>
        </w:tc>
        <w:tc>
          <w:tcPr>
            <w:tcW w:w="1394" w:type="dxa"/>
            <w:shd w:val="clear" w:color="000000" w:fill="FFFFFF"/>
            <w:noWrap/>
            <w:vAlign w:val="bottom"/>
            <w:hideMark/>
          </w:tcPr>
          <w:p w14:paraId="712F2C13" w14:textId="77777777" w:rsidR="00360FD6" w:rsidRPr="00C3650C" w:rsidRDefault="00360FD6" w:rsidP="00360FD6">
            <w:pPr>
              <w:spacing w:after="0" w:line="240" w:lineRule="auto"/>
              <w:rPr>
                <w:rFonts w:eastAsia="Times New Roman" w:cs="Arial"/>
                <w:color w:val="000000"/>
                <w:sz w:val="18"/>
                <w:szCs w:val="18"/>
                <w:lang w:eastAsia="en-AU"/>
              </w:rPr>
            </w:pPr>
            <w:r w:rsidRPr="00C3650C">
              <w:rPr>
                <w:rFonts w:eastAsia="Times New Roman" w:cs="Arial"/>
                <w:color w:val="000000"/>
                <w:sz w:val="18"/>
                <w:szCs w:val="18"/>
                <w:lang w:eastAsia="en-AU"/>
              </w:rPr>
              <w:t xml:space="preserve">-$4,758,000 </w:t>
            </w:r>
          </w:p>
        </w:tc>
        <w:tc>
          <w:tcPr>
            <w:tcW w:w="1410" w:type="dxa"/>
            <w:shd w:val="clear" w:color="000000" w:fill="FFFFFF"/>
            <w:noWrap/>
            <w:vAlign w:val="bottom"/>
            <w:hideMark/>
          </w:tcPr>
          <w:p w14:paraId="39BAD003" w14:textId="77777777" w:rsidR="00360FD6" w:rsidRPr="00C3650C" w:rsidRDefault="00360FD6" w:rsidP="00360FD6">
            <w:pPr>
              <w:spacing w:after="0" w:line="240" w:lineRule="auto"/>
              <w:rPr>
                <w:rFonts w:eastAsia="Times New Roman" w:cs="Arial"/>
                <w:color w:val="000000"/>
                <w:sz w:val="18"/>
                <w:szCs w:val="18"/>
                <w:lang w:eastAsia="en-AU"/>
              </w:rPr>
            </w:pPr>
            <w:r w:rsidRPr="00C3650C">
              <w:rPr>
                <w:rFonts w:eastAsia="Times New Roman" w:cs="Arial"/>
                <w:color w:val="000000"/>
                <w:sz w:val="18"/>
                <w:szCs w:val="18"/>
                <w:lang w:eastAsia="en-AU"/>
              </w:rPr>
              <w:t xml:space="preserve">-$4,758,000 </w:t>
            </w:r>
          </w:p>
        </w:tc>
        <w:tc>
          <w:tcPr>
            <w:tcW w:w="1417" w:type="dxa"/>
            <w:gridSpan w:val="2"/>
            <w:shd w:val="clear" w:color="000000" w:fill="FFFFFF"/>
            <w:noWrap/>
            <w:vAlign w:val="bottom"/>
            <w:hideMark/>
          </w:tcPr>
          <w:p w14:paraId="4ECAC759" w14:textId="77777777" w:rsidR="00360FD6" w:rsidRPr="00C3650C" w:rsidRDefault="00360FD6" w:rsidP="00360FD6">
            <w:pPr>
              <w:spacing w:after="0" w:line="240" w:lineRule="auto"/>
              <w:rPr>
                <w:rFonts w:eastAsia="Times New Roman" w:cs="Arial"/>
                <w:b/>
                <w:bCs/>
                <w:color w:val="000000"/>
                <w:sz w:val="18"/>
                <w:szCs w:val="18"/>
                <w:lang w:eastAsia="en-AU"/>
              </w:rPr>
            </w:pPr>
            <w:r w:rsidRPr="00C3650C">
              <w:rPr>
                <w:rFonts w:eastAsia="Times New Roman" w:cs="Arial"/>
                <w:b/>
                <w:bCs/>
                <w:color w:val="000000"/>
                <w:sz w:val="18"/>
                <w:szCs w:val="18"/>
                <w:lang w:eastAsia="en-AU"/>
              </w:rPr>
              <w:t xml:space="preserve">-$49,959,000 </w:t>
            </w:r>
          </w:p>
        </w:tc>
        <w:tc>
          <w:tcPr>
            <w:tcW w:w="1843" w:type="dxa"/>
            <w:gridSpan w:val="2"/>
            <w:shd w:val="clear" w:color="000000" w:fill="FFFFFF"/>
            <w:noWrap/>
            <w:vAlign w:val="bottom"/>
            <w:hideMark/>
          </w:tcPr>
          <w:p w14:paraId="544E8D61" w14:textId="77777777" w:rsidR="00360FD6" w:rsidRPr="00C3650C" w:rsidRDefault="00360FD6" w:rsidP="00360FD6">
            <w:pPr>
              <w:spacing w:after="0" w:line="240" w:lineRule="auto"/>
              <w:rPr>
                <w:rFonts w:eastAsia="Times New Roman" w:cs="Arial"/>
                <w:color w:val="000000"/>
                <w:sz w:val="18"/>
                <w:szCs w:val="18"/>
                <w:lang w:eastAsia="en-AU"/>
              </w:rPr>
            </w:pPr>
            <w:r w:rsidRPr="00C3650C">
              <w:rPr>
                <w:rFonts w:eastAsia="Times New Roman" w:cs="Arial"/>
                <w:color w:val="000000"/>
                <w:sz w:val="18"/>
                <w:szCs w:val="18"/>
                <w:lang w:eastAsia="en-AU"/>
              </w:rPr>
              <w:t xml:space="preserve">-$12,489,750 </w:t>
            </w:r>
          </w:p>
        </w:tc>
      </w:tr>
      <w:tr w:rsidR="00360FD6" w:rsidRPr="00360FD6" w14:paraId="679DDEEF" w14:textId="77777777" w:rsidTr="003258AE">
        <w:trPr>
          <w:gridAfter w:val="3"/>
          <w:wAfter w:w="945" w:type="dxa"/>
          <w:trHeight w:val="297"/>
        </w:trPr>
        <w:tc>
          <w:tcPr>
            <w:tcW w:w="2396" w:type="dxa"/>
            <w:gridSpan w:val="2"/>
            <w:shd w:val="clear" w:color="000000" w:fill="FFFFFF"/>
            <w:noWrap/>
            <w:vAlign w:val="bottom"/>
            <w:hideMark/>
          </w:tcPr>
          <w:p w14:paraId="670D41DA" w14:textId="77777777" w:rsidR="00360FD6" w:rsidRPr="00C3650C" w:rsidRDefault="00360FD6" w:rsidP="00360FD6">
            <w:pPr>
              <w:spacing w:after="0" w:line="240" w:lineRule="auto"/>
              <w:rPr>
                <w:rFonts w:eastAsia="Times New Roman" w:cs="Arial"/>
                <w:color w:val="000000"/>
                <w:sz w:val="18"/>
                <w:szCs w:val="18"/>
                <w:lang w:eastAsia="en-AU"/>
              </w:rPr>
            </w:pPr>
            <w:r w:rsidRPr="00C3650C">
              <w:rPr>
                <w:rFonts w:eastAsia="Times New Roman" w:cs="Arial"/>
                <w:color w:val="000000"/>
                <w:sz w:val="18"/>
                <w:szCs w:val="18"/>
                <w:lang w:eastAsia="en-AU"/>
              </w:rPr>
              <w:t>Practice Incentive (saving)</w:t>
            </w:r>
          </w:p>
        </w:tc>
        <w:tc>
          <w:tcPr>
            <w:tcW w:w="1418" w:type="dxa"/>
            <w:shd w:val="clear" w:color="000000" w:fill="FFFFFF"/>
            <w:noWrap/>
            <w:vAlign w:val="bottom"/>
            <w:hideMark/>
          </w:tcPr>
          <w:p w14:paraId="02A424BC" w14:textId="6FA31BE9" w:rsidR="00360FD6" w:rsidRPr="00C3650C" w:rsidRDefault="003258AE" w:rsidP="00360FD6">
            <w:pPr>
              <w:spacing w:after="0" w:line="240" w:lineRule="auto"/>
              <w:rPr>
                <w:rFonts w:eastAsia="Times New Roman" w:cs="Arial"/>
                <w:color w:val="000000"/>
                <w:sz w:val="18"/>
                <w:szCs w:val="18"/>
                <w:lang w:eastAsia="en-AU"/>
              </w:rPr>
            </w:pPr>
            <w:r>
              <w:rPr>
                <w:rFonts w:eastAsia="Times New Roman" w:cs="Arial"/>
                <w:color w:val="000000"/>
                <w:sz w:val="18"/>
                <w:szCs w:val="18"/>
                <w:lang w:eastAsia="en-AU"/>
              </w:rPr>
              <w:t xml:space="preserve"> $ </w:t>
            </w:r>
            <w:r w:rsidR="00360FD6" w:rsidRPr="00C3650C">
              <w:rPr>
                <w:rFonts w:eastAsia="Times New Roman" w:cs="Arial"/>
                <w:color w:val="000000"/>
                <w:sz w:val="18"/>
                <w:szCs w:val="18"/>
                <w:lang w:eastAsia="en-AU"/>
              </w:rPr>
              <w:t xml:space="preserve">  </w:t>
            </w:r>
          </w:p>
        </w:tc>
        <w:tc>
          <w:tcPr>
            <w:tcW w:w="1417" w:type="dxa"/>
            <w:shd w:val="clear" w:color="000000" w:fill="FFFFFF"/>
            <w:noWrap/>
            <w:vAlign w:val="bottom"/>
            <w:hideMark/>
          </w:tcPr>
          <w:p w14:paraId="6E220048" w14:textId="77777777" w:rsidR="00360FD6" w:rsidRPr="00C3650C" w:rsidRDefault="00360FD6" w:rsidP="00360FD6">
            <w:pPr>
              <w:spacing w:after="0" w:line="240" w:lineRule="auto"/>
              <w:rPr>
                <w:rFonts w:eastAsia="Times New Roman" w:cs="Arial"/>
                <w:color w:val="000000"/>
                <w:sz w:val="18"/>
                <w:szCs w:val="18"/>
                <w:lang w:eastAsia="en-AU"/>
              </w:rPr>
            </w:pPr>
            <w:r w:rsidRPr="00C3650C">
              <w:rPr>
                <w:rFonts w:eastAsia="Times New Roman" w:cs="Arial"/>
                <w:color w:val="000000"/>
                <w:sz w:val="18"/>
                <w:szCs w:val="18"/>
                <w:lang w:eastAsia="en-AU"/>
              </w:rPr>
              <w:t xml:space="preserve">-$23,937,485 </w:t>
            </w:r>
          </w:p>
        </w:tc>
        <w:tc>
          <w:tcPr>
            <w:tcW w:w="1394" w:type="dxa"/>
            <w:shd w:val="clear" w:color="000000" w:fill="FFFFFF"/>
            <w:noWrap/>
            <w:vAlign w:val="bottom"/>
            <w:hideMark/>
          </w:tcPr>
          <w:p w14:paraId="2971CF02" w14:textId="77777777" w:rsidR="00360FD6" w:rsidRPr="00C3650C" w:rsidRDefault="00360FD6" w:rsidP="00360FD6">
            <w:pPr>
              <w:spacing w:after="0" w:line="240" w:lineRule="auto"/>
              <w:rPr>
                <w:rFonts w:eastAsia="Times New Roman" w:cs="Arial"/>
                <w:color w:val="000000"/>
                <w:sz w:val="18"/>
                <w:szCs w:val="18"/>
                <w:lang w:eastAsia="en-AU"/>
              </w:rPr>
            </w:pPr>
            <w:r w:rsidRPr="00C3650C">
              <w:rPr>
                <w:rFonts w:eastAsia="Times New Roman" w:cs="Arial"/>
                <w:color w:val="000000"/>
                <w:sz w:val="18"/>
                <w:szCs w:val="18"/>
                <w:lang w:eastAsia="en-AU"/>
              </w:rPr>
              <w:t xml:space="preserve">-$35,536,765 </w:t>
            </w:r>
          </w:p>
        </w:tc>
        <w:tc>
          <w:tcPr>
            <w:tcW w:w="1410" w:type="dxa"/>
            <w:shd w:val="clear" w:color="000000" w:fill="FFFFFF"/>
            <w:noWrap/>
            <w:vAlign w:val="bottom"/>
            <w:hideMark/>
          </w:tcPr>
          <w:p w14:paraId="0E1F4C15" w14:textId="77777777" w:rsidR="00360FD6" w:rsidRPr="00C3650C" w:rsidRDefault="00360FD6" w:rsidP="00360FD6">
            <w:pPr>
              <w:spacing w:after="0" w:line="240" w:lineRule="auto"/>
              <w:rPr>
                <w:rFonts w:eastAsia="Times New Roman" w:cs="Arial"/>
                <w:color w:val="000000"/>
                <w:sz w:val="18"/>
                <w:szCs w:val="18"/>
                <w:lang w:eastAsia="en-AU"/>
              </w:rPr>
            </w:pPr>
            <w:r w:rsidRPr="00C3650C">
              <w:rPr>
                <w:rFonts w:eastAsia="Times New Roman" w:cs="Arial"/>
                <w:color w:val="000000"/>
                <w:sz w:val="18"/>
                <w:szCs w:val="18"/>
                <w:lang w:eastAsia="en-AU"/>
              </w:rPr>
              <w:t xml:space="preserve">-$45,210,611 </w:t>
            </w:r>
          </w:p>
        </w:tc>
        <w:tc>
          <w:tcPr>
            <w:tcW w:w="1417" w:type="dxa"/>
            <w:gridSpan w:val="2"/>
            <w:shd w:val="clear" w:color="000000" w:fill="FFFFFF"/>
            <w:noWrap/>
            <w:vAlign w:val="bottom"/>
            <w:hideMark/>
          </w:tcPr>
          <w:p w14:paraId="61B678A0" w14:textId="77777777" w:rsidR="00360FD6" w:rsidRPr="00C3650C" w:rsidRDefault="00360FD6" w:rsidP="00360FD6">
            <w:pPr>
              <w:spacing w:after="0" w:line="240" w:lineRule="auto"/>
              <w:rPr>
                <w:rFonts w:eastAsia="Times New Roman" w:cs="Arial"/>
                <w:b/>
                <w:bCs/>
                <w:color w:val="000000"/>
                <w:sz w:val="18"/>
                <w:szCs w:val="18"/>
                <w:lang w:eastAsia="en-AU"/>
              </w:rPr>
            </w:pPr>
            <w:r w:rsidRPr="00C3650C">
              <w:rPr>
                <w:rFonts w:eastAsia="Times New Roman" w:cs="Arial"/>
                <w:b/>
                <w:bCs/>
                <w:color w:val="000000"/>
                <w:sz w:val="18"/>
                <w:szCs w:val="18"/>
                <w:lang w:eastAsia="en-AU"/>
              </w:rPr>
              <w:t xml:space="preserve">-$104,684,861 </w:t>
            </w:r>
          </w:p>
        </w:tc>
        <w:tc>
          <w:tcPr>
            <w:tcW w:w="1843" w:type="dxa"/>
            <w:gridSpan w:val="2"/>
            <w:shd w:val="clear" w:color="000000" w:fill="FFFFFF"/>
            <w:noWrap/>
            <w:vAlign w:val="bottom"/>
            <w:hideMark/>
          </w:tcPr>
          <w:p w14:paraId="303E7867" w14:textId="77777777" w:rsidR="00360FD6" w:rsidRPr="00C3650C" w:rsidRDefault="00360FD6" w:rsidP="00360FD6">
            <w:pPr>
              <w:spacing w:after="0" w:line="240" w:lineRule="auto"/>
              <w:rPr>
                <w:rFonts w:eastAsia="Times New Roman" w:cs="Arial"/>
                <w:color w:val="000000"/>
                <w:sz w:val="18"/>
                <w:szCs w:val="18"/>
                <w:lang w:eastAsia="en-AU"/>
              </w:rPr>
            </w:pPr>
            <w:r w:rsidRPr="00C3650C">
              <w:rPr>
                <w:rFonts w:eastAsia="Times New Roman" w:cs="Arial"/>
                <w:color w:val="000000"/>
                <w:sz w:val="18"/>
                <w:szCs w:val="18"/>
                <w:lang w:eastAsia="en-AU"/>
              </w:rPr>
              <w:t xml:space="preserve">-$26,171,215 </w:t>
            </w:r>
          </w:p>
        </w:tc>
      </w:tr>
      <w:tr w:rsidR="00360FD6" w:rsidRPr="00360FD6" w14:paraId="29174B33" w14:textId="77777777" w:rsidTr="003258AE">
        <w:trPr>
          <w:gridAfter w:val="3"/>
          <w:wAfter w:w="945" w:type="dxa"/>
          <w:trHeight w:val="297"/>
        </w:trPr>
        <w:tc>
          <w:tcPr>
            <w:tcW w:w="2396" w:type="dxa"/>
            <w:gridSpan w:val="2"/>
            <w:shd w:val="clear" w:color="000000" w:fill="FFFFFF"/>
            <w:noWrap/>
            <w:vAlign w:val="bottom"/>
            <w:hideMark/>
          </w:tcPr>
          <w:p w14:paraId="2E7E56A9" w14:textId="77777777" w:rsidR="00360FD6" w:rsidRPr="00C3650C" w:rsidRDefault="00360FD6" w:rsidP="00360FD6">
            <w:pPr>
              <w:spacing w:after="0" w:line="240" w:lineRule="auto"/>
              <w:rPr>
                <w:rFonts w:eastAsia="Times New Roman" w:cs="Arial"/>
                <w:b/>
                <w:bCs/>
                <w:color w:val="000000"/>
                <w:sz w:val="18"/>
                <w:szCs w:val="18"/>
                <w:lang w:eastAsia="en-AU"/>
              </w:rPr>
            </w:pPr>
            <w:r w:rsidRPr="00C3650C">
              <w:rPr>
                <w:rFonts w:eastAsia="Times New Roman" w:cs="Arial"/>
                <w:b/>
                <w:bCs/>
                <w:color w:val="000000"/>
                <w:sz w:val="18"/>
                <w:szCs w:val="18"/>
                <w:lang w:eastAsia="en-AU"/>
              </w:rPr>
              <w:t xml:space="preserve">TOTAL </w:t>
            </w:r>
          </w:p>
        </w:tc>
        <w:tc>
          <w:tcPr>
            <w:tcW w:w="1418" w:type="dxa"/>
            <w:shd w:val="clear" w:color="000000" w:fill="FFFFFF"/>
            <w:noWrap/>
            <w:vAlign w:val="bottom"/>
            <w:hideMark/>
          </w:tcPr>
          <w:p w14:paraId="3FCF5115" w14:textId="77777777" w:rsidR="00360FD6" w:rsidRPr="00C3650C" w:rsidRDefault="00360FD6" w:rsidP="00360FD6">
            <w:pPr>
              <w:spacing w:after="0" w:line="240" w:lineRule="auto"/>
              <w:rPr>
                <w:rFonts w:eastAsia="Times New Roman" w:cs="Arial"/>
                <w:b/>
                <w:bCs/>
                <w:color w:val="000000"/>
                <w:sz w:val="18"/>
                <w:szCs w:val="18"/>
                <w:lang w:eastAsia="en-AU"/>
              </w:rPr>
            </w:pPr>
            <w:r w:rsidRPr="00C3650C">
              <w:rPr>
                <w:rFonts w:eastAsia="Times New Roman" w:cs="Arial"/>
                <w:b/>
                <w:bCs/>
                <w:color w:val="000000"/>
                <w:sz w:val="18"/>
                <w:szCs w:val="18"/>
                <w:lang w:eastAsia="en-AU"/>
              </w:rPr>
              <w:t xml:space="preserve"> $9,281,913 </w:t>
            </w:r>
          </w:p>
        </w:tc>
        <w:tc>
          <w:tcPr>
            <w:tcW w:w="1417" w:type="dxa"/>
            <w:shd w:val="clear" w:color="000000" w:fill="FFFFFF"/>
            <w:noWrap/>
            <w:vAlign w:val="bottom"/>
            <w:hideMark/>
          </w:tcPr>
          <w:p w14:paraId="0F667B9B" w14:textId="77777777" w:rsidR="00360FD6" w:rsidRPr="00C3650C" w:rsidRDefault="00360FD6" w:rsidP="00360FD6">
            <w:pPr>
              <w:spacing w:after="0" w:line="240" w:lineRule="auto"/>
              <w:rPr>
                <w:rFonts w:eastAsia="Times New Roman" w:cs="Arial"/>
                <w:b/>
                <w:bCs/>
                <w:color w:val="000000"/>
                <w:sz w:val="18"/>
                <w:szCs w:val="18"/>
                <w:lang w:eastAsia="en-AU"/>
              </w:rPr>
            </w:pPr>
            <w:r w:rsidRPr="00C3650C">
              <w:rPr>
                <w:rFonts w:eastAsia="Times New Roman" w:cs="Arial"/>
                <w:b/>
                <w:bCs/>
                <w:color w:val="000000"/>
                <w:sz w:val="18"/>
                <w:szCs w:val="18"/>
                <w:lang w:eastAsia="en-AU"/>
              </w:rPr>
              <w:t xml:space="preserve">-$21,382,754 </w:t>
            </w:r>
          </w:p>
        </w:tc>
        <w:tc>
          <w:tcPr>
            <w:tcW w:w="1394" w:type="dxa"/>
            <w:shd w:val="clear" w:color="000000" w:fill="FFFFFF"/>
            <w:noWrap/>
            <w:vAlign w:val="bottom"/>
            <w:hideMark/>
          </w:tcPr>
          <w:p w14:paraId="69A0AF24" w14:textId="77777777" w:rsidR="00360FD6" w:rsidRPr="00C3650C" w:rsidRDefault="00360FD6" w:rsidP="00360FD6">
            <w:pPr>
              <w:spacing w:after="0" w:line="240" w:lineRule="auto"/>
              <w:rPr>
                <w:rFonts w:eastAsia="Times New Roman" w:cs="Arial"/>
                <w:b/>
                <w:bCs/>
                <w:color w:val="000000"/>
                <w:sz w:val="18"/>
                <w:szCs w:val="18"/>
                <w:lang w:eastAsia="en-AU"/>
              </w:rPr>
            </w:pPr>
            <w:r w:rsidRPr="00C3650C">
              <w:rPr>
                <w:rFonts w:eastAsia="Times New Roman" w:cs="Arial"/>
                <w:b/>
                <w:bCs/>
                <w:color w:val="000000"/>
                <w:sz w:val="18"/>
                <w:szCs w:val="18"/>
                <w:lang w:eastAsia="en-AU"/>
              </w:rPr>
              <w:t xml:space="preserve">-$33,765,540 </w:t>
            </w:r>
          </w:p>
        </w:tc>
        <w:tc>
          <w:tcPr>
            <w:tcW w:w="1410" w:type="dxa"/>
            <w:shd w:val="clear" w:color="000000" w:fill="FFFFFF"/>
            <w:noWrap/>
            <w:vAlign w:val="bottom"/>
            <w:hideMark/>
          </w:tcPr>
          <w:p w14:paraId="546BDD01" w14:textId="77777777" w:rsidR="00360FD6" w:rsidRPr="00C3650C" w:rsidRDefault="00360FD6" w:rsidP="00360FD6">
            <w:pPr>
              <w:spacing w:after="0" w:line="240" w:lineRule="auto"/>
              <w:rPr>
                <w:rFonts w:eastAsia="Times New Roman" w:cs="Arial"/>
                <w:b/>
                <w:bCs/>
                <w:color w:val="000000"/>
                <w:sz w:val="18"/>
                <w:szCs w:val="18"/>
                <w:lang w:eastAsia="en-AU"/>
              </w:rPr>
            </w:pPr>
            <w:r w:rsidRPr="00C3650C">
              <w:rPr>
                <w:rFonts w:eastAsia="Times New Roman" w:cs="Arial"/>
                <w:b/>
                <w:bCs/>
                <w:color w:val="000000"/>
                <w:sz w:val="18"/>
                <w:szCs w:val="18"/>
                <w:lang w:eastAsia="en-AU"/>
              </w:rPr>
              <w:t xml:space="preserve">-$45,809,642 </w:t>
            </w:r>
          </w:p>
        </w:tc>
        <w:tc>
          <w:tcPr>
            <w:tcW w:w="1417" w:type="dxa"/>
            <w:gridSpan w:val="2"/>
            <w:shd w:val="clear" w:color="000000" w:fill="FFFFFF"/>
            <w:noWrap/>
            <w:vAlign w:val="bottom"/>
            <w:hideMark/>
          </w:tcPr>
          <w:p w14:paraId="490A62E7" w14:textId="77777777" w:rsidR="00360FD6" w:rsidRPr="00C3650C" w:rsidRDefault="00360FD6" w:rsidP="00360FD6">
            <w:pPr>
              <w:spacing w:after="0" w:line="240" w:lineRule="auto"/>
              <w:rPr>
                <w:rFonts w:eastAsia="Times New Roman" w:cs="Arial"/>
                <w:b/>
                <w:bCs/>
                <w:color w:val="000000"/>
                <w:sz w:val="18"/>
                <w:szCs w:val="18"/>
                <w:lang w:eastAsia="en-AU"/>
              </w:rPr>
            </w:pPr>
            <w:r w:rsidRPr="00C3650C">
              <w:rPr>
                <w:rFonts w:eastAsia="Times New Roman" w:cs="Arial"/>
                <w:b/>
                <w:bCs/>
                <w:color w:val="000000"/>
                <w:sz w:val="18"/>
                <w:szCs w:val="18"/>
                <w:lang w:eastAsia="en-AU"/>
              </w:rPr>
              <w:t xml:space="preserve">-$91,676,024 </w:t>
            </w:r>
          </w:p>
        </w:tc>
        <w:tc>
          <w:tcPr>
            <w:tcW w:w="1843" w:type="dxa"/>
            <w:gridSpan w:val="2"/>
            <w:shd w:val="clear" w:color="000000" w:fill="FFFFFF"/>
            <w:noWrap/>
            <w:vAlign w:val="bottom"/>
            <w:hideMark/>
          </w:tcPr>
          <w:p w14:paraId="2E811535" w14:textId="77777777" w:rsidR="00360FD6" w:rsidRPr="00C3650C" w:rsidRDefault="00360FD6" w:rsidP="00360FD6">
            <w:pPr>
              <w:spacing w:after="0" w:line="240" w:lineRule="auto"/>
              <w:rPr>
                <w:rFonts w:eastAsia="Times New Roman" w:cs="Arial"/>
                <w:b/>
                <w:bCs/>
                <w:color w:val="000000"/>
                <w:sz w:val="18"/>
                <w:szCs w:val="18"/>
                <w:lang w:eastAsia="en-AU"/>
              </w:rPr>
            </w:pPr>
            <w:r w:rsidRPr="00C3650C">
              <w:rPr>
                <w:rFonts w:eastAsia="Times New Roman" w:cs="Arial"/>
                <w:b/>
                <w:bCs/>
                <w:color w:val="000000"/>
                <w:sz w:val="18"/>
                <w:szCs w:val="18"/>
                <w:lang w:eastAsia="en-AU"/>
              </w:rPr>
              <w:t xml:space="preserve">-$22,919,006 </w:t>
            </w:r>
          </w:p>
        </w:tc>
      </w:tr>
    </w:tbl>
    <w:tbl>
      <w:tblPr>
        <w:tblpPr w:leftFromText="180" w:rightFromText="180" w:vertAnchor="page" w:horzAnchor="margin" w:tblpXSpec="center" w:tblpY="1546"/>
        <w:tblW w:w="11340" w:type="dxa"/>
        <w:tblLayout w:type="fixed"/>
        <w:tblLook w:val="04A0" w:firstRow="1" w:lastRow="0" w:firstColumn="1" w:lastColumn="0" w:noHBand="0" w:noVBand="1"/>
      </w:tblPr>
      <w:tblGrid>
        <w:gridCol w:w="1276"/>
        <w:gridCol w:w="4394"/>
        <w:gridCol w:w="1276"/>
        <w:gridCol w:w="1418"/>
        <w:gridCol w:w="1134"/>
        <w:gridCol w:w="1842"/>
      </w:tblGrid>
      <w:tr w:rsidR="00C3650C" w:rsidRPr="00BE6AA8" w14:paraId="5426654C" w14:textId="77777777" w:rsidTr="00C3650C">
        <w:trPr>
          <w:trHeight w:val="290"/>
        </w:trPr>
        <w:tc>
          <w:tcPr>
            <w:tcW w:w="1276" w:type="dxa"/>
            <w:tcBorders>
              <w:top w:val="single" w:sz="4" w:space="0" w:color="auto"/>
              <w:left w:val="nil"/>
              <w:bottom w:val="single" w:sz="4" w:space="0" w:color="auto"/>
              <w:right w:val="nil"/>
            </w:tcBorders>
            <w:shd w:val="clear" w:color="000000" w:fill="FFFFFF"/>
            <w:noWrap/>
            <w:vAlign w:val="bottom"/>
            <w:hideMark/>
          </w:tcPr>
          <w:p w14:paraId="02F855AF" w14:textId="77777777" w:rsidR="00C3650C" w:rsidRPr="00560702" w:rsidRDefault="00C3650C" w:rsidP="00C3650C">
            <w:pPr>
              <w:spacing w:after="0" w:line="240" w:lineRule="auto"/>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 </w:t>
            </w:r>
          </w:p>
        </w:tc>
        <w:tc>
          <w:tcPr>
            <w:tcW w:w="4394" w:type="dxa"/>
            <w:tcBorders>
              <w:top w:val="single" w:sz="4" w:space="0" w:color="auto"/>
              <w:left w:val="nil"/>
              <w:bottom w:val="single" w:sz="4" w:space="0" w:color="auto"/>
              <w:right w:val="nil"/>
            </w:tcBorders>
            <w:shd w:val="clear" w:color="000000" w:fill="FFFFFF"/>
            <w:noWrap/>
            <w:vAlign w:val="bottom"/>
            <w:hideMark/>
          </w:tcPr>
          <w:p w14:paraId="0BFBD253" w14:textId="77777777" w:rsidR="00C3650C" w:rsidRPr="00560702" w:rsidRDefault="00C3650C" w:rsidP="00C3650C">
            <w:pPr>
              <w:spacing w:after="0" w:line="240" w:lineRule="auto"/>
              <w:rPr>
                <w:rFonts w:ascii="Calibri" w:eastAsia="Times New Roman" w:hAnsi="Calibri" w:cs="Times New Roman"/>
                <w:b/>
                <w:bCs/>
                <w:color w:val="000000"/>
                <w:sz w:val="18"/>
                <w:szCs w:val="18"/>
                <w:lang w:eastAsia="en-AU"/>
              </w:rPr>
            </w:pPr>
            <w:r w:rsidRPr="00560702">
              <w:rPr>
                <w:rFonts w:ascii="Calibri" w:eastAsia="Times New Roman" w:hAnsi="Calibri" w:cs="Times New Roman"/>
                <w:b/>
                <w:bCs/>
                <w:color w:val="000000"/>
                <w:sz w:val="18"/>
                <w:szCs w:val="18"/>
                <w:lang w:eastAsia="en-AU"/>
              </w:rPr>
              <w:t>Implementation year</w:t>
            </w:r>
          </w:p>
        </w:tc>
        <w:tc>
          <w:tcPr>
            <w:tcW w:w="1276" w:type="dxa"/>
            <w:tcBorders>
              <w:top w:val="single" w:sz="4" w:space="0" w:color="auto"/>
              <w:left w:val="nil"/>
              <w:bottom w:val="single" w:sz="4" w:space="0" w:color="auto"/>
              <w:right w:val="nil"/>
            </w:tcBorders>
            <w:shd w:val="clear" w:color="000000" w:fill="FFFFFF"/>
            <w:noWrap/>
            <w:vAlign w:val="bottom"/>
            <w:hideMark/>
          </w:tcPr>
          <w:p w14:paraId="56C07306" w14:textId="77777777" w:rsidR="00C3650C" w:rsidRPr="00560702" w:rsidRDefault="00C3650C" w:rsidP="00C3650C">
            <w:pPr>
              <w:spacing w:after="0" w:line="240" w:lineRule="auto"/>
              <w:jc w:val="center"/>
              <w:rPr>
                <w:rFonts w:ascii="Calibri" w:eastAsia="Times New Roman" w:hAnsi="Calibri" w:cs="Times New Roman"/>
                <w:b/>
                <w:bCs/>
                <w:color w:val="000000"/>
                <w:sz w:val="18"/>
                <w:szCs w:val="18"/>
                <w:lang w:eastAsia="en-AU"/>
              </w:rPr>
            </w:pPr>
            <w:r w:rsidRPr="00560702">
              <w:rPr>
                <w:rFonts w:ascii="Calibri" w:eastAsia="Times New Roman" w:hAnsi="Calibri" w:cs="Times New Roman"/>
                <w:b/>
                <w:bCs/>
                <w:color w:val="000000"/>
                <w:sz w:val="18"/>
                <w:szCs w:val="18"/>
                <w:lang w:eastAsia="en-AU"/>
              </w:rPr>
              <w:t>1</w:t>
            </w:r>
          </w:p>
        </w:tc>
        <w:tc>
          <w:tcPr>
            <w:tcW w:w="1418" w:type="dxa"/>
            <w:tcBorders>
              <w:top w:val="single" w:sz="4" w:space="0" w:color="auto"/>
              <w:left w:val="nil"/>
              <w:bottom w:val="single" w:sz="4" w:space="0" w:color="auto"/>
              <w:right w:val="nil"/>
            </w:tcBorders>
            <w:shd w:val="clear" w:color="000000" w:fill="FFFFFF"/>
            <w:noWrap/>
            <w:vAlign w:val="bottom"/>
            <w:hideMark/>
          </w:tcPr>
          <w:p w14:paraId="300998D8" w14:textId="77777777" w:rsidR="00C3650C" w:rsidRPr="00560702" w:rsidRDefault="00C3650C" w:rsidP="00C3650C">
            <w:pPr>
              <w:spacing w:after="0" w:line="240" w:lineRule="auto"/>
              <w:jc w:val="center"/>
              <w:rPr>
                <w:rFonts w:ascii="Calibri" w:eastAsia="Times New Roman" w:hAnsi="Calibri" w:cs="Times New Roman"/>
                <w:b/>
                <w:bCs/>
                <w:color w:val="000000"/>
                <w:sz w:val="18"/>
                <w:szCs w:val="18"/>
                <w:lang w:eastAsia="en-AU"/>
              </w:rPr>
            </w:pPr>
            <w:r w:rsidRPr="00560702">
              <w:rPr>
                <w:rFonts w:ascii="Calibri" w:eastAsia="Times New Roman" w:hAnsi="Calibri" w:cs="Times New Roman"/>
                <w:b/>
                <w:bCs/>
                <w:color w:val="000000"/>
                <w:sz w:val="18"/>
                <w:szCs w:val="18"/>
                <w:lang w:eastAsia="en-AU"/>
              </w:rPr>
              <w:t>2</w:t>
            </w:r>
          </w:p>
        </w:tc>
        <w:tc>
          <w:tcPr>
            <w:tcW w:w="1134" w:type="dxa"/>
            <w:tcBorders>
              <w:top w:val="single" w:sz="4" w:space="0" w:color="auto"/>
              <w:left w:val="nil"/>
              <w:bottom w:val="single" w:sz="4" w:space="0" w:color="auto"/>
              <w:right w:val="nil"/>
            </w:tcBorders>
            <w:shd w:val="clear" w:color="000000" w:fill="FFFFFF"/>
            <w:noWrap/>
            <w:vAlign w:val="bottom"/>
            <w:hideMark/>
          </w:tcPr>
          <w:p w14:paraId="7B3961B2" w14:textId="77777777" w:rsidR="00C3650C" w:rsidRPr="00560702" w:rsidRDefault="00C3650C" w:rsidP="00C3650C">
            <w:pPr>
              <w:spacing w:after="0" w:line="240" w:lineRule="auto"/>
              <w:jc w:val="center"/>
              <w:rPr>
                <w:rFonts w:ascii="Calibri" w:eastAsia="Times New Roman" w:hAnsi="Calibri" w:cs="Times New Roman"/>
                <w:b/>
                <w:bCs/>
                <w:color w:val="000000"/>
                <w:sz w:val="18"/>
                <w:szCs w:val="18"/>
                <w:lang w:eastAsia="en-AU"/>
              </w:rPr>
            </w:pPr>
            <w:r w:rsidRPr="00560702">
              <w:rPr>
                <w:rFonts w:ascii="Calibri" w:eastAsia="Times New Roman" w:hAnsi="Calibri" w:cs="Times New Roman"/>
                <w:b/>
                <w:bCs/>
                <w:color w:val="000000"/>
                <w:sz w:val="18"/>
                <w:szCs w:val="18"/>
                <w:lang w:eastAsia="en-AU"/>
              </w:rPr>
              <w:t>3</w:t>
            </w:r>
          </w:p>
        </w:tc>
        <w:tc>
          <w:tcPr>
            <w:tcW w:w="1842" w:type="dxa"/>
            <w:tcBorders>
              <w:top w:val="single" w:sz="4" w:space="0" w:color="auto"/>
              <w:left w:val="nil"/>
              <w:bottom w:val="single" w:sz="4" w:space="0" w:color="auto"/>
              <w:right w:val="nil"/>
            </w:tcBorders>
            <w:shd w:val="clear" w:color="000000" w:fill="FFFFFF"/>
            <w:noWrap/>
            <w:vAlign w:val="bottom"/>
            <w:hideMark/>
          </w:tcPr>
          <w:p w14:paraId="6365D196" w14:textId="77777777" w:rsidR="00C3650C" w:rsidRPr="00560702" w:rsidRDefault="00C3650C" w:rsidP="00C3650C">
            <w:pPr>
              <w:spacing w:after="0" w:line="240" w:lineRule="auto"/>
              <w:jc w:val="center"/>
              <w:rPr>
                <w:rFonts w:ascii="Calibri" w:eastAsia="Times New Roman" w:hAnsi="Calibri" w:cs="Times New Roman"/>
                <w:b/>
                <w:bCs/>
                <w:color w:val="000000"/>
                <w:sz w:val="18"/>
                <w:szCs w:val="18"/>
                <w:lang w:eastAsia="en-AU"/>
              </w:rPr>
            </w:pPr>
            <w:r w:rsidRPr="00560702">
              <w:rPr>
                <w:rFonts w:ascii="Calibri" w:eastAsia="Times New Roman" w:hAnsi="Calibri" w:cs="Times New Roman"/>
                <w:b/>
                <w:bCs/>
                <w:color w:val="000000"/>
                <w:sz w:val="18"/>
                <w:szCs w:val="18"/>
                <w:lang w:eastAsia="en-AU"/>
              </w:rPr>
              <w:t>4</w:t>
            </w:r>
          </w:p>
        </w:tc>
      </w:tr>
      <w:tr w:rsidR="00C3650C" w:rsidRPr="00BE6AA8" w14:paraId="1426BF36" w14:textId="77777777" w:rsidTr="00C3650C">
        <w:trPr>
          <w:trHeight w:val="345"/>
        </w:trPr>
        <w:tc>
          <w:tcPr>
            <w:tcW w:w="1276" w:type="dxa"/>
            <w:tcBorders>
              <w:top w:val="nil"/>
              <w:left w:val="nil"/>
              <w:bottom w:val="single" w:sz="4" w:space="0" w:color="auto"/>
              <w:right w:val="nil"/>
            </w:tcBorders>
            <w:shd w:val="clear" w:color="000000" w:fill="44546A"/>
            <w:noWrap/>
            <w:vAlign w:val="bottom"/>
            <w:hideMark/>
          </w:tcPr>
          <w:p w14:paraId="6008ED79" w14:textId="77777777" w:rsidR="00C3650C" w:rsidRPr="00560702" w:rsidRDefault="00C3650C" w:rsidP="00C3650C">
            <w:pPr>
              <w:spacing w:after="0" w:line="240" w:lineRule="auto"/>
              <w:rPr>
                <w:rFonts w:ascii="Calibri" w:eastAsia="Times New Roman" w:hAnsi="Calibri" w:cs="Times New Roman"/>
                <w:b/>
                <w:bCs/>
                <w:color w:val="FFFFFF"/>
                <w:sz w:val="18"/>
                <w:szCs w:val="18"/>
                <w:lang w:eastAsia="en-AU"/>
              </w:rPr>
            </w:pPr>
            <w:r w:rsidRPr="00560702">
              <w:rPr>
                <w:rFonts w:ascii="Calibri" w:eastAsia="Times New Roman" w:hAnsi="Calibri" w:cs="Times New Roman"/>
                <w:b/>
                <w:bCs/>
                <w:color w:val="FFFFFF"/>
                <w:sz w:val="18"/>
                <w:szCs w:val="18"/>
                <w:lang w:eastAsia="en-AU"/>
              </w:rPr>
              <w:t>Summary Impact Components</w:t>
            </w:r>
          </w:p>
        </w:tc>
        <w:tc>
          <w:tcPr>
            <w:tcW w:w="4394" w:type="dxa"/>
            <w:tcBorders>
              <w:top w:val="nil"/>
              <w:left w:val="nil"/>
              <w:bottom w:val="nil"/>
              <w:right w:val="nil"/>
            </w:tcBorders>
            <w:shd w:val="clear" w:color="000000" w:fill="44546A"/>
            <w:noWrap/>
            <w:vAlign w:val="bottom"/>
            <w:hideMark/>
          </w:tcPr>
          <w:p w14:paraId="518B2521" w14:textId="77777777" w:rsidR="00C3650C" w:rsidRPr="00560702" w:rsidRDefault="00C3650C" w:rsidP="00C3650C">
            <w:pPr>
              <w:spacing w:after="0" w:line="240" w:lineRule="auto"/>
              <w:rPr>
                <w:rFonts w:ascii="Calibri" w:eastAsia="Times New Roman" w:hAnsi="Calibri" w:cs="Times New Roman"/>
                <w:b/>
                <w:bCs/>
                <w:color w:val="FFFFFF"/>
                <w:sz w:val="18"/>
                <w:szCs w:val="18"/>
                <w:lang w:eastAsia="en-AU"/>
              </w:rPr>
            </w:pPr>
            <w:r w:rsidRPr="00560702">
              <w:rPr>
                <w:rFonts w:ascii="Calibri" w:eastAsia="Times New Roman" w:hAnsi="Calibri" w:cs="Times New Roman"/>
                <w:b/>
                <w:bCs/>
                <w:color w:val="FFFFFF"/>
                <w:sz w:val="18"/>
                <w:szCs w:val="18"/>
                <w:lang w:eastAsia="en-AU"/>
              </w:rPr>
              <w:t> </w:t>
            </w:r>
          </w:p>
        </w:tc>
        <w:tc>
          <w:tcPr>
            <w:tcW w:w="1276" w:type="dxa"/>
            <w:tcBorders>
              <w:top w:val="nil"/>
              <w:left w:val="nil"/>
              <w:bottom w:val="nil"/>
              <w:right w:val="nil"/>
            </w:tcBorders>
            <w:shd w:val="clear" w:color="000000" w:fill="44546A"/>
            <w:noWrap/>
            <w:vAlign w:val="bottom"/>
            <w:hideMark/>
          </w:tcPr>
          <w:p w14:paraId="621C4B96" w14:textId="77777777" w:rsidR="00C3650C" w:rsidRPr="00560702" w:rsidRDefault="00C3650C" w:rsidP="00C3650C">
            <w:pPr>
              <w:spacing w:after="0" w:line="240" w:lineRule="auto"/>
              <w:rPr>
                <w:rFonts w:ascii="Calibri" w:eastAsia="Times New Roman" w:hAnsi="Calibri" w:cs="Times New Roman"/>
                <w:b/>
                <w:bCs/>
                <w:color w:val="FFFFFF"/>
                <w:sz w:val="18"/>
                <w:szCs w:val="18"/>
                <w:lang w:eastAsia="en-AU"/>
              </w:rPr>
            </w:pPr>
            <w:r w:rsidRPr="00560702">
              <w:rPr>
                <w:rFonts w:ascii="Calibri" w:eastAsia="Times New Roman" w:hAnsi="Calibri" w:cs="Times New Roman"/>
                <w:b/>
                <w:bCs/>
                <w:color w:val="FFFFFF"/>
                <w:sz w:val="18"/>
                <w:szCs w:val="18"/>
                <w:lang w:eastAsia="en-AU"/>
              </w:rPr>
              <w:t> </w:t>
            </w:r>
          </w:p>
        </w:tc>
        <w:tc>
          <w:tcPr>
            <w:tcW w:w="1418" w:type="dxa"/>
            <w:tcBorders>
              <w:top w:val="nil"/>
              <w:left w:val="nil"/>
              <w:bottom w:val="nil"/>
              <w:right w:val="nil"/>
            </w:tcBorders>
            <w:shd w:val="clear" w:color="000000" w:fill="44546A"/>
            <w:noWrap/>
            <w:vAlign w:val="bottom"/>
            <w:hideMark/>
          </w:tcPr>
          <w:p w14:paraId="728CA935" w14:textId="77777777" w:rsidR="00C3650C" w:rsidRPr="00560702" w:rsidRDefault="00C3650C" w:rsidP="00C3650C">
            <w:pPr>
              <w:spacing w:after="0" w:line="240" w:lineRule="auto"/>
              <w:rPr>
                <w:rFonts w:ascii="Calibri" w:eastAsia="Times New Roman" w:hAnsi="Calibri" w:cs="Times New Roman"/>
                <w:b/>
                <w:bCs/>
                <w:color w:val="FFFFFF"/>
                <w:sz w:val="18"/>
                <w:szCs w:val="18"/>
                <w:lang w:eastAsia="en-AU"/>
              </w:rPr>
            </w:pPr>
            <w:r w:rsidRPr="00560702">
              <w:rPr>
                <w:rFonts w:ascii="Calibri" w:eastAsia="Times New Roman" w:hAnsi="Calibri" w:cs="Times New Roman"/>
                <w:b/>
                <w:bCs/>
                <w:color w:val="FFFFFF"/>
                <w:sz w:val="18"/>
                <w:szCs w:val="18"/>
                <w:lang w:eastAsia="en-AU"/>
              </w:rPr>
              <w:t> </w:t>
            </w:r>
          </w:p>
        </w:tc>
        <w:tc>
          <w:tcPr>
            <w:tcW w:w="1134" w:type="dxa"/>
            <w:tcBorders>
              <w:top w:val="nil"/>
              <w:left w:val="nil"/>
              <w:bottom w:val="nil"/>
              <w:right w:val="nil"/>
            </w:tcBorders>
            <w:shd w:val="clear" w:color="000000" w:fill="44546A"/>
            <w:noWrap/>
            <w:vAlign w:val="bottom"/>
            <w:hideMark/>
          </w:tcPr>
          <w:p w14:paraId="19444FCA" w14:textId="77777777" w:rsidR="00C3650C" w:rsidRPr="00560702" w:rsidRDefault="00C3650C" w:rsidP="00C3650C">
            <w:pPr>
              <w:spacing w:after="0" w:line="240" w:lineRule="auto"/>
              <w:rPr>
                <w:rFonts w:ascii="Calibri" w:eastAsia="Times New Roman" w:hAnsi="Calibri" w:cs="Times New Roman"/>
                <w:b/>
                <w:bCs/>
                <w:color w:val="FFFFFF"/>
                <w:sz w:val="18"/>
                <w:szCs w:val="18"/>
                <w:lang w:eastAsia="en-AU"/>
              </w:rPr>
            </w:pPr>
            <w:r w:rsidRPr="00560702">
              <w:rPr>
                <w:rFonts w:ascii="Calibri" w:eastAsia="Times New Roman" w:hAnsi="Calibri" w:cs="Times New Roman"/>
                <w:b/>
                <w:bCs/>
                <w:color w:val="FFFFFF"/>
                <w:sz w:val="18"/>
                <w:szCs w:val="18"/>
                <w:lang w:eastAsia="en-AU"/>
              </w:rPr>
              <w:t> </w:t>
            </w:r>
          </w:p>
        </w:tc>
        <w:tc>
          <w:tcPr>
            <w:tcW w:w="1842" w:type="dxa"/>
            <w:tcBorders>
              <w:top w:val="nil"/>
              <w:left w:val="nil"/>
              <w:bottom w:val="nil"/>
              <w:right w:val="nil"/>
            </w:tcBorders>
            <w:shd w:val="clear" w:color="000000" w:fill="44546A"/>
            <w:noWrap/>
            <w:vAlign w:val="bottom"/>
            <w:hideMark/>
          </w:tcPr>
          <w:p w14:paraId="6CB5C3D5" w14:textId="77777777" w:rsidR="00C3650C" w:rsidRPr="00560702" w:rsidRDefault="00C3650C" w:rsidP="00C3650C">
            <w:pPr>
              <w:spacing w:after="0" w:line="240" w:lineRule="auto"/>
              <w:rPr>
                <w:rFonts w:ascii="Calibri" w:eastAsia="Times New Roman" w:hAnsi="Calibri" w:cs="Times New Roman"/>
                <w:b/>
                <w:bCs/>
                <w:color w:val="FFFFFF"/>
                <w:sz w:val="18"/>
                <w:szCs w:val="18"/>
                <w:lang w:eastAsia="en-AU"/>
              </w:rPr>
            </w:pPr>
            <w:r w:rsidRPr="00560702">
              <w:rPr>
                <w:rFonts w:ascii="Calibri" w:eastAsia="Times New Roman" w:hAnsi="Calibri" w:cs="Times New Roman"/>
                <w:b/>
                <w:bCs/>
                <w:color w:val="FFFFFF"/>
                <w:sz w:val="18"/>
                <w:szCs w:val="18"/>
                <w:lang w:eastAsia="en-AU"/>
              </w:rPr>
              <w:t> </w:t>
            </w:r>
          </w:p>
        </w:tc>
      </w:tr>
      <w:tr w:rsidR="00C3650C" w:rsidRPr="00BE6AA8" w14:paraId="665E8999" w14:textId="77777777" w:rsidTr="00BA5EF5">
        <w:trPr>
          <w:trHeight w:val="184"/>
        </w:trPr>
        <w:tc>
          <w:tcPr>
            <w:tcW w:w="1276"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2D8245C6" w14:textId="77777777" w:rsidR="00C3650C" w:rsidRPr="00560702" w:rsidRDefault="00C3650C" w:rsidP="00C3650C">
            <w:pPr>
              <w:spacing w:after="0" w:line="240" w:lineRule="auto"/>
              <w:jc w:val="center"/>
              <w:rPr>
                <w:rFonts w:ascii="Calibri" w:eastAsia="Times New Roman" w:hAnsi="Calibri" w:cs="Times New Roman"/>
                <w:b/>
                <w:bCs/>
                <w:color w:val="000000"/>
                <w:sz w:val="18"/>
                <w:szCs w:val="18"/>
                <w:lang w:eastAsia="en-AU"/>
              </w:rPr>
            </w:pPr>
            <w:r w:rsidRPr="00560702">
              <w:rPr>
                <w:rFonts w:ascii="Calibri" w:eastAsia="Times New Roman" w:hAnsi="Calibri" w:cs="Times New Roman"/>
                <w:b/>
                <w:bCs/>
                <w:color w:val="000000"/>
                <w:sz w:val="18"/>
                <w:szCs w:val="18"/>
                <w:lang w:eastAsia="en-AU"/>
              </w:rPr>
              <w:t>Patient registration cost</w:t>
            </w:r>
          </w:p>
        </w:tc>
        <w:tc>
          <w:tcPr>
            <w:tcW w:w="4394" w:type="dxa"/>
            <w:tcBorders>
              <w:top w:val="nil"/>
              <w:left w:val="single" w:sz="4" w:space="0" w:color="auto"/>
              <w:bottom w:val="nil"/>
              <w:right w:val="nil"/>
            </w:tcBorders>
            <w:shd w:val="clear" w:color="000000" w:fill="FFFFFF"/>
            <w:noWrap/>
            <w:vAlign w:val="bottom"/>
            <w:hideMark/>
          </w:tcPr>
          <w:p w14:paraId="79BB7785" w14:textId="77777777" w:rsidR="00C3650C" w:rsidRPr="00560702" w:rsidRDefault="00C3650C" w:rsidP="00C3650C">
            <w:pPr>
              <w:spacing w:after="0" w:line="240" w:lineRule="auto"/>
              <w:rPr>
                <w:rFonts w:ascii="Calibri" w:eastAsia="Times New Roman" w:hAnsi="Calibri" w:cs="Times New Roman"/>
                <w:sz w:val="18"/>
                <w:szCs w:val="18"/>
                <w:lang w:eastAsia="en-AU"/>
              </w:rPr>
            </w:pPr>
            <w:r w:rsidRPr="00560702">
              <w:rPr>
                <w:rFonts w:ascii="Calibri" w:eastAsia="Times New Roman" w:hAnsi="Calibri" w:cs="Times New Roman"/>
                <w:sz w:val="18"/>
                <w:szCs w:val="18"/>
                <w:lang w:eastAsia="en-AU"/>
              </w:rPr>
              <w:t xml:space="preserve">Total patients expected to register </w:t>
            </w:r>
          </w:p>
        </w:tc>
        <w:tc>
          <w:tcPr>
            <w:tcW w:w="1276" w:type="dxa"/>
            <w:tcBorders>
              <w:top w:val="nil"/>
              <w:left w:val="nil"/>
              <w:bottom w:val="nil"/>
              <w:right w:val="nil"/>
            </w:tcBorders>
            <w:shd w:val="clear" w:color="000000" w:fill="FFFFFF"/>
            <w:noWrap/>
            <w:vAlign w:val="bottom"/>
            <w:hideMark/>
          </w:tcPr>
          <w:p w14:paraId="27E52B2B" w14:textId="77777777" w:rsidR="00C3650C" w:rsidRPr="00560702" w:rsidRDefault="00C3650C" w:rsidP="00C3650C">
            <w:pPr>
              <w:spacing w:after="0" w:line="240" w:lineRule="auto"/>
              <w:jc w:val="center"/>
              <w:rPr>
                <w:rFonts w:ascii="Calibri" w:eastAsia="Times New Roman" w:hAnsi="Calibri" w:cs="Times New Roman"/>
                <w:sz w:val="18"/>
                <w:szCs w:val="18"/>
                <w:lang w:eastAsia="en-AU"/>
              </w:rPr>
            </w:pPr>
            <w:r w:rsidRPr="00560702">
              <w:rPr>
                <w:rFonts w:ascii="Calibri" w:eastAsia="Times New Roman" w:hAnsi="Calibri" w:cs="Times New Roman"/>
                <w:sz w:val="18"/>
                <w:szCs w:val="18"/>
                <w:lang w:eastAsia="en-AU"/>
              </w:rPr>
              <w:t>3,957,985</w:t>
            </w:r>
          </w:p>
        </w:tc>
        <w:tc>
          <w:tcPr>
            <w:tcW w:w="1418" w:type="dxa"/>
            <w:tcBorders>
              <w:top w:val="nil"/>
              <w:left w:val="nil"/>
              <w:bottom w:val="nil"/>
              <w:right w:val="nil"/>
            </w:tcBorders>
            <w:shd w:val="clear" w:color="000000" w:fill="FFFFFF"/>
            <w:noWrap/>
            <w:vAlign w:val="bottom"/>
            <w:hideMark/>
          </w:tcPr>
          <w:p w14:paraId="1DB5E238" w14:textId="77777777" w:rsidR="00C3650C" w:rsidRPr="00560702" w:rsidRDefault="00C3650C" w:rsidP="00C3650C">
            <w:pPr>
              <w:spacing w:after="0" w:line="240" w:lineRule="auto"/>
              <w:jc w:val="center"/>
              <w:rPr>
                <w:rFonts w:ascii="Calibri" w:eastAsia="Times New Roman" w:hAnsi="Calibri" w:cs="Times New Roman"/>
                <w:sz w:val="18"/>
                <w:szCs w:val="18"/>
                <w:lang w:eastAsia="en-AU"/>
              </w:rPr>
            </w:pPr>
            <w:r w:rsidRPr="00560702">
              <w:rPr>
                <w:rFonts w:ascii="Calibri" w:eastAsia="Times New Roman" w:hAnsi="Calibri" w:cs="Times New Roman"/>
                <w:sz w:val="18"/>
                <w:szCs w:val="18"/>
                <w:lang w:eastAsia="en-AU"/>
              </w:rPr>
              <w:t>5,700,389</w:t>
            </w:r>
          </w:p>
        </w:tc>
        <w:tc>
          <w:tcPr>
            <w:tcW w:w="1134" w:type="dxa"/>
            <w:tcBorders>
              <w:top w:val="nil"/>
              <w:left w:val="nil"/>
              <w:bottom w:val="nil"/>
              <w:right w:val="nil"/>
            </w:tcBorders>
            <w:shd w:val="clear" w:color="000000" w:fill="FFFFFF"/>
            <w:noWrap/>
            <w:vAlign w:val="bottom"/>
            <w:hideMark/>
          </w:tcPr>
          <w:p w14:paraId="65B450C3" w14:textId="77777777" w:rsidR="00C3650C" w:rsidRPr="00560702" w:rsidRDefault="00C3650C" w:rsidP="00C3650C">
            <w:pPr>
              <w:spacing w:after="0" w:line="240" w:lineRule="auto"/>
              <w:jc w:val="center"/>
              <w:rPr>
                <w:rFonts w:ascii="Calibri" w:eastAsia="Times New Roman" w:hAnsi="Calibri" w:cs="Times New Roman"/>
                <w:sz w:val="18"/>
                <w:szCs w:val="18"/>
                <w:lang w:eastAsia="en-AU"/>
              </w:rPr>
            </w:pPr>
            <w:r w:rsidRPr="00560702">
              <w:rPr>
                <w:rFonts w:ascii="Calibri" w:eastAsia="Times New Roman" w:hAnsi="Calibri" w:cs="Times New Roman"/>
                <w:sz w:val="18"/>
                <w:szCs w:val="18"/>
                <w:lang w:eastAsia="en-AU"/>
              </w:rPr>
              <w:t>1,216,201</w:t>
            </w:r>
          </w:p>
        </w:tc>
        <w:tc>
          <w:tcPr>
            <w:tcW w:w="1842" w:type="dxa"/>
            <w:tcBorders>
              <w:top w:val="nil"/>
              <w:left w:val="nil"/>
              <w:bottom w:val="nil"/>
              <w:right w:val="single" w:sz="4" w:space="0" w:color="auto"/>
            </w:tcBorders>
            <w:shd w:val="clear" w:color="000000" w:fill="FFFFFF"/>
            <w:noWrap/>
            <w:vAlign w:val="bottom"/>
            <w:hideMark/>
          </w:tcPr>
          <w:p w14:paraId="518B418C" w14:textId="77777777" w:rsidR="00C3650C" w:rsidRPr="00560702" w:rsidRDefault="00C3650C" w:rsidP="00C3650C">
            <w:pPr>
              <w:spacing w:after="0" w:line="240" w:lineRule="auto"/>
              <w:jc w:val="center"/>
              <w:rPr>
                <w:rFonts w:ascii="Calibri" w:eastAsia="Times New Roman" w:hAnsi="Calibri" w:cs="Times New Roman"/>
                <w:sz w:val="18"/>
                <w:szCs w:val="18"/>
                <w:lang w:eastAsia="en-AU"/>
              </w:rPr>
            </w:pPr>
            <w:r w:rsidRPr="00560702">
              <w:rPr>
                <w:rFonts w:ascii="Calibri" w:eastAsia="Times New Roman" w:hAnsi="Calibri" w:cs="Times New Roman"/>
                <w:sz w:val="18"/>
                <w:szCs w:val="18"/>
                <w:lang w:eastAsia="en-AU"/>
              </w:rPr>
              <w:t>661,106</w:t>
            </w:r>
          </w:p>
        </w:tc>
      </w:tr>
      <w:tr w:rsidR="00C3650C" w:rsidRPr="00BE6AA8" w14:paraId="71CE388F" w14:textId="77777777" w:rsidTr="00BA5EF5">
        <w:trPr>
          <w:trHeight w:val="271"/>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53D1A871" w14:textId="77777777" w:rsidR="00C3650C" w:rsidRPr="00560702" w:rsidRDefault="00C3650C" w:rsidP="00C3650C">
            <w:pPr>
              <w:spacing w:after="0" w:line="240" w:lineRule="auto"/>
              <w:rPr>
                <w:rFonts w:ascii="Calibri" w:eastAsia="Times New Roman" w:hAnsi="Calibri" w:cs="Times New Roman"/>
                <w:b/>
                <w:bCs/>
                <w:color w:val="000000"/>
                <w:sz w:val="18"/>
                <w:szCs w:val="18"/>
                <w:lang w:eastAsia="en-AU"/>
              </w:rPr>
            </w:pPr>
          </w:p>
        </w:tc>
        <w:tc>
          <w:tcPr>
            <w:tcW w:w="4394" w:type="dxa"/>
            <w:tcBorders>
              <w:top w:val="nil"/>
              <w:left w:val="single" w:sz="4" w:space="0" w:color="auto"/>
              <w:bottom w:val="nil"/>
              <w:right w:val="nil"/>
            </w:tcBorders>
            <w:shd w:val="clear" w:color="000000" w:fill="FFFFFF"/>
            <w:noWrap/>
            <w:vAlign w:val="bottom"/>
            <w:hideMark/>
          </w:tcPr>
          <w:p w14:paraId="2D37EC8A" w14:textId="77777777" w:rsidR="00C3650C" w:rsidRPr="00560702" w:rsidRDefault="00C3650C" w:rsidP="00C3650C">
            <w:pPr>
              <w:spacing w:after="0" w:line="240" w:lineRule="auto"/>
              <w:rPr>
                <w:rFonts w:ascii="Calibri" w:eastAsia="Times New Roman" w:hAnsi="Calibri" w:cs="Times New Roman"/>
                <w:sz w:val="18"/>
                <w:szCs w:val="18"/>
                <w:lang w:eastAsia="en-AU"/>
              </w:rPr>
            </w:pPr>
            <w:r w:rsidRPr="00560702">
              <w:rPr>
                <w:rFonts w:ascii="Calibri" w:eastAsia="Times New Roman" w:hAnsi="Calibri" w:cs="Times New Roman"/>
                <w:sz w:val="18"/>
                <w:szCs w:val="18"/>
                <w:lang w:eastAsia="en-AU"/>
              </w:rPr>
              <w:t>Rate of uptake of general practices</w:t>
            </w:r>
          </w:p>
        </w:tc>
        <w:tc>
          <w:tcPr>
            <w:tcW w:w="1276" w:type="dxa"/>
            <w:tcBorders>
              <w:top w:val="nil"/>
              <w:left w:val="nil"/>
              <w:bottom w:val="nil"/>
              <w:right w:val="nil"/>
            </w:tcBorders>
            <w:shd w:val="clear" w:color="000000" w:fill="FFFFFF"/>
            <w:noWrap/>
            <w:vAlign w:val="bottom"/>
            <w:hideMark/>
          </w:tcPr>
          <w:p w14:paraId="557A3CC7" w14:textId="77777777" w:rsidR="00C3650C" w:rsidRPr="00560702" w:rsidRDefault="00C3650C" w:rsidP="00C3650C">
            <w:pPr>
              <w:spacing w:after="0" w:line="240" w:lineRule="auto"/>
              <w:jc w:val="center"/>
              <w:rPr>
                <w:rFonts w:ascii="Calibri" w:eastAsia="Times New Roman" w:hAnsi="Calibri" w:cs="Times New Roman"/>
                <w:sz w:val="18"/>
                <w:szCs w:val="18"/>
                <w:lang w:eastAsia="en-AU"/>
              </w:rPr>
            </w:pPr>
            <w:r w:rsidRPr="00560702">
              <w:rPr>
                <w:rFonts w:ascii="Calibri" w:eastAsia="Times New Roman" w:hAnsi="Calibri" w:cs="Times New Roman"/>
                <w:sz w:val="18"/>
                <w:szCs w:val="18"/>
                <w:lang w:eastAsia="en-AU"/>
              </w:rPr>
              <w:t>70%</w:t>
            </w:r>
          </w:p>
        </w:tc>
        <w:tc>
          <w:tcPr>
            <w:tcW w:w="1418" w:type="dxa"/>
            <w:tcBorders>
              <w:top w:val="nil"/>
              <w:left w:val="nil"/>
              <w:bottom w:val="nil"/>
              <w:right w:val="nil"/>
            </w:tcBorders>
            <w:shd w:val="clear" w:color="000000" w:fill="FFFFFF"/>
            <w:noWrap/>
            <w:vAlign w:val="bottom"/>
            <w:hideMark/>
          </w:tcPr>
          <w:p w14:paraId="4D7A858B" w14:textId="77777777" w:rsidR="00C3650C" w:rsidRPr="00560702" w:rsidRDefault="00C3650C" w:rsidP="00C3650C">
            <w:pPr>
              <w:spacing w:after="0" w:line="240" w:lineRule="auto"/>
              <w:jc w:val="center"/>
              <w:rPr>
                <w:rFonts w:ascii="Calibri" w:eastAsia="Times New Roman" w:hAnsi="Calibri" w:cs="Times New Roman"/>
                <w:sz w:val="18"/>
                <w:szCs w:val="18"/>
                <w:lang w:eastAsia="en-AU"/>
              </w:rPr>
            </w:pPr>
            <w:r w:rsidRPr="00560702">
              <w:rPr>
                <w:rFonts w:ascii="Calibri" w:eastAsia="Times New Roman" w:hAnsi="Calibri" w:cs="Times New Roman"/>
                <w:sz w:val="18"/>
                <w:szCs w:val="18"/>
                <w:lang w:eastAsia="en-AU"/>
              </w:rPr>
              <w:t>15%</w:t>
            </w:r>
          </w:p>
        </w:tc>
        <w:tc>
          <w:tcPr>
            <w:tcW w:w="1134" w:type="dxa"/>
            <w:tcBorders>
              <w:top w:val="nil"/>
              <w:left w:val="nil"/>
              <w:bottom w:val="nil"/>
              <w:right w:val="nil"/>
            </w:tcBorders>
            <w:shd w:val="clear" w:color="000000" w:fill="FFFFFF"/>
            <w:noWrap/>
            <w:vAlign w:val="bottom"/>
            <w:hideMark/>
          </w:tcPr>
          <w:p w14:paraId="70620ADF" w14:textId="77777777" w:rsidR="00C3650C" w:rsidRPr="00560702" w:rsidRDefault="00C3650C" w:rsidP="00C3650C">
            <w:pPr>
              <w:spacing w:after="0" w:line="240" w:lineRule="auto"/>
              <w:jc w:val="center"/>
              <w:rPr>
                <w:rFonts w:ascii="Calibri" w:eastAsia="Times New Roman" w:hAnsi="Calibri" w:cs="Times New Roman"/>
                <w:sz w:val="18"/>
                <w:szCs w:val="18"/>
                <w:lang w:eastAsia="en-AU"/>
              </w:rPr>
            </w:pPr>
            <w:r w:rsidRPr="00560702">
              <w:rPr>
                <w:rFonts w:ascii="Calibri" w:eastAsia="Times New Roman" w:hAnsi="Calibri" w:cs="Times New Roman"/>
                <w:sz w:val="18"/>
                <w:szCs w:val="18"/>
                <w:lang w:eastAsia="en-AU"/>
              </w:rPr>
              <w:t>10%</w:t>
            </w:r>
          </w:p>
        </w:tc>
        <w:tc>
          <w:tcPr>
            <w:tcW w:w="1842" w:type="dxa"/>
            <w:tcBorders>
              <w:top w:val="nil"/>
              <w:left w:val="nil"/>
              <w:bottom w:val="nil"/>
              <w:right w:val="single" w:sz="4" w:space="0" w:color="auto"/>
            </w:tcBorders>
            <w:shd w:val="clear" w:color="000000" w:fill="FFFFFF"/>
            <w:noWrap/>
            <w:vAlign w:val="bottom"/>
            <w:hideMark/>
          </w:tcPr>
          <w:p w14:paraId="7C4803FF" w14:textId="77777777" w:rsidR="00C3650C" w:rsidRPr="00560702" w:rsidRDefault="00C3650C" w:rsidP="00C3650C">
            <w:pPr>
              <w:spacing w:after="0" w:line="240" w:lineRule="auto"/>
              <w:jc w:val="center"/>
              <w:rPr>
                <w:rFonts w:ascii="Calibri" w:eastAsia="Times New Roman" w:hAnsi="Calibri" w:cs="Times New Roman"/>
                <w:sz w:val="18"/>
                <w:szCs w:val="18"/>
                <w:lang w:eastAsia="en-AU"/>
              </w:rPr>
            </w:pPr>
            <w:r w:rsidRPr="00560702">
              <w:rPr>
                <w:rFonts w:ascii="Calibri" w:eastAsia="Times New Roman" w:hAnsi="Calibri" w:cs="Times New Roman"/>
                <w:sz w:val="18"/>
                <w:szCs w:val="18"/>
                <w:lang w:eastAsia="en-AU"/>
              </w:rPr>
              <w:t>10%</w:t>
            </w:r>
          </w:p>
        </w:tc>
      </w:tr>
      <w:tr w:rsidR="00C3650C" w:rsidRPr="00BE6AA8" w14:paraId="3917762A" w14:textId="77777777" w:rsidTr="00BA5EF5">
        <w:trPr>
          <w:trHeight w:val="245"/>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0F5CA796" w14:textId="77777777" w:rsidR="00C3650C" w:rsidRPr="00560702" w:rsidRDefault="00C3650C" w:rsidP="00C3650C">
            <w:pPr>
              <w:spacing w:after="0" w:line="240" w:lineRule="auto"/>
              <w:rPr>
                <w:rFonts w:ascii="Calibri" w:eastAsia="Times New Roman" w:hAnsi="Calibri" w:cs="Times New Roman"/>
                <w:b/>
                <w:bCs/>
                <w:color w:val="000000"/>
                <w:sz w:val="18"/>
                <w:szCs w:val="18"/>
                <w:lang w:eastAsia="en-AU"/>
              </w:rPr>
            </w:pPr>
          </w:p>
        </w:tc>
        <w:tc>
          <w:tcPr>
            <w:tcW w:w="4394" w:type="dxa"/>
            <w:tcBorders>
              <w:top w:val="nil"/>
              <w:left w:val="single" w:sz="4" w:space="0" w:color="auto"/>
              <w:bottom w:val="nil"/>
              <w:right w:val="nil"/>
            </w:tcBorders>
            <w:shd w:val="clear" w:color="000000" w:fill="FFFFFF"/>
            <w:noWrap/>
            <w:vAlign w:val="bottom"/>
            <w:hideMark/>
          </w:tcPr>
          <w:p w14:paraId="7095CCAD" w14:textId="77777777" w:rsidR="00C3650C" w:rsidRPr="00560702" w:rsidRDefault="00C3650C" w:rsidP="00C3650C">
            <w:pPr>
              <w:spacing w:after="0" w:line="240" w:lineRule="auto"/>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Number of patients expected to register through paper form</w:t>
            </w:r>
          </w:p>
        </w:tc>
        <w:tc>
          <w:tcPr>
            <w:tcW w:w="1276" w:type="dxa"/>
            <w:tcBorders>
              <w:top w:val="nil"/>
              <w:left w:val="nil"/>
              <w:bottom w:val="nil"/>
              <w:right w:val="nil"/>
            </w:tcBorders>
            <w:shd w:val="clear" w:color="000000" w:fill="FFFFFF"/>
            <w:noWrap/>
            <w:vAlign w:val="bottom"/>
            <w:hideMark/>
          </w:tcPr>
          <w:p w14:paraId="3DDA08FA" w14:textId="77777777" w:rsidR="00C3650C" w:rsidRPr="00560702" w:rsidRDefault="00C3650C" w:rsidP="00C3650C">
            <w:pPr>
              <w:spacing w:after="0" w:line="240" w:lineRule="auto"/>
              <w:jc w:val="center"/>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1,978,993</w:t>
            </w:r>
          </w:p>
        </w:tc>
        <w:tc>
          <w:tcPr>
            <w:tcW w:w="1418" w:type="dxa"/>
            <w:tcBorders>
              <w:top w:val="nil"/>
              <w:left w:val="nil"/>
              <w:bottom w:val="nil"/>
              <w:right w:val="nil"/>
            </w:tcBorders>
            <w:shd w:val="clear" w:color="000000" w:fill="FFFFFF"/>
            <w:noWrap/>
            <w:vAlign w:val="bottom"/>
            <w:hideMark/>
          </w:tcPr>
          <w:p w14:paraId="709729AC" w14:textId="77777777" w:rsidR="00C3650C" w:rsidRPr="00560702" w:rsidRDefault="00C3650C" w:rsidP="00C3650C">
            <w:pPr>
              <w:spacing w:after="0" w:line="240" w:lineRule="auto"/>
              <w:jc w:val="center"/>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2,850,195</w:t>
            </w:r>
          </w:p>
        </w:tc>
        <w:tc>
          <w:tcPr>
            <w:tcW w:w="1134" w:type="dxa"/>
            <w:tcBorders>
              <w:top w:val="nil"/>
              <w:left w:val="nil"/>
              <w:bottom w:val="nil"/>
              <w:right w:val="nil"/>
            </w:tcBorders>
            <w:shd w:val="clear" w:color="000000" w:fill="FFFFFF"/>
            <w:noWrap/>
            <w:vAlign w:val="bottom"/>
            <w:hideMark/>
          </w:tcPr>
          <w:p w14:paraId="722696EE" w14:textId="77777777" w:rsidR="00C3650C" w:rsidRPr="00560702" w:rsidRDefault="00C3650C" w:rsidP="00C3650C">
            <w:pPr>
              <w:spacing w:after="0" w:line="240" w:lineRule="auto"/>
              <w:jc w:val="center"/>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608,101</w:t>
            </w:r>
          </w:p>
        </w:tc>
        <w:tc>
          <w:tcPr>
            <w:tcW w:w="1842" w:type="dxa"/>
            <w:tcBorders>
              <w:top w:val="nil"/>
              <w:left w:val="nil"/>
              <w:bottom w:val="nil"/>
              <w:right w:val="single" w:sz="4" w:space="0" w:color="auto"/>
            </w:tcBorders>
            <w:shd w:val="clear" w:color="000000" w:fill="FFFFFF"/>
            <w:noWrap/>
            <w:vAlign w:val="bottom"/>
            <w:hideMark/>
          </w:tcPr>
          <w:p w14:paraId="4D791495" w14:textId="77777777" w:rsidR="00C3650C" w:rsidRPr="00560702" w:rsidRDefault="00C3650C" w:rsidP="00C3650C">
            <w:pPr>
              <w:spacing w:after="0" w:line="240" w:lineRule="auto"/>
              <w:jc w:val="center"/>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330,553</w:t>
            </w:r>
          </w:p>
        </w:tc>
      </w:tr>
      <w:tr w:rsidR="00C3650C" w:rsidRPr="00BE6AA8" w14:paraId="6475E271" w14:textId="77777777" w:rsidTr="00BA5EF5">
        <w:trPr>
          <w:trHeight w:val="308"/>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541D0186" w14:textId="77777777" w:rsidR="00C3650C" w:rsidRPr="00560702" w:rsidRDefault="00C3650C" w:rsidP="00C3650C">
            <w:pPr>
              <w:spacing w:after="0" w:line="240" w:lineRule="auto"/>
              <w:rPr>
                <w:rFonts w:ascii="Calibri" w:eastAsia="Times New Roman" w:hAnsi="Calibri" w:cs="Times New Roman"/>
                <w:b/>
                <w:bCs/>
                <w:color w:val="000000"/>
                <w:sz w:val="18"/>
                <w:szCs w:val="18"/>
                <w:lang w:eastAsia="en-AU"/>
              </w:rPr>
            </w:pPr>
          </w:p>
        </w:tc>
        <w:tc>
          <w:tcPr>
            <w:tcW w:w="4394" w:type="dxa"/>
            <w:tcBorders>
              <w:top w:val="nil"/>
              <w:left w:val="single" w:sz="4" w:space="0" w:color="auto"/>
              <w:bottom w:val="nil"/>
              <w:right w:val="nil"/>
            </w:tcBorders>
            <w:shd w:val="clear" w:color="000000" w:fill="FFFFFF"/>
            <w:noWrap/>
            <w:vAlign w:val="bottom"/>
            <w:hideMark/>
          </w:tcPr>
          <w:p w14:paraId="77D04A77" w14:textId="77777777" w:rsidR="00C3650C" w:rsidRPr="00560702" w:rsidRDefault="00C3650C" w:rsidP="00C3650C">
            <w:pPr>
              <w:spacing w:after="0" w:line="240" w:lineRule="auto"/>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Time taken to register per patient in person (hours)</w:t>
            </w:r>
          </w:p>
        </w:tc>
        <w:tc>
          <w:tcPr>
            <w:tcW w:w="1276" w:type="dxa"/>
            <w:tcBorders>
              <w:top w:val="nil"/>
              <w:left w:val="nil"/>
              <w:bottom w:val="nil"/>
              <w:right w:val="nil"/>
            </w:tcBorders>
            <w:shd w:val="clear" w:color="000000" w:fill="FFFFFF"/>
            <w:noWrap/>
            <w:vAlign w:val="bottom"/>
            <w:hideMark/>
          </w:tcPr>
          <w:p w14:paraId="0CC5C0CD" w14:textId="77777777" w:rsidR="00C3650C" w:rsidRPr="00560702" w:rsidRDefault="00C3650C" w:rsidP="00C3650C">
            <w:pPr>
              <w:spacing w:after="0" w:line="240" w:lineRule="auto"/>
              <w:jc w:val="center"/>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0.08</w:t>
            </w:r>
          </w:p>
        </w:tc>
        <w:tc>
          <w:tcPr>
            <w:tcW w:w="1418" w:type="dxa"/>
            <w:tcBorders>
              <w:top w:val="nil"/>
              <w:left w:val="nil"/>
              <w:bottom w:val="nil"/>
              <w:right w:val="nil"/>
            </w:tcBorders>
            <w:shd w:val="clear" w:color="000000" w:fill="FFFFFF"/>
            <w:noWrap/>
            <w:vAlign w:val="bottom"/>
            <w:hideMark/>
          </w:tcPr>
          <w:p w14:paraId="19823ED5" w14:textId="77777777" w:rsidR="00C3650C" w:rsidRPr="00560702" w:rsidRDefault="00C3650C" w:rsidP="00C3650C">
            <w:pPr>
              <w:spacing w:after="0" w:line="240" w:lineRule="auto"/>
              <w:jc w:val="center"/>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0.08</w:t>
            </w:r>
          </w:p>
        </w:tc>
        <w:tc>
          <w:tcPr>
            <w:tcW w:w="1134" w:type="dxa"/>
            <w:tcBorders>
              <w:top w:val="nil"/>
              <w:left w:val="nil"/>
              <w:bottom w:val="nil"/>
              <w:right w:val="nil"/>
            </w:tcBorders>
            <w:shd w:val="clear" w:color="000000" w:fill="FFFFFF"/>
            <w:noWrap/>
            <w:vAlign w:val="bottom"/>
            <w:hideMark/>
          </w:tcPr>
          <w:p w14:paraId="34B13A5C" w14:textId="77777777" w:rsidR="00C3650C" w:rsidRPr="00560702" w:rsidRDefault="00C3650C" w:rsidP="00C3650C">
            <w:pPr>
              <w:spacing w:after="0" w:line="240" w:lineRule="auto"/>
              <w:jc w:val="center"/>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0.08</w:t>
            </w:r>
          </w:p>
        </w:tc>
        <w:tc>
          <w:tcPr>
            <w:tcW w:w="1842" w:type="dxa"/>
            <w:tcBorders>
              <w:top w:val="nil"/>
              <w:left w:val="nil"/>
              <w:bottom w:val="nil"/>
              <w:right w:val="single" w:sz="4" w:space="0" w:color="auto"/>
            </w:tcBorders>
            <w:shd w:val="clear" w:color="000000" w:fill="FFFFFF"/>
            <w:noWrap/>
            <w:vAlign w:val="bottom"/>
            <w:hideMark/>
          </w:tcPr>
          <w:p w14:paraId="0E18B21E" w14:textId="77777777" w:rsidR="00C3650C" w:rsidRPr="00560702" w:rsidRDefault="00C3650C" w:rsidP="00C3650C">
            <w:pPr>
              <w:spacing w:after="0" w:line="240" w:lineRule="auto"/>
              <w:jc w:val="center"/>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0.08</w:t>
            </w:r>
          </w:p>
        </w:tc>
      </w:tr>
      <w:tr w:rsidR="00C3650C" w:rsidRPr="00BE6AA8" w14:paraId="46929834" w14:textId="77777777" w:rsidTr="00BA5EF5">
        <w:trPr>
          <w:trHeight w:val="270"/>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197CF613" w14:textId="77777777" w:rsidR="00C3650C" w:rsidRPr="00560702" w:rsidRDefault="00C3650C" w:rsidP="00C3650C">
            <w:pPr>
              <w:spacing w:after="0" w:line="240" w:lineRule="auto"/>
              <w:rPr>
                <w:rFonts w:ascii="Calibri" w:eastAsia="Times New Roman" w:hAnsi="Calibri" w:cs="Times New Roman"/>
                <w:b/>
                <w:bCs/>
                <w:color w:val="000000"/>
                <w:sz w:val="18"/>
                <w:szCs w:val="18"/>
                <w:lang w:eastAsia="en-AU"/>
              </w:rPr>
            </w:pPr>
          </w:p>
        </w:tc>
        <w:tc>
          <w:tcPr>
            <w:tcW w:w="4394" w:type="dxa"/>
            <w:tcBorders>
              <w:top w:val="nil"/>
              <w:left w:val="single" w:sz="4" w:space="0" w:color="auto"/>
              <w:bottom w:val="nil"/>
              <w:right w:val="nil"/>
            </w:tcBorders>
            <w:shd w:val="clear" w:color="000000" w:fill="FFFFFF"/>
            <w:noWrap/>
            <w:vAlign w:val="bottom"/>
            <w:hideMark/>
          </w:tcPr>
          <w:p w14:paraId="69F8F564" w14:textId="77777777" w:rsidR="00C3650C" w:rsidRPr="00560702" w:rsidRDefault="00C3650C" w:rsidP="00C3650C">
            <w:pPr>
              <w:spacing w:after="0" w:line="240" w:lineRule="auto"/>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Staffing cost per hour</w:t>
            </w:r>
          </w:p>
        </w:tc>
        <w:tc>
          <w:tcPr>
            <w:tcW w:w="1276" w:type="dxa"/>
            <w:tcBorders>
              <w:top w:val="nil"/>
              <w:left w:val="nil"/>
              <w:bottom w:val="nil"/>
              <w:right w:val="nil"/>
            </w:tcBorders>
            <w:shd w:val="clear" w:color="000000" w:fill="FFFFFF"/>
            <w:noWrap/>
            <w:vAlign w:val="bottom"/>
            <w:hideMark/>
          </w:tcPr>
          <w:p w14:paraId="0EEAE9E7" w14:textId="77777777" w:rsidR="00C3650C" w:rsidRPr="00560702" w:rsidRDefault="00C3650C" w:rsidP="00C3650C">
            <w:pPr>
              <w:spacing w:after="0" w:line="240" w:lineRule="auto"/>
              <w:jc w:val="center"/>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$73.20</w:t>
            </w:r>
          </w:p>
        </w:tc>
        <w:tc>
          <w:tcPr>
            <w:tcW w:w="1418" w:type="dxa"/>
            <w:tcBorders>
              <w:top w:val="nil"/>
              <w:left w:val="nil"/>
              <w:bottom w:val="nil"/>
              <w:right w:val="nil"/>
            </w:tcBorders>
            <w:shd w:val="clear" w:color="000000" w:fill="FFFFFF"/>
            <w:noWrap/>
            <w:vAlign w:val="bottom"/>
            <w:hideMark/>
          </w:tcPr>
          <w:p w14:paraId="651BFDF6" w14:textId="77777777" w:rsidR="00C3650C" w:rsidRPr="00560702" w:rsidRDefault="00C3650C" w:rsidP="00C3650C">
            <w:pPr>
              <w:spacing w:after="0" w:line="240" w:lineRule="auto"/>
              <w:jc w:val="center"/>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$73.20</w:t>
            </w:r>
          </w:p>
        </w:tc>
        <w:tc>
          <w:tcPr>
            <w:tcW w:w="1134" w:type="dxa"/>
            <w:tcBorders>
              <w:top w:val="nil"/>
              <w:left w:val="nil"/>
              <w:bottom w:val="nil"/>
              <w:right w:val="nil"/>
            </w:tcBorders>
            <w:shd w:val="clear" w:color="000000" w:fill="FFFFFF"/>
            <w:noWrap/>
            <w:vAlign w:val="bottom"/>
            <w:hideMark/>
          </w:tcPr>
          <w:p w14:paraId="7DEAA54C" w14:textId="77777777" w:rsidR="00C3650C" w:rsidRPr="00560702" w:rsidRDefault="00C3650C" w:rsidP="00C3650C">
            <w:pPr>
              <w:spacing w:after="0" w:line="240" w:lineRule="auto"/>
              <w:jc w:val="center"/>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$73.20</w:t>
            </w:r>
          </w:p>
        </w:tc>
        <w:tc>
          <w:tcPr>
            <w:tcW w:w="1842" w:type="dxa"/>
            <w:tcBorders>
              <w:top w:val="nil"/>
              <w:left w:val="nil"/>
              <w:bottom w:val="nil"/>
              <w:right w:val="single" w:sz="4" w:space="0" w:color="auto"/>
            </w:tcBorders>
            <w:shd w:val="clear" w:color="000000" w:fill="FFFFFF"/>
            <w:noWrap/>
            <w:vAlign w:val="bottom"/>
            <w:hideMark/>
          </w:tcPr>
          <w:p w14:paraId="2DD45A22" w14:textId="77777777" w:rsidR="00C3650C" w:rsidRPr="00560702" w:rsidRDefault="00C3650C" w:rsidP="00C3650C">
            <w:pPr>
              <w:spacing w:after="0" w:line="240" w:lineRule="auto"/>
              <w:jc w:val="center"/>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$73.20</w:t>
            </w:r>
          </w:p>
        </w:tc>
      </w:tr>
      <w:tr w:rsidR="00C3650C" w:rsidRPr="00BE6AA8" w14:paraId="5DBBFCCC" w14:textId="77777777" w:rsidTr="00BA5EF5">
        <w:trPr>
          <w:trHeight w:val="290"/>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00E5D22B" w14:textId="77777777" w:rsidR="00C3650C" w:rsidRPr="00560702" w:rsidRDefault="00C3650C" w:rsidP="00C3650C">
            <w:pPr>
              <w:spacing w:after="0" w:line="240" w:lineRule="auto"/>
              <w:rPr>
                <w:rFonts w:ascii="Calibri" w:eastAsia="Times New Roman" w:hAnsi="Calibri" w:cs="Times New Roman"/>
                <w:b/>
                <w:bCs/>
                <w:color w:val="000000"/>
                <w:sz w:val="18"/>
                <w:szCs w:val="18"/>
                <w:lang w:eastAsia="en-AU"/>
              </w:rPr>
            </w:pPr>
          </w:p>
        </w:tc>
        <w:tc>
          <w:tcPr>
            <w:tcW w:w="4394" w:type="dxa"/>
            <w:tcBorders>
              <w:top w:val="nil"/>
              <w:left w:val="single" w:sz="4" w:space="0" w:color="auto"/>
              <w:bottom w:val="single" w:sz="4" w:space="0" w:color="auto"/>
              <w:right w:val="nil"/>
            </w:tcBorders>
            <w:shd w:val="clear" w:color="000000" w:fill="DDEBF7"/>
            <w:noWrap/>
            <w:vAlign w:val="bottom"/>
            <w:hideMark/>
          </w:tcPr>
          <w:p w14:paraId="0BBC75D8" w14:textId="77777777" w:rsidR="00C3650C" w:rsidRPr="00560702" w:rsidRDefault="00C3650C" w:rsidP="00C3650C">
            <w:pPr>
              <w:spacing w:after="0" w:line="240" w:lineRule="auto"/>
              <w:rPr>
                <w:rFonts w:ascii="Calibri" w:eastAsia="Times New Roman" w:hAnsi="Calibri" w:cs="Times New Roman"/>
                <w:b/>
                <w:bCs/>
                <w:color w:val="000000"/>
                <w:sz w:val="18"/>
                <w:szCs w:val="18"/>
                <w:lang w:eastAsia="en-AU"/>
              </w:rPr>
            </w:pPr>
            <w:r w:rsidRPr="00560702">
              <w:rPr>
                <w:rFonts w:ascii="Calibri" w:eastAsia="Times New Roman" w:hAnsi="Calibri" w:cs="Times New Roman"/>
                <w:b/>
                <w:bCs/>
                <w:color w:val="000000"/>
                <w:sz w:val="18"/>
                <w:szCs w:val="18"/>
                <w:lang w:eastAsia="en-AU"/>
              </w:rPr>
              <w:t>Sub Total - registering through paper form</w:t>
            </w:r>
          </w:p>
        </w:tc>
        <w:tc>
          <w:tcPr>
            <w:tcW w:w="1276" w:type="dxa"/>
            <w:tcBorders>
              <w:top w:val="nil"/>
              <w:left w:val="nil"/>
              <w:bottom w:val="single" w:sz="4" w:space="0" w:color="auto"/>
              <w:right w:val="nil"/>
            </w:tcBorders>
            <w:shd w:val="clear" w:color="000000" w:fill="DDEBF7"/>
            <w:noWrap/>
            <w:vAlign w:val="bottom"/>
            <w:hideMark/>
          </w:tcPr>
          <w:p w14:paraId="5801981D" w14:textId="77777777" w:rsidR="00C3650C" w:rsidRPr="00560702" w:rsidRDefault="00C3650C" w:rsidP="00C3650C">
            <w:pPr>
              <w:spacing w:after="0" w:line="240" w:lineRule="auto"/>
              <w:jc w:val="center"/>
              <w:rPr>
                <w:rFonts w:ascii="Calibri" w:eastAsia="Times New Roman" w:hAnsi="Calibri" w:cs="Times New Roman"/>
                <w:b/>
                <w:bCs/>
                <w:color w:val="000000"/>
                <w:sz w:val="18"/>
                <w:szCs w:val="18"/>
                <w:lang w:eastAsia="en-AU"/>
              </w:rPr>
            </w:pPr>
            <w:r w:rsidRPr="00560702">
              <w:rPr>
                <w:rFonts w:ascii="Calibri" w:eastAsia="Times New Roman" w:hAnsi="Calibri" w:cs="Times New Roman"/>
                <w:b/>
                <w:bCs/>
                <w:color w:val="000000"/>
                <w:sz w:val="18"/>
                <w:szCs w:val="18"/>
                <w:lang w:eastAsia="en-AU"/>
              </w:rPr>
              <w:t>$ 12,071,854</w:t>
            </w:r>
          </w:p>
        </w:tc>
        <w:tc>
          <w:tcPr>
            <w:tcW w:w="1418" w:type="dxa"/>
            <w:tcBorders>
              <w:top w:val="nil"/>
              <w:left w:val="nil"/>
              <w:bottom w:val="single" w:sz="4" w:space="0" w:color="auto"/>
              <w:right w:val="nil"/>
            </w:tcBorders>
            <w:shd w:val="clear" w:color="000000" w:fill="DDEBF7"/>
            <w:noWrap/>
            <w:vAlign w:val="bottom"/>
            <w:hideMark/>
          </w:tcPr>
          <w:p w14:paraId="5035822A" w14:textId="77777777" w:rsidR="00C3650C" w:rsidRPr="00560702" w:rsidRDefault="00C3650C" w:rsidP="00C3650C">
            <w:pPr>
              <w:spacing w:after="0" w:line="240" w:lineRule="auto"/>
              <w:jc w:val="center"/>
              <w:rPr>
                <w:rFonts w:ascii="Calibri" w:eastAsia="Times New Roman" w:hAnsi="Calibri" w:cs="Times New Roman"/>
                <w:b/>
                <w:bCs/>
                <w:color w:val="000000"/>
                <w:sz w:val="18"/>
                <w:szCs w:val="18"/>
                <w:lang w:eastAsia="en-AU"/>
              </w:rPr>
            </w:pPr>
            <w:r w:rsidRPr="00560702">
              <w:rPr>
                <w:rFonts w:ascii="Calibri" w:eastAsia="Times New Roman" w:hAnsi="Calibri" w:cs="Times New Roman"/>
                <w:b/>
                <w:bCs/>
                <w:color w:val="000000"/>
                <w:sz w:val="18"/>
                <w:szCs w:val="18"/>
                <w:lang w:eastAsia="en-AU"/>
              </w:rPr>
              <w:t>$ 17,386,186</w:t>
            </w:r>
          </w:p>
        </w:tc>
        <w:tc>
          <w:tcPr>
            <w:tcW w:w="1134" w:type="dxa"/>
            <w:tcBorders>
              <w:top w:val="nil"/>
              <w:left w:val="nil"/>
              <w:bottom w:val="single" w:sz="4" w:space="0" w:color="auto"/>
              <w:right w:val="nil"/>
            </w:tcBorders>
            <w:shd w:val="clear" w:color="000000" w:fill="DDEBF7"/>
            <w:noWrap/>
            <w:vAlign w:val="bottom"/>
            <w:hideMark/>
          </w:tcPr>
          <w:p w14:paraId="2FCF5D86" w14:textId="77777777" w:rsidR="00C3650C" w:rsidRPr="00560702" w:rsidRDefault="00C3650C" w:rsidP="00C3650C">
            <w:pPr>
              <w:spacing w:after="0" w:line="240" w:lineRule="auto"/>
              <w:jc w:val="center"/>
              <w:rPr>
                <w:rFonts w:ascii="Calibri" w:eastAsia="Times New Roman" w:hAnsi="Calibri" w:cs="Times New Roman"/>
                <w:b/>
                <w:bCs/>
                <w:color w:val="000000"/>
                <w:sz w:val="18"/>
                <w:szCs w:val="18"/>
                <w:lang w:eastAsia="en-AU"/>
              </w:rPr>
            </w:pPr>
            <w:r w:rsidRPr="00560702">
              <w:rPr>
                <w:rFonts w:ascii="Calibri" w:eastAsia="Times New Roman" w:hAnsi="Calibri" w:cs="Times New Roman"/>
                <w:b/>
                <w:bCs/>
                <w:color w:val="000000"/>
                <w:sz w:val="18"/>
                <w:szCs w:val="18"/>
                <w:lang w:eastAsia="en-AU"/>
              </w:rPr>
              <w:t>$ 3,709,413</w:t>
            </w:r>
          </w:p>
        </w:tc>
        <w:tc>
          <w:tcPr>
            <w:tcW w:w="1842" w:type="dxa"/>
            <w:tcBorders>
              <w:top w:val="nil"/>
              <w:left w:val="nil"/>
              <w:bottom w:val="single" w:sz="4" w:space="0" w:color="auto"/>
              <w:right w:val="single" w:sz="4" w:space="0" w:color="auto"/>
            </w:tcBorders>
            <w:shd w:val="clear" w:color="000000" w:fill="DDEBF7"/>
            <w:noWrap/>
            <w:vAlign w:val="bottom"/>
            <w:hideMark/>
          </w:tcPr>
          <w:p w14:paraId="4143B678" w14:textId="77777777" w:rsidR="00C3650C" w:rsidRPr="00560702" w:rsidRDefault="00C3650C" w:rsidP="00C3650C">
            <w:pPr>
              <w:spacing w:after="0" w:line="240" w:lineRule="auto"/>
              <w:jc w:val="center"/>
              <w:rPr>
                <w:rFonts w:ascii="Calibri" w:eastAsia="Times New Roman" w:hAnsi="Calibri" w:cs="Times New Roman"/>
                <w:b/>
                <w:bCs/>
                <w:color w:val="000000"/>
                <w:sz w:val="18"/>
                <w:szCs w:val="18"/>
                <w:lang w:eastAsia="en-AU"/>
              </w:rPr>
            </w:pPr>
            <w:r w:rsidRPr="00560702">
              <w:rPr>
                <w:rFonts w:ascii="Calibri" w:eastAsia="Times New Roman" w:hAnsi="Calibri" w:cs="Times New Roman"/>
                <w:b/>
                <w:bCs/>
                <w:color w:val="000000"/>
                <w:sz w:val="18"/>
                <w:szCs w:val="18"/>
                <w:lang w:eastAsia="en-AU"/>
              </w:rPr>
              <w:t>$ 2,016,373</w:t>
            </w:r>
          </w:p>
        </w:tc>
      </w:tr>
      <w:tr w:rsidR="00C3650C" w:rsidRPr="00BE6AA8" w14:paraId="2FA1D5E7" w14:textId="77777777" w:rsidTr="00BA5EF5">
        <w:trPr>
          <w:trHeight w:val="264"/>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0FDE0AD5" w14:textId="77777777" w:rsidR="00C3650C" w:rsidRPr="00560702" w:rsidRDefault="00C3650C" w:rsidP="00C3650C">
            <w:pPr>
              <w:spacing w:after="0" w:line="240" w:lineRule="auto"/>
              <w:rPr>
                <w:rFonts w:ascii="Calibri" w:eastAsia="Times New Roman" w:hAnsi="Calibri" w:cs="Times New Roman"/>
                <w:b/>
                <w:bCs/>
                <w:color w:val="000000"/>
                <w:sz w:val="18"/>
                <w:szCs w:val="18"/>
                <w:lang w:eastAsia="en-AU"/>
              </w:rPr>
            </w:pPr>
          </w:p>
        </w:tc>
        <w:tc>
          <w:tcPr>
            <w:tcW w:w="4394" w:type="dxa"/>
            <w:tcBorders>
              <w:top w:val="nil"/>
              <w:left w:val="single" w:sz="4" w:space="0" w:color="auto"/>
              <w:bottom w:val="nil"/>
              <w:right w:val="nil"/>
            </w:tcBorders>
            <w:shd w:val="clear" w:color="000000" w:fill="FFFFFF"/>
            <w:noWrap/>
            <w:vAlign w:val="bottom"/>
            <w:hideMark/>
          </w:tcPr>
          <w:p w14:paraId="5452565C" w14:textId="77777777" w:rsidR="00C3650C" w:rsidRPr="00560702" w:rsidRDefault="00C3650C" w:rsidP="00C3650C">
            <w:pPr>
              <w:spacing w:after="0" w:line="240" w:lineRule="auto"/>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Number of patients assumed to self-register</w:t>
            </w:r>
          </w:p>
        </w:tc>
        <w:tc>
          <w:tcPr>
            <w:tcW w:w="1276" w:type="dxa"/>
            <w:tcBorders>
              <w:top w:val="nil"/>
              <w:left w:val="nil"/>
              <w:bottom w:val="nil"/>
              <w:right w:val="nil"/>
            </w:tcBorders>
            <w:shd w:val="clear" w:color="000000" w:fill="FFFFFF"/>
            <w:noWrap/>
            <w:vAlign w:val="bottom"/>
            <w:hideMark/>
          </w:tcPr>
          <w:p w14:paraId="75C7DE1C" w14:textId="77777777" w:rsidR="00C3650C" w:rsidRPr="00560702" w:rsidRDefault="00C3650C" w:rsidP="00C3650C">
            <w:pPr>
              <w:spacing w:after="0" w:line="240" w:lineRule="auto"/>
              <w:jc w:val="center"/>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1,978,993</w:t>
            </w:r>
          </w:p>
        </w:tc>
        <w:tc>
          <w:tcPr>
            <w:tcW w:w="1418" w:type="dxa"/>
            <w:tcBorders>
              <w:top w:val="nil"/>
              <w:left w:val="nil"/>
              <w:bottom w:val="nil"/>
              <w:right w:val="nil"/>
            </w:tcBorders>
            <w:shd w:val="clear" w:color="000000" w:fill="FFFFFF"/>
            <w:noWrap/>
            <w:vAlign w:val="bottom"/>
            <w:hideMark/>
          </w:tcPr>
          <w:p w14:paraId="0FA0DE72" w14:textId="77777777" w:rsidR="00C3650C" w:rsidRPr="00560702" w:rsidRDefault="00C3650C" w:rsidP="00C3650C">
            <w:pPr>
              <w:spacing w:after="0" w:line="240" w:lineRule="auto"/>
              <w:jc w:val="center"/>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2,850,195</w:t>
            </w:r>
          </w:p>
        </w:tc>
        <w:tc>
          <w:tcPr>
            <w:tcW w:w="1134" w:type="dxa"/>
            <w:tcBorders>
              <w:top w:val="nil"/>
              <w:left w:val="nil"/>
              <w:bottom w:val="nil"/>
              <w:right w:val="nil"/>
            </w:tcBorders>
            <w:shd w:val="clear" w:color="000000" w:fill="FFFFFF"/>
            <w:noWrap/>
            <w:vAlign w:val="bottom"/>
            <w:hideMark/>
          </w:tcPr>
          <w:p w14:paraId="29828213" w14:textId="77777777" w:rsidR="00C3650C" w:rsidRPr="00560702" w:rsidRDefault="00C3650C" w:rsidP="00C3650C">
            <w:pPr>
              <w:spacing w:after="0" w:line="240" w:lineRule="auto"/>
              <w:jc w:val="center"/>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608,101</w:t>
            </w:r>
          </w:p>
        </w:tc>
        <w:tc>
          <w:tcPr>
            <w:tcW w:w="1842" w:type="dxa"/>
            <w:tcBorders>
              <w:top w:val="nil"/>
              <w:left w:val="nil"/>
              <w:bottom w:val="nil"/>
              <w:right w:val="single" w:sz="4" w:space="0" w:color="auto"/>
            </w:tcBorders>
            <w:shd w:val="clear" w:color="000000" w:fill="FFFFFF"/>
            <w:noWrap/>
            <w:vAlign w:val="bottom"/>
            <w:hideMark/>
          </w:tcPr>
          <w:p w14:paraId="0EC4D165" w14:textId="77777777" w:rsidR="00C3650C" w:rsidRPr="00560702" w:rsidRDefault="00C3650C" w:rsidP="00C3650C">
            <w:pPr>
              <w:spacing w:after="0" w:line="240" w:lineRule="auto"/>
              <w:jc w:val="center"/>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330,553</w:t>
            </w:r>
          </w:p>
        </w:tc>
      </w:tr>
      <w:tr w:rsidR="00C3650C" w:rsidRPr="00BE6AA8" w14:paraId="79DF2B13" w14:textId="77777777" w:rsidTr="00BA5EF5">
        <w:trPr>
          <w:trHeight w:val="268"/>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6E97B9F5" w14:textId="77777777" w:rsidR="00C3650C" w:rsidRPr="00560702" w:rsidRDefault="00C3650C" w:rsidP="00C3650C">
            <w:pPr>
              <w:spacing w:after="0" w:line="240" w:lineRule="auto"/>
              <w:rPr>
                <w:rFonts w:ascii="Calibri" w:eastAsia="Times New Roman" w:hAnsi="Calibri" w:cs="Times New Roman"/>
                <w:b/>
                <w:bCs/>
                <w:color w:val="000000"/>
                <w:sz w:val="18"/>
                <w:szCs w:val="18"/>
                <w:lang w:eastAsia="en-AU"/>
              </w:rPr>
            </w:pPr>
          </w:p>
        </w:tc>
        <w:tc>
          <w:tcPr>
            <w:tcW w:w="4394" w:type="dxa"/>
            <w:tcBorders>
              <w:top w:val="nil"/>
              <w:left w:val="single" w:sz="4" w:space="0" w:color="auto"/>
              <w:bottom w:val="nil"/>
              <w:right w:val="nil"/>
            </w:tcBorders>
            <w:shd w:val="clear" w:color="000000" w:fill="FFFFFF"/>
            <w:noWrap/>
            <w:vAlign w:val="bottom"/>
            <w:hideMark/>
          </w:tcPr>
          <w:p w14:paraId="4DC5F14D" w14:textId="77777777" w:rsidR="00C3650C" w:rsidRPr="00560702" w:rsidRDefault="00C3650C" w:rsidP="00C3650C">
            <w:pPr>
              <w:spacing w:after="0" w:line="240" w:lineRule="auto"/>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Estimated practice time taken to register patients using self service</w:t>
            </w:r>
          </w:p>
        </w:tc>
        <w:tc>
          <w:tcPr>
            <w:tcW w:w="1276" w:type="dxa"/>
            <w:tcBorders>
              <w:top w:val="nil"/>
              <w:left w:val="nil"/>
              <w:bottom w:val="nil"/>
              <w:right w:val="nil"/>
            </w:tcBorders>
            <w:shd w:val="clear" w:color="000000" w:fill="FFFFFF"/>
            <w:noWrap/>
            <w:vAlign w:val="bottom"/>
            <w:hideMark/>
          </w:tcPr>
          <w:p w14:paraId="3DC6F635" w14:textId="77777777" w:rsidR="00C3650C" w:rsidRPr="00560702" w:rsidRDefault="00C3650C" w:rsidP="00C3650C">
            <w:pPr>
              <w:spacing w:after="0" w:line="240" w:lineRule="auto"/>
              <w:jc w:val="center"/>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0.03</w:t>
            </w:r>
          </w:p>
        </w:tc>
        <w:tc>
          <w:tcPr>
            <w:tcW w:w="1418" w:type="dxa"/>
            <w:tcBorders>
              <w:top w:val="nil"/>
              <w:left w:val="nil"/>
              <w:bottom w:val="nil"/>
              <w:right w:val="nil"/>
            </w:tcBorders>
            <w:shd w:val="clear" w:color="000000" w:fill="FFFFFF"/>
            <w:noWrap/>
            <w:vAlign w:val="bottom"/>
            <w:hideMark/>
          </w:tcPr>
          <w:p w14:paraId="14E023ED" w14:textId="77777777" w:rsidR="00C3650C" w:rsidRPr="00560702" w:rsidRDefault="00C3650C" w:rsidP="00C3650C">
            <w:pPr>
              <w:spacing w:after="0" w:line="240" w:lineRule="auto"/>
              <w:jc w:val="center"/>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0.03</w:t>
            </w:r>
          </w:p>
        </w:tc>
        <w:tc>
          <w:tcPr>
            <w:tcW w:w="1134" w:type="dxa"/>
            <w:tcBorders>
              <w:top w:val="nil"/>
              <w:left w:val="nil"/>
              <w:bottom w:val="nil"/>
              <w:right w:val="nil"/>
            </w:tcBorders>
            <w:shd w:val="clear" w:color="000000" w:fill="FFFFFF"/>
            <w:noWrap/>
            <w:vAlign w:val="bottom"/>
            <w:hideMark/>
          </w:tcPr>
          <w:p w14:paraId="75CEF850" w14:textId="77777777" w:rsidR="00C3650C" w:rsidRPr="00560702" w:rsidRDefault="00C3650C" w:rsidP="00C3650C">
            <w:pPr>
              <w:spacing w:after="0" w:line="240" w:lineRule="auto"/>
              <w:jc w:val="center"/>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0.03</w:t>
            </w:r>
          </w:p>
        </w:tc>
        <w:tc>
          <w:tcPr>
            <w:tcW w:w="1842" w:type="dxa"/>
            <w:tcBorders>
              <w:top w:val="nil"/>
              <w:left w:val="nil"/>
              <w:bottom w:val="nil"/>
              <w:right w:val="single" w:sz="4" w:space="0" w:color="auto"/>
            </w:tcBorders>
            <w:shd w:val="clear" w:color="000000" w:fill="FFFFFF"/>
            <w:noWrap/>
            <w:vAlign w:val="bottom"/>
            <w:hideMark/>
          </w:tcPr>
          <w:p w14:paraId="2018FE44" w14:textId="77777777" w:rsidR="00C3650C" w:rsidRPr="00560702" w:rsidRDefault="00C3650C" w:rsidP="00C3650C">
            <w:pPr>
              <w:spacing w:after="0" w:line="240" w:lineRule="auto"/>
              <w:jc w:val="center"/>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0.03</w:t>
            </w:r>
          </w:p>
        </w:tc>
      </w:tr>
      <w:tr w:rsidR="00C3650C" w:rsidRPr="00BE6AA8" w14:paraId="3A676518" w14:textId="77777777" w:rsidTr="00BA5EF5">
        <w:trPr>
          <w:trHeight w:val="285"/>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018476D6" w14:textId="77777777" w:rsidR="00C3650C" w:rsidRPr="00560702" w:rsidRDefault="00C3650C" w:rsidP="00C3650C">
            <w:pPr>
              <w:spacing w:after="0" w:line="240" w:lineRule="auto"/>
              <w:rPr>
                <w:rFonts w:ascii="Calibri" w:eastAsia="Times New Roman" w:hAnsi="Calibri" w:cs="Times New Roman"/>
                <w:b/>
                <w:bCs/>
                <w:color w:val="000000"/>
                <w:sz w:val="18"/>
                <w:szCs w:val="18"/>
                <w:lang w:eastAsia="en-AU"/>
              </w:rPr>
            </w:pPr>
          </w:p>
        </w:tc>
        <w:tc>
          <w:tcPr>
            <w:tcW w:w="4394" w:type="dxa"/>
            <w:tcBorders>
              <w:top w:val="nil"/>
              <w:left w:val="single" w:sz="4" w:space="0" w:color="auto"/>
              <w:bottom w:val="nil"/>
              <w:right w:val="nil"/>
            </w:tcBorders>
            <w:shd w:val="clear" w:color="000000" w:fill="FFFFFF"/>
            <w:noWrap/>
            <w:vAlign w:val="bottom"/>
            <w:hideMark/>
          </w:tcPr>
          <w:p w14:paraId="51CF97D4" w14:textId="77777777" w:rsidR="00C3650C" w:rsidRPr="00560702" w:rsidRDefault="00C3650C" w:rsidP="00C3650C">
            <w:pPr>
              <w:spacing w:after="0" w:line="240" w:lineRule="auto"/>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Staffing cost per hour</w:t>
            </w:r>
          </w:p>
        </w:tc>
        <w:tc>
          <w:tcPr>
            <w:tcW w:w="1276" w:type="dxa"/>
            <w:tcBorders>
              <w:top w:val="nil"/>
              <w:left w:val="nil"/>
              <w:bottom w:val="nil"/>
              <w:right w:val="nil"/>
            </w:tcBorders>
            <w:shd w:val="clear" w:color="000000" w:fill="FFFFFF"/>
            <w:noWrap/>
            <w:vAlign w:val="bottom"/>
            <w:hideMark/>
          </w:tcPr>
          <w:p w14:paraId="240080AD" w14:textId="77777777" w:rsidR="00C3650C" w:rsidRPr="00560702" w:rsidRDefault="00C3650C" w:rsidP="00C3650C">
            <w:pPr>
              <w:spacing w:after="0" w:line="240" w:lineRule="auto"/>
              <w:jc w:val="center"/>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$73.20</w:t>
            </w:r>
          </w:p>
        </w:tc>
        <w:tc>
          <w:tcPr>
            <w:tcW w:w="1418" w:type="dxa"/>
            <w:tcBorders>
              <w:top w:val="nil"/>
              <w:left w:val="nil"/>
              <w:bottom w:val="nil"/>
              <w:right w:val="nil"/>
            </w:tcBorders>
            <w:shd w:val="clear" w:color="000000" w:fill="FFFFFF"/>
            <w:noWrap/>
            <w:vAlign w:val="bottom"/>
            <w:hideMark/>
          </w:tcPr>
          <w:p w14:paraId="425537ED" w14:textId="77777777" w:rsidR="00C3650C" w:rsidRPr="00560702" w:rsidRDefault="00C3650C" w:rsidP="00C3650C">
            <w:pPr>
              <w:spacing w:after="0" w:line="240" w:lineRule="auto"/>
              <w:jc w:val="center"/>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$ 73.20</w:t>
            </w:r>
          </w:p>
        </w:tc>
        <w:tc>
          <w:tcPr>
            <w:tcW w:w="1134" w:type="dxa"/>
            <w:tcBorders>
              <w:top w:val="nil"/>
              <w:left w:val="nil"/>
              <w:bottom w:val="nil"/>
              <w:right w:val="nil"/>
            </w:tcBorders>
            <w:shd w:val="clear" w:color="000000" w:fill="FFFFFF"/>
            <w:noWrap/>
            <w:vAlign w:val="bottom"/>
            <w:hideMark/>
          </w:tcPr>
          <w:p w14:paraId="5A4F5916" w14:textId="77777777" w:rsidR="00C3650C" w:rsidRPr="00560702" w:rsidRDefault="00C3650C" w:rsidP="00C3650C">
            <w:pPr>
              <w:spacing w:after="0" w:line="240" w:lineRule="auto"/>
              <w:jc w:val="center"/>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$ 73.20</w:t>
            </w:r>
          </w:p>
        </w:tc>
        <w:tc>
          <w:tcPr>
            <w:tcW w:w="1842" w:type="dxa"/>
            <w:tcBorders>
              <w:top w:val="nil"/>
              <w:left w:val="nil"/>
              <w:bottom w:val="nil"/>
              <w:right w:val="single" w:sz="4" w:space="0" w:color="auto"/>
            </w:tcBorders>
            <w:shd w:val="clear" w:color="000000" w:fill="FFFFFF"/>
            <w:noWrap/>
            <w:vAlign w:val="bottom"/>
            <w:hideMark/>
          </w:tcPr>
          <w:p w14:paraId="3119809A" w14:textId="77777777" w:rsidR="00C3650C" w:rsidRPr="00560702" w:rsidRDefault="00C3650C" w:rsidP="00C3650C">
            <w:pPr>
              <w:spacing w:after="0" w:line="240" w:lineRule="auto"/>
              <w:jc w:val="center"/>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$73.20</w:t>
            </w:r>
          </w:p>
        </w:tc>
      </w:tr>
      <w:tr w:rsidR="00C3650C" w:rsidRPr="00BE6AA8" w14:paraId="21B2DAD1" w14:textId="77777777" w:rsidTr="00BA5EF5">
        <w:trPr>
          <w:trHeight w:val="262"/>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2B9E18B2" w14:textId="77777777" w:rsidR="00C3650C" w:rsidRPr="00560702" w:rsidRDefault="00C3650C" w:rsidP="00C3650C">
            <w:pPr>
              <w:spacing w:after="0" w:line="240" w:lineRule="auto"/>
              <w:rPr>
                <w:rFonts w:ascii="Calibri" w:eastAsia="Times New Roman" w:hAnsi="Calibri" w:cs="Times New Roman"/>
                <w:b/>
                <w:bCs/>
                <w:color w:val="000000"/>
                <w:sz w:val="18"/>
                <w:szCs w:val="18"/>
                <w:lang w:eastAsia="en-AU"/>
              </w:rPr>
            </w:pPr>
          </w:p>
        </w:tc>
        <w:tc>
          <w:tcPr>
            <w:tcW w:w="4394" w:type="dxa"/>
            <w:tcBorders>
              <w:top w:val="nil"/>
              <w:left w:val="single" w:sz="4" w:space="0" w:color="auto"/>
              <w:bottom w:val="nil"/>
              <w:right w:val="nil"/>
            </w:tcBorders>
            <w:shd w:val="clear" w:color="000000" w:fill="DDEBF7"/>
            <w:noWrap/>
            <w:vAlign w:val="bottom"/>
            <w:hideMark/>
          </w:tcPr>
          <w:p w14:paraId="6B26295F" w14:textId="77777777" w:rsidR="00C3650C" w:rsidRPr="00560702" w:rsidRDefault="00C3650C" w:rsidP="00C3650C">
            <w:pPr>
              <w:spacing w:after="0" w:line="240" w:lineRule="auto"/>
              <w:rPr>
                <w:rFonts w:ascii="Calibri" w:eastAsia="Times New Roman" w:hAnsi="Calibri" w:cs="Times New Roman"/>
                <w:b/>
                <w:bCs/>
                <w:color w:val="000000"/>
                <w:sz w:val="18"/>
                <w:szCs w:val="18"/>
                <w:lang w:eastAsia="en-AU"/>
              </w:rPr>
            </w:pPr>
            <w:r w:rsidRPr="00560702">
              <w:rPr>
                <w:rFonts w:ascii="Calibri" w:eastAsia="Times New Roman" w:hAnsi="Calibri" w:cs="Times New Roman"/>
                <w:b/>
                <w:bCs/>
                <w:color w:val="000000"/>
                <w:sz w:val="18"/>
                <w:szCs w:val="18"/>
                <w:lang w:eastAsia="en-AU"/>
              </w:rPr>
              <w:t>Sub Total - registering using self service</w:t>
            </w:r>
          </w:p>
        </w:tc>
        <w:tc>
          <w:tcPr>
            <w:tcW w:w="1276" w:type="dxa"/>
            <w:tcBorders>
              <w:top w:val="nil"/>
              <w:left w:val="nil"/>
              <w:bottom w:val="nil"/>
              <w:right w:val="nil"/>
            </w:tcBorders>
            <w:shd w:val="clear" w:color="000000" w:fill="DDEBF7"/>
            <w:noWrap/>
            <w:vAlign w:val="bottom"/>
            <w:hideMark/>
          </w:tcPr>
          <w:p w14:paraId="320E1102" w14:textId="77777777" w:rsidR="00C3650C" w:rsidRPr="00560702" w:rsidRDefault="00C3650C" w:rsidP="00C3650C">
            <w:pPr>
              <w:spacing w:after="0" w:line="240" w:lineRule="auto"/>
              <w:jc w:val="center"/>
              <w:rPr>
                <w:rFonts w:ascii="Calibri" w:eastAsia="Times New Roman" w:hAnsi="Calibri" w:cs="Times New Roman"/>
                <w:b/>
                <w:bCs/>
                <w:color w:val="000000"/>
                <w:sz w:val="18"/>
                <w:szCs w:val="18"/>
                <w:lang w:eastAsia="en-AU"/>
              </w:rPr>
            </w:pPr>
            <w:r w:rsidRPr="00560702">
              <w:rPr>
                <w:rFonts w:ascii="Calibri" w:eastAsia="Times New Roman" w:hAnsi="Calibri" w:cs="Times New Roman"/>
                <w:b/>
                <w:bCs/>
                <w:color w:val="000000"/>
                <w:sz w:val="18"/>
                <w:szCs w:val="18"/>
                <w:lang w:eastAsia="en-AU"/>
              </w:rPr>
              <w:t>$ 4,828,742</w:t>
            </w:r>
          </w:p>
        </w:tc>
        <w:tc>
          <w:tcPr>
            <w:tcW w:w="1418" w:type="dxa"/>
            <w:tcBorders>
              <w:top w:val="nil"/>
              <w:left w:val="nil"/>
              <w:bottom w:val="nil"/>
              <w:right w:val="nil"/>
            </w:tcBorders>
            <w:shd w:val="clear" w:color="000000" w:fill="DDEBF7"/>
            <w:noWrap/>
            <w:vAlign w:val="bottom"/>
            <w:hideMark/>
          </w:tcPr>
          <w:p w14:paraId="60AF37FE" w14:textId="77777777" w:rsidR="00C3650C" w:rsidRPr="00560702" w:rsidRDefault="00C3650C" w:rsidP="00C3650C">
            <w:pPr>
              <w:spacing w:after="0" w:line="240" w:lineRule="auto"/>
              <w:jc w:val="center"/>
              <w:rPr>
                <w:rFonts w:ascii="Calibri" w:eastAsia="Times New Roman" w:hAnsi="Calibri" w:cs="Times New Roman"/>
                <w:b/>
                <w:bCs/>
                <w:color w:val="000000"/>
                <w:sz w:val="18"/>
                <w:szCs w:val="18"/>
                <w:lang w:eastAsia="en-AU"/>
              </w:rPr>
            </w:pPr>
            <w:r w:rsidRPr="00560702">
              <w:rPr>
                <w:rFonts w:ascii="Calibri" w:eastAsia="Times New Roman" w:hAnsi="Calibri" w:cs="Times New Roman"/>
                <w:b/>
                <w:bCs/>
                <w:color w:val="000000"/>
                <w:sz w:val="18"/>
                <w:szCs w:val="18"/>
                <w:lang w:eastAsia="en-AU"/>
              </w:rPr>
              <w:t>$ 6,954,475</w:t>
            </w:r>
          </w:p>
        </w:tc>
        <w:tc>
          <w:tcPr>
            <w:tcW w:w="1134" w:type="dxa"/>
            <w:tcBorders>
              <w:top w:val="nil"/>
              <w:left w:val="nil"/>
              <w:bottom w:val="nil"/>
              <w:right w:val="nil"/>
            </w:tcBorders>
            <w:shd w:val="clear" w:color="000000" w:fill="DDEBF7"/>
            <w:noWrap/>
            <w:vAlign w:val="bottom"/>
            <w:hideMark/>
          </w:tcPr>
          <w:p w14:paraId="3D03E2F1" w14:textId="77777777" w:rsidR="00C3650C" w:rsidRPr="00560702" w:rsidRDefault="00C3650C" w:rsidP="00C3650C">
            <w:pPr>
              <w:spacing w:after="0" w:line="240" w:lineRule="auto"/>
              <w:jc w:val="center"/>
              <w:rPr>
                <w:rFonts w:ascii="Calibri" w:eastAsia="Times New Roman" w:hAnsi="Calibri" w:cs="Times New Roman"/>
                <w:b/>
                <w:bCs/>
                <w:color w:val="000000"/>
                <w:sz w:val="18"/>
                <w:szCs w:val="18"/>
                <w:lang w:eastAsia="en-AU"/>
              </w:rPr>
            </w:pPr>
            <w:r w:rsidRPr="00560702">
              <w:rPr>
                <w:rFonts w:ascii="Calibri" w:eastAsia="Times New Roman" w:hAnsi="Calibri" w:cs="Times New Roman"/>
                <w:b/>
                <w:bCs/>
                <w:color w:val="000000"/>
                <w:sz w:val="18"/>
                <w:szCs w:val="18"/>
                <w:lang w:eastAsia="en-AU"/>
              </w:rPr>
              <w:t>$ 1,483,765</w:t>
            </w:r>
          </w:p>
        </w:tc>
        <w:tc>
          <w:tcPr>
            <w:tcW w:w="1842" w:type="dxa"/>
            <w:tcBorders>
              <w:top w:val="nil"/>
              <w:left w:val="nil"/>
              <w:bottom w:val="nil"/>
              <w:right w:val="single" w:sz="4" w:space="0" w:color="auto"/>
            </w:tcBorders>
            <w:shd w:val="clear" w:color="000000" w:fill="DDEBF7"/>
            <w:noWrap/>
            <w:vAlign w:val="bottom"/>
            <w:hideMark/>
          </w:tcPr>
          <w:p w14:paraId="5925FEF5" w14:textId="77777777" w:rsidR="00C3650C" w:rsidRPr="00560702" w:rsidRDefault="00C3650C" w:rsidP="00C3650C">
            <w:pPr>
              <w:spacing w:after="0" w:line="240" w:lineRule="auto"/>
              <w:jc w:val="center"/>
              <w:rPr>
                <w:rFonts w:ascii="Calibri" w:eastAsia="Times New Roman" w:hAnsi="Calibri" w:cs="Times New Roman"/>
                <w:b/>
                <w:bCs/>
                <w:color w:val="000000"/>
                <w:sz w:val="18"/>
                <w:szCs w:val="18"/>
                <w:lang w:eastAsia="en-AU"/>
              </w:rPr>
            </w:pPr>
            <w:r w:rsidRPr="00560702">
              <w:rPr>
                <w:rFonts w:ascii="Calibri" w:eastAsia="Times New Roman" w:hAnsi="Calibri" w:cs="Times New Roman"/>
                <w:b/>
                <w:bCs/>
                <w:color w:val="000000"/>
                <w:sz w:val="18"/>
                <w:szCs w:val="18"/>
                <w:lang w:eastAsia="en-AU"/>
              </w:rPr>
              <w:t>$ 806,549</w:t>
            </w:r>
          </w:p>
        </w:tc>
      </w:tr>
      <w:tr w:rsidR="00C3650C" w:rsidRPr="00BE6AA8" w14:paraId="5C2A21EB" w14:textId="77777777" w:rsidTr="00BA5EF5">
        <w:trPr>
          <w:trHeight w:val="266"/>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65814749" w14:textId="77777777" w:rsidR="00C3650C" w:rsidRPr="00560702" w:rsidRDefault="00C3650C" w:rsidP="00C3650C">
            <w:pPr>
              <w:spacing w:after="0" w:line="240" w:lineRule="auto"/>
              <w:rPr>
                <w:rFonts w:ascii="Calibri" w:eastAsia="Times New Roman" w:hAnsi="Calibri" w:cs="Times New Roman"/>
                <w:b/>
                <w:bCs/>
                <w:color w:val="000000"/>
                <w:sz w:val="18"/>
                <w:szCs w:val="18"/>
                <w:lang w:eastAsia="en-AU"/>
              </w:rPr>
            </w:pPr>
          </w:p>
        </w:tc>
        <w:tc>
          <w:tcPr>
            <w:tcW w:w="4394" w:type="dxa"/>
            <w:tcBorders>
              <w:top w:val="nil"/>
              <w:left w:val="single" w:sz="4" w:space="0" w:color="auto"/>
              <w:bottom w:val="single" w:sz="4" w:space="0" w:color="auto"/>
              <w:right w:val="nil"/>
            </w:tcBorders>
            <w:shd w:val="clear" w:color="000000" w:fill="DDEBF7"/>
            <w:noWrap/>
            <w:vAlign w:val="bottom"/>
            <w:hideMark/>
          </w:tcPr>
          <w:p w14:paraId="2B98A0AD" w14:textId="77777777" w:rsidR="00C3650C" w:rsidRPr="00560702" w:rsidRDefault="00C3650C" w:rsidP="00C3650C">
            <w:pPr>
              <w:spacing w:after="0" w:line="240" w:lineRule="auto"/>
              <w:rPr>
                <w:rFonts w:ascii="Calibri" w:eastAsia="Times New Roman" w:hAnsi="Calibri" w:cs="Times New Roman"/>
                <w:b/>
                <w:bCs/>
                <w:color w:val="000000"/>
                <w:sz w:val="18"/>
                <w:szCs w:val="18"/>
                <w:lang w:eastAsia="en-AU"/>
              </w:rPr>
            </w:pPr>
            <w:r w:rsidRPr="00560702">
              <w:rPr>
                <w:rFonts w:ascii="Calibri" w:eastAsia="Times New Roman" w:hAnsi="Calibri" w:cs="Times New Roman"/>
                <w:b/>
                <w:bCs/>
                <w:color w:val="000000"/>
                <w:sz w:val="18"/>
                <w:szCs w:val="18"/>
                <w:lang w:eastAsia="en-AU"/>
              </w:rPr>
              <w:t>Total</w:t>
            </w:r>
          </w:p>
        </w:tc>
        <w:tc>
          <w:tcPr>
            <w:tcW w:w="1276" w:type="dxa"/>
            <w:tcBorders>
              <w:top w:val="nil"/>
              <w:left w:val="nil"/>
              <w:bottom w:val="single" w:sz="4" w:space="0" w:color="auto"/>
              <w:right w:val="nil"/>
            </w:tcBorders>
            <w:shd w:val="clear" w:color="000000" w:fill="DDEBF7"/>
            <w:noWrap/>
            <w:vAlign w:val="bottom"/>
            <w:hideMark/>
          </w:tcPr>
          <w:p w14:paraId="1958C891" w14:textId="77777777" w:rsidR="00C3650C" w:rsidRPr="00560702" w:rsidRDefault="00C3650C" w:rsidP="00C3650C">
            <w:pPr>
              <w:spacing w:after="0" w:line="240" w:lineRule="auto"/>
              <w:jc w:val="center"/>
              <w:rPr>
                <w:rFonts w:ascii="Calibri" w:eastAsia="Times New Roman" w:hAnsi="Calibri" w:cs="Times New Roman"/>
                <w:b/>
                <w:bCs/>
                <w:color w:val="000000"/>
                <w:sz w:val="18"/>
                <w:szCs w:val="18"/>
                <w:lang w:eastAsia="en-AU"/>
              </w:rPr>
            </w:pPr>
            <w:r w:rsidRPr="00560702">
              <w:rPr>
                <w:rFonts w:ascii="Calibri" w:eastAsia="Times New Roman" w:hAnsi="Calibri" w:cs="Times New Roman"/>
                <w:b/>
                <w:bCs/>
                <w:color w:val="000000"/>
                <w:sz w:val="18"/>
                <w:szCs w:val="18"/>
                <w:lang w:eastAsia="en-AU"/>
              </w:rPr>
              <w:t>$ 16,900,596</w:t>
            </w:r>
          </w:p>
        </w:tc>
        <w:tc>
          <w:tcPr>
            <w:tcW w:w="1418" w:type="dxa"/>
            <w:tcBorders>
              <w:top w:val="nil"/>
              <w:left w:val="nil"/>
              <w:bottom w:val="single" w:sz="4" w:space="0" w:color="auto"/>
              <w:right w:val="nil"/>
            </w:tcBorders>
            <w:shd w:val="clear" w:color="000000" w:fill="DDEBF7"/>
            <w:noWrap/>
            <w:vAlign w:val="bottom"/>
            <w:hideMark/>
          </w:tcPr>
          <w:p w14:paraId="7E133398" w14:textId="77777777" w:rsidR="00C3650C" w:rsidRPr="00560702" w:rsidRDefault="00C3650C" w:rsidP="00C3650C">
            <w:pPr>
              <w:spacing w:after="0" w:line="240" w:lineRule="auto"/>
              <w:jc w:val="center"/>
              <w:rPr>
                <w:rFonts w:ascii="Calibri" w:eastAsia="Times New Roman" w:hAnsi="Calibri" w:cs="Times New Roman"/>
                <w:b/>
                <w:bCs/>
                <w:color w:val="000000"/>
                <w:sz w:val="18"/>
                <w:szCs w:val="18"/>
                <w:lang w:eastAsia="en-AU"/>
              </w:rPr>
            </w:pPr>
            <w:r w:rsidRPr="00560702">
              <w:rPr>
                <w:rFonts w:ascii="Calibri" w:eastAsia="Times New Roman" w:hAnsi="Calibri" w:cs="Times New Roman"/>
                <w:b/>
                <w:bCs/>
                <w:color w:val="000000"/>
                <w:sz w:val="18"/>
                <w:szCs w:val="18"/>
                <w:lang w:eastAsia="en-AU"/>
              </w:rPr>
              <w:t>$ 24,340,661</w:t>
            </w:r>
          </w:p>
        </w:tc>
        <w:tc>
          <w:tcPr>
            <w:tcW w:w="1134" w:type="dxa"/>
            <w:tcBorders>
              <w:top w:val="nil"/>
              <w:left w:val="nil"/>
              <w:bottom w:val="single" w:sz="4" w:space="0" w:color="auto"/>
              <w:right w:val="nil"/>
            </w:tcBorders>
            <w:shd w:val="clear" w:color="000000" w:fill="DDEBF7"/>
            <w:noWrap/>
            <w:vAlign w:val="bottom"/>
            <w:hideMark/>
          </w:tcPr>
          <w:p w14:paraId="41AF5504" w14:textId="77777777" w:rsidR="00C3650C" w:rsidRPr="00560702" w:rsidRDefault="00C3650C" w:rsidP="00C3650C">
            <w:pPr>
              <w:spacing w:after="0" w:line="240" w:lineRule="auto"/>
              <w:jc w:val="center"/>
              <w:rPr>
                <w:rFonts w:ascii="Calibri" w:eastAsia="Times New Roman" w:hAnsi="Calibri" w:cs="Times New Roman"/>
                <w:b/>
                <w:bCs/>
                <w:color w:val="000000"/>
                <w:sz w:val="18"/>
                <w:szCs w:val="18"/>
                <w:lang w:eastAsia="en-AU"/>
              </w:rPr>
            </w:pPr>
            <w:r w:rsidRPr="00560702">
              <w:rPr>
                <w:rFonts w:ascii="Calibri" w:eastAsia="Times New Roman" w:hAnsi="Calibri" w:cs="Times New Roman"/>
                <w:b/>
                <w:bCs/>
                <w:color w:val="000000"/>
                <w:sz w:val="18"/>
                <w:szCs w:val="18"/>
                <w:lang w:eastAsia="en-AU"/>
              </w:rPr>
              <w:t>$ 5,193,178</w:t>
            </w:r>
          </w:p>
        </w:tc>
        <w:tc>
          <w:tcPr>
            <w:tcW w:w="1842" w:type="dxa"/>
            <w:tcBorders>
              <w:top w:val="nil"/>
              <w:left w:val="nil"/>
              <w:bottom w:val="single" w:sz="4" w:space="0" w:color="auto"/>
              <w:right w:val="single" w:sz="4" w:space="0" w:color="auto"/>
            </w:tcBorders>
            <w:shd w:val="clear" w:color="000000" w:fill="DDEBF7"/>
            <w:noWrap/>
            <w:vAlign w:val="bottom"/>
            <w:hideMark/>
          </w:tcPr>
          <w:p w14:paraId="7E5D4B99" w14:textId="77777777" w:rsidR="00C3650C" w:rsidRPr="00560702" w:rsidRDefault="00C3650C" w:rsidP="00C3650C">
            <w:pPr>
              <w:spacing w:after="0" w:line="240" w:lineRule="auto"/>
              <w:jc w:val="center"/>
              <w:rPr>
                <w:rFonts w:ascii="Calibri" w:eastAsia="Times New Roman" w:hAnsi="Calibri" w:cs="Times New Roman"/>
                <w:b/>
                <w:bCs/>
                <w:color w:val="000000"/>
                <w:sz w:val="18"/>
                <w:szCs w:val="18"/>
                <w:lang w:eastAsia="en-AU"/>
              </w:rPr>
            </w:pPr>
            <w:r w:rsidRPr="00560702">
              <w:rPr>
                <w:rFonts w:ascii="Calibri" w:eastAsia="Times New Roman" w:hAnsi="Calibri" w:cs="Times New Roman"/>
                <w:b/>
                <w:bCs/>
                <w:color w:val="000000"/>
                <w:sz w:val="18"/>
                <w:szCs w:val="18"/>
                <w:lang w:eastAsia="en-AU"/>
              </w:rPr>
              <w:t xml:space="preserve"> $2,822,923</w:t>
            </w:r>
          </w:p>
        </w:tc>
      </w:tr>
      <w:tr w:rsidR="00C3650C" w:rsidRPr="00BE6AA8" w14:paraId="75034F39" w14:textId="77777777" w:rsidTr="00BA5EF5">
        <w:trPr>
          <w:trHeight w:val="290"/>
        </w:trPr>
        <w:tc>
          <w:tcPr>
            <w:tcW w:w="1276"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57641F98" w14:textId="77777777" w:rsidR="00C3650C" w:rsidRPr="00560702" w:rsidRDefault="00C3650C" w:rsidP="00C3650C">
            <w:pPr>
              <w:spacing w:after="0" w:line="240" w:lineRule="auto"/>
              <w:jc w:val="center"/>
              <w:rPr>
                <w:rFonts w:ascii="Calibri" w:eastAsia="Times New Roman" w:hAnsi="Calibri" w:cs="Times New Roman"/>
                <w:b/>
                <w:bCs/>
                <w:color w:val="000000"/>
                <w:sz w:val="18"/>
                <w:szCs w:val="18"/>
                <w:lang w:eastAsia="en-AU"/>
              </w:rPr>
            </w:pPr>
            <w:r w:rsidRPr="00560702">
              <w:rPr>
                <w:rFonts w:ascii="Calibri" w:eastAsia="Times New Roman" w:hAnsi="Calibri" w:cs="Times New Roman"/>
                <w:b/>
                <w:bCs/>
                <w:color w:val="000000"/>
                <w:sz w:val="18"/>
                <w:szCs w:val="18"/>
                <w:lang w:eastAsia="en-AU"/>
              </w:rPr>
              <w:t>Process, procedures, training</w:t>
            </w:r>
          </w:p>
        </w:tc>
        <w:tc>
          <w:tcPr>
            <w:tcW w:w="4394" w:type="dxa"/>
            <w:tcBorders>
              <w:top w:val="nil"/>
              <w:left w:val="single" w:sz="4" w:space="0" w:color="auto"/>
              <w:bottom w:val="nil"/>
              <w:right w:val="nil"/>
            </w:tcBorders>
            <w:shd w:val="clear" w:color="000000" w:fill="FFFFFF"/>
            <w:noWrap/>
            <w:vAlign w:val="bottom"/>
            <w:hideMark/>
          </w:tcPr>
          <w:p w14:paraId="371CE149" w14:textId="77777777" w:rsidR="00C3650C" w:rsidRPr="00560702" w:rsidRDefault="00C3650C" w:rsidP="00C3650C">
            <w:pPr>
              <w:spacing w:after="0" w:line="240" w:lineRule="auto"/>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 xml:space="preserve">Number of new practices expected to be participating </w:t>
            </w:r>
          </w:p>
        </w:tc>
        <w:tc>
          <w:tcPr>
            <w:tcW w:w="1276" w:type="dxa"/>
            <w:tcBorders>
              <w:top w:val="nil"/>
              <w:left w:val="nil"/>
              <w:bottom w:val="nil"/>
              <w:right w:val="nil"/>
            </w:tcBorders>
            <w:shd w:val="clear" w:color="000000" w:fill="FFFFFF"/>
            <w:noWrap/>
            <w:vAlign w:val="bottom"/>
            <w:hideMark/>
          </w:tcPr>
          <w:p w14:paraId="69FB89E7" w14:textId="77777777" w:rsidR="00C3650C" w:rsidRPr="00560702" w:rsidRDefault="00C3650C" w:rsidP="00C3650C">
            <w:pPr>
              <w:spacing w:after="0" w:line="240" w:lineRule="auto"/>
              <w:jc w:val="center"/>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5,580</w:t>
            </w:r>
          </w:p>
        </w:tc>
        <w:tc>
          <w:tcPr>
            <w:tcW w:w="1418" w:type="dxa"/>
            <w:tcBorders>
              <w:top w:val="nil"/>
              <w:left w:val="nil"/>
              <w:bottom w:val="nil"/>
              <w:right w:val="nil"/>
            </w:tcBorders>
            <w:shd w:val="clear" w:color="000000" w:fill="FFFFFF"/>
            <w:noWrap/>
            <w:vAlign w:val="bottom"/>
            <w:hideMark/>
          </w:tcPr>
          <w:p w14:paraId="71E661B2" w14:textId="77777777" w:rsidR="00C3650C" w:rsidRPr="00560702" w:rsidRDefault="00C3650C" w:rsidP="00C3650C">
            <w:pPr>
              <w:spacing w:after="0" w:line="240" w:lineRule="auto"/>
              <w:jc w:val="center"/>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1,196</w:t>
            </w:r>
          </w:p>
        </w:tc>
        <w:tc>
          <w:tcPr>
            <w:tcW w:w="1134" w:type="dxa"/>
            <w:tcBorders>
              <w:top w:val="nil"/>
              <w:left w:val="nil"/>
              <w:bottom w:val="nil"/>
              <w:right w:val="nil"/>
            </w:tcBorders>
            <w:shd w:val="clear" w:color="000000" w:fill="FFFFFF"/>
            <w:noWrap/>
            <w:vAlign w:val="bottom"/>
            <w:hideMark/>
          </w:tcPr>
          <w:p w14:paraId="2E3ED064" w14:textId="77777777" w:rsidR="00C3650C" w:rsidRPr="00560702" w:rsidRDefault="00C3650C" w:rsidP="00C3650C">
            <w:pPr>
              <w:spacing w:after="0" w:line="240" w:lineRule="auto"/>
              <w:jc w:val="center"/>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797</w:t>
            </w:r>
          </w:p>
        </w:tc>
        <w:tc>
          <w:tcPr>
            <w:tcW w:w="1842" w:type="dxa"/>
            <w:tcBorders>
              <w:top w:val="nil"/>
              <w:left w:val="nil"/>
              <w:bottom w:val="nil"/>
              <w:right w:val="single" w:sz="4" w:space="0" w:color="auto"/>
            </w:tcBorders>
            <w:shd w:val="clear" w:color="000000" w:fill="FFFFFF"/>
            <w:noWrap/>
            <w:vAlign w:val="bottom"/>
            <w:hideMark/>
          </w:tcPr>
          <w:p w14:paraId="3ACD675E" w14:textId="77777777" w:rsidR="00C3650C" w:rsidRPr="00560702" w:rsidRDefault="00C3650C" w:rsidP="00C3650C">
            <w:pPr>
              <w:spacing w:after="0" w:line="240" w:lineRule="auto"/>
              <w:jc w:val="center"/>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797</w:t>
            </w:r>
          </w:p>
        </w:tc>
      </w:tr>
      <w:tr w:rsidR="00C3650C" w:rsidRPr="00BE6AA8" w14:paraId="3F99ACE1" w14:textId="77777777" w:rsidTr="00BA5EF5">
        <w:trPr>
          <w:trHeight w:val="290"/>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1B0321E4" w14:textId="77777777" w:rsidR="00C3650C" w:rsidRPr="00560702" w:rsidRDefault="00C3650C" w:rsidP="00C3650C">
            <w:pPr>
              <w:spacing w:after="0" w:line="240" w:lineRule="auto"/>
              <w:rPr>
                <w:rFonts w:ascii="Calibri" w:eastAsia="Times New Roman" w:hAnsi="Calibri" w:cs="Times New Roman"/>
                <w:b/>
                <w:bCs/>
                <w:color w:val="000000"/>
                <w:sz w:val="18"/>
                <w:szCs w:val="18"/>
                <w:lang w:eastAsia="en-AU"/>
              </w:rPr>
            </w:pPr>
          </w:p>
        </w:tc>
        <w:tc>
          <w:tcPr>
            <w:tcW w:w="4394" w:type="dxa"/>
            <w:tcBorders>
              <w:top w:val="nil"/>
              <w:left w:val="single" w:sz="4" w:space="0" w:color="auto"/>
              <w:bottom w:val="nil"/>
              <w:right w:val="nil"/>
            </w:tcBorders>
            <w:shd w:val="clear" w:color="000000" w:fill="FFFFFF"/>
            <w:noWrap/>
            <w:vAlign w:val="bottom"/>
            <w:hideMark/>
          </w:tcPr>
          <w:p w14:paraId="6237D5C2" w14:textId="77777777" w:rsidR="00C3650C" w:rsidRPr="00560702" w:rsidRDefault="00C3650C" w:rsidP="00C3650C">
            <w:pPr>
              <w:spacing w:after="0" w:line="240" w:lineRule="auto"/>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Number of practices expected to be setting up - not on Organisation Register</w:t>
            </w:r>
          </w:p>
        </w:tc>
        <w:tc>
          <w:tcPr>
            <w:tcW w:w="1276" w:type="dxa"/>
            <w:tcBorders>
              <w:top w:val="nil"/>
              <w:left w:val="nil"/>
              <w:bottom w:val="nil"/>
              <w:right w:val="nil"/>
            </w:tcBorders>
            <w:shd w:val="clear" w:color="000000" w:fill="FFFFFF"/>
            <w:noWrap/>
            <w:vAlign w:val="bottom"/>
            <w:hideMark/>
          </w:tcPr>
          <w:p w14:paraId="13105A95" w14:textId="77777777" w:rsidR="00C3650C" w:rsidRPr="00560702" w:rsidRDefault="00C3650C" w:rsidP="00C3650C">
            <w:pPr>
              <w:spacing w:after="0" w:line="240" w:lineRule="auto"/>
              <w:jc w:val="center"/>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3,263</w:t>
            </w:r>
          </w:p>
        </w:tc>
        <w:tc>
          <w:tcPr>
            <w:tcW w:w="1418" w:type="dxa"/>
            <w:tcBorders>
              <w:top w:val="nil"/>
              <w:left w:val="nil"/>
              <w:bottom w:val="nil"/>
              <w:right w:val="nil"/>
            </w:tcBorders>
            <w:shd w:val="clear" w:color="000000" w:fill="FFFFFF"/>
            <w:noWrap/>
            <w:vAlign w:val="bottom"/>
            <w:hideMark/>
          </w:tcPr>
          <w:p w14:paraId="756FB734" w14:textId="77777777" w:rsidR="00C3650C" w:rsidRPr="00560702" w:rsidRDefault="00C3650C" w:rsidP="00C3650C">
            <w:pPr>
              <w:spacing w:after="0" w:line="240" w:lineRule="auto"/>
              <w:jc w:val="center"/>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1,196</w:t>
            </w:r>
          </w:p>
        </w:tc>
        <w:tc>
          <w:tcPr>
            <w:tcW w:w="1134" w:type="dxa"/>
            <w:tcBorders>
              <w:top w:val="nil"/>
              <w:left w:val="nil"/>
              <w:bottom w:val="nil"/>
              <w:right w:val="nil"/>
            </w:tcBorders>
            <w:shd w:val="clear" w:color="000000" w:fill="FFFFFF"/>
            <w:noWrap/>
            <w:vAlign w:val="bottom"/>
            <w:hideMark/>
          </w:tcPr>
          <w:p w14:paraId="59D4451E" w14:textId="77777777" w:rsidR="00C3650C" w:rsidRPr="00560702" w:rsidRDefault="00C3650C" w:rsidP="00C3650C">
            <w:pPr>
              <w:spacing w:after="0" w:line="240" w:lineRule="auto"/>
              <w:jc w:val="center"/>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797</w:t>
            </w:r>
          </w:p>
        </w:tc>
        <w:tc>
          <w:tcPr>
            <w:tcW w:w="1842" w:type="dxa"/>
            <w:tcBorders>
              <w:top w:val="nil"/>
              <w:left w:val="nil"/>
              <w:bottom w:val="nil"/>
              <w:right w:val="single" w:sz="4" w:space="0" w:color="auto"/>
            </w:tcBorders>
            <w:shd w:val="clear" w:color="000000" w:fill="FFFFFF"/>
            <w:noWrap/>
            <w:vAlign w:val="bottom"/>
            <w:hideMark/>
          </w:tcPr>
          <w:p w14:paraId="3F6C7A39" w14:textId="77777777" w:rsidR="00C3650C" w:rsidRPr="00560702" w:rsidRDefault="00C3650C" w:rsidP="00C3650C">
            <w:pPr>
              <w:spacing w:after="0" w:line="240" w:lineRule="auto"/>
              <w:jc w:val="center"/>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797</w:t>
            </w:r>
          </w:p>
        </w:tc>
      </w:tr>
      <w:tr w:rsidR="00C3650C" w:rsidRPr="00BE6AA8" w14:paraId="5FFB37CF" w14:textId="77777777" w:rsidTr="00BA5EF5">
        <w:trPr>
          <w:trHeight w:val="290"/>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058A1B38" w14:textId="77777777" w:rsidR="00C3650C" w:rsidRPr="00560702" w:rsidRDefault="00C3650C" w:rsidP="00C3650C">
            <w:pPr>
              <w:spacing w:after="0" w:line="240" w:lineRule="auto"/>
              <w:rPr>
                <w:rFonts w:ascii="Calibri" w:eastAsia="Times New Roman" w:hAnsi="Calibri" w:cs="Times New Roman"/>
                <w:b/>
                <w:bCs/>
                <w:color w:val="000000"/>
                <w:sz w:val="18"/>
                <w:szCs w:val="18"/>
                <w:lang w:eastAsia="en-AU"/>
              </w:rPr>
            </w:pPr>
          </w:p>
        </w:tc>
        <w:tc>
          <w:tcPr>
            <w:tcW w:w="4394" w:type="dxa"/>
            <w:tcBorders>
              <w:top w:val="nil"/>
              <w:left w:val="single" w:sz="4" w:space="0" w:color="auto"/>
              <w:bottom w:val="nil"/>
              <w:right w:val="nil"/>
            </w:tcBorders>
            <w:shd w:val="clear" w:color="000000" w:fill="FFFFFF"/>
            <w:noWrap/>
            <w:vAlign w:val="bottom"/>
            <w:hideMark/>
          </w:tcPr>
          <w:p w14:paraId="1E42E0E7" w14:textId="77777777" w:rsidR="00C3650C" w:rsidRPr="00560702" w:rsidRDefault="00C3650C" w:rsidP="00C3650C">
            <w:pPr>
              <w:spacing w:after="0" w:line="240" w:lineRule="auto"/>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Number of hours spent on process, procedures and training - not on Organisation Register</w:t>
            </w:r>
          </w:p>
        </w:tc>
        <w:tc>
          <w:tcPr>
            <w:tcW w:w="1276" w:type="dxa"/>
            <w:tcBorders>
              <w:top w:val="nil"/>
              <w:left w:val="nil"/>
              <w:bottom w:val="nil"/>
              <w:right w:val="nil"/>
            </w:tcBorders>
            <w:shd w:val="clear" w:color="000000" w:fill="FFFFFF"/>
            <w:noWrap/>
            <w:vAlign w:val="bottom"/>
            <w:hideMark/>
          </w:tcPr>
          <w:p w14:paraId="06BAC22E" w14:textId="77777777" w:rsidR="00C3650C" w:rsidRPr="00560702" w:rsidRDefault="00C3650C" w:rsidP="00C3650C">
            <w:pPr>
              <w:spacing w:after="0" w:line="240" w:lineRule="auto"/>
              <w:jc w:val="center"/>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7.5</w:t>
            </w:r>
          </w:p>
        </w:tc>
        <w:tc>
          <w:tcPr>
            <w:tcW w:w="1418" w:type="dxa"/>
            <w:tcBorders>
              <w:top w:val="nil"/>
              <w:left w:val="nil"/>
              <w:bottom w:val="nil"/>
              <w:right w:val="nil"/>
            </w:tcBorders>
            <w:shd w:val="clear" w:color="000000" w:fill="FFFFFF"/>
            <w:noWrap/>
            <w:vAlign w:val="bottom"/>
            <w:hideMark/>
          </w:tcPr>
          <w:p w14:paraId="45B82465" w14:textId="77777777" w:rsidR="00C3650C" w:rsidRPr="00560702" w:rsidRDefault="00C3650C" w:rsidP="00C3650C">
            <w:pPr>
              <w:spacing w:after="0" w:line="240" w:lineRule="auto"/>
              <w:jc w:val="center"/>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7.5</w:t>
            </w:r>
          </w:p>
        </w:tc>
        <w:tc>
          <w:tcPr>
            <w:tcW w:w="1134" w:type="dxa"/>
            <w:tcBorders>
              <w:top w:val="nil"/>
              <w:left w:val="nil"/>
              <w:bottom w:val="nil"/>
              <w:right w:val="nil"/>
            </w:tcBorders>
            <w:shd w:val="clear" w:color="000000" w:fill="FFFFFF"/>
            <w:noWrap/>
            <w:vAlign w:val="bottom"/>
            <w:hideMark/>
          </w:tcPr>
          <w:p w14:paraId="44590DAF" w14:textId="77777777" w:rsidR="00C3650C" w:rsidRPr="00560702" w:rsidRDefault="00C3650C" w:rsidP="00C3650C">
            <w:pPr>
              <w:spacing w:after="0" w:line="240" w:lineRule="auto"/>
              <w:jc w:val="center"/>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7.5</w:t>
            </w:r>
          </w:p>
        </w:tc>
        <w:tc>
          <w:tcPr>
            <w:tcW w:w="1842" w:type="dxa"/>
            <w:tcBorders>
              <w:top w:val="nil"/>
              <w:left w:val="nil"/>
              <w:bottom w:val="nil"/>
              <w:right w:val="single" w:sz="4" w:space="0" w:color="auto"/>
            </w:tcBorders>
            <w:shd w:val="clear" w:color="000000" w:fill="FFFFFF"/>
            <w:noWrap/>
            <w:vAlign w:val="bottom"/>
            <w:hideMark/>
          </w:tcPr>
          <w:p w14:paraId="276EC7FF" w14:textId="77777777" w:rsidR="00C3650C" w:rsidRPr="00560702" w:rsidRDefault="00C3650C" w:rsidP="00C3650C">
            <w:pPr>
              <w:spacing w:after="0" w:line="240" w:lineRule="auto"/>
              <w:jc w:val="center"/>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7.5</w:t>
            </w:r>
          </w:p>
        </w:tc>
      </w:tr>
      <w:tr w:rsidR="00C3650C" w:rsidRPr="00BE6AA8" w14:paraId="00A3CD05" w14:textId="77777777" w:rsidTr="00BA5EF5">
        <w:trPr>
          <w:trHeight w:val="290"/>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4398E68D" w14:textId="77777777" w:rsidR="00C3650C" w:rsidRPr="00560702" w:rsidRDefault="00C3650C" w:rsidP="00C3650C">
            <w:pPr>
              <w:spacing w:after="0" w:line="240" w:lineRule="auto"/>
              <w:rPr>
                <w:rFonts w:ascii="Calibri" w:eastAsia="Times New Roman" w:hAnsi="Calibri" w:cs="Times New Roman"/>
                <w:b/>
                <w:bCs/>
                <w:color w:val="000000"/>
                <w:sz w:val="18"/>
                <w:szCs w:val="18"/>
                <w:lang w:eastAsia="en-AU"/>
              </w:rPr>
            </w:pPr>
          </w:p>
        </w:tc>
        <w:tc>
          <w:tcPr>
            <w:tcW w:w="4394" w:type="dxa"/>
            <w:tcBorders>
              <w:top w:val="nil"/>
              <w:left w:val="single" w:sz="4" w:space="0" w:color="auto"/>
              <w:right w:val="nil"/>
            </w:tcBorders>
            <w:shd w:val="clear" w:color="000000" w:fill="FFFFFF"/>
            <w:noWrap/>
            <w:vAlign w:val="bottom"/>
            <w:hideMark/>
          </w:tcPr>
          <w:p w14:paraId="5BD18DB5" w14:textId="77777777" w:rsidR="00C3650C" w:rsidRPr="00560702" w:rsidRDefault="00C3650C" w:rsidP="00C3650C">
            <w:pPr>
              <w:spacing w:after="0" w:line="240" w:lineRule="auto"/>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Staffing cost per hour</w:t>
            </w:r>
          </w:p>
        </w:tc>
        <w:tc>
          <w:tcPr>
            <w:tcW w:w="1276" w:type="dxa"/>
            <w:tcBorders>
              <w:top w:val="nil"/>
              <w:left w:val="nil"/>
              <w:right w:val="nil"/>
            </w:tcBorders>
            <w:shd w:val="clear" w:color="000000" w:fill="FFFFFF"/>
            <w:noWrap/>
            <w:vAlign w:val="bottom"/>
            <w:hideMark/>
          </w:tcPr>
          <w:p w14:paraId="11363478" w14:textId="77777777" w:rsidR="00C3650C" w:rsidRPr="00560702" w:rsidRDefault="00C3650C" w:rsidP="00C3650C">
            <w:pPr>
              <w:spacing w:after="0" w:line="240" w:lineRule="auto"/>
              <w:jc w:val="center"/>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$73.20</w:t>
            </w:r>
          </w:p>
        </w:tc>
        <w:tc>
          <w:tcPr>
            <w:tcW w:w="1418" w:type="dxa"/>
            <w:tcBorders>
              <w:top w:val="nil"/>
              <w:left w:val="nil"/>
              <w:right w:val="nil"/>
            </w:tcBorders>
            <w:shd w:val="clear" w:color="000000" w:fill="FFFFFF"/>
            <w:noWrap/>
            <w:vAlign w:val="bottom"/>
            <w:hideMark/>
          </w:tcPr>
          <w:p w14:paraId="67879FA8" w14:textId="77777777" w:rsidR="00C3650C" w:rsidRPr="00560702" w:rsidRDefault="00C3650C" w:rsidP="00C3650C">
            <w:pPr>
              <w:spacing w:after="0" w:line="240" w:lineRule="auto"/>
              <w:jc w:val="center"/>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$73.20</w:t>
            </w:r>
          </w:p>
        </w:tc>
        <w:tc>
          <w:tcPr>
            <w:tcW w:w="1134" w:type="dxa"/>
            <w:tcBorders>
              <w:top w:val="nil"/>
              <w:left w:val="nil"/>
              <w:right w:val="nil"/>
            </w:tcBorders>
            <w:shd w:val="clear" w:color="000000" w:fill="FFFFFF"/>
            <w:noWrap/>
            <w:vAlign w:val="bottom"/>
            <w:hideMark/>
          </w:tcPr>
          <w:p w14:paraId="5904D57C" w14:textId="77777777" w:rsidR="00C3650C" w:rsidRPr="00560702" w:rsidRDefault="00C3650C" w:rsidP="00C3650C">
            <w:pPr>
              <w:spacing w:after="0" w:line="240" w:lineRule="auto"/>
              <w:jc w:val="center"/>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$73.20</w:t>
            </w:r>
          </w:p>
        </w:tc>
        <w:tc>
          <w:tcPr>
            <w:tcW w:w="1842" w:type="dxa"/>
            <w:tcBorders>
              <w:top w:val="nil"/>
              <w:left w:val="nil"/>
              <w:right w:val="single" w:sz="4" w:space="0" w:color="auto"/>
            </w:tcBorders>
            <w:shd w:val="clear" w:color="000000" w:fill="FFFFFF"/>
            <w:noWrap/>
            <w:vAlign w:val="bottom"/>
            <w:hideMark/>
          </w:tcPr>
          <w:p w14:paraId="297ECDA4" w14:textId="77777777" w:rsidR="00C3650C" w:rsidRPr="00560702" w:rsidRDefault="00C3650C" w:rsidP="00C3650C">
            <w:pPr>
              <w:spacing w:after="0" w:line="240" w:lineRule="auto"/>
              <w:jc w:val="center"/>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$73.20</w:t>
            </w:r>
          </w:p>
        </w:tc>
      </w:tr>
      <w:tr w:rsidR="00C3650C" w:rsidRPr="00BE6AA8" w14:paraId="2952677F" w14:textId="77777777" w:rsidTr="00BA5EF5">
        <w:trPr>
          <w:trHeight w:val="290"/>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26FCF463" w14:textId="77777777" w:rsidR="00C3650C" w:rsidRPr="00560702" w:rsidRDefault="00C3650C" w:rsidP="00C3650C">
            <w:pPr>
              <w:spacing w:after="0" w:line="240" w:lineRule="auto"/>
              <w:rPr>
                <w:rFonts w:ascii="Calibri" w:eastAsia="Times New Roman" w:hAnsi="Calibri" w:cs="Times New Roman"/>
                <w:b/>
                <w:bCs/>
                <w:color w:val="000000"/>
                <w:sz w:val="18"/>
                <w:szCs w:val="18"/>
                <w:lang w:eastAsia="en-AU"/>
              </w:rPr>
            </w:pPr>
          </w:p>
        </w:tc>
        <w:tc>
          <w:tcPr>
            <w:tcW w:w="4394" w:type="dxa"/>
            <w:tcBorders>
              <w:left w:val="single" w:sz="4" w:space="0" w:color="auto"/>
              <w:bottom w:val="single" w:sz="4" w:space="0" w:color="auto"/>
              <w:right w:val="nil"/>
            </w:tcBorders>
            <w:shd w:val="clear" w:color="000000" w:fill="DDEBF7"/>
            <w:noWrap/>
            <w:vAlign w:val="bottom"/>
            <w:hideMark/>
          </w:tcPr>
          <w:p w14:paraId="51383CF4" w14:textId="77777777" w:rsidR="00C3650C" w:rsidRPr="00560702" w:rsidRDefault="00C3650C" w:rsidP="00C3650C">
            <w:pPr>
              <w:spacing w:after="0" w:line="240" w:lineRule="auto"/>
              <w:rPr>
                <w:rFonts w:ascii="Calibri" w:eastAsia="Times New Roman" w:hAnsi="Calibri" w:cs="Times New Roman"/>
                <w:b/>
                <w:bCs/>
                <w:sz w:val="18"/>
                <w:szCs w:val="18"/>
                <w:lang w:eastAsia="en-AU"/>
              </w:rPr>
            </w:pPr>
            <w:r w:rsidRPr="00560702">
              <w:rPr>
                <w:rFonts w:ascii="Calibri" w:eastAsia="Times New Roman" w:hAnsi="Calibri" w:cs="Times New Roman"/>
                <w:b/>
                <w:bCs/>
                <w:sz w:val="18"/>
                <w:szCs w:val="18"/>
                <w:lang w:eastAsia="en-AU"/>
              </w:rPr>
              <w:t>Sub Total - not on Organisation Register</w:t>
            </w:r>
          </w:p>
        </w:tc>
        <w:tc>
          <w:tcPr>
            <w:tcW w:w="1276" w:type="dxa"/>
            <w:tcBorders>
              <w:left w:val="nil"/>
              <w:bottom w:val="single" w:sz="4" w:space="0" w:color="auto"/>
              <w:right w:val="nil"/>
            </w:tcBorders>
            <w:shd w:val="clear" w:color="000000" w:fill="DDEBF7"/>
            <w:noWrap/>
            <w:vAlign w:val="bottom"/>
            <w:hideMark/>
          </w:tcPr>
          <w:p w14:paraId="75872A73" w14:textId="77777777" w:rsidR="00C3650C" w:rsidRPr="00560702" w:rsidRDefault="00C3650C" w:rsidP="00C3650C">
            <w:pPr>
              <w:spacing w:after="0" w:line="240" w:lineRule="auto"/>
              <w:jc w:val="center"/>
              <w:rPr>
                <w:rFonts w:ascii="Calibri" w:eastAsia="Times New Roman" w:hAnsi="Calibri" w:cs="Times New Roman"/>
                <w:b/>
                <w:bCs/>
                <w:color w:val="000000"/>
                <w:sz w:val="18"/>
                <w:szCs w:val="18"/>
                <w:lang w:eastAsia="en-AU"/>
              </w:rPr>
            </w:pPr>
            <w:r w:rsidRPr="00560702">
              <w:rPr>
                <w:rFonts w:ascii="Calibri" w:eastAsia="Times New Roman" w:hAnsi="Calibri" w:cs="Times New Roman"/>
                <w:b/>
                <w:bCs/>
                <w:color w:val="000000"/>
                <w:sz w:val="18"/>
                <w:szCs w:val="18"/>
                <w:lang w:eastAsia="en-AU"/>
              </w:rPr>
              <w:t>$1,791,222</w:t>
            </w:r>
          </w:p>
        </w:tc>
        <w:tc>
          <w:tcPr>
            <w:tcW w:w="1418" w:type="dxa"/>
            <w:tcBorders>
              <w:left w:val="nil"/>
              <w:bottom w:val="single" w:sz="4" w:space="0" w:color="auto"/>
              <w:right w:val="nil"/>
            </w:tcBorders>
            <w:shd w:val="clear" w:color="000000" w:fill="DDEBF7"/>
            <w:noWrap/>
            <w:vAlign w:val="bottom"/>
            <w:hideMark/>
          </w:tcPr>
          <w:p w14:paraId="5D748326" w14:textId="77777777" w:rsidR="00C3650C" w:rsidRPr="00560702" w:rsidRDefault="00C3650C" w:rsidP="00C3650C">
            <w:pPr>
              <w:spacing w:after="0" w:line="240" w:lineRule="auto"/>
              <w:jc w:val="center"/>
              <w:rPr>
                <w:rFonts w:ascii="Calibri" w:eastAsia="Times New Roman" w:hAnsi="Calibri" w:cs="Times New Roman"/>
                <w:b/>
                <w:bCs/>
                <w:color w:val="000000"/>
                <w:sz w:val="18"/>
                <w:szCs w:val="18"/>
                <w:lang w:eastAsia="en-AU"/>
              </w:rPr>
            </w:pPr>
            <w:r w:rsidRPr="00560702">
              <w:rPr>
                <w:rFonts w:ascii="Calibri" w:eastAsia="Times New Roman" w:hAnsi="Calibri" w:cs="Times New Roman"/>
                <w:b/>
                <w:bCs/>
                <w:color w:val="000000"/>
                <w:sz w:val="18"/>
                <w:szCs w:val="18"/>
                <w:lang w:eastAsia="en-AU"/>
              </w:rPr>
              <w:t>$656,412</w:t>
            </w:r>
          </w:p>
        </w:tc>
        <w:tc>
          <w:tcPr>
            <w:tcW w:w="1134" w:type="dxa"/>
            <w:tcBorders>
              <w:left w:val="nil"/>
              <w:bottom w:val="single" w:sz="4" w:space="0" w:color="auto"/>
              <w:right w:val="nil"/>
            </w:tcBorders>
            <w:shd w:val="clear" w:color="000000" w:fill="DDEBF7"/>
            <w:noWrap/>
            <w:vAlign w:val="bottom"/>
            <w:hideMark/>
          </w:tcPr>
          <w:p w14:paraId="59D82EEE" w14:textId="77777777" w:rsidR="00C3650C" w:rsidRPr="00560702" w:rsidRDefault="00C3650C" w:rsidP="00C3650C">
            <w:pPr>
              <w:spacing w:after="0" w:line="240" w:lineRule="auto"/>
              <w:jc w:val="center"/>
              <w:rPr>
                <w:rFonts w:ascii="Calibri" w:eastAsia="Times New Roman" w:hAnsi="Calibri" w:cs="Times New Roman"/>
                <w:b/>
                <w:bCs/>
                <w:color w:val="000000"/>
                <w:sz w:val="18"/>
                <w:szCs w:val="18"/>
                <w:lang w:eastAsia="en-AU"/>
              </w:rPr>
            </w:pPr>
            <w:r w:rsidRPr="00560702">
              <w:rPr>
                <w:rFonts w:ascii="Calibri" w:eastAsia="Times New Roman" w:hAnsi="Calibri" w:cs="Times New Roman"/>
                <w:b/>
                <w:bCs/>
                <w:color w:val="000000"/>
                <w:sz w:val="18"/>
                <w:szCs w:val="18"/>
                <w:lang w:eastAsia="en-AU"/>
              </w:rPr>
              <w:t>$ 437,608</w:t>
            </w:r>
          </w:p>
        </w:tc>
        <w:tc>
          <w:tcPr>
            <w:tcW w:w="1842" w:type="dxa"/>
            <w:tcBorders>
              <w:left w:val="nil"/>
              <w:bottom w:val="single" w:sz="4" w:space="0" w:color="auto"/>
              <w:right w:val="single" w:sz="4" w:space="0" w:color="auto"/>
            </w:tcBorders>
            <w:shd w:val="clear" w:color="000000" w:fill="DDEBF7"/>
            <w:noWrap/>
            <w:vAlign w:val="bottom"/>
            <w:hideMark/>
          </w:tcPr>
          <w:p w14:paraId="558D5067" w14:textId="77777777" w:rsidR="00C3650C" w:rsidRPr="00560702" w:rsidRDefault="00C3650C" w:rsidP="00C3650C">
            <w:pPr>
              <w:spacing w:after="0" w:line="240" w:lineRule="auto"/>
              <w:jc w:val="center"/>
              <w:rPr>
                <w:rFonts w:ascii="Calibri" w:eastAsia="Times New Roman" w:hAnsi="Calibri" w:cs="Times New Roman"/>
                <w:b/>
                <w:bCs/>
                <w:color w:val="000000"/>
                <w:sz w:val="18"/>
                <w:szCs w:val="18"/>
                <w:lang w:eastAsia="en-AU"/>
              </w:rPr>
            </w:pPr>
            <w:r w:rsidRPr="00560702">
              <w:rPr>
                <w:rFonts w:ascii="Calibri" w:eastAsia="Times New Roman" w:hAnsi="Calibri" w:cs="Times New Roman"/>
                <w:b/>
                <w:bCs/>
                <w:color w:val="000000"/>
                <w:sz w:val="18"/>
                <w:szCs w:val="18"/>
                <w:lang w:eastAsia="en-AU"/>
              </w:rPr>
              <w:t>$437,608</w:t>
            </w:r>
          </w:p>
        </w:tc>
      </w:tr>
      <w:tr w:rsidR="00C3650C" w:rsidRPr="00BE6AA8" w14:paraId="0FDF3536" w14:textId="77777777" w:rsidTr="00BA5EF5">
        <w:trPr>
          <w:trHeight w:val="290"/>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59593213" w14:textId="77777777" w:rsidR="00C3650C" w:rsidRPr="00560702" w:rsidRDefault="00C3650C" w:rsidP="00C3650C">
            <w:pPr>
              <w:spacing w:after="0" w:line="240" w:lineRule="auto"/>
              <w:rPr>
                <w:rFonts w:ascii="Calibri" w:eastAsia="Times New Roman" w:hAnsi="Calibri" w:cs="Times New Roman"/>
                <w:b/>
                <w:bCs/>
                <w:color w:val="000000"/>
                <w:sz w:val="18"/>
                <w:szCs w:val="18"/>
                <w:lang w:eastAsia="en-AU"/>
              </w:rPr>
            </w:pPr>
          </w:p>
        </w:tc>
        <w:tc>
          <w:tcPr>
            <w:tcW w:w="4394" w:type="dxa"/>
            <w:tcBorders>
              <w:top w:val="single" w:sz="4" w:space="0" w:color="auto"/>
              <w:left w:val="single" w:sz="4" w:space="0" w:color="auto"/>
              <w:bottom w:val="nil"/>
              <w:right w:val="nil"/>
            </w:tcBorders>
            <w:shd w:val="clear" w:color="000000" w:fill="FFFFFF"/>
            <w:noWrap/>
            <w:vAlign w:val="bottom"/>
            <w:hideMark/>
          </w:tcPr>
          <w:p w14:paraId="4DE2F2EB" w14:textId="77777777" w:rsidR="00C3650C" w:rsidRPr="00560702" w:rsidRDefault="00C3650C" w:rsidP="00C3650C">
            <w:pPr>
              <w:spacing w:after="0" w:line="240" w:lineRule="auto"/>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Number of practices expected to be setting up – already on Organisation Register</w:t>
            </w:r>
          </w:p>
        </w:tc>
        <w:tc>
          <w:tcPr>
            <w:tcW w:w="1276" w:type="dxa"/>
            <w:tcBorders>
              <w:top w:val="single" w:sz="4" w:space="0" w:color="auto"/>
              <w:left w:val="nil"/>
              <w:bottom w:val="nil"/>
              <w:right w:val="nil"/>
            </w:tcBorders>
            <w:shd w:val="clear" w:color="000000" w:fill="FFFFFF"/>
            <w:noWrap/>
            <w:vAlign w:val="bottom"/>
            <w:hideMark/>
          </w:tcPr>
          <w:p w14:paraId="168E106B" w14:textId="77777777" w:rsidR="00C3650C" w:rsidRPr="00560702" w:rsidRDefault="00C3650C" w:rsidP="00C3650C">
            <w:pPr>
              <w:spacing w:after="0" w:line="240" w:lineRule="auto"/>
              <w:jc w:val="center"/>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2,317</w:t>
            </w:r>
          </w:p>
        </w:tc>
        <w:tc>
          <w:tcPr>
            <w:tcW w:w="1418" w:type="dxa"/>
            <w:tcBorders>
              <w:top w:val="single" w:sz="4" w:space="0" w:color="auto"/>
              <w:left w:val="nil"/>
              <w:bottom w:val="nil"/>
              <w:right w:val="nil"/>
            </w:tcBorders>
            <w:shd w:val="clear" w:color="000000" w:fill="FFFFFF"/>
            <w:noWrap/>
            <w:vAlign w:val="bottom"/>
            <w:hideMark/>
          </w:tcPr>
          <w:p w14:paraId="631893B0" w14:textId="77777777" w:rsidR="00C3650C" w:rsidRPr="00560702" w:rsidRDefault="00C3650C" w:rsidP="00C3650C">
            <w:pPr>
              <w:spacing w:after="0" w:line="240" w:lineRule="auto"/>
              <w:jc w:val="center"/>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w:t>
            </w:r>
          </w:p>
        </w:tc>
        <w:tc>
          <w:tcPr>
            <w:tcW w:w="1134" w:type="dxa"/>
            <w:tcBorders>
              <w:top w:val="single" w:sz="4" w:space="0" w:color="auto"/>
              <w:left w:val="nil"/>
              <w:bottom w:val="nil"/>
              <w:right w:val="nil"/>
            </w:tcBorders>
            <w:shd w:val="clear" w:color="000000" w:fill="FFFFFF"/>
            <w:noWrap/>
            <w:vAlign w:val="bottom"/>
            <w:hideMark/>
          </w:tcPr>
          <w:p w14:paraId="40E6B755" w14:textId="77777777" w:rsidR="00C3650C" w:rsidRPr="00560702" w:rsidRDefault="00C3650C" w:rsidP="00C3650C">
            <w:pPr>
              <w:spacing w:after="0" w:line="240" w:lineRule="auto"/>
              <w:jc w:val="center"/>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w:t>
            </w:r>
          </w:p>
        </w:tc>
        <w:tc>
          <w:tcPr>
            <w:tcW w:w="1842" w:type="dxa"/>
            <w:tcBorders>
              <w:top w:val="single" w:sz="4" w:space="0" w:color="auto"/>
              <w:left w:val="nil"/>
              <w:bottom w:val="nil"/>
              <w:right w:val="single" w:sz="4" w:space="0" w:color="auto"/>
            </w:tcBorders>
            <w:shd w:val="clear" w:color="000000" w:fill="FFFFFF"/>
            <w:noWrap/>
            <w:vAlign w:val="bottom"/>
            <w:hideMark/>
          </w:tcPr>
          <w:p w14:paraId="6E13FD09" w14:textId="77777777" w:rsidR="00C3650C" w:rsidRPr="00560702" w:rsidRDefault="00C3650C" w:rsidP="00C3650C">
            <w:pPr>
              <w:spacing w:after="0" w:line="240" w:lineRule="auto"/>
              <w:jc w:val="center"/>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w:t>
            </w:r>
          </w:p>
        </w:tc>
      </w:tr>
      <w:tr w:rsidR="00C3650C" w:rsidRPr="00BE6AA8" w14:paraId="3332D85A" w14:textId="77777777" w:rsidTr="00BA5EF5">
        <w:trPr>
          <w:trHeight w:val="290"/>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010924AC" w14:textId="77777777" w:rsidR="00C3650C" w:rsidRPr="00560702" w:rsidRDefault="00C3650C" w:rsidP="00C3650C">
            <w:pPr>
              <w:spacing w:after="0" w:line="240" w:lineRule="auto"/>
              <w:rPr>
                <w:rFonts w:ascii="Calibri" w:eastAsia="Times New Roman" w:hAnsi="Calibri" w:cs="Times New Roman"/>
                <w:b/>
                <w:bCs/>
                <w:color w:val="000000"/>
                <w:sz w:val="18"/>
                <w:szCs w:val="18"/>
                <w:lang w:eastAsia="en-AU"/>
              </w:rPr>
            </w:pPr>
          </w:p>
        </w:tc>
        <w:tc>
          <w:tcPr>
            <w:tcW w:w="4394" w:type="dxa"/>
            <w:tcBorders>
              <w:top w:val="nil"/>
              <w:left w:val="single" w:sz="4" w:space="0" w:color="auto"/>
              <w:bottom w:val="nil"/>
              <w:right w:val="nil"/>
            </w:tcBorders>
            <w:shd w:val="clear" w:color="000000" w:fill="FFFFFF"/>
            <w:vAlign w:val="bottom"/>
            <w:hideMark/>
          </w:tcPr>
          <w:p w14:paraId="56D09BF8" w14:textId="77777777" w:rsidR="00C3650C" w:rsidRPr="00560702" w:rsidRDefault="00C3650C" w:rsidP="00C3650C">
            <w:pPr>
              <w:spacing w:after="0" w:line="240" w:lineRule="auto"/>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Number of hours spent on process, procedures and training - already on Organisation Register</w:t>
            </w:r>
          </w:p>
        </w:tc>
        <w:tc>
          <w:tcPr>
            <w:tcW w:w="1276" w:type="dxa"/>
            <w:tcBorders>
              <w:top w:val="nil"/>
              <w:left w:val="nil"/>
              <w:bottom w:val="nil"/>
              <w:right w:val="nil"/>
            </w:tcBorders>
            <w:shd w:val="clear" w:color="000000" w:fill="FFFFFF"/>
            <w:noWrap/>
            <w:vAlign w:val="bottom"/>
            <w:hideMark/>
          </w:tcPr>
          <w:p w14:paraId="1BFC6FDC" w14:textId="77777777" w:rsidR="00C3650C" w:rsidRPr="00560702" w:rsidRDefault="00C3650C" w:rsidP="00C3650C">
            <w:pPr>
              <w:spacing w:after="0" w:line="240" w:lineRule="auto"/>
              <w:jc w:val="center"/>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5.625</w:t>
            </w:r>
          </w:p>
        </w:tc>
        <w:tc>
          <w:tcPr>
            <w:tcW w:w="1418" w:type="dxa"/>
            <w:tcBorders>
              <w:top w:val="nil"/>
              <w:left w:val="nil"/>
              <w:bottom w:val="nil"/>
              <w:right w:val="nil"/>
            </w:tcBorders>
            <w:shd w:val="clear" w:color="000000" w:fill="FFFFFF"/>
            <w:noWrap/>
            <w:vAlign w:val="bottom"/>
            <w:hideMark/>
          </w:tcPr>
          <w:p w14:paraId="3E5C060A" w14:textId="77777777" w:rsidR="00C3650C" w:rsidRPr="00560702" w:rsidRDefault="00C3650C" w:rsidP="00C3650C">
            <w:pPr>
              <w:spacing w:after="0" w:line="240" w:lineRule="auto"/>
              <w:jc w:val="center"/>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5.625</w:t>
            </w:r>
          </w:p>
        </w:tc>
        <w:tc>
          <w:tcPr>
            <w:tcW w:w="1134" w:type="dxa"/>
            <w:tcBorders>
              <w:top w:val="nil"/>
              <w:left w:val="nil"/>
              <w:bottom w:val="nil"/>
              <w:right w:val="nil"/>
            </w:tcBorders>
            <w:shd w:val="clear" w:color="000000" w:fill="FFFFFF"/>
            <w:noWrap/>
            <w:vAlign w:val="bottom"/>
            <w:hideMark/>
          </w:tcPr>
          <w:p w14:paraId="6B609388" w14:textId="77777777" w:rsidR="00C3650C" w:rsidRPr="00560702" w:rsidRDefault="00C3650C" w:rsidP="00C3650C">
            <w:pPr>
              <w:spacing w:after="0" w:line="240" w:lineRule="auto"/>
              <w:jc w:val="center"/>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5.625</w:t>
            </w:r>
          </w:p>
        </w:tc>
        <w:tc>
          <w:tcPr>
            <w:tcW w:w="1842" w:type="dxa"/>
            <w:tcBorders>
              <w:top w:val="nil"/>
              <w:left w:val="nil"/>
              <w:bottom w:val="nil"/>
              <w:right w:val="single" w:sz="4" w:space="0" w:color="auto"/>
            </w:tcBorders>
            <w:shd w:val="clear" w:color="000000" w:fill="FFFFFF"/>
            <w:noWrap/>
            <w:vAlign w:val="bottom"/>
            <w:hideMark/>
          </w:tcPr>
          <w:p w14:paraId="7308C9CE" w14:textId="77777777" w:rsidR="00C3650C" w:rsidRPr="00560702" w:rsidRDefault="00C3650C" w:rsidP="00C3650C">
            <w:pPr>
              <w:spacing w:after="0" w:line="240" w:lineRule="auto"/>
              <w:jc w:val="center"/>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5.625</w:t>
            </w:r>
          </w:p>
        </w:tc>
      </w:tr>
      <w:tr w:rsidR="00C3650C" w:rsidRPr="00BE6AA8" w14:paraId="1E035861" w14:textId="77777777" w:rsidTr="00BA5EF5">
        <w:trPr>
          <w:trHeight w:val="290"/>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40A2B98E" w14:textId="77777777" w:rsidR="00C3650C" w:rsidRPr="00560702" w:rsidRDefault="00C3650C" w:rsidP="00C3650C">
            <w:pPr>
              <w:spacing w:after="0" w:line="240" w:lineRule="auto"/>
              <w:rPr>
                <w:rFonts w:ascii="Calibri" w:eastAsia="Times New Roman" w:hAnsi="Calibri" w:cs="Times New Roman"/>
                <w:b/>
                <w:bCs/>
                <w:color w:val="000000"/>
                <w:sz w:val="18"/>
                <w:szCs w:val="18"/>
                <w:lang w:eastAsia="en-AU"/>
              </w:rPr>
            </w:pPr>
          </w:p>
        </w:tc>
        <w:tc>
          <w:tcPr>
            <w:tcW w:w="4394" w:type="dxa"/>
            <w:tcBorders>
              <w:top w:val="nil"/>
              <w:left w:val="single" w:sz="4" w:space="0" w:color="auto"/>
              <w:bottom w:val="nil"/>
              <w:right w:val="nil"/>
            </w:tcBorders>
            <w:shd w:val="clear" w:color="000000" w:fill="FFFFFF"/>
            <w:noWrap/>
            <w:vAlign w:val="bottom"/>
            <w:hideMark/>
          </w:tcPr>
          <w:p w14:paraId="3DB553A7" w14:textId="77777777" w:rsidR="00C3650C" w:rsidRPr="00560702" w:rsidRDefault="00C3650C" w:rsidP="00C3650C">
            <w:pPr>
              <w:spacing w:after="0" w:line="240" w:lineRule="auto"/>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Staffing cost per hour</w:t>
            </w:r>
          </w:p>
        </w:tc>
        <w:tc>
          <w:tcPr>
            <w:tcW w:w="1276" w:type="dxa"/>
            <w:tcBorders>
              <w:top w:val="nil"/>
              <w:left w:val="nil"/>
              <w:bottom w:val="nil"/>
              <w:right w:val="nil"/>
            </w:tcBorders>
            <w:shd w:val="clear" w:color="000000" w:fill="FFFFFF"/>
            <w:noWrap/>
            <w:vAlign w:val="bottom"/>
            <w:hideMark/>
          </w:tcPr>
          <w:p w14:paraId="70570A0D" w14:textId="77777777" w:rsidR="00C3650C" w:rsidRPr="00560702" w:rsidRDefault="00C3650C" w:rsidP="00C3650C">
            <w:pPr>
              <w:spacing w:after="0" w:line="240" w:lineRule="auto"/>
              <w:jc w:val="center"/>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$73.20</w:t>
            </w:r>
          </w:p>
        </w:tc>
        <w:tc>
          <w:tcPr>
            <w:tcW w:w="1418" w:type="dxa"/>
            <w:tcBorders>
              <w:top w:val="nil"/>
              <w:left w:val="nil"/>
              <w:bottom w:val="nil"/>
              <w:right w:val="nil"/>
            </w:tcBorders>
            <w:shd w:val="clear" w:color="000000" w:fill="FFFFFF"/>
            <w:noWrap/>
            <w:vAlign w:val="bottom"/>
            <w:hideMark/>
          </w:tcPr>
          <w:p w14:paraId="56299380" w14:textId="77777777" w:rsidR="00C3650C" w:rsidRPr="00560702" w:rsidRDefault="00C3650C" w:rsidP="00C3650C">
            <w:pPr>
              <w:spacing w:after="0" w:line="240" w:lineRule="auto"/>
              <w:jc w:val="center"/>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$73.20</w:t>
            </w:r>
          </w:p>
        </w:tc>
        <w:tc>
          <w:tcPr>
            <w:tcW w:w="1134" w:type="dxa"/>
            <w:tcBorders>
              <w:top w:val="nil"/>
              <w:left w:val="nil"/>
              <w:bottom w:val="nil"/>
              <w:right w:val="nil"/>
            </w:tcBorders>
            <w:shd w:val="clear" w:color="000000" w:fill="FFFFFF"/>
            <w:noWrap/>
            <w:vAlign w:val="bottom"/>
            <w:hideMark/>
          </w:tcPr>
          <w:p w14:paraId="140C7C3B" w14:textId="77777777" w:rsidR="00C3650C" w:rsidRPr="00560702" w:rsidRDefault="00C3650C" w:rsidP="00C3650C">
            <w:pPr>
              <w:spacing w:after="0" w:line="240" w:lineRule="auto"/>
              <w:jc w:val="center"/>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$73.20</w:t>
            </w:r>
          </w:p>
        </w:tc>
        <w:tc>
          <w:tcPr>
            <w:tcW w:w="1842" w:type="dxa"/>
            <w:tcBorders>
              <w:top w:val="nil"/>
              <w:left w:val="nil"/>
              <w:bottom w:val="nil"/>
              <w:right w:val="single" w:sz="4" w:space="0" w:color="auto"/>
            </w:tcBorders>
            <w:shd w:val="clear" w:color="000000" w:fill="FFFFFF"/>
            <w:noWrap/>
            <w:vAlign w:val="bottom"/>
            <w:hideMark/>
          </w:tcPr>
          <w:p w14:paraId="3E069809" w14:textId="77777777" w:rsidR="00C3650C" w:rsidRPr="00560702" w:rsidRDefault="00C3650C" w:rsidP="00C3650C">
            <w:pPr>
              <w:spacing w:after="0" w:line="240" w:lineRule="auto"/>
              <w:jc w:val="center"/>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$73.20</w:t>
            </w:r>
          </w:p>
        </w:tc>
      </w:tr>
      <w:tr w:rsidR="00C3650C" w:rsidRPr="00BE6AA8" w14:paraId="7AA271E2" w14:textId="77777777" w:rsidTr="00BA5EF5">
        <w:trPr>
          <w:trHeight w:val="290"/>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0162432E" w14:textId="77777777" w:rsidR="00C3650C" w:rsidRPr="00560702" w:rsidRDefault="00C3650C" w:rsidP="00C3650C">
            <w:pPr>
              <w:spacing w:after="0" w:line="240" w:lineRule="auto"/>
              <w:rPr>
                <w:rFonts w:ascii="Calibri" w:eastAsia="Times New Roman" w:hAnsi="Calibri" w:cs="Times New Roman"/>
                <w:b/>
                <w:bCs/>
                <w:color w:val="000000"/>
                <w:sz w:val="18"/>
                <w:szCs w:val="18"/>
                <w:lang w:eastAsia="en-AU"/>
              </w:rPr>
            </w:pPr>
          </w:p>
        </w:tc>
        <w:tc>
          <w:tcPr>
            <w:tcW w:w="4394" w:type="dxa"/>
            <w:tcBorders>
              <w:top w:val="nil"/>
              <w:left w:val="single" w:sz="4" w:space="0" w:color="auto"/>
              <w:bottom w:val="nil"/>
              <w:right w:val="nil"/>
            </w:tcBorders>
            <w:shd w:val="clear" w:color="000000" w:fill="DDEBF7"/>
            <w:noWrap/>
            <w:vAlign w:val="bottom"/>
            <w:hideMark/>
          </w:tcPr>
          <w:p w14:paraId="31B7E932" w14:textId="77777777" w:rsidR="00C3650C" w:rsidRPr="00560702" w:rsidRDefault="00C3650C" w:rsidP="00C3650C">
            <w:pPr>
              <w:spacing w:after="0" w:line="240" w:lineRule="auto"/>
              <w:rPr>
                <w:rFonts w:ascii="Calibri" w:eastAsia="Times New Roman" w:hAnsi="Calibri" w:cs="Times New Roman"/>
                <w:b/>
                <w:bCs/>
                <w:sz w:val="18"/>
                <w:szCs w:val="18"/>
                <w:lang w:eastAsia="en-AU"/>
              </w:rPr>
            </w:pPr>
            <w:r w:rsidRPr="00560702">
              <w:rPr>
                <w:rFonts w:ascii="Calibri" w:eastAsia="Times New Roman" w:hAnsi="Calibri" w:cs="Times New Roman"/>
                <w:b/>
                <w:bCs/>
                <w:sz w:val="18"/>
                <w:szCs w:val="18"/>
                <w:lang w:eastAsia="en-AU"/>
              </w:rPr>
              <w:t>Sub Total – already on Organisation Register</w:t>
            </w:r>
          </w:p>
        </w:tc>
        <w:tc>
          <w:tcPr>
            <w:tcW w:w="1276" w:type="dxa"/>
            <w:tcBorders>
              <w:top w:val="nil"/>
              <w:left w:val="nil"/>
              <w:bottom w:val="nil"/>
              <w:right w:val="nil"/>
            </w:tcBorders>
            <w:shd w:val="clear" w:color="000000" w:fill="DDEBF7"/>
            <w:noWrap/>
            <w:vAlign w:val="bottom"/>
            <w:hideMark/>
          </w:tcPr>
          <w:p w14:paraId="7779E074" w14:textId="77777777" w:rsidR="00C3650C" w:rsidRPr="00560702" w:rsidRDefault="00C3650C" w:rsidP="00C3650C">
            <w:pPr>
              <w:spacing w:after="0" w:line="240" w:lineRule="auto"/>
              <w:jc w:val="center"/>
              <w:rPr>
                <w:rFonts w:ascii="Calibri" w:eastAsia="Times New Roman" w:hAnsi="Calibri" w:cs="Times New Roman"/>
                <w:b/>
                <w:bCs/>
                <w:color w:val="000000"/>
                <w:sz w:val="18"/>
                <w:szCs w:val="18"/>
                <w:lang w:eastAsia="en-AU"/>
              </w:rPr>
            </w:pPr>
            <w:r w:rsidRPr="00560702">
              <w:rPr>
                <w:rFonts w:ascii="Calibri" w:eastAsia="Times New Roman" w:hAnsi="Calibri" w:cs="Times New Roman"/>
                <w:b/>
                <w:bCs/>
                <w:color w:val="000000"/>
                <w:sz w:val="18"/>
                <w:szCs w:val="18"/>
                <w:lang w:eastAsia="en-AU"/>
              </w:rPr>
              <w:t>$ 954,025</w:t>
            </w:r>
          </w:p>
        </w:tc>
        <w:tc>
          <w:tcPr>
            <w:tcW w:w="1418" w:type="dxa"/>
            <w:tcBorders>
              <w:top w:val="nil"/>
              <w:left w:val="nil"/>
              <w:bottom w:val="nil"/>
              <w:right w:val="nil"/>
            </w:tcBorders>
            <w:shd w:val="clear" w:color="000000" w:fill="DDEBF7"/>
            <w:noWrap/>
            <w:vAlign w:val="bottom"/>
            <w:hideMark/>
          </w:tcPr>
          <w:p w14:paraId="19A4BDD0" w14:textId="77777777" w:rsidR="00C3650C" w:rsidRPr="00560702" w:rsidRDefault="00C3650C" w:rsidP="00C3650C">
            <w:pPr>
              <w:spacing w:after="0" w:line="240" w:lineRule="auto"/>
              <w:jc w:val="center"/>
              <w:rPr>
                <w:rFonts w:ascii="Calibri" w:eastAsia="Times New Roman" w:hAnsi="Calibri" w:cs="Times New Roman"/>
                <w:b/>
                <w:bCs/>
                <w:color w:val="000000"/>
                <w:sz w:val="18"/>
                <w:szCs w:val="18"/>
                <w:lang w:eastAsia="en-AU"/>
              </w:rPr>
            </w:pPr>
            <w:r w:rsidRPr="00560702">
              <w:rPr>
                <w:rFonts w:ascii="Calibri" w:eastAsia="Times New Roman" w:hAnsi="Calibri" w:cs="Times New Roman"/>
                <w:b/>
                <w:bCs/>
                <w:color w:val="000000"/>
                <w:sz w:val="18"/>
                <w:szCs w:val="18"/>
                <w:lang w:eastAsia="en-AU"/>
              </w:rPr>
              <w:t>$  -</w:t>
            </w:r>
          </w:p>
        </w:tc>
        <w:tc>
          <w:tcPr>
            <w:tcW w:w="1134" w:type="dxa"/>
            <w:tcBorders>
              <w:top w:val="nil"/>
              <w:left w:val="nil"/>
              <w:bottom w:val="nil"/>
              <w:right w:val="nil"/>
            </w:tcBorders>
            <w:shd w:val="clear" w:color="000000" w:fill="DDEBF7"/>
            <w:noWrap/>
            <w:vAlign w:val="bottom"/>
            <w:hideMark/>
          </w:tcPr>
          <w:p w14:paraId="60129393" w14:textId="77777777" w:rsidR="00C3650C" w:rsidRPr="00560702" w:rsidRDefault="00C3650C" w:rsidP="00C3650C">
            <w:pPr>
              <w:spacing w:after="0" w:line="240" w:lineRule="auto"/>
              <w:jc w:val="center"/>
              <w:rPr>
                <w:rFonts w:ascii="Calibri" w:eastAsia="Times New Roman" w:hAnsi="Calibri" w:cs="Times New Roman"/>
                <w:b/>
                <w:bCs/>
                <w:color w:val="000000"/>
                <w:sz w:val="18"/>
                <w:szCs w:val="18"/>
                <w:lang w:eastAsia="en-AU"/>
              </w:rPr>
            </w:pPr>
            <w:r w:rsidRPr="00560702">
              <w:rPr>
                <w:rFonts w:ascii="Calibri" w:eastAsia="Times New Roman" w:hAnsi="Calibri" w:cs="Times New Roman"/>
                <w:b/>
                <w:bCs/>
                <w:color w:val="000000"/>
                <w:sz w:val="18"/>
                <w:szCs w:val="18"/>
                <w:lang w:eastAsia="en-AU"/>
              </w:rPr>
              <w:t>$  -</w:t>
            </w:r>
          </w:p>
        </w:tc>
        <w:tc>
          <w:tcPr>
            <w:tcW w:w="1842" w:type="dxa"/>
            <w:tcBorders>
              <w:top w:val="nil"/>
              <w:left w:val="nil"/>
              <w:bottom w:val="nil"/>
              <w:right w:val="single" w:sz="4" w:space="0" w:color="auto"/>
            </w:tcBorders>
            <w:shd w:val="clear" w:color="000000" w:fill="DDEBF7"/>
            <w:noWrap/>
            <w:vAlign w:val="bottom"/>
            <w:hideMark/>
          </w:tcPr>
          <w:p w14:paraId="43B46563" w14:textId="77777777" w:rsidR="00C3650C" w:rsidRPr="00560702" w:rsidRDefault="00C3650C" w:rsidP="00C3650C">
            <w:pPr>
              <w:spacing w:after="0" w:line="240" w:lineRule="auto"/>
              <w:jc w:val="center"/>
              <w:rPr>
                <w:rFonts w:ascii="Calibri" w:eastAsia="Times New Roman" w:hAnsi="Calibri" w:cs="Times New Roman"/>
                <w:b/>
                <w:bCs/>
                <w:color w:val="000000"/>
                <w:sz w:val="18"/>
                <w:szCs w:val="18"/>
                <w:lang w:eastAsia="en-AU"/>
              </w:rPr>
            </w:pPr>
            <w:r w:rsidRPr="00560702">
              <w:rPr>
                <w:rFonts w:ascii="Calibri" w:eastAsia="Times New Roman" w:hAnsi="Calibri" w:cs="Times New Roman"/>
                <w:b/>
                <w:bCs/>
                <w:color w:val="000000"/>
                <w:sz w:val="18"/>
                <w:szCs w:val="18"/>
                <w:lang w:eastAsia="en-AU"/>
              </w:rPr>
              <w:t>$  -</w:t>
            </w:r>
          </w:p>
        </w:tc>
      </w:tr>
      <w:tr w:rsidR="00C3650C" w:rsidRPr="00BE6AA8" w14:paraId="49C342E1" w14:textId="77777777" w:rsidTr="00BA5EF5">
        <w:trPr>
          <w:trHeight w:val="290"/>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44F7F306" w14:textId="77777777" w:rsidR="00C3650C" w:rsidRPr="00560702" w:rsidRDefault="00C3650C" w:rsidP="00C3650C">
            <w:pPr>
              <w:spacing w:after="0" w:line="240" w:lineRule="auto"/>
              <w:rPr>
                <w:rFonts w:ascii="Calibri" w:eastAsia="Times New Roman" w:hAnsi="Calibri" w:cs="Times New Roman"/>
                <w:b/>
                <w:bCs/>
                <w:color w:val="000000"/>
                <w:sz w:val="18"/>
                <w:szCs w:val="18"/>
                <w:lang w:eastAsia="en-AU"/>
              </w:rPr>
            </w:pPr>
          </w:p>
        </w:tc>
        <w:tc>
          <w:tcPr>
            <w:tcW w:w="4394" w:type="dxa"/>
            <w:tcBorders>
              <w:top w:val="nil"/>
              <w:left w:val="single" w:sz="4" w:space="0" w:color="auto"/>
              <w:bottom w:val="single" w:sz="4" w:space="0" w:color="auto"/>
              <w:right w:val="nil"/>
            </w:tcBorders>
            <w:shd w:val="clear" w:color="000000" w:fill="DDEBF7"/>
            <w:noWrap/>
            <w:vAlign w:val="bottom"/>
            <w:hideMark/>
          </w:tcPr>
          <w:p w14:paraId="7732F3D6" w14:textId="77777777" w:rsidR="00C3650C" w:rsidRPr="00560702" w:rsidRDefault="00C3650C" w:rsidP="00C3650C">
            <w:pPr>
              <w:spacing w:after="0" w:line="240" w:lineRule="auto"/>
              <w:rPr>
                <w:rFonts w:ascii="Calibri" w:eastAsia="Times New Roman" w:hAnsi="Calibri" w:cs="Times New Roman"/>
                <w:b/>
                <w:bCs/>
                <w:color w:val="000000"/>
                <w:sz w:val="18"/>
                <w:szCs w:val="18"/>
                <w:lang w:eastAsia="en-AU"/>
              </w:rPr>
            </w:pPr>
            <w:r w:rsidRPr="00560702">
              <w:rPr>
                <w:rFonts w:ascii="Calibri" w:eastAsia="Times New Roman" w:hAnsi="Calibri" w:cs="Times New Roman"/>
                <w:b/>
                <w:bCs/>
                <w:color w:val="000000"/>
                <w:sz w:val="18"/>
                <w:szCs w:val="18"/>
                <w:lang w:eastAsia="en-AU"/>
              </w:rPr>
              <w:t>Total</w:t>
            </w:r>
          </w:p>
        </w:tc>
        <w:tc>
          <w:tcPr>
            <w:tcW w:w="1276" w:type="dxa"/>
            <w:tcBorders>
              <w:top w:val="nil"/>
              <w:left w:val="nil"/>
              <w:bottom w:val="single" w:sz="4" w:space="0" w:color="auto"/>
              <w:right w:val="nil"/>
            </w:tcBorders>
            <w:shd w:val="clear" w:color="000000" w:fill="DDEBF7"/>
            <w:noWrap/>
            <w:vAlign w:val="bottom"/>
            <w:hideMark/>
          </w:tcPr>
          <w:p w14:paraId="78C13D98" w14:textId="77777777" w:rsidR="00C3650C" w:rsidRPr="00560702" w:rsidRDefault="00C3650C" w:rsidP="00C3650C">
            <w:pPr>
              <w:spacing w:after="0" w:line="240" w:lineRule="auto"/>
              <w:jc w:val="center"/>
              <w:rPr>
                <w:rFonts w:ascii="Calibri" w:eastAsia="Times New Roman" w:hAnsi="Calibri" w:cs="Times New Roman"/>
                <w:b/>
                <w:bCs/>
                <w:color w:val="000000"/>
                <w:sz w:val="18"/>
                <w:szCs w:val="18"/>
                <w:lang w:eastAsia="en-AU"/>
              </w:rPr>
            </w:pPr>
            <w:r w:rsidRPr="00560702">
              <w:rPr>
                <w:rFonts w:ascii="Calibri" w:eastAsia="Times New Roman" w:hAnsi="Calibri" w:cs="Times New Roman"/>
                <w:b/>
                <w:bCs/>
                <w:color w:val="000000"/>
                <w:sz w:val="18"/>
                <w:szCs w:val="18"/>
                <w:lang w:eastAsia="en-AU"/>
              </w:rPr>
              <w:t>$ 2,745,247</w:t>
            </w:r>
          </w:p>
        </w:tc>
        <w:tc>
          <w:tcPr>
            <w:tcW w:w="1418" w:type="dxa"/>
            <w:tcBorders>
              <w:top w:val="nil"/>
              <w:left w:val="nil"/>
              <w:bottom w:val="single" w:sz="4" w:space="0" w:color="auto"/>
              <w:right w:val="nil"/>
            </w:tcBorders>
            <w:shd w:val="clear" w:color="000000" w:fill="DDEBF7"/>
            <w:noWrap/>
            <w:vAlign w:val="bottom"/>
            <w:hideMark/>
          </w:tcPr>
          <w:p w14:paraId="2864DCF1" w14:textId="77777777" w:rsidR="00C3650C" w:rsidRPr="00560702" w:rsidRDefault="00C3650C" w:rsidP="00C3650C">
            <w:pPr>
              <w:spacing w:after="0" w:line="240" w:lineRule="auto"/>
              <w:jc w:val="center"/>
              <w:rPr>
                <w:rFonts w:ascii="Calibri" w:eastAsia="Times New Roman" w:hAnsi="Calibri" w:cs="Times New Roman"/>
                <w:b/>
                <w:bCs/>
                <w:color w:val="000000"/>
                <w:sz w:val="18"/>
                <w:szCs w:val="18"/>
                <w:lang w:eastAsia="en-AU"/>
              </w:rPr>
            </w:pPr>
            <w:r w:rsidRPr="00560702">
              <w:rPr>
                <w:rFonts w:ascii="Calibri" w:eastAsia="Times New Roman" w:hAnsi="Calibri" w:cs="Times New Roman"/>
                <w:b/>
                <w:bCs/>
                <w:color w:val="000000"/>
                <w:sz w:val="18"/>
                <w:szCs w:val="18"/>
                <w:lang w:eastAsia="en-AU"/>
              </w:rPr>
              <w:t>$ 656,412</w:t>
            </w:r>
          </w:p>
        </w:tc>
        <w:tc>
          <w:tcPr>
            <w:tcW w:w="1134" w:type="dxa"/>
            <w:tcBorders>
              <w:top w:val="nil"/>
              <w:left w:val="nil"/>
              <w:bottom w:val="single" w:sz="4" w:space="0" w:color="auto"/>
              <w:right w:val="nil"/>
            </w:tcBorders>
            <w:shd w:val="clear" w:color="000000" w:fill="DDEBF7"/>
            <w:noWrap/>
            <w:vAlign w:val="bottom"/>
            <w:hideMark/>
          </w:tcPr>
          <w:p w14:paraId="407CD29B" w14:textId="77777777" w:rsidR="00C3650C" w:rsidRPr="00560702" w:rsidRDefault="00C3650C" w:rsidP="00C3650C">
            <w:pPr>
              <w:spacing w:after="0" w:line="240" w:lineRule="auto"/>
              <w:jc w:val="center"/>
              <w:rPr>
                <w:rFonts w:ascii="Calibri" w:eastAsia="Times New Roman" w:hAnsi="Calibri" w:cs="Times New Roman"/>
                <w:b/>
                <w:bCs/>
                <w:color w:val="000000"/>
                <w:sz w:val="18"/>
                <w:szCs w:val="18"/>
                <w:lang w:eastAsia="en-AU"/>
              </w:rPr>
            </w:pPr>
            <w:r w:rsidRPr="00560702">
              <w:rPr>
                <w:rFonts w:ascii="Calibri" w:eastAsia="Times New Roman" w:hAnsi="Calibri" w:cs="Times New Roman"/>
                <w:b/>
                <w:bCs/>
                <w:color w:val="000000"/>
                <w:sz w:val="18"/>
                <w:szCs w:val="18"/>
                <w:lang w:eastAsia="en-AU"/>
              </w:rPr>
              <w:t>$ 437,608</w:t>
            </w:r>
          </w:p>
        </w:tc>
        <w:tc>
          <w:tcPr>
            <w:tcW w:w="1842" w:type="dxa"/>
            <w:tcBorders>
              <w:top w:val="nil"/>
              <w:left w:val="nil"/>
              <w:bottom w:val="single" w:sz="4" w:space="0" w:color="auto"/>
              <w:right w:val="single" w:sz="4" w:space="0" w:color="auto"/>
            </w:tcBorders>
            <w:shd w:val="clear" w:color="000000" w:fill="DDEBF7"/>
            <w:noWrap/>
            <w:vAlign w:val="bottom"/>
            <w:hideMark/>
          </w:tcPr>
          <w:p w14:paraId="0FA861F9" w14:textId="77777777" w:rsidR="00C3650C" w:rsidRPr="00560702" w:rsidRDefault="00C3650C" w:rsidP="00C3650C">
            <w:pPr>
              <w:spacing w:after="0" w:line="240" w:lineRule="auto"/>
              <w:jc w:val="center"/>
              <w:rPr>
                <w:rFonts w:ascii="Calibri" w:eastAsia="Times New Roman" w:hAnsi="Calibri" w:cs="Times New Roman"/>
                <w:b/>
                <w:bCs/>
                <w:color w:val="000000"/>
                <w:sz w:val="18"/>
                <w:szCs w:val="18"/>
                <w:lang w:eastAsia="en-AU"/>
              </w:rPr>
            </w:pPr>
            <w:r w:rsidRPr="00560702">
              <w:rPr>
                <w:rFonts w:ascii="Calibri" w:eastAsia="Times New Roman" w:hAnsi="Calibri" w:cs="Times New Roman"/>
                <w:b/>
                <w:bCs/>
                <w:color w:val="000000"/>
                <w:sz w:val="18"/>
                <w:szCs w:val="18"/>
                <w:lang w:eastAsia="en-AU"/>
              </w:rPr>
              <w:t>$ 437,608</w:t>
            </w:r>
          </w:p>
        </w:tc>
      </w:tr>
      <w:tr w:rsidR="00C3650C" w:rsidRPr="00BE6AA8" w14:paraId="0615D204" w14:textId="77777777" w:rsidTr="00BA5EF5">
        <w:trPr>
          <w:trHeight w:val="290"/>
        </w:trPr>
        <w:tc>
          <w:tcPr>
            <w:tcW w:w="1276"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62E99F22" w14:textId="77777777" w:rsidR="00C3650C" w:rsidRPr="00560702" w:rsidRDefault="00C3650C" w:rsidP="00C3650C">
            <w:pPr>
              <w:spacing w:after="0" w:line="240" w:lineRule="auto"/>
              <w:jc w:val="center"/>
              <w:rPr>
                <w:rFonts w:ascii="Calibri" w:eastAsia="Times New Roman" w:hAnsi="Calibri" w:cs="Times New Roman"/>
                <w:b/>
                <w:bCs/>
                <w:color w:val="000000"/>
                <w:sz w:val="18"/>
                <w:szCs w:val="18"/>
                <w:lang w:eastAsia="en-AU"/>
              </w:rPr>
            </w:pPr>
            <w:r w:rsidRPr="00560702">
              <w:rPr>
                <w:rFonts w:ascii="Calibri" w:eastAsia="Times New Roman" w:hAnsi="Calibri" w:cs="Times New Roman"/>
                <w:b/>
                <w:bCs/>
                <w:color w:val="000000"/>
                <w:sz w:val="18"/>
                <w:szCs w:val="18"/>
                <w:lang w:eastAsia="en-AU"/>
              </w:rPr>
              <w:t xml:space="preserve">Accreditation cost </w:t>
            </w:r>
          </w:p>
        </w:tc>
        <w:tc>
          <w:tcPr>
            <w:tcW w:w="4394" w:type="dxa"/>
            <w:tcBorders>
              <w:top w:val="nil"/>
              <w:left w:val="single" w:sz="4" w:space="0" w:color="auto"/>
              <w:bottom w:val="nil"/>
              <w:right w:val="nil"/>
            </w:tcBorders>
            <w:shd w:val="clear" w:color="000000" w:fill="FFFFFF"/>
            <w:noWrap/>
            <w:vAlign w:val="bottom"/>
            <w:hideMark/>
          </w:tcPr>
          <w:p w14:paraId="378ABCAF" w14:textId="77777777" w:rsidR="00C3650C" w:rsidRPr="00560702" w:rsidRDefault="00C3650C" w:rsidP="00C3650C">
            <w:pPr>
              <w:spacing w:after="0" w:line="240" w:lineRule="auto"/>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 xml:space="preserve">Number of practices seeking to become accredited (uptake assumes growth) </w:t>
            </w:r>
          </w:p>
        </w:tc>
        <w:tc>
          <w:tcPr>
            <w:tcW w:w="1276" w:type="dxa"/>
            <w:tcBorders>
              <w:top w:val="nil"/>
              <w:left w:val="nil"/>
              <w:bottom w:val="nil"/>
              <w:right w:val="nil"/>
            </w:tcBorders>
            <w:shd w:val="clear" w:color="000000" w:fill="FFFFFF"/>
            <w:noWrap/>
            <w:vAlign w:val="bottom"/>
            <w:hideMark/>
          </w:tcPr>
          <w:p w14:paraId="60755D8A" w14:textId="77777777" w:rsidR="00C3650C" w:rsidRPr="00560702" w:rsidRDefault="00C3650C" w:rsidP="00C3650C">
            <w:pPr>
              <w:spacing w:after="0" w:line="240" w:lineRule="auto"/>
              <w:jc w:val="center"/>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764</w:t>
            </w:r>
          </w:p>
        </w:tc>
        <w:tc>
          <w:tcPr>
            <w:tcW w:w="1418" w:type="dxa"/>
            <w:tcBorders>
              <w:top w:val="nil"/>
              <w:left w:val="nil"/>
              <w:bottom w:val="nil"/>
              <w:right w:val="nil"/>
            </w:tcBorders>
            <w:shd w:val="clear" w:color="000000" w:fill="FFFFFF"/>
            <w:noWrap/>
            <w:vAlign w:val="bottom"/>
            <w:hideMark/>
          </w:tcPr>
          <w:p w14:paraId="11925A6A" w14:textId="77777777" w:rsidR="00C3650C" w:rsidRPr="00560702" w:rsidRDefault="00C3650C" w:rsidP="00C3650C">
            <w:pPr>
              <w:spacing w:after="0" w:line="240" w:lineRule="auto"/>
              <w:jc w:val="center"/>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164</w:t>
            </w:r>
          </w:p>
        </w:tc>
        <w:tc>
          <w:tcPr>
            <w:tcW w:w="1134" w:type="dxa"/>
            <w:tcBorders>
              <w:top w:val="nil"/>
              <w:left w:val="nil"/>
              <w:bottom w:val="nil"/>
              <w:right w:val="nil"/>
            </w:tcBorders>
            <w:shd w:val="clear" w:color="000000" w:fill="FFFFFF"/>
            <w:noWrap/>
            <w:vAlign w:val="bottom"/>
            <w:hideMark/>
          </w:tcPr>
          <w:p w14:paraId="36A361D6" w14:textId="77777777" w:rsidR="00C3650C" w:rsidRPr="00560702" w:rsidRDefault="00C3650C" w:rsidP="00C3650C">
            <w:pPr>
              <w:spacing w:after="0" w:line="240" w:lineRule="auto"/>
              <w:jc w:val="center"/>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109</w:t>
            </w:r>
          </w:p>
        </w:tc>
        <w:tc>
          <w:tcPr>
            <w:tcW w:w="1842" w:type="dxa"/>
            <w:tcBorders>
              <w:top w:val="nil"/>
              <w:left w:val="nil"/>
              <w:bottom w:val="nil"/>
              <w:right w:val="single" w:sz="4" w:space="0" w:color="auto"/>
            </w:tcBorders>
            <w:shd w:val="clear" w:color="000000" w:fill="FFFFFF"/>
            <w:noWrap/>
            <w:vAlign w:val="bottom"/>
            <w:hideMark/>
          </w:tcPr>
          <w:p w14:paraId="34ED139A" w14:textId="77777777" w:rsidR="00C3650C" w:rsidRPr="00560702" w:rsidRDefault="00C3650C" w:rsidP="00C3650C">
            <w:pPr>
              <w:spacing w:after="0" w:line="240" w:lineRule="auto"/>
              <w:jc w:val="center"/>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109</w:t>
            </w:r>
          </w:p>
        </w:tc>
      </w:tr>
      <w:tr w:rsidR="00C3650C" w:rsidRPr="00BE6AA8" w14:paraId="55ECFAF1" w14:textId="77777777" w:rsidTr="00BA5EF5">
        <w:trPr>
          <w:trHeight w:val="290"/>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0E26997B" w14:textId="77777777" w:rsidR="00C3650C" w:rsidRPr="00560702" w:rsidRDefault="00C3650C" w:rsidP="00C3650C">
            <w:pPr>
              <w:spacing w:after="0" w:line="240" w:lineRule="auto"/>
              <w:rPr>
                <w:rFonts w:ascii="Calibri" w:eastAsia="Times New Roman" w:hAnsi="Calibri" w:cs="Times New Roman"/>
                <w:b/>
                <w:bCs/>
                <w:color w:val="000000"/>
                <w:sz w:val="18"/>
                <w:szCs w:val="18"/>
                <w:lang w:eastAsia="en-AU"/>
              </w:rPr>
            </w:pPr>
          </w:p>
        </w:tc>
        <w:tc>
          <w:tcPr>
            <w:tcW w:w="4394" w:type="dxa"/>
            <w:tcBorders>
              <w:top w:val="nil"/>
              <w:left w:val="single" w:sz="4" w:space="0" w:color="auto"/>
              <w:bottom w:val="nil"/>
              <w:right w:val="nil"/>
            </w:tcBorders>
            <w:shd w:val="clear" w:color="000000" w:fill="FFFFFF"/>
            <w:noWrap/>
            <w:vAlign w:val="bottom"/>
            <w:hideMark/>
          </w:tcPr>
          <w:p w14:paraId="79DAB5BC" w14:textId="77777777" w:rsidR="00C3650C" w:rsidRPr="00560702" w:rsidRDefault="00C3650C" w:rsidP="00C3650C">
            <w:pPr>
              <w:spacing w:after="0" w:line="240" w:lineRule="auto"/>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Number of hours to complete accreditation</w:t>
            </w:r>
          </w:p>
        </w:tc>
        <w:tc>
          <w:tcPr>
            <w:tcW w:w="1276" w:type="dxa"/>
            <w:tcBorders>
              <w:top w:val="nil"/>
              <w:left w:val="nil"/>
              <w:bottom w:val="nil"/>
              <w:right w:val="nil"/>
            </w:tcBorders>
            <w:shd w:val="clear" w:color="000000" w:fill="FFFFFF"/>
            <w:noWrap/>
            <w:vAlign w:val="bottom"/>
            <w:hideMark/>
          </w:tcPr>
          <w:p w14:paraId="567AD406" w14:textId="77777777" w:rsidR="00C3650C" w:rsidRPr="00560702" w:rsidRDefault="00C3650C" w:rsidP="00C3650C">
            <w:pPr>
              <w:spacing w:after="0" w:line="240" w:lineRule="auto"/>
              <w:jc w:val="center"/>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113</w:t>
            </w:r>
          </w:p>
        </w:tc>
        <w:tc>
          <w:tcPr>
            <w:tcW w:w="1418" w:type="dxa"/>
            <w:tcBorders>
              <w:top w:val="nil"/>
              <w:left w:val="nil"/>
              <w:bottom w:val="nil"/>
              <w:right w:val="nil"/>
            </w:tcBorders>
            <w:shd w:val="clear" w:color="000000" w:fill="FFFFFF"/>
            <w:noWrap/>
            <w:vAlign w:val="bottom"/>
            <w:hideMark/>
          </w:tcPr>
          <w:p w14:paraId="4124C538" w14:textId="77777777" w:rsidR="00C3650C" w:rsidRPr="00560702" w:rsidRDefault="00C3650C" w:rsidP="00C3650C">
            <w:pPr>
              <w:spacing w:after="0" w:line="240" w:lineRule="auto"/>
              <w:jc w:val="center"/>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113</w:t>
            </w:r>
          </w:p>
        </w:tc>
        <w:tc>
          <w:tcPr>
            <w:tcW w:w="1134" w:type="dxa"/>
            <w:tcBorders>
              <w:top w:val="nil"/>
              <w:left w:val="nil"/>
              <w:bottom w:val="nil"/>
              <w:right w:val="nil"/>
            </w:tcBorders>
            <w:shd w:val="clear" w:color="000000" w:fill="FFFFFF"/>
            <w:noWrap/>
            <w:vAlign w:val="bottom"/>
            <w:hideMark/>
          </w:tcPr>
          <w:p w14:paraId="3AAEC36B" w14:textId="77777777" w:rsidR="00C3650C" w:rsidRPr="00560702" w:rsidRDefault="00C3650C" w:rsidP="00C3650C">
            <w:pPr>
              <w:spacing w:after="0" w:line="240" w:lineRule="auto"/>
              <w:jc w:val="center"/>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113</w:t>
            </w:r>
          </w:p>
        </w:tc>
        <w:tc>
          <w:tcPr>
            <w:tcW w:w="1842" w:type="dxa"/>
            <w:tcBorders>
              <w:top w:val="nil"/>
              <w:left w:val="nil"/>
              <w:bottom w:val="nil"/>
              <w:right w:val="single" w:sz="4" w:space="0" w:color="auto"/>
            </w:tcBorders>
            <w:shd w:val="clear" w:color="000000" w:fill="FFFFFF"/>
            <w:noWrap/>
            <w:vAlign w:val="bottom"/>
            <w:hideMark/>
          </w:tcPr>
          <w:p w14:paraId="5D8BC40C" w14:textId="77777777" w:rsidR="00C3650C" w:rsidRPr="00560702" w:rsidRDefault="00C3650C" w:rsidP="00C3650C">
            <w:pPr>
              <w:spacing w:after="0" w:line="240" w:lineRule="auto"/>
              <w:jc w:val="center"/>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113</w:t>
            </w:r>
          </w:p>
        </w:tc>
      </w:tr>
      <w:tr w:rsidR="00C3650C" w:rsidRPr="00BE6AA8" w14:paraId="4DC48281" w14:textId="77777777" w:rsidTr="00BA5EF5">
        <w:trPr>
          <w:trHeight w:val="290"/>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7F63CFAE" w14:textId="77777777" w:rsidR="00C3650C" w:rsidRPr="00560702" w:rsidRDefault="00C3650C" w:rsidP="00C3650C">
            <w:pPr>
              <w:spacing w:after="0" w:line="240" w:lineRule="auto"/>
              <w:rPr>
                <w:rFonts w:ascii="Calibri" w:eastAsia="Times New Roman" w:hAnsi="Calibri" w:cs="Times New Roman"/>
                <w:b/>
                <w:bCs/>
                <w:color w:val="000000"/>
                <w:sz w:val="18"/>
                <w:szCs w:val="18"/>
                <w:lang w:eastAsia="en-AU"/>
              </w:rPr>
            </w:pPr>
          </w:p>
        </w:tc>
        <w:tc>
          <w:tcPr>
            <w:tcW w:w="4394" w:type="dxa"/>
            <w:tcBorders>
              <w:top w:val="nil"/>
              <w:left w:val="single" w:sz="4" w:space="0" w:color="auto"/>
              <w:bottom w:val="nil"/>
              <w:right w:val="nil"/>
            </w:tcBorders>
            <w:shd w:val="clear" w:color="000000" w:fill="FFFFFF"/>
            <w:noWrap/>
            <w:vAlign w:val="bottom"/>
            <w:hideMark/>
          </w:tcPr>
          <w:p w14:paraId="33234823" w14:textId="77777777" w:rsidR="00C3650C" w:rsidRPr="00560702" w:rsidRDefault="00C3650C" w:rsidP="00C3650C">
            <w:pPr>
              <w:spacing w:after="0" w:line="240" w:lineRule="auto"/>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Staffing cost per hour</w:t>
            </w:r>
          </w:p>
        </w:tc>
        <w:tc>
          <w:tcPr>
            <w:tcW w:w="1276" w:type="dxa"/>
            <w:tcBorders>
              <w:top w:val="nil"/>
              <w:left w:val="nil"/>
              <w:bottom w:val="nil"/>
              <w:right w:val="nil"/>
            </w:tcBorders>
            <w:shd w:val="clear" w:color="000000" w:fill="FFFFFF"/>
            <w:noWrap/>
            <w:vAlign w:val="bottom"/>
            <w:hideMark/>
          </w:tcPr>
          <w:p w14:paraId="6B933F5A" w14:textId="77777777" w:rsidR="00C3650C" w:rsidRPr="00560702" w:rsidRDefault="00C3650C" w:rsidP="00C3650C">
            <w:pPr>
              <w:spacing w:after="0" w:line="240" w:lineRule="auto"/>
              <w:jc w:val="center"/>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$73.20</w:t>
            </w:r>
          </w:p>
        </w:tc>
        <w:tc>
          <w:tcPr>
            <w:tcW w:w="1418" w:type="dxa"/>
            <w:tcBorders>
              <w:top w:val="nil"/>
              <w:left w:val="nil"/>
              <w:bottom w:val="nil"/>
              <w:right w:val="nil"/>
            </w:tcBorders>
            <w:shd w:val="clear" w:color="000000" w:fill="FFFFFF"/>
            <w:noWrap/>
            <w:vAlign w:val="bottom"/>
            <w:hideMark/>
          </w:tcPr>
          <w:p w14:paraId="0AF25B55" w14:textId="77777777" w:rsidR="00C3650C" w:rsidRPr="00560702" w:rsidRDefault="00C3650C" w:rsidP="00C3650C">
            <w:pPr>
              <w:spacing w:after="0" w:line="240" w:lineRule="auto"/>
              <w:jc w:val="center"/>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  73.20</w:t>
            </w:r>
          </w:p>
        </w:tc>
        <w:tc>
          <w:tcPr>
            <w:tcW w:w="1134" w:type="dxa"/>
            <w:tcBorders>
              <w:top w:val="nil"/>
              <w:left w:val="nil"/>
              <w:bottom w:val="nil"/>
              <w:right w:val="nil"/>
            </w:tcBorders>
            <w:shd w:val="clear" w:color="000000" w:fill="FFFFFF"/>
            <w:noWrap/>
            <w:vAlign w:val="bottom"/>
            <w:hideMark/>
          </w:tcPr>
          <w:p w14:paraId="0EA67445" w14:textId="77777777" w:rsidR="00C3650C" w:rsidRPr="00560702" w:rsidRDefault="00C3650C" w:rsidP="00C3650C">
            <w:pPr>
              <w:spacing w:after="0" w:line="240" w:lineRule="auto"/>
              <w:jc w:val="center"/>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$73.20</w:t>
            </w:r>
          </w:p>
        </w:tc>
        <w:tc>
          <w:tcPr>
            <w:tcW w:w="1842" w:type="dxa"/>
            <w:tcBorders>
              <w:top w:val="nil"/>
              <w:left w:val="nil"/>
              <w:bottom w:val="nil"/>
              <w:right w:val="single" w:sz="4" w:space="0" w:color="auto"/>
            </w:tcBorders>
            <w:shd w:val="clear" w:color="000000" w:fill="FFFFFF"/>
            <w:noWrap/>
            <w:vAlign w:val="bottom"/>
            <w:hideMark/>
          </w:tcPr>
          <w:p w14:paraId="22C72ADF" w14:textId="77777777" w:rsidR="00C3650C" w:rsidRPr="00560702" w:rsidRDefault="00C3650C" w:rsidP="00C3650C">
            <w:pPr>
              <w:spacing w:after="0" w:line="240" w:lineRule="auto"/>
              <w:jc w:val="center"/>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$73.20</w:t>
            </w:r>
          </w:p>
        </w:tc>
      </w:tr>
      <w:tr w:rsidR="00C3650C" w:rsidRPr="00BE6AA8" w14:paraId="3991CE0C" w14:textId="77777777" w:rsidTr="00BA5EF5">
        <w:trPr>
          <w:trHeight w:val="290"/>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06CF725F" w14:textId="77777777" w:rsidR="00C3650C" w:rsidRPr="00560702" w:rsidRDefault="00C3650C" w:rsidP="00C3650C">
            <w:pPr>
              <w:spacing w:after="0" w:line="240" w:lineRule="auto"/>
              <w:rPr>
                <w:rFonts w:ascii="Calibri" w:eastAsia="Times New Roman" w:hAnsi="Calibri" w:cs="Times New Roman"/>
                <w:b/>
                <w:bCs/>
                <w:color w:val="000000"/>
                <w:sz w:val="18"/>
                <w:szCs w:val="18"/>
                <w:lang w:eastAsia="en-AU"/>
              </w:rPr>
            </w:pPr>
          </w:p>
        </w:tc>
        <w:tc>
          <w:tcPr>
            <w:tcW w:w="4394" w:type="dxa"/>
            <w:tcBorders>
              <w:top w:val="nil"/>
              <w:left w:val="single" w:sz="4" w:space="0" w:color="auto"/>
              <w:bottom w:val="single" w:sz="4" w:space="0" w:color="auto"/>
              <w:right w:val="nil"/>
            </w:tcBorders>
            <w:shd w:val="clear" w:color="000000" w:fill="DDEBF7"/>
            <w:noWrap/>
            <w:vAlign w:val="bottom"/>
            <w:hideMark/>
          </w:tcPr>
          <w:p w14:paraId="5F636261" w14:textId="77777777" w:rsidR="00C3650C" w:rsidRPr="00560702" w:rsidRDefault="00C3650C" w:rsidP="00C3650C">
            <w:pPr>
              <w:spacing w:after="0" w:line="240" w:lineRule="auto"/>
              <w:rPr>
                <w:rFonts w:ascii="Calibri" w:eastAsia="Times New Roman" w:hAnsi="Calibri" w:cs="Times New Roman"/>
                <w:b/>
                <w:bCs/>
                <w:color w:val="000000"/>
                <w:sz w:val="18"/>
                <w:szCs w:val="18"/>
                <w:lang w:eastAsia="en-AU"/>
              </w:rPr>
            </w:pPr>
            <w:r w:rsidRPr="00560702">
              <w:rPr>
                <w:rFonts w:ascii="Calibri" w:eastAsia="Times New Roman" w:hAnsi="Calibri" w:cs="Times New Roman"/>
                <w:b/>
                <w:bCs/>
                <w:color w:val="000000"/>
                <w:sz w:val="18"/>
                <w:szCs w:val="18"/>
                <w:lang w:eastAsia="en-AU"/>
              </w:rPr>
              <w:t>Total</w:t>
            </w:r>
          </w:p>
        </w:tc>
        <w:tc>
          <w:tcPr>
            <w:tcW w:w="1276" w:type="dxa"/>
            <w:tcBorders>
              <w:top w:val="nil"/>
              <w:left w:val="nil"/>
              <w:bottom w:val="single" w:sz="4" w:space="0" w:color="auto"/>
              <w:right w:val="nil"/>
            </w:tcBorders>
            <w:shd w:val="clear" w:color="000000" w:fill="DDEBF7"/>
            <w:noWrap/>
            <w:vAlign w:val="bottom"/>
            <w:hideMark/>
          </w:tcPr>
          <w:p w14:paraId="02C2021A" w14:textId="77777777" w:rsidR="00C3650C" w:rsidRPr="00560702" w:rsidRDefault="00C3650C" w:rsidP="00C3650C">
            <w:pPr>
              <w:spacing w:after="0" w:line="240" w:lineRule="auto"/>
              <w:jc w:val="center"/>
              <w:rPr>
                <w:rFonts w:ascii="Calibri" w:eastAsia="Times New Roman" w:hAnsi="Calibri" w:cs="Times New Roman"/>
                <w:b/>
                <w:bCs/>
                <w:color w:val="000000"/>
                <w:sz w:val="18"/>
                <w:szCs w:val="18"/>
                <w:lang w:eastAsia="en-AU"/>
              </w:rPr>
            </w:pPr>
            <w:r w:rsidRPr="00560702">
              <w:rPr>
                <w:rFonts w:ascii="Calibri" w:eastAsia="Times New Roman" w:hAnsi="Calibri" w:cs="Times New Roman"/>
                <w:b/>
                <w:bCs/>
                <w:color w:val="000000"/>
                <w:sz w:val="18"/>
                <w:szCs w:val="18"/>
                <w:lang w:eastAsia="en-AU"/>
              </w:rPr>
              <w:t>$ 6,289,070</w:t>
            </w:r>
          </w:p>
        </w:tc>
        <w:tc>
          <w:tcPr>
            <w:tcW w:w="1418" w:type="dxa"/>
            <w:tcBorders>
              <w:top w:val="nil"/>
              <w:left w:val="nil"/>
              <w:bottom w:val="single" w:sz="4" w:space="0" w:color="auto"/>
              <w:right w:val="nil"/>
            </w:tcBorders>
            <w:shd w:val="clear" w:color="000000" w:fill="DDEBF7"/>
            <w:noWrap/>
            <w:vAlign w:val="bottom"/>
            <w:hideMark/>
          </w:tcPr>
          <w:p w14:paraId="67D75145" w14:textId="77777777" w:rsidR="00C3650C" w:rsidRPr="00560702" w:rsidRDefault="00C3650C" w:rsidP="00C3650C">
            <w:pPr>
              <w:spacing w:after="0" w:line="240" w:lineRule="auto"/>
              <w:jc w:val="center"/>
              <w:rPr>
                <w:rFonts w:ascii="Calibri" w:eastAsia="Times New Roman" w:hAnsi="Calibri" w:cs="Times New Roman"/>
                <w:b/>
                <w:bCs/>
                <w:color w:val="000000"/>
                <w:sz w:val="18"/>
                <w:szCs w:val="18"/>
                <w:lang w:eastAsia="en-AU"/>
              </w:rPr>
            </w:pPr>
            <w:r w:rsidRPr="00560702">
              <w:rPr>
                <w:rFonts w:ascii="Calibri" w:eastAsia="Times New Roman" w:hAnsi="Calibri" w:cs="Times New Roman"/>
                <w:b/>
                <w:bCs/>
                <w:color w:val="000000"/>
                <w:sz w:val="18"/>
                <w:szCs w:val="18"/>
                <w:lang w:eastAsia="en-AU"/>
              </w:rPr>
              <w:t>$ 1,347,658</w:t>
            </w:r>
          </w:p>
        </w:tc>
        <w:tc>
          <w:tcPr>
            <w:tcW w:w="1134" w:type="dxa"/>
            <w:tcBorders>
              <w:top w:val="nil"/>
              <w:left w:val="nil"/>
              <w:bottom w:val="single" w:sz="4" w:space="0" w:color="auto"/>
              <w:right w:val="nil"/>
            </w:tcBorders>
            <w:shd w:val="clear" w:color="000000" w:fill="DDEBF7"/>
            <w:noWrap/>
            <w:vAlign w:val="bottom"/>
            <w:hideMark/>
          </w:tcPr>
          <w:p w14:paraId="4A55BC41" w14:textId="77777777" w:rsidR="00C3650C" w:rsidRPr="00560702" w:rsidRDefault="00C3650C" w:rsidP="00C3650C">
            <w:pPr>
              <w:spacing w:after="0" w:line="240" w:lineRule="auto"/>
              <w:jc w:val="center"/>
              <w:rPr>
                <w:rFonts w:ascii="Calibri" w:eastAsia="Times New Roman" w:hAnsi="Calibri" w:cs="Times New Roman"/>
                <w:b/>
                <w:bCs/>
                <w:color w:val="000000"/>
                <w:sz w:val="18"/>
                <w:szCs w:val="18"/>
                <w:lang w:eastAsia="en-AU"/>
              </w:rPr>
            </w:pPr>
            <w:r w:rsidRPr="00560702">
              <w:rPr>
                <w:rFonts w:ascii="Calibri" w:eastAsia="Times New Roman" w:hAnsi="Calibri" w:cs="Times New Roman"/>
                <w:b/>
                <w:bCs/>
                <w:color w:val="000000"/>
                <w:sz w:val="18"/>
                <w:szCs w:val="18"/>
                <w:lang w:eastAsia="en-AU"/>
              </w:rPr>
              <w:t>$ 898,439</w:t>
            </w:r>
          </w:p>
        </w:tc>
        <w:tc>
          <w:tcPr>
            <w:tcW w:w="1842" w:type="dxa"/>
            <w:tcBorders>
              <w:top w:val="nil"/>
              <w:left w:val="nil"/>
              <w:bottom w:val="single" w:sz="4" w:space="0" w:color="auto"/>
              <w:right w:val="single" w:sz="4" w:space="0" w:color="auto"/>
            </w:tcBorders>
            <w:shd w:val="clear" w:color="000000" w:fill="DDEBF7"/>
            <w:noWrap/>
            <w:vAlign w:val="bottom"/>
            <w:hideMark/>
          </w:tcPr>
          <w:p w14:paraId="5623E194" w14:textId="77777777" w:rsidR="00C3650C" w:rsidRPr="00560702" w:rsidRDefault="00C3650C" w:rsidP="00C3650C">
            <w:pPr>
              <w:spacing w:after="0" w:line="240" w:lineRule="auto"/>
              <w:jc w:val="center"/>
              <w:rPr>
                <w:rFonts w:ascii="Calibri" w:eastAsia="Times New Roman" w:hAnsi="Calibri" w:cs="Times New Roman"/>
                <w:b/>
                <w:bCs/>
                <w:color w:val="000000"/>
                <w:sz w:val="18"/>
                <w:szCs w:val="18"/>
                <w:lang w:eastAsia="en-AU"/>
              </w:rPr>
            </w:pPr>
            <w:r w:rsidRPr="00560702">
              <w:rPr>
                <w:rFonts w:ascii="Calibri" w:eastAsia="Times New Roman" w:hAnsi="Calibri" w:cs="Times New Roman"/>
                <w:b/>
                <w:bCs/>
                <w:color w:val="000000"/>
                <w:sz w:val="18"/>
                <w:szCs w:val="18"/>
                <w:lang w:eastAsia="en-AU"/>
              </w:rPr>
              <w:t>$ 898,439</w:t>
            </w:r>
          </w:p>
        </w:tc>
      </w:tr>
      <w:tr w:rsidR="00C3650C" w:rsidRPr="00BE6AA8" w14:paraId="20C83F6F" w14:textId="77777777" w:rsidTr="00BA5EF5">
        <w:trPr>
          <w:trHeight w:val="290"/>
        </w:trPr>
        <w:tc>
          <w:tcPr>
            <w:tcW w:w="1276"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299A6FB0" w14:textId="77777777" w:rsidR="00C3650C" w:rsidRPr="00560702" w:rsidRDefault="00C3650C" w:rsidP="00C3650C">
            <w:pPr>
              <w:spacing w:after="0" w:line="240" w:lineRule="auto"/>
              <w:jc w:val="center"/>
              <w:rPr>
                <w:rFonts w:ascii="Calibri" w:eastAsia="Times New Roman" w:hAnsi="Calibri" w:cs="Times New Roman"/>
                <w:b/>
                <w:bCs/>
                <w:color w:val="000000"/>
                <w:sz w:val="18"/>
                <w:szCs w:val="18"/>
                <w:lang w:eastAsia="en-AU"/>
              </w:rPr>
            </w:pPr>
            <w:r w:rsidRPr="00560702">
              <w:rPr>
                <w:rFonts w:ascii="Calibri" w:eastAsia="Times New Roman" w:hAnsi="Calibri" w:cs="Times New Roman"/>
                <w:b/>
                <w:bCs/>
                <w:color w:val="000000"/>
                <w:sz w:val="18"/>
                <w:szCs w:val="18"/>
                <w:lang w:eastAsia="en-AU"/>
              </w:rPr>
              <w:t>Efficiencies at the practice (</w:t>
            </w:r>
            <w:r w:rsidRPr="00560702">
              <w:rPr>
                <w:rFonts w:ascii="Calibri" w:eastAsia="Times New Roman" w:hAnsi="Calibri" w:cs="Times New Roman"/>
                <w:b/>
                <w:bCs/>
                <w:i/>
                <w:iCs/>
                <w:color w:val="000000"/>
                <w:sz w:val="18"/>
                <w:szCs w:val="18"/>
                <w:lang w:eastAsia="en-AU"/>
              </w:rPr>
              <w:t>saving</w:t>
            </w:r>
            <w:r w:rsidRPr="00560702">
              <w:rPr>
                <w:rFonts w:ascii="Calibri" w:eastAsia="Times New Roman" w:hAnsi="Calibri" w:cs="Times New Roman"/>
                <w:b/>
                <w:bCs/>
                <w:color w:val="000000"/>
                <w:sz w:val="18"/>
                <w:szCs w:val="18"/>
                <w:lang w:eastAsia="en-AU"/>
              </w:rPr>
              <w:t>)</w:t>
            </w:r>
          </w:p>
        </w:tc>
        <w:tc>
          <w:tcPr>
            <w:tcW w:w="4394" w:type="dxa"/>
            <w:tcBorders>
              <w:top w:val="nil"/>
              <w:left w:val="single" w:sz="4" w:space="0" w:color="auto"/>
              <w:bottom w:val="nil"/>
              <w:right w:val="nil"/>
            </w:tcBorders>
            <w:shd w:val="clear" w:color="000000" w:fill="FFFFFF"/>
            <w:noWrap/>
            <w:vAlign w:val="bottom"/>
            <w:hideMark/>
          </w:tcPr>
          <w:p w14:paraId="24BB77CC" w14:textId="77777777" w:rsidR="00C3650C" w:rsidRPr="00560702" w:rsidRDefault="00C3650C" w:rsidP="00C3650C">
            <w:pPr>
              <w:spacing w:after="0" w:line="240" w:lineRule="auto"/>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Rate of uptake of registering patients for patients who see 3 or more practice per year</w:t>
            </w:r>
          </w:p>
        </w:tc>
        <w:tc>
          <w:tcPr>
            <w:tcW w:w="1276" w:type="dxa"/>
            <w:tcBorders>
              <w:top w:val="nil"/>
              <w:left w:val="nil"/>
              <w:bottom w:val="nil"/>
              <w:right w:val="nil"/>
            </w:tcBorders>
            <w:shd w:val="clear" w:color="000000" w:fill="FFFFFF"/>
            <w:noWrap/>
            <w:vAlign w:val="bottom"/>
            <w:hideMark/>
          </w:tcPr>
          <w:p w14:paraId="46EFA42D" w14:textId="77777777" w:rsidR="00C3650C" w:rsidRPr="00560702" w:rsidRDefault="00C3650C" w:rsidP="00C3650C">
            <w:pPr>
              <w:spacing w:after="0" w:line="240" w:lineRule="auto"/>
              <w:jc w:val="center"/>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35%</w:t>
            </w:r>
          </w:p>
        </w:tc>
        <w:tc>
          <w:tcPr>
            <w:tcW w:w="1418" w:type="dxa"/>
            <w:tcBorders>
              <w:top w:val="nil"/>
              <w:left w:val="nil"/>
              <w:bottom w:val="nil"/>
              <w:right w:val="nil"/>
            </w:tcBorders>
            <w:shd w:val="clear" w:color="000000" w:fill="FFFFFF"/>
            <w:noWrap/>
            <w:vAlign w:val="bottom"/>
            <w:hideMark/>
          </w:tcPr>
          <w:p w14:paraId="727A2EBB" w14:textId="77777777" w:rsidR="00C3650C" w:rsidRPr="00560702" w:rsidRDefault="00C3650C" w:rsidP="00C3650C">
            <w:pPr>
              <w:spacing w:after="0" w:line="240" w:lineRule="auto"/>
              <w:jc w:val="center"/>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50%</w:t>
            </w:r>
          </w:p>
        </w:tc>
        <w:tc>
          <w:tcPr>
            <w:tcW w:w="1134" w:type="dxa"/>
            <w:tcBorders>
              <w:top w:val="nil"/>
              <w:left w:val="nil"/>
              <w:bottom w:val="nil"/>
              <w:right w:val="nil"/>
            </w:tcBorders>
            <w:shd w:val="clear" w:color="000000" w:fill="FFFFFF"/>
            <w:noWrap/>
            <w:vAlign w:val="bottom"/>
            <w:hideMark/>
          </w:tcPr>
          <w:p w14:paraId="545FBAB6" w14:textId="77777777" w:rsidR="00C3650C" w:rsidRPr="00560702" w:rsidRDefault="00C3650C" w:rsidP="00C3650C">
            <w:pPr>
              <w:spacing w:after="0" w:line="240" w:lineRule="auto"/>
              <w:jc w:val="center"/>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10%</w:t>
            </w:r>
          </w:p>
        </w:tc>
        <w:tc>
          <w:tcPr>
            <w:tcW w:w="1842" w:type="dxa"/>
            <w:tcBorders>
              <w:top w:val="nil"/>
              <w:left w:val="nil"/>
              <w:bottom w:val="nil"/>
              <w:right w:val="single" w:sz="4" w:space="0" w:color="auto"/>
            </w:tcBorders>
            <w:shd w:val="clear" w:color="000000" w:fill="FFFFFF"/>
            <w:noWrap/>
            <w:vAlign w:val="bottom"/>
            <w:hideMark/>
          </w:tcPr>
          <w:p w14:paraId="778ABED7" w14:textId="77777777" w:rsidR="00C3650C" w:rsidRPr="00560702" w:rsidRDefault="00C3650C" w:rsidP="00C3650C">
            <w:pPr>
              <w:spacing w:after="0" w:line="240" w:lineRule="auto"/>
              <w:jc w:val="center"/>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10%</w:t>
            </w:r>
          </w:p>
        </w:tc>
      </w:tr>
      <w:tr w:rsidR="00C3650C" w:rsidRPr="00BE6AA8" w14:paraId="002C4D32" w14:textId="77777777" w:rsidTr="00BA5EF5">
        <w:trPr>
          <w:trHeight w:val="290"/>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3D364C95" w14:textId="77777777" w:rsidR="00C3650C" w:rsidRPr="00560702" w:rsidRDefault="00C3650C" w:rsidP="00C3650C">
            <w:pPr>
              <w:spacing w:after="0" w:line="240" w:lineRule="auto"/>
              <w:rPr>
                <w:rFonts w:ascii="Calibri" w:eastAsia="Times New Roman" w:hAnsi="Calibri" w:cs="Times New Roman"/>
                <w:b/>
                <w:bCs/>
                <w:color w:val="000000"/>
                <w:sz w:val="18"/>
                <w:szCs w:val="18"/>
                <w:lang w:eastAsia="en-AU"/>
              </w:rPr>
            </w:pPr>
          </w:p>
        </w:tc>
        <w:tc>
          <w:tcPr>
            <w:tcW w:w="4394" w:type="dxa"/>
            <w:tcBorders>
              <w:top w:val="nil"/>
              <w:left w:val="single" w:sz="4" w:space="0" w:color="auto"/>
              <w:bottom w:val="nil"/>
              <w:right w:val="nil"/>
            </w:tcBorders>
            <w:shd w:val="clear" w:color="000000" w:fill="FFFFFF"/>
            <w:noWrap/>
            <w:vAlign w:val="bottom"/>
            <w:hideMark/>
          </w:tcPr>
          <w:p w14:paraId="6724C000" w14:textId="77777777" w:rsidR="00C3650C" w:rsidRPr="00560702" w:rsidRDefault="00C3650C" w:rsidP="00C3650C">
            <w:pPr>
              <w:spacing w:after="0" w:line="240" w:lineRule="auto"/>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Estimated number of these patients registering in VPR (and saving other practices administrative burden)</w:t>
            </w:r>
          </w:p>
        </w:tc>
        <w:tc>
          <w:tcPr>
            <w:tcW w:w="1276" w:type="dxa"/>
            <w:tcBorders>
              <w:top w:val="nil"/>
              <w:left w:val="nil"/>
              <w:bottom w:val="nil"/>
              <w:right w:val="nil"/>
            </w:tcBorders>
            <w:shd w:val="clear" w:color="000000" w:fill="FFFFFF"/>
            <w:noWrap/>
            <w:vAlign w:val="bottom"/>
            <w:hideMark/>
          </w:tcPr>
          <w:p w14:paraId="07E6B1F8" w14:textId="77777777" w:rsidR="00C3650C" w:rsidRPr="00560702" w:rsidRDefault="00C3650C" w:rsidP="00C3650C">
            <w:pPr>
              <w:spacing w:after="0" w:line="240" w:lineRule="auto"/>
              <w:jc w:val="center"/>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682,500</w:t>
            </w:r>
          </w:p>
        </w:tc>
        <w:tc>
          <w:tcPr>
            <w:tcW w:w="1418" w:type="dxa"/>
            <w:tcBorders>
              <w:top w:val="nil"/>
              <w:left w:val="nil"/>
              <w:bottom w:val="nil"/>
              <w:right w:val="nil"/>
            </w:tcBorders>
            <w:shd w:val="clear" w:color="000000" w:fill="FFFFFF"/>
            <w:noWrap/>
            <w:vAlign w:val="bottom"/>
            <w:hideMark/>
          </w:tcPr>
          <w:p w14:paraId="38463523" w14:textId="77777777" w:rsidR="00C3650C" w:rsidRPr="00560702" w:rsidRDefault="00C3650C" w:rsidP="00C3650C">
            <w:pPr>
              <w:spacing w:after="0" w:line="240" w:lineRule="auto"/>
              <w:jc w:val="center"/>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975,000</w:t>
            </w:r>
          </w:p>
        </w:tc>
        <w:tc>
          <w:tcPr>
            <w:tcW w:w="1134" w:type="dxa"/>
            <w:tcBorders>
              <w:top w:val="nil"/>
              <w:left w:val="nil"/>
              <w:bottom w:val="nil"/>
              <w:right w:val="nil"/>
            </w:tcBorders>
            <w:shd w:val="clear" w:color="000000" w:fill="FFFFFF"/>
            <w:noWrap/>
            <w:vAlign w:val="bottom"/>
            <w:hideMark/>
          </w:tcPr>
          <w:p w14:paraId="78714279" w14:textId="77777777" w:rsidR="00C3650C" w:rsidRPr="00560702" w:rsidRDefault="00C3650C" w:rsidP="00C3650C">
            <w:pPr>
              <w:spacing w:after="0" w:line="240" w:lineRule="auto"/>
              <w:jc w:val="center"/>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195,000</w:t>
            </w:r>
          </w:p>
        </w:tc>
        <w:tc>
          <w:tcPr>
            <w:tcW w:w="1842" w:type="dxa"/>
            <w:tcBorders>
              <w:top w:val="nil"/>
              <w:left w:val="nil"/>
              <w:bottom w:val="nil"/>
              <w:right w:val="single" w:sz="4" w:space="0" w:color="auto"/>
            </w:tcBorders>
            <w:shd w:val="clear" w:color="000000" w:fill="FFFFFF"/>
            <w:noWrap/>
            <w:vAlign w:val="bottom"/>
            <w:hideMark/>
          </w:tcPr>
          <w:p w14:paraId="2C101617" w14:textId="77777777" w:rsidR="00C3650C" w:rsidRPr="00560702" w:rsidRDefault="00C3650C" w:rsidP="00C3650C">
            <w:pPr>
              <w:spacing w:after="0" w:line="240" w:lineRule="auto"/>
              <w:jc w:val="center"/>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195,000</w:t>
            </w:r>
          </w:p>
        </w:tc>
      </w:tr>
      <w:tr w:rsidR="00C3650C" w:rsidRPr="00BE6AA8" w14:paraId="44D2A72B" w14:textId="77777777" w:rsidTr="00BA5EF5">
        <w:trPr>
          <w:trHeight w:val="290"/>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3E9A2CAA" w14:textId="77777777" w:rsidR="00C3650C" w:rsidRPr="00560702" w:rsidRDefault="00C3650C" w:rsidP="00C3650C">
            <w:pPr>
              <w:spacing w:after="0" w:line="240" w:lineRule="auto"/>
              <w:rPr>
                <w:rFonts w:ascii="Calibri" w:eastAsia="Times New Roman" w:hAnsi="Calibri" w:cs="Times New Roman"/>
                <w:b/>
                <w:bCs/>
                <w:color w:val="000000"/>
                <w:sz w:val="18"/>
                <w:szCs w:val="18"/>
                <w:lang w:eastAsia="en-AU"/>
              </w:rPr>
            </w:pPr>
          </w:p>
        </w:tc>
        <w:tc>
          <w:tcPr>
            <w:tcW w:w="4394" w:type="dxa"/>
            <w:tcBorders>
              <w:top w:val="nil"/>
              <w:left w:val="single" w:sz="4" w:space="0" w:color="auto"/>
              <w:bottom w:val="nil"/>
              <w:right w:val="nil"/>
            </w:tcBorders>
            <w:shd w:val="clear" w:color="000000" w:fill="FFFFFF"/>
            <w:noWrap/>
            <w:vAlign w:val="bottom"/>
            <w:hideMark/>
          </w:tcPr>
          <w:p w14:paraId="3BB043C3" w14:textId="77777777" w:rsidR="00C3650C" w:rsidRPr="00560702" w:rsidRDefault="00C3650C" w:rsidP="00C3650C">
            <w:pPr>
              <w:spacing w:after="0" w:line="240" w:lineRule="auto"/>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Number of hours in follow up time for practices</w:t>
            </w:r>
          </w:p>
        </w:tc>
        <w:tc>
          <w:tcPr>
            <w:tcW w:w="1276" w:type="dxa"/>
            <w:tcBorders>
              <w:top w:val="nil"/>
              <w:left w:val="nil"/>
              <w:bottom w:val="nil"/>
              <w:right w:val="nil"/>
            </w:tcBorders>
            <w:shd w:val="clear" w:color="000000" w:fill="FFFFFF"/>
            <w:noWrap/>
            <w:vAlign w:val="bottom"/>
            <w:hideMark/>
          </w:tcPr>
          <w:p w14:paraId="74245512" w14:textId="77777777" w:rsidR="00C3650C" w:rsidRPr="00560702" w:rsidRDefault="00C3650C" w:rsidP="00C3650C">
            <w:pPr>
              <w:spacing w:after="0" w:line="240" w:lineRule="auto"/>
              <w:jc w:val="center"/>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0.17</w:t>
            </w:r>
          </w:p>
        </w:tc>
        <w:tc>
          <w:tcPr>
            <w:tcW w:w="1418" w:type="dxa"/>
            <w:tcBorders>
              <w:top w:val="nil"/>
              <w:left w:val="nil"/>
              <w:bottom w:val="nil"/>
              <w:right w:val="nil"/>
            </w:tcBorders>
            <w:shd w:val="clear" w:color="000000" w:fill="FFFFFF"/>
            <w:noWrap/>
            <w:vAlign w:val="bottom"/>
            <w:hideMark/>
          </w:tcPr>
          <w:p w14:paraId="30E08D73" w14:textId="77777777" w:rsidR="00C3650C" w:rsidRPr="00560702" w:rsidRDefault="00C3650C" w:rsidP="00C3650C">
            <w:pPr>
              <w:spacing w:after="0" w:line="240" w:lineRule="auto"/>
              <w:jc w:val="center"/>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0.17</w:t>
            </w:r>
          </w:p>
        </w:tc>
        <w:tc>
          <w:tcPr>
            <w:tcW w:w="1134" w:type="dxa"/>
            <w:tcBorders>
              <w:top w:val="nil"/>
              <w:left w:val="nil"/>
              <w:bottom w:val="nil"/>
              <w:right w:val="nil"/>
            </w:tcBorders>
            <w:shd w:val="clear" w:color="000000" w:fill="FFFFFF"/>
            <w:noWrap/>
            <w:vAlign w:val="bottom"/>
            <w:hideMark/>
          </w:tcPr>
          <w:p w14:paraId="319F3CA3" w14:textId="77777777" w:rsidR="00C3650C" w:rsidRPr="00560702" w:rsidRDefault="00C3650C" w:rsidP="00C3650C">
            <w:pPr>
              <w:spacing w:after="0" w:line="240" w:lineRule="auto"/>
              <w:jc w:val="center"/>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0.17</w:t>
            </w:r>
          </w:p>
        </w:tc>
        <w:tc>
          <w:tcPr>
            <w:tcW w:w="1842" w:type="dxa"/>
            <w:tcBorders>
              <w:top w:val="nil"/>
              <w:left w:val="nil"/>
              <w:bottom w:val="nil"/>
              <w:right w:val="single" w:sz="4" w:space="0" w:color="auto"/>
            </w:tcBorders>
            <w:shd w:val="clear" w:color="000000" w:fill="FFFFFF"/>
            <w:noWrap/>
            <w:vAlign w:val="bottom"/>
            <w:hideMark/>
          </w:tcPr>
          <w:p w14:paraId="44E5F41C" w14:textId="77777777" w:rsidR="00C3650C" w:rsidRPr="00560702" w:rsidRDefault="00C3650C" w:rsidP="00C3650C">
            <w:pPr>
              <w:spacing w:after="0" w:line="240" w:lineRule="auto"/>
              <w:jc w:val="center"/>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0.17</w:t>
            </w:r>
          </w:p>
        </w:tc>
      </w:tr>
      <w:tr w:rsidR="00C3650C" w:rsidRPr="00BE6AA8" w14:paraId="5BAEE005" w14:textId="77777777" w:rsidTr="00BA5EF5">
        <w:trPr>
          <w:trHeight w:val="290"/>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60640405" w14:textId="77777777" w:rsidR="00C3650C" w:rsidRPr="00560702" w:rsidRDefault="00C3650C" w:rsidP="00C3650C">
            <w:pPr>
              <w:spacing w:after="0" w:line="240" w:lineRule="auto"/>
              <w:rPr>
                <w:rFonts w:ascii="Calibri" w:eastAsia="Times New Roman" w:hAnsi="Calibri" w:cs="Times New Roman"/>
                <w:b/>
                <w:bCs/>
                <w:color w:val="000000"/>
                <w:sz w:val="18"/>
                <w:szCs w:val="18"/>
                <w:lang w:eastAsia="en-AU"/>
              </w:rPr>
            </w:pPr>
          </w:p>
        </w:tc>
        <w:tc>
          <w:tcPr>
            <w:tcW w:w="4394" w:type="dxa"/>
            <w:tcBorders>
              <w:top w:val="nil"/>
              <w:left w:val="single" w:sz="4" w:space="0" w:color="auto"/>
              <w:bottom w:val="nil"/>
              <w:right w:val="nil"/>
            </w:tcBorders>
            <w:shd w:val="clear" w:color="000000" w:fill="FFFFFF"/>
            <w:noWrap/>
            <w:vAlign w:val="bottom"/>
            <w:hideMark/>
          </w:tcPr>
          <w:p w14:paraId="77FB2721" w14:textId="77777777" w:rsidR="00C3650C" w:rsidRPr="00560702" w:rsidRDefault="00C3650C" w:rsidP="00C3650C">
            <w:pPr>
              <w:spacing w:after="0" w:line="240" w:lineRule="auto"/>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Staffing cost per hour (assuming 2 practices will realise efficiency gains per patient)</w:t>
            </w:r>
          </w:p>
        </w:tc>
        <w:tc>
          <w:tcPr>
            <w:tcW w:w="1276" w:type="dxa"/>
            <w:tcBorders>
              <w:top w:val="nil"/>
              <w:left w:val="nil"/>
              <w:bottom w:val="nil"/>
              <w:right w:val="nil"/>
            </w:tcBorders>
            <w:shd w:val="clear" w:color="000000" w:fill="FFFFFF"/>
            <w:noWrap/>
            <w:vAlign w:val="bottom"/>
            <w:hideMark/>
          </w:tcPr>
          <w:p w14:paraId="79190BBB" w14:textId="77777777" w:rsidR="00C3650C" w:rsidRPr="00560702" w:rsidRDefault="00C3650C" w:rsidP="00C3650C">
            <w:pPr>
              <w:spacing w:after="0" w:line="240" w:lineRule="auto"/>
              <w:jc w:val="center"/>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$ 146.40</w:t>
            </w:r>
          </w:p>
        </w:tc>
        <w:tc>
          <w:tcPr>
            <w:tcW w:w="1418" w:type="dxa"/>
            <w:tcBorders>
              <w:top w:val="nil"/>
              <w:left w:val="nil"/>
              <w:bottom w:val="nil"/>
              <w:right w:val="nil"/>
            </w:tcBorders>
            <w:shd w:val="clear" w:color="000000" w:fill="FFFFFF"/>
            <w:noWrap/>
            <w:vAlign w:val="bottom"/>
            <w:hideMark/>
          </w:tcPr>
          <w:p w14:paraId="50E3F0C1" w14:textId="77777777" w:rsidR="00C3650C" w:rsidRPr="00560702" w:rsidRDefault="00C3650C" w:rsidP="00C3650C">
            <w:pPr>
              <w:spacing w:after="0" w:line="240" w:lineRule="auto"/>
              <w:jc w:val="center"/>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$ 146.40</w:t>
            </w:r>
          </w:p>
        </w:tc>
        <w:tc>
          <w:tcPr>
            <w:tcW w:w="1134" w:type="dxa"/>
            <w:tcBorders>
              <w:top w:val="nil"/>
              <w:left w:val="nil"/>
              <w:bottom w:val="nil"/>
              <w:right w:val="nil"/>
            </w:tcBorders>
            <w:shd w:val="clear" w:color="000000" w:fill="FFFFFF"/>
            <w:noWrap/>
            <w:vAlign w:val="bottom"/>
            <w:hideMark/>
          </w:tcPr>
          <w:p w14:paraId="539804A3" w14:textId="77777777" w:rsidR="00C3650C" w:rsidRPr="00560702" w:rsidRDefault="00C3650C" w:rsidP="00C3650C">
            <w:pPr>
              <w:spacing w:after="0" w:line="240" w:lineRule="auto"/>
              <w:jc w:val="center"/>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 xml:space="preserve"> $146.40</w:t>
            </w:r>
          </w:p>
        </w:tc>
        <w:tc>
          <w:tcPr>
            <w:tcW w:w="1842" w:type="dxa"/>
            <w:tcBorders>
              <w:top w:val="nil"/>
              <w:left w:val="nil"/>
              <w:bottom w:val="nil"/>
              <w:right w:val="single" w:sz="4" w:space="0" w:color="auto"/>
            </w:tcBorders>
            <w:shd w:val="clear" w:color="000000" w:fill="FFFFFF"/>
            <w:noWrap/>
            <w:vAlign w:val="bottom"/>
            <w:hideMark/>
          </w:tcPr>
          <w:p w14:paraId="09F6C9F8" w14:textId="77777777" w:rsidR="00C3650C" w:rsidRPr="00560702" w:rsidRDefault="00C3650C" w:rsidP="00C3650C">
            <w:pPr>
              <w:spacing w:after="0" w:line="240" w:lineRule="auto"/>
              <w:jc w:val="center"/>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$ 146.40</w:t>
            </w:r>
          </w:p>
        </w:tc>
      </w:tr>
      <w:tr w:rsidR="00C3650C" w:rsidRPr="00BE6AA8" w14:paraId="0A1EDA00" w14:textId="77777777" w:rsidTr="00BA5EF5">
        <w:trPr>
          <w:trHeight w:val="290"/>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5ED5111B" w14:textId="77777777" w:rsidR="00C3650C" w:rsidRPr="00560702" w:rsidRDefault="00C3650C" w:rsidP="00C3650C">
            <w:pPr>
              <w:spacing w:after="0" w:line="240" w:lineRule="auto"/>
              <w:rPr>
                <w:rFonts w:ascii="Calibri" w:eastAsia="Times New Roman" w:hAnsi="Calibri" w:cs="Times New Roman"/>
                <w:b/>
                <w:bCs/>
                <w:color w:val="000000"/>
                <w:sz w:val="18"/>
                <w:szCs w:val="18"/>
                <w:lang w:eastAsia="en-AU"/>
              </w:rPr>
            </w:pPr>
          </w:p>
        </w:tc>
        <w:tc>
          <w:tcPr>
            <w:tcW w:w="4394" w:type="dxa"/>
            <w:tcBorders>
              <w:top w:val="nil"/>
              <w:left w:val="single" w:sz="4" w:space="0" w:color="auto"/>
              <w:bottom w:val="single" w:sz="4" w:space="0" w:color="auto"/>
              <w:right w:val="nil"/>
            </w:tcBorders>
            <w:shd w:val="clear" w:color="000000" w:fill="DDEBF7"/>
            <w:noWrap/>
            <w:vAlign w:val="bottom"/>
            <w:hideMark/>
          </w:tcPr>
          <w:p w14:paraId="2EFE2B3A" w14:textId="77777777" w:rsidR="00C3650C" w:rsidRPr="00560702" w:rsidRDefault="00C3650C" w:rsidP="00C3650C">
            <w:pPr>
              <w:spacing w:after="0" w:line="240" w:lineRule="auto"/>
              <w:rPr>
                <w:rFonts w:ascii="Calibri" w:eastAsia="Times New Roman" w:hAnsi="Calibri" w:cs="Times New Roman"/>
                <w:b/>
                <w:bCs/>
                <w:color w:val="000000"/>
                <w:sz w:val="18"/>
                <w:szCs w:val="18"/>
                <w:lang w:eastAsia="en-AU"/>
              </w:rPr>
            </w:pPr>
            <w:r w:rsidRPr="00560702">
              <w:rPr>
                <w:rFonts w:ascii="Calibri" w:eastAsia="Times New Roman" w:hAnsi="Calibri" w:cs="Times New Roman"/>
                <w:b/>
                <w:bCs/>
                <w:color w:val="000000"/>
                <w:sz w:val="18"/>
                <w:szCs w:val="18"/>
                <w:lang w:eastAsia="en-AU"/>
              </w:rPr>
              <w:t>Total</w:t>
            </w:r>
          </w:p>
        </w:tc>
        <w:tc>
          <w:tcPr>
            <w:tcW w:w="1276" w:type="dxa"/>
            <w:tcBorders>
              <w:top w:val="nil"/>
              <w:left w:val="nil"/>
              <w:bottom w:val="single" w:sz="4" w:space="0" w:color="auto"/>
              <w:right w:val="nil"/>
            </w:tcBorders>
            <w:shd w:val="clear" w:color="000000" w:fill="DDEBF7"/>
            <w:noWrap/>
            <w:vAlign w:val="bottom"/>
            <w:hideMark/>
          </w:tcPr>
          <w:p w14:paraId="67CD118E" w14:textId="77777777" w:rsidR="00C3650C" w:rsidRPr="00560702" w:rsidRDefault="00C3650C" w:rsidP="00C3650C">
            <w:pPr>
              <w:spacing w:after="0" w:line="240" w:lineRule="auto"/>
              <w:jc w:val="center"/>
              <w:rPr>
                <w:rFonts w:ascii="Calibri" w:eastAsia="Times New Roman" w:hAnsi="Calibri" w:cs="Times New Roman"/>
                <w:b/>
                <w:bCs/>
                <w:color w:val="000000"/>
                <w:sz w:val="18"/>
                <w:szCs w:val="18"/>
                <w:lang w:eastAsia="en-AU"/>
              </w:rPr>
            </w:pPr>
            <w:r w:rsidRPr="00560702">
              <w:rPr>
                <w:rFonts w:ascii="Calibri" w:eastAsia="Times New Roman" w:hAnsi="Calibri" w:cs="Times New Roman"/>
                <w:b/>
                <w:bCs/>
                <w:color w:val="000000"/>
                <w:sz w:val="18"/>
                <w:szCs w:val="18"/>
                <w:lang w:eastAsia="en-AU"/>
              </w:rPr>
              <w:t>$ 16,653,000</w:t>
            </w:r>
          </w:p>
        </w:tc>
        <w:tc>
          <w:tcPr>
            <w:tcW w:w="1418" w:type="dxa"/>
            <w:tcBorders>
              <w:top w:val="nil"/>
              <w:left w:val="nil"/>
              <w:bottom w:val="single" w:sz="4" w:space="0" w:color="auto"/>
              <w:right w:val="nil"/>
            </w:tcBorders>
            <w:shd w:val="clear" w:color="000000" w:fill="DDEBF7"/>
            <w:noWrap/>
            <w:vAlign w:val="bottom"/>
            <w:hideMark/>
          </w:tcPr>
          <w:p w14:paraId="41276B59" w14:textId="77777777" w:rsidR="00C3650C" w:rsidRPr="00560702" w:rsidRDefault="00C3650C" w:rsidP="00C3650C">
            <w:pPr>
              <w:spacing w:after="0" w:line="240" w:lineRule="auto"/>
              <w:jc w:val="center"/>
              <w:rPr>
                <w:rFonts w:ascii="Calibri" w:eastAsia="Times New Roman" w:hAnsi="Calibri" w:cs="Times New Roman"/>
                <w:b/>
                <w:bCs/>
                <w:color w:val="000000"/>
                <w:sz w:val="18"/>
                <w:szCs w:val="18"/>
                <w:lang w:eastAsia="en-AU"/>
              </w:rPr>
            </w:pPr>
            <w:r w:rsidRPr="00560702">
              <w:rPr>
                <w:rFonts w:ascii="Calibri" w:eastAsia="Times New Roman" w:hAnsi="Calibri" w:cs="Times New Roman"/>
                <w:b/>
                <w:bCs/>
                <w:color w:val="000000"/>
                <w:sz w:val="18"/>
                <w:szCs w:val="18"/>
                <w:lang w:eastAsia="en-AU"/>
              </w:rPr>
              <w:t>$ 23,790,000</w:t>
            </w:r>
          </w:p>
        </w:tc>
        <w:tc>
          <w:tcPr>
            <w:tcW w:w="1134" w:type="dxa"/>
            <w:tcBorders>
              <w:top w:val="nil"/>
              <w:left w:val="nil"/>
              <w:bottom w:val="single" w:sz="4" w:space="0" w:color="auto"/>
              <w:right w:val="nil"/>
            </w:tcBorders>
            <w:shd w:val="clear" w:color="000000" w:fill="DDEBF7"/>
            <w:noWrap/>
            <w:vAlign w:val="bottom"/>
            <w:hideMark/>
          </w:tcPr>
          <w:p w14:paraId="204E0B5A" w14:textId="77777777" w:rsidR="00C3650C" w:rsidRPr="00560702" w:rsidRDefault="00C3650C" w:rsidP="00C3650C">
            <w:pPr>
              <w:spacing w:after="0" w:line="240" w:lineRule="auto"/>
              <w:jc w:val="center"/>
              <w:rPr>
                <w:rFonts w:ascii="Calibri" w:eastAsia="Times New Roman" w:hAnsi="Calibri" w:cs="Times New Roman"/>
                <w:b/>
                <w:bCs/>
                <w:color w:val="000000"/>
                <w:sz w:val="18"/>
                <w:szCs w:val="18"/>
                <w:lang w:eastAsia="en-AU"/>
              </w:rPr>
            </w:pPr>
            <w:r w:rsidRPr="00560702">
              <w:rPr>
                <w:rFonts w:ascii="Calibri" w:eastAsia="Times New Roman" w:hAnsi="Calibri" w:cs="Times New Roman"/>
                <w:b/>
                <w:bCs/>
                <w:color w:val="000000"/>
                <w:sz w:val="18"/>
                <w:szCs w:val="18"/>
                <w:lang w:eastAsia="en-AU"/>
              </w:rPr>
              <w:t>$                  4,758,000</w:t>
            </w:r>
          </w:p>
        </w:tc>
        <w:tc>
          <w:tcPr>
            <w:tcW w:w="1842" w:type="dxa"/>
            <w:tcBorders>
              <w:top w:val="nil"/>
              <w:left w:val="nil"/>
              <w:bottom w:val="single" w:sz="4" w:space="0" w:color="auto"/>
              <w:right w:val="single" w:sz="4" w:space="0" w:color="auto"/>
            </w:tcBorders>
            <w:shd w:val="clear" w:color="000000" w:fill="DDEBF7"/>
            <w:noWrap/>
            <w:vAlign w:val="bottom"/>
            <w:hideMark/>
          </w:tcPr>
          <w:p w14:paraId="6D164340" w14:textId="77777777" w:rsidR="00C3650C" w:rsidRPr="00560702" w:rsidRDefault="00C3650C" w:rsidP="00C3650C">
            <w:pPr>
              <w:spacing w:after="0" w:line="240" w:lineRule="auto"/>
              <w:jc w:val="center"/>
              <w:rPr>
                <w:rFonts w:ascii="Calibri" w:eastAsia="Times New Roman" w:hAnsi="Calibri" w:cs="Times New Roman"/>
                <w:b/>
                <w:bCs/>
                <w:color w:val="000000"/>
                <w:sz w:val="18"/>
                <w:szCs w:val="18"/>
                <w:lang w:eastAsia="en-AU"/>
              </w:rPr>
            </w:pPr>
            <w:r w:rsidRPr="00560702">
              <w:rPr>
                <w:rFonts w:ascii="Calibri" w:eastAsia="Times New Roman" w:hAnsi="Calibri" w:cs="Times New Roman"/>
                <w:b/>
                <w:bCs/>
                <w:color w:val="000000"/>
                <w:sz w:val="18"/>
                <w:szCs w:val="18"/>
                <w:lang w:eastAsia="en-AU"/>
              </w:rPr>
              <w:t>$ 4,758,000</w:t>
            </w:r>
          </w:p>
        </w:tc>
      </w:tr>
      <w:tr w:rsidR="00C3650C" w:rsidRPr="00BE6AA8" w14:paraId="7281A138" w14:textId="77777777" w:rsidTr="00BA5EF5">
        <w:trPr>
          <w:trHeight w:val="67"/>
        </w:trPr>
        <w:tc>
          <w:tcPr>
            <w:tcW w:w="1276"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5C9DED44" w14:textId="77777777" w:rsidR="00C3650C" w:rsidRPr="00560702" w:rsidRDefault="00C3650C" w:rsidP="00C3650C">
            <w:pPr>
              <w:spacing w:after="0" w:line="240" w:lineRule="auto"/>
              <w:jc w:val="center"/>
              <w:rPr>
                <w:rFonts w:ascii="Calibri" w:eastAsia="Times New Roman" w:hAnsi="Calibri" w:cs="Times New Roman"/>
                <w:b/>
                <w:bCs/>
                <w:color w:val="000000"/>
                <w:sz w:val="18"/>
                <w:szCs w:val="18"/>
                <w:lang w:eastAsia="en-AU"/>
              </w:rPr>
            </w:pPr>
            <w:r w:rsidRPr="00560702">
              <w:rPr>
                <w:rFonts w:ascii="Calibri" w:eastAsia="Times New Roman" w:hAnsi="Calibri" w:cs="Times New Roman"/>
                <w:b/>
                <w:bCs/>
                <w:color w:val="000000"/>
                <w:sz w:val="18"/>
                <w:szCs w:val="18"/>
                <w:lang w:eastAsia="en-AU"/>
              </w:rPr>
              <w:t>Incentives income to business (</w:t>
            </w:r>
            <w:r w:rsidRPr="00560702">
              <w:rPr>
                <w:rFonts w:ascii="Calibri" w:eastAsia="Times New Roman" w:hAnsi="Calibri" w:cs="Times New Roman"/>
                <w:b/>
                <w:bCs/>
                <w:i/>
                <w:iCs/>
                <w:color w:val="000000"/>
                <w:sz w:val="18"/>
                <w:szCs w:val="18"/>
                <w:lang w:eastAsia="en-AU"/>
              </w:rPr>
              <w:t>saving</w:t>
            </w:r>
            <w:r w:rsidRPr="00560702">
              <w:rPr>
                <w:rFonts w:ascii="Calibri" w:eastAsia="Times New Roman" w:hAnsi="Calibri" w:cs="Times New Roman"/>
                <w:b/>
                <w:bCs/>
                <w:color w:val="000000"/>
                <w:sz w:val="18"/>
                <w:szCs w:val="18"/>
                <w:lang w:eastAsia="en-AU"/>
              </w:rPr>
              <w:t>)</w:t>
            </w:r>
          </w:p>
        </w:tc>
        <w:tc>
          <w:tcPr>
            <w:tcW w:w="4394" w:type="dxa"/>
            <w:tcBorders>
              <w:top w:val="nil"/>
              <w:left w:val="single" w:sz="4" w:space="0" w:color="auto"/>
              <w:bottom w:val="nil"/>
              <w:right w:val="nil"/>
            </w:tcBorders>
            <w:shd w:val="clear" w:color="000000" w:fill="FFFFFF"/>
            <w:noWrap/>
            <w:vAlign w:val="bottom"/>
            <w:hideMark/>
          </w:tcPr>
          <w:p w14:paraId="31A43D8B" w14:textId="77777777" w:rsidR="00C3650C" w:rsidRPr="00560702" w:rsidRDefault="00C3650C" w:rsidP="00C3650C">
            <w:pPr>
              <w:spacing w:after="0" w:line="240" w:lineRule="auto"/>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 </w:t>
            </w:r>
          </w:p>
        </w:tc>
        <w:tc>
          <w:tcPr>
            <w:tcW w:w="1276" w:type="dxa"/>
            <w:tcBorders>
              <w:top w:val="nil"/>
              <w:left w:val="nil"/>
              <w:bottom w:val="nil"/>
              <w:right w:val="nil"/>
            </w:tcBorders>
            <w:shd w:val="clear" w:color="000000" w:fill="FFFFFF"/>
            <w:noWrap/>
            <w:vAlign w:val="bottom"/>
            <w:hideMark/>
          </w:tcPr>
          <w:p w14:paraId="04D9D04C" w14:textId="77777777" w:rsidR="00C3650C" w:rsidRPr="00560702" w:rsidRDefault="00C3650C" w:rsidP="00C3650C">
            <w:pPr>
              <w:spacing w:after="0" w:line="240" w:lineRule="auto"/>
              <w:jc w:val="center"/>
              <w:rPr>
                <w:rFonts w:ascii="Calibri" w:eastAsia="Times New Roman" w:hAnsi="Calibri" w:cs="Times New Roman"/>
                <w:color w:val="000000"/>
                <w:sz w:val="18"/>
                <w:szCs w:val="18"/>
                <w:lang w:eastAsia="en-AU"/>
              </w:rPr>
            </w:pPr>
          </w:p>
        </w:tc>
        <w:tc>
          <w:tcPr>
            <w:tcW w:w="1418" w:type="dxa"/>
            <w:tcBorders>
              <w:top w:val="nil"/>
              <w:left w:val="nil"/>
              <w:bottom w:val="nil"/>
              <w:right w:val="nil"/>
            </w:tcBorders>
            <w:shd w:val="clear" w:color="000000" w:fill="FFFFFF"/>
            <w:noWrap/>
            <w:vAlign w:val="bottom"/>
            <w:hideMark/>
          </w:tcPr>
          <w:p w14:paraId="33189C12" w14:textId="77777777" w:rsidR="00C3650C" w:rsidRPr="00560702" w:rsidRDefault="00C3650C" w:rsidP="00C3650C">
            <w:pPr>
              <w:spacing w:after="0" w:line="240" w:lineRule="auto"/>
              <w:jc w:val="center"/>
              <w:rPr>
                <w:rFonts w:ascii="Calibri" w:eastAsia="Times New Roman" w:hAnsi="Calibri" w:cs="Times New Roman"/>
                <w:color w:val="000000"/>
                <w:sz w:val="18"/>
                <w:szCs w:val="18"/>
                <w:lang w:eastAsia="en-AU"/>
              </w:rPr>
            </w:pPr>
          </w:p>
        </w:tc>
        <w:tc>
          <w:tcPr>
            <w:tcW w:w="1134" w:type="dxa"/>
            <w:tcBorders>
              <w:top w:val="nil"/>
              <w:left w:val="nil"/>
              <w:bottom w:val="nil"/>
              <w:right w:val="nil"/>
            </w:tcBorders>
            <w:shd w:val="clear" w:color="000000" w:fill="FFFFFF"/>
            <w:noWrap/>
            <w:vAlign w:val="bottom"/>
            <w:hideMark/>
          </w:tcPr>
          <w:p w14:paraId="52283BAD" w14:textId="77777777" w:rsidR="00C3650C" w:rsidRPr="00560702" w:rsidRDefault="00C3650C" w:rsidP="00C3650C">
            <w:pPr>
              <w:spacing w:after="0" w:line="240" w:lineRule="auto"/>
              <w:jc w:val="center"/>
              <w:rPr>
                <w:rFonts w:ascii="Calibri" w:eastAsia="Times New Roman" w:hAnsi="Calibri" w:cs="Times New Roman"/>
                <w:color w:val="000000"/>
                <w:sz w:val="18"/>
                <w:szCs w:val="18"/>
                <w:lang w:eastAsia="en-AU"/>
              </w:rPr>
            </w:pPr>
          </w:p>
        </w:tc>
        <w:tc>
          <w:tcPr>
            <w:tcW w:w="1842" w:type="dxa"/>
            <w:tcBorders>
              <w:top w:val="nil"/>
              <w:left w:val="nil"/>
              <w:bottom w:val="nil"/>
              <w:right w:val="single" w:sz="4" w:space="0" w:color="auto"/>
            </w:tcBorders>
            <w:shd w:val="clear" w:color="000000" w:fill="FFFFFF"/>
            <w:noWrap/>
            <w:vAlign w:val="bottom"/>
            <w:hideMark/>
          </w:tcPr>
          <w:p w14:paraId="6C862D38" w14:textId="77777777" w:rsidR="00C3650C" w:rsidRPr="00560702" w:rsidRDefault="00C3650C" w:rsidP="00C3650C">
            <w:pPr>
              <w:spacing w:after="0" w:line="240" w:lineRule="auto"/>
              <w:jc w:val="center"/>
              <w:rPr>
                <w:rFonts w:ascii="Calibri" w:eastAsia="Times New Roman" w:hAnsi="Calibri" w:cs="Times New Roman"/>
                <w:color w:val="000000"/>
                <w:sz w:val="18"/>
                <w:szCs w:val="18"/>
                <w:lang w:eastAsia="en-AU"/>
              </w:rPr>
            </w:pPr>
          </w:p>
        </w:tc>
      </w:tr>
      <w:tr w:rsidR="00C3650C" w:rsidRPr="00BE6AA8" w14:paraId="6F097362" w14:textId="77777777" w:rsidTr="00BA5EF5">
        <w:trPr>
          <w:trHeight w:val="67"/>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7212E67D" w14:textId="77777777" w:rsidR="00C3650C" w:rsidRPr="00560702" w:rsidRDefault="00C3650C" w:rsidP="00C3650C">
            <w:pPr>
              <w:spacing w:after="0" w:line="240" w:lineRule="auto"/>
              <w:rPr>
                <w:rFonts w:ascii="Calibri" w:eastAsia="Times New Roman" w:hAnsi="Calibri" w:cs="Times New Roman"/>
                <w:b/>
                <w:bCs/>
                <w:color w:val="000000"/>
                <w:sz w:val="18"/>
                <w:szCs w:val="18"/>
                <w:lang w:eastAsia="en-AU"/>
              </w:rPr>
            </w:pPr>
          </w:p>
        </w:tc>
        <w:tc>
          <w:tcPr>
            <w:tcW w:w="4394" w:type="dxa"/>
            <w:tcBorders>
              <w:top w:val="nil"/>
              <w:left w:val="single" w:sz="4" w:space="0" w:color="auto"/>
              <w:bottom w:val="nil"/>
              <w:right w:val="nil"/>
            </w:tcBorders>
            <w:shd w:val="clear" w:color="000000" w:fill="FFFFFF"/>
            <w:noWrap/>
            <w:vAlign w:val="bottom"/>
            <w:hideMark/>
          </w:tcPr>
          <w:p w14:paraId="5A214112" w14:textId="77777777" w:rsidR="00C3650C" w:rsidRPr="00560702" w:rsidRDefault="00C3650C" w:rsidP="00C3650C">
            <w:pPr>
              <w:spacing w:after="0" w:line="240" w:lineRule="auto"/>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Number of patients expected to participate in incentives (total)</w:t>
            </w:r>
          </w:p>
        </w:tc>
        <w:tc>
          <w:tcPr>
            <w:tcW w:w="1276" w:type="dxa"/>
            <w:tcBorders>
              <w:top w:val="nil"/>
              <w:left w:val="nil"/>
              <w:bottom w:val="nil"/>
              <w:right w:val="nil"/>
            </w:tcBorders>
            <w:shd w:val="clear" w:color="000000" w:fill="FFFFFF"/>
            <w:vAlign w:val="center"/>
            <w:hideMark/>
          </w:tcPr>
          <w:p w14:paraId="48CA2C86" w14:textId="77777777" w:rsidR="00C3650C" w:rsidRPr="00560702" w:rsidRDefault="00C3650C" w:rsidP="00C3650C">
            <w:pPr>
              <w:spacing w:after="0" w:line="240" w:lineRule="auto"/>
              <w:jc w:val="center"/>
              <w:rPr>
                <w:rFonts w:ascii="Calibri" w:eastAsia="Times New Roman" w:hAnsi="Calibri" w:cs="Times New Roman"/>
                <w:sz w:val="18"/>
                <w:szCs w:val="18"/>
                <w:lang w:eastAsia="en-AU"/>
              </w:rPr>
            </w:pPr>
            <w:r w:rsidRPr="00560702">
              <w:rPr>
                <w:rFonts w:ascii="Calibri" w:eastAsia="Times New Roman" w:hAnsi="Calibri" w:cs="Times New Roman"/>
                <w:sz w:val="18"/>
                <w:szCs w:val="18"/>
                <w:lang w:eastAsia="en-AU"/>
              </w:rPr>
              <w:t>0</w:t>
            </w:r>
          </w:p>
        </w:tc>
        <w:tc>
          <w:tcPr>
            <w:tcW w:w="1418" w:type="dxa"/>
            <w:tcBorders>
              <w:top w:val="nil"/>
              <w:left w:val="nil"/>
              <w:bottom w:val="nil"/>
              <w:right w:val="nil"/>
            </w:tcBorders>
            <w:shd w:val="clear" w:color="000000" w:fill="FFFFFF"/>
            <w:vAlign w:val="center"/>
            <w:hideMark/>
          </w:tcPr>
          <w:p w14:paraId="0F1AFA7B" w14:textId="77777777" w:rsidR="00C3650C" w:rsidRPr="00560702" w:rsidRDefault="00C3650C" w:rsidP="00C3650C">
            <w:pPr>
              <w:spacing w:after="0" w:line="240" w:lineRule="auto"/>
              <w:jc w:val="center"/>
              <w:rPr>
                <w:rFonts w:ascii="Calibri" w:eastAsia="Times New Roman" w:hAnsi="Calibri" w:cs="Times New Roman"/>
                <w:sz w:val="18"/>
                <w:szCs w:val="18"/>
                <w:lang w:eastAsia="en-AU"/>
              </w:rPr>
            </w:pPr>
            <w:r w:rsidRPr="00560702">
              <w:rPr>
                <w:rFonts w:ascii="Calibri" w:eastAsia="Times New Roman" w:hAnsi="Calibri" w:cs="Times New Roman"/>
                <w:sz w:val="18"/>
                <w:szCs w:val="18"/>
                <w:lang w:eastAsia="en-AU"/>
              </w:rPr>
              <w:t>100,313</w:t>
            </w:r>
          </w:p>
        </w:tc>
        <w:tc>
          <w:tcPr>
            <w:tcW w:w="1134" w:type="dxa"/>
            <w:tcBorders>
              <w:top w:val="nil"/>
              <w:left w:val="nil"/>
              <w:bottom w:val="nil"/>
              <w:right w:val="nil"/>
            </w:tcBorders>
            <w:shd w:val="clear" w:color="000000" w:fill="FFFFFF"/>
            <w:vAlign w:val="center"/>
            <w:hideMark/>
          </w:tcPr>
          <w:p w14:paraId="19080672" w14:textId="77777777" w:rsidR="00C3650C" w:rsidRPr="00560702" w:rsidRDefault="00C3650C" w:rsidP="00C3650C">
            <w:pPr>
              <w:spacing w:after="0" w:line="240" w:lineRule="auto"/>
              <w:jc w:val="center"/>
              <w:rPr>
                <w:rFonts w:ascii="Calibri" w:eastAsia="Times New Roman" w:hAnsi="Calibri" w:cs="Times New Roman"/>
                <w:sz w:val="18"/>
                <w:szCs w:val="18"/>
                <w:lang w:eastAsia="en-AU"/>
              </w:rPr>
            </w:pPr>
            <w:r w:rsidRPr="00560702">
              <w:rPr>
                <w:rFonts w:ascii="Calibri" w:eastAsia="Times New Roman" w:hAnsi="Calibri" w:cs="Times New Roman"/>
                <w:sz w:val="18"/>
                <w:szCs w:val="18"/>
                <w:lang w:eastAsia="en-AU"/>
              </w:rPr>
              <w:t>111,859</w:t>
            </w:r>
          </w:p>
        </w:tc>
        <w:tc>
          <w:tcPr>
            <w:tcW w:w="1842" w:type="dxa"/>
            <w:tcBorders>
              <w:top w:val="nil"/>
              <w:left w:val="nil"/>
              <w:bottom w:val="nil"/>
              <w:right w:val="single" w:sz="4" w:space="0" w:color="auto"/>
            </w:tcBorders>
            <w:shd w:val="clear" w:color="000000" w:fill="FFFFFF"/>
            <w:vAlign w:val="center"/>
            <w:hideMark/>
          </w:tcPr>
          <w:p w14:paraId="63EBFB02" w14:textId="77777777" w:rsidR="00C3650C" w:rsidRPr="00560702" w:rsidRDefault="00C3650C" w:rsidP="00C3650C">
            <w:pPr>
              <w:spacing w:after="0" w:line="240" w:lineRule="auto"/>
              <w:jc w:val="center"/>
              <w:rPr>
                <w:rFonts w:ascii="Calibri" w:eastAsia="Times New Roman" w:hAnsi="Calibri" w:cs="Times New Roman"/>
                <w:sz w:val="18"/>
                <w:szCs w:val="18"/>
                <w:lang w:eastAsia="en-AU"/>
              </w:rPr>
            </w:pPr>
            <w:r w:rsidRPr="00560702">
              <w:rPr>
                <w:rFonts w:ascii="Calibri" w:eastAsia="Times New Roman" w:hAnsi="Calibri" w:cs="Times New Roman"/>
                <w:sz w:val="18"/>
                <w:szCs w:val="18"/>
                <w:lang w:eastAsia="en-AU"/>
              </w:rPr>
              <w:t>123,374</w:t>
            </w:r>
          </w:p>
        </w:tc>
      </w:tr>
      <w:tr w:rsidR="00C3650C" w:rsidRPr="00BE6AA8" w14:paraId="0AFAC8B3" w14:textId="77777777" w:rsidTr="00BA5EF5">
        <w:trPr>
          <w:trHeight w:val="260"/>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589C79E0" w14:textId="77777777" w:rsidR="00C3650C" w:rsidRPr="00560702" w:rsidRDefault="00C3650C" w:rsidP="00C3650C">
            <w:pPr>
              <w:spacing w:after="0" w:line="240" w:lineRule="auto"/>
              <w:rPr>
                <w:rFonts w:ascii="Calibri" w:eastAsia="Times New Roman" w:hAnsi="Calibri" w:cs="Times New Roman"/>
                <w:b/>
                <w:bCs/>
                <w:color w:val="000000"/>
                <w:sz w:val="18"/>
                <w:szCs w:val="18"/>
                <w:lang w:eastAsia="en-AU"/>
              </w:rPr>
            </w:pPr>
          </w:p>
        </w:tc>
        <w:tc>
          <w:tcPr>
            <w:tcW w:w="4394" w:type="dxa"/>
            <w:tcBorders>
              <w:top w:val="nil"/>
              <w:left w:val="single" w:sz="4" w:space="0" w:color="auto"/>
              <w:bottom w:val="nil"/>
              <w:right w:val="nil"/>
            </w:tcBorders>
            <w:shd w:val="clear" w:color="000000" w:fill="FFFFFF"/>
            <w:noWrap/>
            <w:vAlign w:val="bottom"/>
            <w:hideMark/>
          </w:tcPr>
          <w:p w14:paraId="05FC6936" w14:textId="77777777" w:rsidR="00C3650C" w:rsidRPr="00560702" w:rsidRDefault="00C3650C" w:rsidP="00C3650C">
            <w:pPr>
              <w:spacing w:after="0" w:line="240" w:lineRule="auto"/>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Incentive per patient (average)</w:t>
            </w:r>
          </w:p>
        </w:tc>
        <w:tc>
          <w:tcPr>
            <w:tcW w:w="1276" w:type="dxa"/>
            <w:tcBorders>
              <w:top w:val="nil"/>
              <w:left w:val="nil"/>
              <w:bottom w:val="nil"/>
              <w:right w:val="nil"/>
            </w:tcBorders>
            <w:shd w:val="clear" w:color="000000" w:fill="FFFFFF"/>
            <w:noWrap/>
            <w:vAlign w:val="bottom"/>
            <w:hideMark/>
          </w:tcPr>
          <w:p w14:paraId="3F5CE022" w14:textId="77777777" w:rsidR="00C3650C" w:rsidRPr="00560702" w:rsidRDefault="00C3650C" w:rsidP="00C3650C">
            <w:pPr>
              <w:spacing w:after="0" w:line="240" w:lineRule="auto"/>
              <w:jc w:val="center"/>
              <w:rPr>
                <w:rFonts w:ascii="Calibri" w:eastAsia="Times New Roman" w:hAnsi="Calibri" w:cs="Times New Roman"/>
                <w:color w:val="000000"/>
                <w:sz w:val="18"/>
                <w:szCs w:val="18"/>
                <w:lang w:eastAsia="en-AU"/>
              </w:rPr>
            </w:pPr>
          </w:p>
        </w:tc>
        <w:tc>
          <w:tcPr>
            <w:tcW w:w="1418" w:type="dxa"/>
            <w:tcBorders>
              <w:top w:val="nil"/>
              <w:left w:val="nil"/>
              <w:bottom w:val="nil"/>
              <w:right w:val="nil"/>
            </w:tcBorders>
            <w:shd w:val="clear" w:color="000000" w:fill="FFFFFF"/>
            <w:noWrap/>
            <w:vAlign w:val="bottom"/>
            <w:hideMark/>
          </w:tcPr>
          <w:p w14:paraId="690F55EF" w14:textId="77777777" w:rsidR="00C3650C" w:rsidRPr="00560702" w:rsidRDefault="00C3650C" w:rsidP="00C3650C">
            <w:pPr>
              <w:spacing w:after="0" w:line="240" w:lineRule="auto"/>
              <w:jc w:val="center"/>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   239</w:t>
            </w:r>
          </w:p>
        </w:tc>
        <w:tc>
          <w:tcPr>
            <w:tcW w:w="1134" w:type="dxa"/>
            <w:tcBorders>
              <w:top w:val="nil"/>
              <w:left w:val="nil"/>
              <w:bottom w:val="nil"/>
              <w:right w:val="nil"/>
            </w:tcBorders>
            <w:shd w:val="clear" w:color="000000" w:fill="FFFFFF"/>
            <w:noWrap/>
            <w:vAlign w:val="bottom"/>
            <w:hideMark/>
          </w:tcPr>
          <w:p w14:paraId="0C60AD03" w14:textId="77777777" w:rsidR="00C3650C" w:rsidRPr="00560702" w:rsidRDefault="00C3650C" w:rsidP="00C3650C">
            <w:pPr>
              <w:spacing w:after="0" w:line="240" w:lineRule="auto"/>
              <w:jc w:val="center"/>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 xml:space="preserve">                             318</w:t>
            </w:r>
          </w:p>
        </w:tc>
        <w:tc>
          <w:tcPr>
            <w:tcW w:w="1842" w:type="dxa"/>
            <w:tcBorders>
              <w:top w:val="nil"/>
              <w:left w:val="nil"/>
              <w:bottom w:val="nil"/>
              <w:right w:val="single" w:sz="4" w:space="0" w:color="auto"/>
            </w:tcBorders>
            <w:shd w:val="clear" w:color="000000" w:fill="FFFFFF"/>
            <w:noWrap/>
            <w:vAlign w:val="bottom"/>
            <w:hideMark/>
          </w:tcPr>
          <w:p w14:paraId="73D9F0E0" w14:textId="77777777" w:rsidR="00C3650C" w:rsidRPr="00560702" w:rsidRDefault="00C3650C" w:rsidP="00C3650C">
            <w:pPr>
              <w:spacing w:after="0" w:line="240" w:lineRule="auto"/>
              <w:jc w:val="center"/>
              <w:rPr>
                <w:rFonts w:ascii="Calibri" w:eastAsia="Times New Roman" w:hAnsi="Calibri" w:cs="Times New Roman"/>
                <w:color w:val="000000"/>
                <w:sz w:val="18"/>
                <w:szCs w:val="18"/>
                <w:lang w:eastAsia="en-AU"/>
              </w:rPr>
            </w:pPr>
            <w:r w:rsidRPr="00560702">
              <w:rPr>
                <w:rFonts w:ascii="Calibri" w:eastAsia="Times New Roman" w:hAnsi="Calibri" w:cs="Times New Roman"/>
                <w:color w:val="000000"/>
                <w:sz w:val="18"/>
                <w:szCs w:val="18"/>
                <w:lang w:eastAsia="en-AU"/>
              </w:rPr>
              <w:t>$   366</w:t>
            </w:r>
          </w:p>
        </w:tc>
      </w:tr>
      <w:tr w:rsidR="00C3650C" w:rsidRPr="00BE6AA8" w14:paraId="7139668C" w14:textId="77777777" w:rsidTr="00BA5EF5">
        <w:trPr>
          <w:trHeight w:val="290"/>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51F2304D" w14:textId="77777777" w:rsidR="00C3650C" w:rsidRPr="00560702" w:rsidRDefault="00C3650C" w:rsidP="00C3650C">
            <w:pPr>
              <w:spacing w:after="0" w:line="240" w:lineRule="auto"/>
              <w:rPr>
                <w:rFonts w:ascii="Calibri" w:eastAsia="Times New Roman" w:hAnsi="Calibri" w:cs="Times New Roman"/>
                <w:b/>
                <w:bCs/>
                <w:color w:val="000000"/>
                <w:sz w:val="18"/>
                <w:szCs w:val="18"/>
                <w:lang w:eastAsia="en-AU"/>
              </w:rPr>
            </w:pPr>
          </w:p>
        </w:tc>
        <w:tc>
          <w:tcPr>
            <w:tcW w:w="4394" w:type="dxa"/>
            <w:tcBorders>
              <w:top w:val="nil"/>
              <w:left w:val="single" w:sz="4" w:space="0" w:color="auto"/>
              <w:bottom w:val="single" w:sz="4" w:space="0" w:color="auto"/>
              <w:right w:val="nil"/>
            </w:tcBorders>
            <w:shd w:val="clear" w:color="000000" w:fill="DDEBF7"/>
            <w:noWrap/>
            <w:vAlign w:val="bottom"/>
            <w:hideMark/>
          </w:tcPr>
          <w:p w14:paraId="5333D96E" w14:textId="77777777" w:rsidR="00C3650C" w:rsidRPr="00560702" w:rsidRDefault="00C3650C" w:rsidP="00C3650C">
            <w:pPr>
              <w:spacing w:after="0" w:line="240" w:lineRule="auto"/>
              <w:rPr>
                <w:rFonts w:ascii="Calibri" w:eastAsia="Times New Roman" w:hAnsi="Calibri" w:cs="Times New Roman"/>
                <w:b/>
                <w:bCs/>
                <w:color w:val="000000"/>
                <w:sz w:val="18"/>
                <w:szCs w:val="18"/>
                <w:lang w:eastAsia="en-AU"/>
              </w:rPr>
            </w:pPr>
            <w:r w:rsidRPr="00560702">
              <w:rPr>
                <w:rFonts w:ascii="Calibri" w:eastAsia="Times New Roman" w:hAnsi="Calibri" w:cs="Times New Roman"/>
                <w:b/>
                <w:bCs/>
                <w:color w:val="000000"/>
                <w:sz w:val="18"/>
                <w:szCs w:val="18"/>
                <w:lang w:eastAsia="en-AU"/>
              </w:rPr>
              <w:t>Total</w:t>
            </w:r>
          </w:p>
        </w:tc>
        <w:tc>
          <w:tcPr>
            <w:tcW w:w="1276" w:type="dxa"/>
            <w:tcBorders>
              <w:top w:val="nil"/>
              <w:left w:val="nil"/>
              <w:bottom w:val="single" w:sz="4" w:space="0" w:color="auto"/>
              <w:right w:val="nil"/>
            </w:tcBorders>
            <w:shd w:val="clear" w:color="000000" w:fill="DDEBF7"/>
            <w:noWrap/>
            <w:vAlign w:val="bottom"/>
            <w:hideMark/>
          </w:tcPr>
          <w:p w14:paraId="07293A8A" w14:textId="77777777" w:rsidR="00C3650C" w:rsidRPr="00560702" w:rsidRDefault="00C3650C" w:rsidP="00C3650C">
            <w:pPr>
              <w:spacing w:after="0" w:line="240" w:lineRule="auto"/>
              <w:jc w:val="center"/>
              <w:rPr>
                <w:rFonts w:ascii="Calibri" w:eastAsia="Times New Roman" w:hAnsi="Calibri" w:cs="Times New Roman"/>
                <w:b/>
                <w:bCs/>
                <w:color w:val="000000"/>
                <w:sz w:val="18"/>
                <w:szCs w:val="18"/>
                <w:lang w:eastAsia="en-AU"/>
              </w:rPr>
            </w:pPr>
            <w:r w:rsidRPr="00560702">
              <w:rPr>
                <w:rFonts w:ascii="Calibri" w:eastAsia="Times New Roman" w:hAnsi="Calibri" w:cs="Times New Roman"/>
                <w:b/>
                <w:bCs/>
                <w:color w:val="000000"/>
                <w:sz w:val="18"/>
                <w:szCs w:val="18"/>
                <w:lang w:eastAsia="en-AU"/>
              </w:rPr>
              <w:t>$   -</w:t>
            </w:r>
          </w:p>
        </w:tc>
        <w:tc>
          <w:tcPr>
            <w:tcW w:w="1418" w:type="dxa"/>
            <w:tcBorders>
              <w:top w:val="nil"/>
              <w:left w:val="nil"/>
              <w:bottom w:val="single" w:sz="4" w:space="0" w:color="auto"/>
              <w:right w:val="nil"/>
            </w:tcBorders>
            <w:shd w:val="clear" w:color="000000" w:fill="DDEBF7"/>
            <w:noWrap/>
            <w:vAlign w:val="bottom"/>
            <w:hideMark/>
          </w:tcPr>
          <w:p w14:paraId="53B770FC" w14:textId="77777777" w:rsidR="00C3650C" w:rsidRPr="00560702" w:rsidRDefault="00C3650C" w:rsidP="00C3650C">
            <w:pPr>
              <w:spacing w:after="0" w:line="240" w:lineRule="auto"/>
              <w:jc w:val="center"/>
              <w:rPr>
                <w:rFonts w:ascii="Calibri" w:eastAsia="Times New Roman" w:hAnsi="Calibri" w:cs="Times New Roman"/>
                <w:b/>
                <w:bCs/>
                <w:color w:val="000000"/>
                <w:sz w:val="18"/>
                <w:szCs w:val="18"/>
                <w:lang w:eastAsia="en-AU"/>
              </w:rPr>
            </w:pPr>
            <w:r w:rsidRPr="00560702">
              <w:rPr>
                <w:rFonts w:ascii="Calibri" w:eastAsia="Times New Roman" w:hAnsi="Calibri" w:cs="Times New Roman"/>
                <w:b/>
                <w:bCs/>
                <w:color w:val="000000"/>
                <w:sz w:val="18"/>
                <w:szCs w:val="18"/>
                <w:lang w:eastAsia="en-AU"/>
              </w:rPr>
              <w:t>$ 23,937,485</w:t>
            </w:r>
          </w:p>
        </w:tc>
        <w:tc>
          <w:tcPr>
            <w:tcW w:w="1134" w:type="dxa"/>
            <w:tcBorders>
              <w:top w:val="nil"/>
              <w:left w:val="nil"/>
              <w:bottom w:val="single" w:sz="4" w:space="0" w:color="auto"/>
              <w:right w:val="nil"/>
            </w:tcBorders>
            <w:shd w:val="clear" w:color="000000" w:fill="DDEBF7"/>
            <w:noWrap/>
            <w:vAlign w:val="bottom"/>
            <w:hideMark/>
          </w:tcPr>
          <w:p w14:paraId="3F765DDF" w14:textId="77777777" w:rsidR="00C3650C" w:rsidRPr="00560702" w:rsidRDefault="00C3650C" w:rsidP="00C3650C">
            <w:pPr>
              <w:spacing w:after="0" w:line="240" w:lineRule="auto"/>
              <w:jc w:val="center"/>
              <w:rPr>
                <w:rFonts w:ascii="Calibri" w:eastAsia="Times New Roman" w:hAnsi="Calibri" w:cs="Times New Roman"/>
                <w:b/>
                <w:bCs/>
                <w:color w:val="000000"/>
                <w:sz w:val="18"/>
                <w:szCs w:val="18"/>
                <w:lang w:eastAsia="en-AU"/>
              </w:rPr>
            </w:pPr>
            <w:r w:rsidRPr="00560702">
              <w:rPr>
                <w:rFonts w:ascii="Calibri" w:eastAsia="Times New Roman" w:hAnsi="Calibri" w:cs="Times New Roman"/>
                <w:b/>
                <w:bCs/>
                <w:color w:val="000000"/>
                <w:sz w:val="18"/>
                <w:szCs w:val="18"/>
                <w:lang w:eastAsia="en-AU"/>
              </w:rPr>
              <w:t>$ 35,536,765</w:t>
            </w:r>
          </w:p>
        </w:tc>
        <w:tc>
          <w:tcPr>
            <w:tcW w:w="1842" w:type="dxa"/>
            <w:tcBorders>
              <w:top w:val="nil"/>
              <w:left w:val="nil"/>
              <w:bottom w:val="single" w:sz="4" w:space="0" w:color="auto"/>
              <w:right w:val="single" w:sz="4" w:space="0" w:color="auto"/>
            </w:tcBorders>
            <w:shd w:val="clear" w:color="000000" w:fill="DDEBF7"/>
            <w:noWrap/>
            <w:vAlign w:val="bottom"/>
            <w:hideMark/>
          </w:tcPr>
          <w:p w14:paraId="3AFC0430" w14:textId="77777777" w:rsidR="00C3650C" w:rsidRPr="00560702" w:rsidRDefault="00C3650C" w:rsidP="00C3650C">
            <w:pPr>
              <w:spacing w:after="0" w:line="240" w:lineRule="auto"/>
              <w:jc w:val="center"/>
              <w:rPr>
                <w:rFonts w:ascii="Calibri" w:eastAsia="Times New Roman" w:hAnsi="Calibri" w:cs="Times New Roman"/>
                <w:b/>
                <w:bCs/>
                <w:color w:val="000000"/>
                <w:sz w:val="18"/>
                <w:szCs w:val="18"/>
                <w:lang w:eastAsia="en-AU"/>
              </w:rPr>
            </w:pPr>
            <w:r w:rsidRPr="00560702">
              <w:rPr>
                <w:rFonts w:ascii="Calibri" w:eastAsia="Times New Roman" w:hAnsi="Calibri" w:cs="Times New Roman"/>
                <w:b/>
                <w:bCs/>
                <w:color w:val="000000"/>
                <w:sz w:val="18"/>
                <w:szCs w:val="18"/>
                <w:lang w:eastAsia="en-AU"/>
              </w:rPr>
              <w:t>$ 45,210,611</w:t>
            </w:r>
          </w:p>
        </w:tc>
      </w:tr>
    </w:tbl>
    <w:p w14:paraId="32AF2A8F" w14:textId="0B1CD9E8" w:rsidR="00C62C5C" w:rsidRDefault="00C62C5C" w:rsidP="00C3650C">
      <w:pPr>
        <w:rPr>
          <w:rFonts w:cs="Arial"/>
          <w:b/>
          <w:sz w:val="32"/>
          <w:szCs w:val="32"/>
        </w:rPr>
      </w:pPr>
    </w:p>
    <w:tbl>
      <w:tblPr>
        <w:tblpPr w:leftFromText="180" w:rightFromText="180" w:vertAnchor="page" w:horzAnchor="margin" w:tblpX="-567" w:tblpY="443"/>
        <w:tblW w:w="10304" w:type="dxa"/>
        <w:tblLook w:val="04A0" w:firstRow="1" w:lastRow="0" w:firstColumn="1" w:lastColumn="0" w:noHBand="0" w:noVBand="1"/>
      </w:tblPr>
      <w:tblGrid>
        <w:gridCol w:w="3659"/>
        <w:gridCol w:w="1036"/>
        <w:gridCol w:w="5653"/>
      </w:tblGrid>
      <w:tr w:rsidR="004627CA" w:rsidRPr="00F20518" w14:paraId="3C579024" w14:textId="77777777" w:rsidTr="004627CA">
        <w:trPr>
          <w:trHeight w:val="444"/>
        </w:trPr>
        <w:tc>
          <w:tcPr>
            <w:tcW w:w="3659" w:type="dxa"/>
            <w:tcBorders>
              <w:top w:val="nil"/>
              <w:left w:val="nil"/>
              <w:bottom w:val="nil"/>
              <w:right w:val="nil"/>
            </w:tcBorders>
            <w:shd w:val="clear" w:color="000000" w:fill="FFFFFF"/>
            <w:noWrap/>
            <w:vAlign w:val="bottom"/>
            <w:hideMark/>
          </w:tcPr>
          <w:p w14:paraId="1FD63477" w14:textId="77777777" w:rsidR="004627CA" w:rsidRDefault="004627CA" w:rsidP="004C1B84">
            <w:pPr>
              <w:spacing w:after="0" w:line="240" w:lineRule="auto"/>
              <w:rPr>
                <w:rFonts w:ascii="Calibri" w:eastAsia="Times New Roman" w:hAnsi="Calibri" w:cs="Times New Roman"/>
                <w:b/>
                <w:bCs/>
                <w:color w:val="000000"/>
                <w:sz w:val="32"/>
                <w:szCs w:val="32"/>
                <w:lang w:eastAsia="en-AU"/>
              </w:rPr>
            </w:pPr>
          </w:p>
          <w:p w14:paraId="5EC1F9F2" w14:textId="01010980" w:rsidR="004627CA" w:rsidRPr="00F20518" w:rsidRDefault="004627CA" w:rsidP="004C1B84">
            <w:pPr>
              <w:spacing w:after="0" w:line="240" w:lineRule="auto"/>
              <w:rPr>
                <w:rFonts w:ascii="Calibri" w:eastAsia="Times New Roman" w:hAnsi="Calibri" w:cs="Times New Roman"/>
                <w:b/>
                <w:bCs/>
                <w:color w:val="000000"/>
                <w:sz w:val="32"/>
                <w:szCs w:val="32"/>
                <w:lang w:eastAsia="en-AU"/>
              </w:rPr>
            </w:pPr>
            <w:r w:rsidRPr="00F20518">
              <w:rPr>
                <w:rFonts w:ascii="Calibri" w:eastAsia="Times New Roman" w:hAnsi="Calibri" w:cs="Times New Roman"/>
                <w:b/>
                <w:bCs/>
                <w:color w:val="000000"/>
                <w:sz w:val="32"/>
                <w:szCs w:val="32"/>
                <w:lang w:eastAsia="en-AU"/>
              </w:rPr>
              <w:t>Key assumptions</w:t>
            </w:r>
          </w:p>
        </w:tc>
        <w:tc>
          <w:tcPr>
            <w:tcW w:w="0" w:type="auto"/>
            <w:tcBorders>
              <w:top w:val="nil"/>
              <w:left w:val="nil"/>
              <w:bottom w:val="nil"/>
              <w:right w:val="nil"/>
            </w:tcBorders>
            <w:shd w:val="clear" w:color="000000" w:fill="FFFFFF"/>
            <w:noWrap/>
            <w:vAlign w:val="bottom"/>
            <w:hideMark/>
          </w:tcPr>
          <w:p w14:paraId="529EA82F" w14:textId="77777777" w:rsidR="004627CA" w:rsidRPr="00F20518" w:rsidRDefault="004627CA" w:rsidP="004C1B84">
            <w:pPr>
              <w:spacing w:after="0" w:line="240" w:lineRule="auto"/>
              <w:rPr>
                <w:rFonts w:ascii="Calibri" w:eastAsia="Times New Roman" w:hAnsi="Calibri" w:cs="Times New Roman"/>
                <w:color w:val="000000"/>
                <w:lang w:eastAsia="en-AU"/>
              </w:rPr>
            </w:pPr>
            <w:r w:rsidRPr="00F20518">
              <w:rPr>
                <w:rFonts w:ascii="Calibri" w:eastAsia="Times New Roman" w:hAnsi="Calibri" w:cs="Times New Roman"/>
                <w:color w:val="000000"/>
                <w:lang w:eastAsia="en-AU"/>
              </w:rPr>
              <w:t> </w:t>
            </w:r>
          </w:p>
        </w:tc>
        <w:tc>
          <w:tcPr>
            <w:tcW w:w="5653" w:type="dxa"/>
            <w:tcBorders>
              <w:top w:val="nil"/>
              <w:left w:val="nil"/>
              <w:bottom w:val="nil"/>
              <w:right w:val="nil"/>
            </w:tcBorders>
            <w:shd w:val="clear" w:color="000000" w:fill="FFFFFF"/>
            <w:noWrap/>
            <w:vAlign w:val="bottom"/>
            <w:hideMark/>
          </w:tcPr>
          <w:p w14:paraId="2BA6E2CD" w14:textId="77777777" w:rsidR="004627CA" w:rsidRPr="00F20518" w:rsidRDefault="004627CA" w:rsidP="004C1B84">
            <w:pPr>
              <w:spacing w:after="0" w:line="240" w:lineRule="auto"/>
              <w:rPr>
                <w:rFonts w:ascii="Calibri" w:eastAsia="Times New Roman" w:hAnsi="Calibri" w:cs="Times New Roman"/>
                <w:color w:val="000000"/>
                <w:lang w:eastAsia="en-AU"/>
              </w:rPr>
            </w:pPr>
            <w:r w:rsidRPr="00F20518">
              <w:rPr>
                <w:rFonts w:ascii="Calibri" w:eastAsia="Times New Roman" w:hAnsi="Calibri" w:cs="Times New Roman"/>
                <w:color w:val="000000"/>
                <w:lang w:eastAsia="en-AU"/>
              </w:rPr>
              <w:t> </w:t>
            </w:r>
          </w:p>
        </w:tc>
      </w:tr>
      <w:tr w:rsidR="004627CA" w:rsidRPr="00F20518" w14:paraId="1FFFD945" w14:textId="77777777" w:rsidTr="004627CA">
        <w:trPr>
          <w:trHeight w:val="81"/>
        </w:trPr>
        <w:tc>
          <w:tcPr>
            <w:tcW w:w="3659" w:type="dxa"/>
            <w:tcBorders>
              <w:top w:val="nil"/>
              <w:left w:val="nil"/>
              <w:bottom w:val="nil"/>
              <w:right w:val="nil"/>
            </w:tcBorders>
            <w:shd w:val="clear" w:color="000000" w:fill="FFFFFF"/>
            <w:noWrap/>
            <w:vAlign w:val="bottom"/>
            <w:hideMark/>
          </w:tcPr>
          <w:p w14:paraId="06417B5D" w14:textId="77777777" w:rsidR="004627CA" w:rsidRPr="00F20518" w:rsidRDefault="004627CA" w:rsidP="004C1B84">
            <w:pPr>
              <w:spacing w:after="0" w:line="240" w:lineRule="auto"/>
              <w:rPr>
                <w:rFonts w:ascii="Calibri" w:eastAsia="Times New Roman" w:hAnsi="Calibri" w:cs="Times New Roman"/>
                <w:color w:val="000000"/>
                <w:lang w:eastAsia="en-AU"/>
              </w:rPr>
            </w:pPr>
          </w:p>
        </w:tc>
        <w:tc>
          <w:tcPr>
            <w:tcW w:w="0" w:type="auto"/>
            <w:tcBorders>
              <w:top w:val="nil"/>
              <w:left w:val="nil"/>
              <w:bottom w:val="nil"/>
              <w:right w:val="nil"/>
            </w:tcBorders>
            <w:shd w:val="clear" w:color="000000" w:fill="FFFFFF"/>
            <w:noWrap/>
            <w:vAlign w:val="bottom"/>
            <w:hideMark/>
          </w:tcPr>
          <w:p w14:paraId="192660CD" w14:textId="77777777" w:rsidR="004627CA" w:rsidRPr="00F20518" w:rsidRDefault="004627CA" w:rsidP="004C1B84">
            <w:pPr>
              <w:spacing w:after="0" w:line="240" w:lineRule="auto"/>
              <w:rPr>
                <w:rFonts w:ascii="Calibri" w:eastAsia="Times New Roman" w:hAnsi="Calibri" w:cs="Times New Roman"/>
                <w:color w:val="000000"/>
                <w:lang w:eastAsia="en-AU"/>
              </w:rPr>
            </w:pPr>
            <w:r w:rsidRPr="00F20518">
              <w:rPr>
                <w:rFonts w:ascii="Calibri" w:eastAsia="Times New Roman" w:hAnsi="Calibri" w:cs="Times New Roman"/>
                <w:color w:val="000000"/>
                <w:lang w:eastAsia="en-AU"/>
              </w:rPr>
              <w:t> </w:t>
            </w:r>
          </w:p>
        </w:tc>
        <w:tc>
          <w:tcPr>
            <w:tcW w:w="5653" w:type="dxa"/>
            <w:tcBorders>
              <w:top w:val="nil"/>
              <w:left w:val="nil"/>
              <w:bottom w:val="nil"/>
              <w:right w:val="nil"/>
            </w:tcBorders>
            <w:shd w:val="clear" w:color="000000" w:fill="FFFFFF"/>
            <w:noWrap/>
            <w:vAlign w:val="bottom"/>
            <w:hideMark/>
          </w:tcPr>
          <w:p w14:paraId="705C4CEB" w14:textId="77777777" w:rsidR="004627CA" w:rsidRPr="00F20518" w:rsidRDefault="004627CA" w:rsidP="004C1B84">
            <w:pPr>
              <w:spacing w:after="0" w:line="240" w:lineRule="auto"/>
              <w:rPr>
                <w:rFonts w:ascii="Calibri" w:eastAsia="Times New Roman" w:hAnsi="Calibri" w:cs="Times New Roman"/>
                <w:color w:val="000000"/>
                <w:lang w:eastAsia="en-AU"/>
              </w:rPr>
            </w:pPr>
            <w:r w:rsidRPr="00F20518">
              <w:rPr>
                <w:rFonts w:ascii="Calibri" w:eastAsia="Times New Roman" w:hAnsi="Calibri" w:cs="Times New Roman"/>
                <w:color w:val="000000"/>
                <w:lang w:eastAsia="en-AU"/>
              </w:rPr>
              <w:t> </w:t>
            </w:r>
          </w:p>
        </w:tc>
      </w:tr>
      <w:tr w:rsidR="004627CA" w:rsidRPr="00C1593F" w14:paraId="2D3C6EF5" w14:textId="77777777" w:rsidTr="004627CA">
        <w:trPr>
          <w:trHeight w:val="161"/>
        </w:trPr>
        <w:tc>
          <w:tcPr>
            <w:tcW w:w="3659" w:type="dxa"/>
            <w:tcBorders>
              <w:top w:val="single" w:sz="4" w:space="0" w:color="auto"/>
              <w:left w:val="nil"/>
              <w:bottom w:val="single" w:sz="4" w:space="0" w:color="auto"/>
              <w:right w:val="single" w:sz="4" w:space="0" w:color="auto"/>
            </w:tcBorders>
            <w:shd w:val="clear" w:color="000000" w:fill="FFFFFF"/>
            <w:noWrap/>
            <w:vAlign w:val="bottom"/>
            <w:hideMark/>
          </w:tcPr>
          <w:p w14:paraId="353EF652" w14:textId="77777777" w:rsidR="004627CA" w:rsidRPr="00C1593F" w:rsidRDefault="004627CA" w:rsidP="004C1B84">
            <w:pPr>
              <w:spacing w:after="0" w:line="240" w:lineRule="auto"/>
              <w:jc w:val="center"/>
              <w:rPr>
                <w:rFonts w:ascii="Calibri" w:eastAsia="Times New Roman" w:hAnsi="Calibri" w:cs="Times New Roman"/>
                <w:b/>
                <w:bCs/>
                <w:color w:val="000000"/>
                <w:sz w:val="18"/>
                <w:szCs w:val="18"/>
                <w:lang w:eastAsia="en-AU"/>
              </w:rPr>
            </w:pPr>
            <w:r w:rsidRPr="00C1593F">
              <w:rPr>
                <w:rFonts w:ascii="Calibri" w:eastAsia="Times New Roman" w:hAnsi="Calibri" w:cs="Times New Roman"/>
                <w:b/>
                <w:bCs/>
                <w:color w:val="000000"/>
                <w:sz w:val="18"/>
                <w:szCs w:val="18"/>
                <w:lang w:eastAsia="en-AU"/>
              </w:rPr>
              <w:t>Assumption</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14:paraId="4B7C81DA" w14:textId="77777777" w:rsidR="004627CA" w:rsidRPr="00C1593F" w:rsidRDefault="004627CA" w:rsidP="004C1B84">
            <w:pPr>
              <w:spacing w:after="0" w:line="240" w:lineRule="auto"/>
              <w:jc w:val="center"/>
              <w:rPr>
                <w:rFonts w:ascii="Calibri" w:eastAsia="Times New Roman" w:hAnsi="Calibri" w:cs="Times New Roman"/>
                <w:b/>
                <w:bCs/>
                <w:color w:val="000000"/>
                <w:sz w:val="18"/>
                <w:szCs w:val="18"/>
                <w:lang w:eastAsia="en-AU"/>
              </w:rPr>
            </w:pPr>
            <w:r w:rsidRPr="00C1593F">
              <w:rPr>
                <w:rFonts w:ascii="Calibri" w:eastAsia="Times New Roman" w:hAnsi="Calibri" w:cs="Times New Roman"/>
                <w:b/>
                <w:bCs/>
                <w:color w:val="000000"/>
                <w:sz w:val="18"/>
                <w:szCs w:val="18"/>
                <w:lang w:eastAsia="en-AU"/>
              </w:rPr>
              <w:t>Value</w:t>
            </w:r>
          </w:p>
        </w:tc>
        <w:tc>
          <w:tcPr>
            <w:tcW w:w="5653" w:type="dxa"/>
            <w:tcBorders>
              <w:top w:val="single" w:sz="4" w:space="0" w:color="auto"/>
              <w:left w:val="nil"/>
              <w:bottom w:val="single" w:sz="4" w:space="0" w:color="auto"/>
              <w:right w:val="nil"/>
            </w:tcBorders>
            <w:shd w:val="clear" w:color="000000" w:fill="FFFFFF"/>
            <w:noWrap/>
            <w:vAlign w:val="bottom"/>
            <w:hideMark/>
          </w:tcPr>
          <w:p w14:paraId="028E6EC7" w14:textId="77777777" w:rsidR="004627CA" w:rsidRPr="00C1593F" w:rsidRDefault="004627CA" w:rsidP="004C1B84">
            <w:pPr>
              <w:spacing w:after="0" w:line="240" w:lineRule="auto"/>
              <w:jc w:val="center"/>
              <w:rPr>
                <w:rFonts w:ascii="Calibri" w:eastAsia="Times New Roman" w:hAnsi="Calibri" w:cs="Times New Roman"/>
                <w:b/>
                <w:bCs/>
                <w:color w:val="000000"/>
                <w:sz w:val="18"/>
                <w:szCs w:val="18"/>
                <w:lang w:eastAsia="en-AU"/>
              </w:rPr>
            </w:pPr>
            <w:r w:rsidRPr="00C1593F">
              <w:rPr>
                <w:rFonts w:ascii="Calibri" w:eastAsia="Times New Roman" w:hAnsi="Calibri" w:cs="Times New Roman"/>
                <w:b/>
                <w:bCs/>
                <w:color w:val="000000"/>
                <w:sz w:val="18"/>
                <w:szCs w:val="18"/>
                <w:lang w:eastAsia="en-AU"/>
              </w:rPr>
              <w:t>Detail</w:t>
            </w:r>
          </w:p>
        </w:tc>
      </w:tr>
      <w:tr w:rsidR="004627CA" w:rsidRPr="00C1593F" w14:paraId="08A2D4DD" w14:textId="77777777" w:rsidTr="004627CA">
        <w:trPr>
          <w:trHeight w:val="1392"/>
        </w:trPr>
        <w:tc>
          <w:tcPr>
            <w:tcW w:w="3659" w:type="dxa"/>
            <w:tcBorders>
              <w:top w:val="nil"/>
              <w:left w:val="single" w:sz="4" w:space="0" w:color="auto"/>
              <w:bottom w:val="single" w:sz="4" w:space="0" w:color="auto"/>
              <w:right w:val="single" w:sz="4" w:space="0" w:color="auto"/>
            </w:tcBorders>
            <w:shd w:val="clear" w:color="000000" w:fill="FFFFFF"/>
            <w:vAlign w:val="center"/>
            <w:hideMark/>
          </w:tcPr>
          <w:p w14:paraId="02797C5C" w14:textId="77777777" w:rsidR="004627CA" w:rsidRPr="00C1593F" w:rsidRDefault="004627CA" w:rsidP="004C1B84">
            <w:pPr>
              <w:spacing w:after="0" w:line="240" w:lineRule="auto"/>
              <w:rPr>
                <w:rFonts w:ascii="Calibri" w:eastAsia="Times New Roman" w:hAnsi="Calibri" w:cs="Times New Roman"/>
                <w:color w:val="000000"/>
                <w:sz w:val="18"/>
                <w:szCs w:val="18"/>
                <w:lang w:eastAsia="en-AU"/>
              </w:rPr>
            </w:pPr>
            <w:r w:rsidRPr="00C1593F">
              <w:rPr>
                <w:rFonts w:ascii="Calibri" w:eastAsia="Times New Roman" w:hAnsi="Calibri" w:cs="Times New Roman"/>
                <w:color w:val="000000"/>
                <w:sz w:val="18"/>
                <w:szCs w:val="18"/>
                <w:lang w:eastAsia="en-AU"/>
              </w:rPr>
              <w:t>Number of patients expected to register</w:t>
            </w:r>
          </w:p>
        </w:tc>
        <w:tc>
          <w:tcPr>
            <w:tcW w:w="0" w:type="auto"/>
            <w:tcBorders>
              <w:top w:val="nil"/>
              <w:left w:val="nil"/>
              <w:bottom w:val="single" w:sz="4" w:space="0" w:color="auto"/>
              <w:right w:val="single" w:sz="4" w:space="0" w:color="auto"/>
            </w:tcBorders>
            <w:shd w:val="clear" w:color="000000" w:fill="FFFFFF"/>
            <w:vAlign w:val="center"/>
            <w:hideMark/>
          </w:tcPr>
          <w:p w14:paraId="09A48741" w14:textId="77777777" w:rsidR="004627CA" w:rsidRPr="00C1593F" w:rsidRDefault="004627CA" w:rsidP="004C1B84">
            <w:pPr>
              <w:spacing w:after="0" w:line="240" w:lineRule="auto"/>
              <w:jc w:val="center"/>
              <w:rPr>
                <w:rFonts w:ascii="Calibri" w:eastAsia="Times New Roman" w:hAnsi="Calibri" w:cs="Times New Roman"/>
                <w:sz w:val="18"/>
                <w:szCs w:val="18"/>
                <w:lang w:eastAsia="en-AU"/>
              </w:rPr>
            </w:pPr>
            <w:r w:rsidRPr="00C1593F">
              <w:rPr>
                <w:rFonts w:ascii="Calibri" w:eastAsia="Times New Roman" w:hAnsi="Calibri" w:cs="Times New Roman"/>
                <w:sz w:val="18"/>
                <w:szCs w:val="18"/>
                <w:lang w:eastAsia="en-AU"/>
              </w:rPr>
              <w:t>11,535,680</w:t>
            </w:r>
          </w:p>
        </w:tc>
        <w:tc>
          <w:tcPr>
            <w:tcW w:w="5653" w:type="dxa"/>
            <w:tcBorders>
              <w:top w:val="nil"/>
              <w:left w:val="nil"/>
              <w:bottom w:val="single" w:sz="4" w:space="0" w:color="auto"/>
              <w:right w:val="single" w:sz="4" w:space="0" w:color="auto"/>
            </w:tcBorders>
            <w:shd w:val="clear" w:color="000000" w:fill="FFFFFF"/>
            <w:vAlign w:val="center"/>
            <w:hideMark/>
          </w:tcPr>
          <w:p w14:paraId="06C2E96D" w14:textId="671B6B29" w:rsidR="005818E6" w:rsidRPr="00C1593F" w:rsidRDefault="005818E6" w:rsidP="004C1B84">
            <w:pPr>
              <w:spacing w:after="0" w:line="240" w:lineRule="auto"/>
              <w:rPr>
                <w:rFonts w:ascii="Calibri" w:eastAsia="Times New Roman" w:hAnsi="Calibri" w:cs="Times New Roman"/>
                <w:sz w:val="18"/>
                <w:szCs w:val="18"/>
                <w:lang w:eastAsia="en-AU"/>
              </w:rPr>
            </w:pPr>
            <w:r w:rsidRPr="00C1593F">
              <w:rPr>
                <w:rFonts w:ascii="Calibri" w:eastAsia="Times New Roman" w:hAnsi="Calibri" w:cs="Times New Roman"/>
                <w:sz w:val="18"/>
                <w:szCs w:val="18"/>
                <w:lang w:eastAsia="en-AU"/>
              </w:rPr>
              <w:t xml:space="preserve">We expect 53% of eligible patients will register with a provider in the first 4 years. This represents the estimated number of patients who will participate in newly created incentive programs and the number of people who belong to patient cohorts who traditionally have strong relationships with their primary care providers and/or who we wish to build new incentives for. The latter group includes: people with a chronic disease management plan, people with a mental health treatment plan, people with children in the first 2000 days of life, older Australians living in the community. </w:t>
            </w:r>
          </w:p>
          <w:p w14:paraId="074F46B3" w14:textId="77777777" w:rsidR="005818E6" w:rsidRPr="00C1593F" w:rsidRDefault="005818E6" w:rsidP="004C1B84">
            <w:pPr>
              <w:spacing w:after="0" w:line="240" w:lineRule="auto"/>
              <w:rPr>
                <w:rFonts w:ascii="Calibri" w:eastAsia="Times New Roman" w:hAnsi="Calibri" w:cs="Times New Roman"/>
                <w:sz w:val="18"/>
                <w:szCs w:val="18"/>
                <w:lang w:eastAsia="en-AU"/>
              </w:rPr>
            </w:pPr>
          </w:p>
          <w:p w14:paraId="07E57414" w14:textId="7778FE16" w:rsidR="004627CA" w:rsidRPr="00C1593F" w:rsidRDefault="004627CA" w:rsidP="00A71612">
            <w:pPr>
              <w:spacing w:after="0" w:line="240" w:lineRule="auto"/>
              <w:rPr>
                <w:rFonts w:ascii="Calibri" w:eastAsia="Times New Roman" w:hAnsi="Calibri" w:cs="Times New Roman"/>
                <w:sz w:val="18"/>
                <w:szCs w:val="18"/>
                <w:lang w:eastAsia="en-AU"/>
              </w:rPr>
            </w:pPr>
            <w:r w:rsidRPr="00C1593F">
              <w:rPr>
                <w:rFonts w:ascii="Calibri" w:eastAsia="Times New Roman" w:hAnsi="Calibri" w:cs="Times New Roman"/>
                <w:sz w:val="18"/>
                <w:szCs w:val="18"/>
                <w:lang w:eastAsia="en-AU"/>
              </w:rPr>
              <w:t xml:space="preserve">It is unlikely that all patients will commence participation in the first year. The first year assumes approximately </w:t>
            </w:r>
            <w:r w:rsidR="004D2AA0">
              <w:rPr>
                <w:rFonts w:ascii="Calibri" w:eastAsia="Times New Roman" w:hAnsi="Calibri" w:cs="Times New Roman"/>
                <w:sz w:val="18"/>
                <w:szCs w:val="18"/>
                <w:lang w:eastAsia="en-AU"/>
              </w:rPr>
              <w:t>34</w:t>
            </w:r>
            <w:r w:rsidRPr="00C1593F">
              <w:rPr>
                <w:rFonts w:ascii="Calibri" w:eastAsia="Times New Roman" w:hAnsi="Calibri" w:cs="Times New Roman"/>
                <w:sz w:val="18"/>
                <w:szCs w:val="18"/>
                <w:lang w:eastAsia="en-AU"/>
              </w:rPr>
              <w:t xml:space="preserve">% of the 11.5 million to register, taking into account timing of roll out and communications required. The participant uptake rate also accounts for the dynamic nature of patient registration and growth over time (e.g. patients changing practices or new individuals becoming eligible for linked incentives). </w:t>
            </w:r>
          </w:p>
        </w:tc>
      </w:tr>
      <w:tr w:rsidR="004627CA" w:rsidRPr="00C1593F" w14:paraId="31E1DADE" w14:textId="77777777" w:rsidTr="004627CA">
        <w:trPr>
          <w:trHeight w:val="1400"/>
        </w:trPr>
        <w:tc>
          <w:tcPr>
            <w:tcW w:w="3659" w:type="dxa"/>
            <w:tcBorders>
              <w:top w:val="nil"/>
              <w:left w:val="single" w:sz="4" w:space="0" w:color="auto"/>
              <w:bottom w:val="single" w:sz="4" w:space="0" w:color="auto"/>
              <w:right w:val="single" w:sz="4" w:space="0" w:color="auto"/>
            </w:tcBorders>
            <w:shd w:val="clear" w:color="000000" w:fill="FFFFFF"/>
            <w:vAlign w:val="center"/>
            <w:hideMark/>
          </w:tcPr>
          <w:p w14:paraId="69CCCFF1" w14:textId="77777777" w:rsidR="004627CA" w:rsidRPr="00C1593F" w:rsidRDefault="004627CA" w:rsidP="004C1B84">
            <w:pPr>
              <w:spacing w:after="0" w:line="240" w:lineRule="auto"/>
              <w:rPr>
                <w:rFonts w:ascii="Calibri" w:eastAsia="Times New Roman" w:hAnsi="Calibri" w:cs="Times New Roman"/>
                <w:color w:val="000000"/>
                <w:sz w:val="18"/>
                <w:szCs w:val="18"/>
                <w:lang w:eastAsia="en-AU"/>
              </w:rPr>
            </w:pPr>
            <w:r w:rsidRPr="00C1593F">
              <w:rPr>
                <w:rFonts w:ascii="Calibri" w:eastAsia="Times New Roman" w:hAnsi="Calibri" w:cs="Times New Roman"/>
                <w:color w:val="000000"/>
                <w:sz w:val="18"/>
                <w:szCs w:val="18"/>
                <w:lang w:eastAsia="en-AU"/>
              </w:rPr>
              <w:t>General Practice  uptake over 4 years</w:t>
            </w:r>
          </w:p>
        </w:tc>
        <w:tc>
          <w:tcPr>
            <w:tcW w:w="0" w:type="auto"/>
            <w:tcBorders>
              <w:top w:val="nil"/>
              <w:left w:val="nil"/>
              <w:bottom w:val="single" w:sz="4" w:space="0" w:color="auto"/>
              <w:right w:val="single" w:sz="4" w:space="0" w:color="auto"/>
            </w:tcBorders>
            <w:shd w:val="clear" w:color="000000" w:fill="FFFFFF"/>
            <w:vAlign w:val="center"/>
            <w:hideMark/>
          </w:tcPr>
          <w:p w14:paraId="7152498C" w14:textId="77777777" w:rsidR="004627CA" w:rsidRPr="00C1593F" w:rsidRDefault="004627CA" w:rsidP="004C1B84">
            <w:pPr>
              <w:spacing w:after="0" w:line="240" w:lineRule="auto"/>
              <w:jc w:val="center"/>
              <w:rPr>
                <w:rFonts w:ascii="Calibri" w:eastAsia="Times New Roman" w:hAnsi="Calibri" w:cs="Times New Roman"/>
                <w:sz w:val="18"/>
                <w:szCs w:val="18"/>
                <w:lang w:eastAsia="en-AU"/>
              </w:rPr>
            </w:pPr>
            <w:r w:rsidRPr="00C1593F">
              <w:rPr>
                <w:rFonts w:ascii="Calibri" w:eastAsia="Times New Roman" w:hAnsi="Calibri" w:cs="Times New Roman"/>
                <w:sz w:val="18"/>
                <w:szCs w:val="18"/>
                <w:lang w:eastAsia="en-AU"/>
              </w:rPr>
              <w:t>-</w:t>
            </w:r>
          </w:p>
        </w:tc>
        <w:tc>
          <w:tcPr>
            <w:tcW w:w="5653" w:type="dxa"/>
            <w:tcBorders>
              <w:top w:val="nil"/>
              <w:left w:val="nil"/>
              <w:bottom w:val="single" w:sz="4" w:space="0" w:color="auto"/>
              <w:right w:val="single" w:sz="4" w:space="0" w:color="auto"/>
            </w:tcBorders>
            <w:shd w:val="clear" w:color="000000" w:fill="FFFFFF"/>
            <w:vAlign w:val="center"/>
            <w:hideMark/>
          </w:tcPr>
          <w:p w14:paraId="7CDC7E2F" w14:textId="3D2768EA" w:rsidR="004627CA" w:rsidRPr="00C1593F" w:rsidRDefault="004627CA" w:rsidP="00EF5625">
            <w:pPr>
              <w:spacing w:after="0" w:line="240" w:lineRule="auto"/>
              <w:rPr>
                <w:rFonts w:ascii="Calibri" w:eastAsia="Times New Roman" w:hAnsi="Calibri" w:cs="Times New Roman"/>
                <w:sz w:val="18"/>
                <w:szCs w:val="18"/>
                <w:lang w:eastAsia="en-AU"/>
              </w:rPr>
            </w:pPr>
            <w:r w:rsidRPr="00C1593F">
              <w:rPr>
                <w:rFonts w:ascii="Calibri" w:eastAsia="Times New Roman" w:hAnsi="Calibri" w:cs="Times New Roman"/>
                <w:sz w:val="18"/>
                <w:szCs w:val="18"/>
                <w:lang w:eastAsia="en-AU"/>
              </w:rPr>
              <w:t xml:space="preserve">It is unlikely that all practices will commence participation in the first year. As such, we have assumed that 70% would register in the first year, 15% in the second year, and 10% in the third and fourth year. </w:t>
            </w:r>
            <w:r w:rsidR="00EF5625" w:rsidRPr="00C1593F">
              <w:rPr>
                <w:rFonts w:ascii="Calibri" w:eastAsia="Times New Roman" w:hAnsi="Calibri" w:cs="Times New Roman"/>
                <w:sz w:val="18"/>
                <w:szCs w:val="18"/>
                <w:lang w:eastAsia="en-AU"/>
              </w:rPr>
              <w:t xml:space="preserve"> This number exceed 100% due to the dynamic nature of business and assumes practices close, open, change and grow over time (i.e. sales, new practices, amalgamations etc.).  This growth assumes a 5% net growth on current practices. </w:t>
            </w:r>
            <w:r w:rsidRPr="00C1593F">
              <w:rPr>
                <w:rFonts w:ascii="Calibri" w:eastAsia="Times New Roman" w:hAnsi="Calibri" w:cs="Times New Roman"/>
                <w:sz w:val="18"/>
                <w:szCs w:val="18"/>
                <w:lang w:eastAsia="en-AU"/>
              </w:rPr>
              <w:t xml:space="preserve">  </w:t>
            </w:r>
            <w:r w:rsidRPr="00C1593F">
              <w:rPr>
                <w:rFonts w:ascii="Calibri" w:eastAsia="Times New Roman" w:hAnsi="Calibri" w:cs="Times New Roman"/>
                <w:sz w:val="18"/>
                <w:szCs w:val="18"/>
                <w:lang w:eastAsia="en-AU"/>
              </w:rPr>
              <w:br/>
              <w:t xml:space="preserve">These figures inform the number of new practices expected to be participating and the number of practices seeking to become accredited. </w:t>
            </w:r>
          </w:p>
        </w:tc>
      </w:tr>
      <w:tr w:rsidR="004627CA" w:rsidRPr="00C1593F" w14:paraId="7CFBBA18" w14:textId="77777777" w:rsidTr="004627CA">
        <w:trPr>
          <w:trHeight w:val="441"/>
        </w:trPr>
        <w:tc>
          <w:tcPr>
            <w:tcW w:w="3659" w:type="dxa"/>
            <w:tcBorders>
              <w:top w:val="nil"/>
              <w:left w:val="single" w:sz="4" w:space="0" w:color="auto"/>
              <w:bottom w:val="single" w:sz="4" w:space="0" w:color="auto"/>
              <w:right w:val="single" w:sz="4" w:space="0" w:color="auto"/>
            </w:tcBorders>
            <w:shd w:val="clear" w:color="000000" w:fill="FFFFFF"/>
            <w:vAlign w:val="center"/>
            <w:hideMark/>
          </w:tcPr>
          <w:p w14:paraId="409651FC" w14:textId="77777777" w:rsidR="004627CA" w:rsidRPr="00C1593F" w:rsidRDefault="004627CA" w:rsidP="004C1B84">
            <w:pPr>
              <w:spacing w:after="0" w:line="240" w:lineRule="auto"/>
              <w:rPr>
                <w:rFonts w:ascii="Calibri" w:eastAsia="Times New Roman" w:hAnsi="Calibri" w:cs="Times New Roman"/>
                <w:color w:val="000000"/>
                <w:sz w:val="18"/>
                <w:szCs w:val="18"/>
                <w:lang w:eastAsia="en-AU"/>
              </w:rPr>
            </w:pPr>
            <w:r w:rsidRPr="00C1593F">
              <w:rPr>
                <w:rFonts w:ascii="Calibri" w:eastAsia="Times New Roman" w:hAnsi="Calibri" w:cs="Times New Roman"/>
                <w:color w:val="000000"/>
                <w:sz w:val="18"/>
                <w:szCs w:val="18"/>
                <w:lang w:eastAsia="en-AU"/>
              </w:rPr>
              <w:t>Time taken for practice to register a patient under VPR (hours)</w:t>
            </w:r>
          </w:p>
        </w:tc>
        <w:tc>
          <w:tcPr>
            <w:tcW w:w="0" w:type="auto"/>
            <w:tcBorders>
              <w:top w:val="nil"/>
              <w:left w:val="nil"/>
              <w:bottom w:val="single" w:sz="4" w:space="0" w:color="auto"/>
              <w:right w:val="single" w:sz="4" w:space="0" w:color="auto"/>
            </w:tcBorders>
            <w:shd w:val="clear" w:color="000000" w:fill="FFFFFF"/>
            <w:vAlign w:val="center"/>
            <w:hideMark/>
          </w:tcPr>
          <w:p w14:paraId="61D41A7E" w14:textId="77777777" w:rsidR="004627CA" w:rsidRPr="00C1593F" w:rsidRDefault="004627CA" w:rsidP="004C1B84">
            <w:pPr>
              <w:spacing w:after="0" w:line="240" w:lineRule="auto"/>
              <w:jc w:val="center"/>
              <w:rPr>
                <w:rFonts w:ascii="Calibri" w:eastAsia="Times New Roman" w:hAnsi="Calibri" w:cs="Times New Roman"/>
                <w:sz w:val="18"/>
                <w:szCs w:val="18"/>
                <w:lang w:eastAsia="en-AU"/>
              </w:rPr>
            </w:pPr>
            <w:r w:rsidRPr="00C1593F">
              <w:rPr>
                <w:rFonts w:ascii="Calibri" w:eastAsia="Times New Roman" w:hAnsi="Calibri" w:cs="Times New Roman"/>
                <w:sz w:val="18"/>
                <w:szCs w:val="18"/>
                <w:lang w:eastAsia="en-AU"/>
              </w:rPr>
              <w:t>0.083</w:t>
            </w:r>
          </w:p>
        </w:tc>
        <w:tc>
          <w:tcPr>
            <w:tcW w:w="5653" w:type="dxa"/>
            <w:tcBorders>
              <w:top w:val="nil"/>
              <w:left w:val="nil"/>
              <w:bottom w:val="single" w:sz="4" w:space="0" w:color="auto"/>
              <w:right w:val="single" w:sz="4" w:space="0" w:color="auto"/>
            </w:tcBorders>
            <w:shd w:val="clear" w:color="000000" w:fill="FFFFFF"/>
            <w:vAlign w:val="center"/>
            <w:hideMark/>
          </w:tcPr>
          <w:p w14:paraId="21094DD5" w14:textId="77777777" w:rsidR="004627CA" w:rsidRPr="00C1593F" w:rsidRDefault="004627CA" w:rsidP="004C1B84">
            <w:pPr>
              <w:spacing w:after="0" w:line="240" w:lineRule="auto"/>
              <w:rPr>
                <w:rFonts w:ascii="Calibri" w:eastAsia="Times New Roman" w:hAnsi="Calibri" w:cs="Times New Roman"/>
                <w:sz w:val="18"/>
                <w:szCs w:val="18"/>
                <w:lang w:eastAsia="en-AU"/>
              </w:rPr>
            </w:pPr>
            <w:r w:rsidRPr="00C1593F">
              <w:rPr>
                <w:rFonts w:ascii="Calibri" w:eastAsia="Times New Roman" w:hAnsi="Calibri" w:cs="Times New Roman"/>
                <w:sz w:val="18"/>
                <w:szCs w:val="18"/>
                <w:lang w:eastAsia="en-AU"/>
              </w:rPr>
              <w:t xml:space="preserve">Based on user testing at Services Australia. </w:t>
            </w:r>
          </w:p>
        </w:tc>
      </w:tr>
      <w:tr w:rsidR="004627CA" w:rsidRPr="00C1593F" w14:paraId="181B4704" w14:textId="77777777" w:rsidTr="004627CA">
        <w:trPr>
          <w:trHeight w:val="414"/>
        </w:trPr>
        <w:tc>
          <w:tcPr>
            <w:tcW w:w="3659" w:type="dxa"/>
            <w:tcBorders>
              <w:top w:val="nil"/>
              <w:left w:val="single" w:sz="4" w:space="0" w:color="auto"/>
              <w:bottom w:val="single" w:sz="4" w:space="0" w:color="auto"/>
              <w:right w:val="single" w:sz="4" w:space="0" w:color="auto"/>
            </w:tcBorders>
            <w:shd w:val="clear" w:color="000000" w:fill="FFFFFF"/>
            <w:vAlign w:val="center"/>
            <w:hideMark/>
          </w:tcPr>
          <w:p w14:paraId="601F2320" w14:textId="77777777" w:rsidR="004627CA" w:rsidRPr="00C1593F" w:rsidRDefault="004627CA" w:rsidP="004C1B84">
            <w:pPr>
              <w:spacing w:after="0" w:line="240" w:lineRule="auto"/>
              <w:rPr>
                <w:rFonts w:ascii="Calibri" w:eastAsia="Times New Roman" w:hAnsi="Calibri" w:cs="Times New Roman"/>
                <w:color w:val="000000"/>
                <w:sz w:val="18"/>
                <w:szCs w:val="18"/>
                <w:lang w:eastAsia="en-AU"/>
              </w:rPr>
            </w:pPr>
            <w:r w:rsidRPr="00C1593F">
              <w:rPr>
                <w:rFonts w:ascii="Calibri" w:eastAsia="Times New Roman" w:hAnsi="Calibri" w:cs="Times New Roman"/>
                <w:color w:val="000000"/>
                <w:sz w:val="18"/>
                <w:szCs w:val="18"/>
                <w:lang w:eastAsia="en-AU"/>
              </w:rPr>
              <w:t>Practice manager staffing cost (per hour)</w:t>
            </w:r>
          </w:p>
        </w:tc>
        <w:tc>
          <w:tcPr>
            <w:tcW w:w="0" w:type="auto"/>
            <w:tcBorders>
              <w:top w:val="nil"/>
              <w:left w:val="nil"/>
              <w:bottom w:val="single" w:sz="4" w:space="0" w:color="auto"/>
              <w:right w:val="single" w:sz="4" w:space="0" w:color="auto"/>
            </w:tcBorders>
            <w:shd w:val="clear" w:color="000000" w:fill="FFFFFF"/>
            <w:vAlign w:val="center"/>
            <w:hideMark/>
          </w:tcPr>
          <w:p w14:paraId="25937EEF" w14:textId="77777777" w:rsidR="004627CA" w:rsidRPr="00C1593F" w:rsidRDefault="004627CA" w:rsidP="004C1B84">
            <w:pPr>
              <w:spacing w:after="0" w:line="240" w:lineRule="auto"/>
              <w:jc w:val="center"/>
              <w:rPr>
                <w:rFonts w:ascii="Calibri" w:eastAsia="Times New Roman" w:hAnsi="Calibri" w:cs="Times New Roman"/>
                <w:sz w:val="18"/>
                <w:szCs w:val="18"/>
                <w:lang w:eastAsia="en-AU"/>
              </w:rPr>
            </w:pPr>
            <w:r w:rsidRPr="00C1593F">
              <w:rPr>
                <w:rFonts w:ascii="Calibri" w:eastAsia="Times New Roman" w:hAnsi="Calibri" w:cs="Times New Roman"/>
                <w:sz w:val="18"/>
                <w:szCs w:val="18"/>
                <w:lang w:eastAsia="en-AU"/>
              </w:rPr>
              <w:t>73.2</w:t>
            </w:r>
          </w:p>
        </w:tc>
        <w:tc>
          <w:tcPr>
            <w:tcW w:w="5653" w:type="dxa"/>
            <w:tcBorders>
              <w:top w:val="nil"/>
              <w:left w:val="nil"/>
              <w:bottom w:val="single" w:sz="4" w:space="0" w:color="auto"/>
              <w:right w:val="single" w:sz="4" w:space="0" w:color="auto"/>
            </w:tcBorders>
            <w:shd w:val="clear" w:color="000000" w:fill="FFFFFF"/>
            <w:vAlign w:val="center"/>
            <w:hideMark/>
          </w:tcPr>
          <w:p w14:paraId="2679576A" w14:textId="77777777" w:rsidR="004627CA" w:rsidRPr="00C1593F" w:rsidRDefault="004627CA" w:rsidP="004C1B84">
            <w:pPr>
              <w:spacing w:after="0" w:line="240" w:lineRule="auto"/>
              <w:rPr>
                <w:rFonts w:ascii="Calibri" w:eastAsia="Times New Roman" w:hAnsi="Calibri" w:cs="Times New Roman"/>
                <w:sz w:val="18"/>
                <w:szCs w:val="18"/>
                <w:lang w:eastAsia="en-AU"/>
              </w:rPr>
            </w:pPr>
            <w:r w:rsidRPr="00C1593F">
              <w:rPr>
                <w:rFonts w:ascii="Calibri" w:eastAsia="Times New Roman" w:hAnsi="Calibri" w:cs="Times New Roman"/>
                <w:sz w:val="18"/>
                <w:szCs w:val="18"/>
                <w:lang w:eastAsia="en-AU"/>
              </w:rPr>
              <w:t xml:space="preserve">Based on average hourly rate for practice manager. </w:t>
            </w:r>
          </w:p>
        </w:tc>
      </w:tr>
      <w:tr w:rsidR="004627CA" w:rsidRPr="00C1593F" w14:paraId="19740712" w14:textId="77777777" w:rsidTr="004627CA">
        <w:trPr>
          <w:trHeight w:val="440"/>
        </w:trPr>
        <w:tc>
          <w:tcPr>
            <w:tcW w:w="3659" w:type="dxa"/>
            <w:tcBorders>
              <w:top w:val="nil"/>
              <w:left w:val="single" w:sz="4" w:space="0" w:color="auto"/>
              <w:bottom w:val="single" w:sz="4" w:space="0" w:color="auto"/>
              <w:right w:val="single" w:sz="4" w:space="0" w:color="auto"/>
            </w:tcBorders>
            <w:shd w:val="clear" w:color="000000" w:fill="FFFFFF"/>
            <w:vAlign w:val="center"/>
            <w:hideMark/>
          </w:tcPr>
          <w:p w14:paraId="69801F32" w14:textId="53993C60" w:rsidR="004627CA" w:rsidRPr="00C1593F" w:rsidRDefault="004627CA" w:rsidP="004C1B84">
            <w:pPr>
              <w:spacing w:after="0" w:line="240" w:lineRule="auto"/>
              <w:rPr>
                <w:rFonts w:ascii="Calibri" w:eastAsia="Times New Roman" w:hAnsi="Calibri" w:cs="Times New Roman"/>
                <w:color w:val="000000"/>
                <w:sz w:val="18"/>
                <w:szCs w:val="18"/>
                <w:lang w:eastAsia="en-AU"/>
              </w:rPr>
            </w:pPr>
            <w:r w:rsidRPr="00C1593F">
              <w:rPr>
                <w:rFonts w:ascii="Calibri" w:eastAsia="Times New Roman" w:hAnsi="Calibri" w:cs="Times New Roman"/>
                <w:color w:val="000000"/>
                <w:sz w:val="18"/>
                <w:szCs w:val="18"/>
                <w:lang w:eastAsia="en-AU"/>
              </w:rPr>
              <w:t xml:space="preserve">Time taken for patient to </w:t>
            </w:r>
            <w:r w:rsidR="005D12A2" w:rsidRPr="00C1593F">
              <w:rPr>
                <w:rFonts w:ascii="Calibri" w:eastAsia="Times New Roman" w:hAnsi="Calibri" w:cs="Times New Roman"/>
                <w:color w:val="000000"/>
                <w:sz w:val="18"/>
                <w:szCs w:val="18"/>
                <w:lang w:eastAsia="en-AU"/>
              </w:rPr>
              <w:t>self-register</w:t>
            </w:r>
            <w:r w:rsidRPr="00C1593F">
              <w:rPr>
                <w:rFonts w:ascii="Calibri" w:eastAsia="Times New Roman" w:hAnsi="Calibri" w:cs="Times New Roman"/>
                <w:color w:val="000000"/>
                <w:sz w:val="18"/>
                <w:szCs w:val="18"/>
                <w:lang w:eastAsia="en-AU"/>
              </w:rPr>
              <w:t xml:space="preserve"> at a practice (hours)</w:t>
            </w:r>
          </w:p>
        </w:tc>
        <w:tc>
          <w:tcPr>
            <w:tcW w:w="0" w:type="auto"/>
            <w:tcBorders>
              <w:top w:val="nil"/>
              <w:left w:val="nil"/>
              <w:bottom w:val="single" w:sz="4" w:space="0" w:color="auto"/>
              <w:right w:val="single" w:sz="4" w:space="0" w:color="auto"/>
            </w:tcBorders>
            <w:shd w:val="clear" w:color="000000" w:fill="FFFFFF"/>
            <w:vAlign w:val="center"/>
            <w:hideMark/>
          </w:tcPr>
          <w:p w14:paraId="7339AA96" w14:textId="77777777" w:rsidR="004627CA" w:rsidRPr="00C1593F" w:rsidRDefault="004627CA" w:rsidP="004C1B84">
            <w:pPr>
              <w:spacing w:after="0" w:line="240" w:lineRule="auto"/>
              <w:jc w:val="center"/>
              <w:rPr>
                <w:rFonts w:ascii="Calibri" w:eastAsia="Times New Roman" w:hAnsi="Calibri" w:cs="Times New Roman"/>
                <w:sz w:val="18"/>
                <w:szCs w:val="18"/>
                <w:lang w:eastAsia="en-AU"/>
              </w:rPr>
            </w:pPr>
            <w:r w:rsidRPr="00C1593F">
              <w:rPr>
                <w:rFonts w:ascii="Calibri" w:eastAsia="Times New Roman" w:hAnsi="Calibri" w:cs="Times New Roman"/>
                <w:sz w:val="18"/>
                <w:szCs w:val="18"/>
                <w:lang w:eastAsia="en-AU"/>
              </w:rPr>
              <w:t>0.033</w:t>
            </w:r>
          </w:p>
        </w:tc>
        <w:tc>
          <w:tcPr>
            <w:tcW w:w="5653" w:type="dxa"/>
            <w:tcBorders>
              <w:top w:val="nil"/>
              <w:left w:val="nil"/>
              <w:bottom w:val="single" w:sz="4" w:space="0" w:color="auto"/>
              <w:right w:val="single" w:sz="4" w:space="0" w:color="auto"/>
            </w:tcBorders>
            <w:shd w:val="clear" w:color="000000" w:fill="FFFFFF"/>
            <w:vAlign w:val="center"/>
            <w:hideMark/>
          </w:tcPr>
          <w:p w14:paraId="06522C24" w14:textId="77777777" w:rsidR="004627CA" w:rsidRPr="00C1593F" w:rsidRDefault="004627CA" w:rsidP="004C1B84">
            <w:pPr>
              <w:spacing w:after="0" w:line="240" w:lineRule="auto"/>
              <w:rPr>
                <w:rFonts w:ascii="Calibri" w:eastAsia="Times New Roman" w:hAnsi="Calibri" w:cs="Times New Roman"/>
                <w:sz w:val="18"/>
                <w:szCs w:val="18"/>
                <w:lang w:eastAsia="en-AU"/>
              </w:rPr>
            </w:pPr>
            <w:r w:rsidRPr="00C1593F">
              <w:rPr>
                <w:rFonts w:ascii="Calibri" w:eastAsia="Times New Roman" w:hAnsi="Calibri" w:cs="Times New Roman"/>
                <w:sz w:val="18"/>
                <w:szCs w:val="18"/>
                <w:lang w:eastAsia="en-AU"/>
              </w:rPr>
              <w:t xml:space="preserve">Based on user testing at Services Australia. </w:t>
            </w:r>
          </w:p>
        </w:tc>
      </w:tr>
      <w:tr w:rsidR="004627CA" w:rsidRPr="00C1593F" w14:paraId="1C06CA36" w14:textId="77777777" w:rsidTr="004627CA">
        <w:trPr>
          <w:trHeight w:val="582"/>
        </w:trPr>
        <w:tc>
          <w:tcPr>
            <w:tcW w:w="3659" w:type="dxa"/>
            <w:tcBorders>
              <w:top w:val="nil"/>
              <w:left w:val="single" w:sz="4" w:space="0" w:color="auto"/>
              <w:bottom w:val="single" w:sz="4" w:space="0" w:color="auto"/>
              <w:right w:val="single" w:sz="4" w:space="0" w:color="auto"/>
            </w:tcBorders>
            <w:shd w:val="clear" w:color="000000" w:fill="FFFFFF"/>
            <w:vAlign w:val="center"/>
            <w:hideMark/>
          </w:tcPr>
          <w:p w14:paraId="133FF48A" w14:textId="77777777" w:rsidR="004627CA" w:rsidRPr="00C1593F" w:rsidRDefault="004627CA" w:rsidP="004C1B84">
            <w:pPr>
              <w:spacing w:after="0" w:line="240" w:lineRule="auto"/>
              <w:rPr>
                <w:rFonts w:ascii="Calibri" w:eastAsia="Times New Roman" w:hAnsi="Calibri" w:cs="Times New Roman"/>
                <w:color w:val="000000"/>
                <w:sz w:val="18"/>
                <w:szCs w:val="18"/>
                <w:lang w:eastAsia="en-AU"/>
              </w:rPr>
            </w:pPr>
            <w:r w:rsidRPr="00C1593F">
              <w:rPr>
                <w:rFonts w:ascii="Calibri" w:eastAsia="Times New Roman" w:hAnsi="Calibri" w:cs="Times New Roman"/>
                <w:color w:val="000000"/>
                <w:sz w:val="18"/>
                <w:szCs w:val="18"/>
                <w:lang w:eastAsia="en-AU"/>
              </w:rPr>
              <w:t>Proportion of total patients expected to register on a paper form</w:t>
            </w:r>
          </w:p>
        </w:tc>
        <w:tc>
          <w:tcPr>
            <w:tcW w:w="0" w:type="auto"/>
            <w:tcBorders>
              <w:top w:val="nil"/>
              <w:left w:val="nil"/>
              <w:bottom w:val="single" w:sz="4" w:space="0" w:color="auto"/>
              <w:right w:val="single" w:sz="4" w:space="0" w:color="auto"/>
            </w:tcBorders>
            <w:shd w:val="clear" w:color="000000" w:fill="FFFFFF"/>
            <w:vAlign w:val="center"/>
            <w:hideMark/>
          </w:tcPr>
          <w:p w14:paraId="1795120D" w14:textId="77777777" w:rsidR="004627CA" w:rsidRPr="00C1593F" w:rsidRDefault="004627CA" w:rsidP="004C1B84">
            <w:pPr>
              <w:spacing w:after="0" w:line="240" w:lineRule="auto"/>
              <w:jc w:val="center"/>
              <w:rPr>
                <w:rFonts w:ascii="Calibri" w:eastAsia="Times New Roman" w:hAnsi="Calibri" w:cs="Times New Roman"/>
                <w:sz w:val="18"/>
                <w:szCs w:val="18"/>
                <w:lang w:eastAsia="en-AU"/>
              </w:rPr>
            </w:pPr>
            <w:r w:rsidRPr="00C1593F">
              <w:rPr>
                <w:rFonts w:ascii="Calibri" w:eastAsia="Times New Roman" w:hAnsi="Calibri" w:cs="Times New Roman"/>
                <w:sz w:val="18"/>
                <w:szCs w:val="18"/>
                <w:lang w:eastAsia="en-AU"/>
              </w:rPr>
              <w:t>50%</w:t>
            </w:r>
          </w:p>
        </w:tc>
        <w:tc>
          <w:tcPr>
            <w:tcW w:w="5653" w:type="dxa"/>
            <w:tcBorders>
              <w:top w:val="nil"/>
              <w:left w:val="nil"/>
              <w:bottom w:val="single" w:sz="4" w:space="0" w:color="auto"/>
              <w:right w:val="single" w:sz="4" w:space="0" w:color="auto"/>
            </w:tcBorders>
            <w:shd w:val="clear" w:color="000000" w:fill="FFFFFF"/>
            <w:vAlign w:val="center"/>
            <w:hideMark/>
          </w:tcPr>
          <w:p w14:paraId="4CE22DE0" w14:textId="77777777" w:rsidR="004627CA" w:rsidRPr="00C1593F" w:rsidRDefault="004627CA" w:rsidP="004C1B84">
            <w:pPr>
              <w:spacing w:after="0" w:line="240" w:lineRule="auto"/>
              <w:rPr>
                <w:rFonts w:ascii="Calibri" w:eastAsia="Times New Roman" w:hAnsi="Calibri" w:cs="Times New Roman"/>
                <w:sz w:val="18"/>
                <w:szCs w:val="18"/>
                <w:lang w:eastAsia="en-AU"/>
              </w:rPr>
            </w:pPr>
            <w:r w:rsidRPr="00C1593F">
              <w:rPr>
                <w:rFonts w:ascii="Calibri" w:eastAsia="Times New Roman" w:hAnsi="Calibri" w:cs="Times New Roman"/>
                <w:sz w:val="18"/>
                <w:szCs w:val="18"/>
                <w:lang w:eastAsia="en-AU"/>
              </w:rPr>
              <w:t xml:space="preserve">An estimate based on the expectation that at least half of patients will register when they are physically at the practice for an appointment. </w:t>
            </w:r>
          </w:p>
        </w:tc>
      </w:tr>
      <w:tr w:rsidR="004627CA" w:rsidRPr="00C1593F" w14:paraId="176FEE1F" w14:textId="77777777" w:rsidTr="004627CA">
        <w:trPr>
          <w:trHeight w:val="1138"/>
        </w:trPr>
        <w:tc>
          <w:tcPr>
            <w:tcW w:w="3659" w:type="dxa"/>
            <w:tcBorders>
              <w:top w:val="nil"/>
              <w:left w:val="single" w:sz="4" w:space="0" w:color="auto"/>
              <w:bottom w:val="single" w:sz="4" w:space="0" w:color="auto"/>
              <w:right w:val="single" w:sz="4" w:space="0" w:color="auto"/>
            </w:tcBorders>
            <w:shd w:val="clear" w:color="000000" w:fill="FFFFFF"/>
            <w:vAlign w:val="center"/>
            <w:hideMark/>
          </w:tcPr>
          <w:p w14:paraId="4B88394E" w14:textId="2BF0B552" w:rsidR="004627CA" w:rsidRPr="00C1593F" w:rsidRDefault="004627CA" w:rsidP="00EB3B46">
            <w:pPr>
              <w:spacing w:after="0" w:line="240" w:lineRule="auto"/>
              <w:rPr>
                <w:rFonts w:ascii="Calibri" w:eastAsia="Times New Roman" w:hAnsi="Calibri" w:cs="Times New Roman"/>
                <w:color w:val="000000"/>
                <w:sz w:val="18"/>
                <w:szCs w:val="18"/>
                <w:lang w:eastAsia="en-AU"/>
              </w:rPr>
            </w:pPr>
            <w:r w:rsidRPr="00C1593F">
              <w:rPr>
                <w:rFonts w:ascii="Calibri" w:eastAsia="Times New Roman" w:hAnsi="Calibri" w:cs="Times New Roman"/>
                <w:color w:val="000000"/>
                <w:sz w:val="18"/>
                <w:szCs w:val="18"/>
                <w:lang w:eastAsia="en-AU"/>
              </w:rPr>
              <w:t>Total number of practices (accredited and unaccredited)</w:t>
            </w:r>
          </w:p>
        </w:tc>
        <w:tc>
          <w:tcPr>
            <w:tcW w:w="0" w:type="auto"/>
            <w:tcBorders>
              <w:top w:val="nil"/>
              <w:left w:val="nil"/>
              <w:bottom w:val="single" w:sz="4" w:space="0" w:color="auto"/>
              <w:right w:val="single" w:sz="4" w:space="0" w:color="auto"/>
            </w:tcBorders>
            <w:shd w:val="clear" w:color="000000" w:fill="FFFFFF"/>
            <w:vAlign w:val="center"/>
            <w:hideMark/>
          </w:tcPr>
          <w:p w14:paraId="440B4E50" w14:textId="77777777" w:rsidR="004627CA" w:rsidRPr="00C1593F" w:rsidRDefault="004627CA" w:rsidP="004C1B84">
            <w:pPr>
              <w:spacing w:after="0" w:line="240" w:lineRule="auto"/>
              <w:jc w:val="center"/>
              <w:rPr>
                <w:rFonts w:ascii="Calibri" w:eastAsia="Times New Roman" w:hAnsi="Calibri" w:cs="Times New Roman"/>
                <w:sz w:val="18"/>
                <w:szCs w:val="18"/>
                <w:lang w:eastAsia="en-AU"/>
              </w:rPr>
            </w:pPr>
            <w:r w:rsidRPr="00C1593F">
              <w:rPr>
                <w:rFonts w:ascii="Calibri" w:eastAsia="Times New Roman" w:hAnsi="Calibri" w:cs="Times New Roman"/>
                <w:sz w:val="18"/>
                <w:szCs w:val="18"/>
                <w:lang w:eastAsia="en-AU"/>
              </w:rPr>
              <w:t>7,971</w:t>
            </w:r>
          </w:p>
        </w:tc>
        <w:tc>
          <w:tcPr>
            <w:tcW w:w="5653" w:type="dxa"/>
            <w:tcBorders>
              <w:top w:val="nil"/>
              <w:left w:val="nil"/>
              <w:bottom w:val="single" w:sz="4" w:space="0" w:color="auto"/>
              <w:right w:val="single" w:sz="4" w:space="0" w:color="auto"/>
            </w:tcBorders>
            <w:shd w:val="clear" w:color="000000" w:fill="FFFFFF"/>
            <w:vAlign w:val="center"/>
            <w:hideMark/>
          </w:tcPr>
          <w:p w14:paraId="00C818E6" w14:textId="2A54FE6D" w:rsidR="004627CA" w:rsidRPr="00C1593F" w:rsidRDefault="004627CA" w:rsidP="00A53D1F">
            <w:pPr>
              <w:spacing w:after="0" w:line="240" w:lineRule="auto"/>
              <w:rPr>
                <w:rFonts w:ascii="Calibri" w:eastAsia="Times New Roman" w:hAnsi="Calibri" w:cs="Times New Roman"/>
                <w:sz w:val="18"/>
                <w:szCs w:val="18"/>
                <w:lang w:eastAsia="en-AU"/>
              </w:rPr>
            </w:pPr>
            <w:r w:rsidRPr="00C1593F">
              <w:rPr>
                <w:rFonts w:ascii="Calibri" w:eastAsia="Times New Roman" w:hAnsi="Calibri" w:cs="Times New Roman"/>
                <w:sz w:val="18"/>
                <w:szCs w:val="18"/>
                <w:lang w:eastAsia="en-AU"/>
              </w:rPr>
              <w:br/>
            </w:r>
            <w:r w:rsidR="00A53D1F" w:rsidRPr="00C1593F">
              <w:rPr>
                <w:rFonts w:ascii="Calibri" w:eastAsia="Times New Roman" w:hAnsi="Calibri" w:cs="Times New Roman"/>
                <w:sz w:val="18"/>
                <w:szCs w:val="18"/>
                <w:lang w:eastAsia="en-AU"/>
              </w:rPr>
              <w:t>We estimate there are currently around 7,971 general practices in Australia. Based on observed historical growth rates, we expect this number will increase by 5% over 4 years.</w:t>
            </w:r>
          </w:p>
        </w:tc>
      </w:tr>
      <w:tr w:rsidR="004627CA" w:rsidRPr="00C1593F" w14:paraId="603B50FE" w14:textId="77777777" w:rsidTr="004627CA">
        <w:trPr>
          <w:trHeight w:val="445"/>
        </w:trPr>
        <w:tc>
          <w:tcPr>
            <w:tcW w:w="3659" w:type="dxa"/>
            <w:tcBorders>
              <w:top w:val="nil"/>
              <w:left w:val="single" w:sz="4" w:space="0" w:color="auto"/>
              <w:bottom w:val="single" w:sz="4" w:space="0" w:color="auto"/>
              <w:right w:val="single" w:sz="4" w:space="0" w:color="auto"/>
            </w:tcBorders>
            <w:shd w:val="clear" w:color="000000" w:fill="FFFFFF"/>
            <w:vAlign w:val="center"/>
            <w:hideMark/>
          </w:tcPr>
          <w:p w14:paraId="3C0EE871" w14:textId="77777777" w:rsidR="004627CA" w:rsidRPr="00C1593F" w:rsidRDefault="004627CA" w:rsidP="004C1B84">
            <w:pPr>
              <w:spacing w:after="0" w:line="240" w:lineRule="auto"/>
              <w:rPr>
                <w:rFonts w:ascii="Calibri" w:eastAsia="Times New Roman" w:hAnsi="Calibri" w:cs="Times New Roman"/>
                <w:color w:val="000000"/>
                <w:sz w:val="18"/>
                <w:szCs w:val="18"/>
                <w:lang w:eastAsia="en-AU"/>
              </w:rPr>
            </w:pPr>
            <w:r w:rsidRPr="00C1593F">
              <w:rPr>
                <w:rFonts w:ascii="Calibri" w:eastAsia="Times New Roman" w:hAnsi="Calibri" w:cs="Times New Roman"/>
                <w:color w:val="000000"/>
                <w:sz w:val="18"/>
                <w:szCs w:val="18"/>
                <w:lang w:eastAsia="en-AU"/>
              </w:rPr>
              <w:t xml:space="preserve">Number of practices already on the Organisation Register </w:t>
            </w:r>
          </w:p>
        </w:tc>
        <w:tc>
          <w:tcPr>
            <w:tcW w:w="0" w:type="auto"/>
            <w:tcBorders>
              <w:top w:val="nil"/>
              <w:left w:val="nil"/>
              <w:bottom w:val="single" w:sz="4" w:space="0" w:color="auto"/>
              <w:right w:val="single" w:sz="4" w:space="0" w:color="auto"/>
            </w:tcBorders>
            <w:shd w:val="clear" w:color="000000" w:fill="FFFFFF"/>
            <w:vAlign w:val="center"/>
            <w:hideMark/>
          </w:tcPr>
          <w:p w14:paraId="22F7F97A" w14:textId="77777777" w:rsidR="004627CA" w:rsidRPr="00C1593F" w:rsidRDefault="004627CA" w:rsidP="004C1B84">
            <w:pPr>
              <w:spacing w:after="0" w:line="240" w:lineRule="auto"/>
              <w:jc w:val="center"/>
              <w:rPr>
                <w:rFonts w:ascii="Calibri" w:eastAsia="Times New Roman" w:hAnsi="Calibri" w:cs="Times New Roman"/>
                <w:sz w:val="18"/>
                <w:szCs w:val="18"/>
                <w:lang w:eastAsia="en-AU"/>
              </w:rPr>
            </w:pPr>
            <w:r w:rsidRPr="00C1593F">
              <w:rPr>
                <w:rFonts w:ascii="Calibri" w:eastAsia="Times New Roman" w:hAnsi="Calibri" w:cs="Times New Roman"/>
                <w:sz w:val="18"/>
                <w:szCs w:val="18"/>
                <w:lang w:eastAsia="en-AU"/>
              </w:rPr>
              <w:t>2,317</w:t>
            </w:r>
          </w:p>
        </w:tc>
        <w:tc>
          <w:tcPr>
            <w:tcW w:w="5653" w:type="dxa"/>
            <w:tcBorders>
              <w:top w:val="nil"/>
              <w:left w:val="nil"/>
              <w:bottom w:val="single" w:sz="4" w:space="0" w:color="auto"/>
              <w:right w:val="single" w:sz="4" w:space="0" w:color="auto"/>
            </w:tcBorders>
            <w:shd w:val="clear" w:color="000000" w:fill="FFFFFF"/>
            <w:vAlign w:val="center"/>
            <w:hideMark/>
          </w:tcPr>
          <w:p w14:paraId="1E2A84F4" w14:textId="77777777" w:rsidR="004627CA" w:rsidRPr="00C1593F" w:rsidRDefault="004627CA" w:rsidP="004C1B84">
            <w:pPr>
              <w:spacing w:after="0" w:line="240" w:lineRule="auto"/>
              <w:rPr>
                <w:rFonts w:ascii="Calibri" w:eastAsia="Times New Roman" w:hAnsi="Calibri" w:cs="Times New Roman"/>
                <w:sz w:val="18"/>
                <w:szCs w:val="18"/>
                <w:lang w:eastAsia="en-AU"/>
              </w:rPr>
            </w:pPr>
            <w:r w:rsidRPr="00C1593F">
              <w:rPr>
                <w:rFonts w:ascii="Calibri" w:eastAsia="Times New Roman" w:hAnsi="Calibri" w:cs="Times New Roman"/>
                <w:sz w:val="18"/>
                <w:szCs w:val="18"/>
                <w:lang w:eastAsia="en-AU"/>
              </w:rPr>
              <w:t xml:space="preserve">Based on Organisation Register data from March 2023. </w:t>
            </w:r>
          </w:p>
        </w:tc>
      </w:tr>
      <w:tr w:rsidR="004627CA" w:rsidRPr="00C1593F" w14:paraId="7F987FB1" w14:textId="77777777" w:rsidTr="004627CA">
        <w:trPr>
          <w:trHeight w:val="436"/>
        </w:trPr>
        <w:tc>
          <w:tcPr>
            <w:tcW w:w="3659" w:type="dxa"/>
            <w:tcBorders>
              <w:top w:val="nil"/>
              <w:left w:val="single" w:sz="4" w:space="0" w:color="auto"/>
              <w:bottom w:val="single" w:sz="4" w:space="0" w:color="auto"/>
              <w:right w:val="single" w:sz="4" w:space="0" w:color="auto"/>
            </w:tcBorders>
            <w:shd w:val="clear" w:color="000000" w:fill="FFFFFF"/>
            <w:vAlign w:val="center"/>
            <w:hideMark/>
          </w:tcPr>
          <w:p w14:paraId="5E9EFDA2" w14:textId="77777777" w:rsidR="004627CA" w:rsidRPr="00C1593F" w:rsidRDefault="004627CA" w:rsidP="004C1B84">
            <w:pPr>
              <w:spacing w:after="0" w:line="240" w:lineRule="auto"/>
              <w:rPr>
                <w:rFonts w:ascii="Calibri" w:eastAsia="Times New Roman" w:hAnsi="Calibri" w:cs="Times New Roman"/>
                <w:color w:val="000000"/>
                <w:sz w:val="18"/>
                <w:szCs w:val="18"/>
                <w:lang w:eastAsia="en-AU"/>
              </w:rPr>
            </w:pPr>
            <w:r w:rsidRPr="00C1593F">
              <w:rPr>
                <w:rFonts w:ascii="Calibri" w:eastAsia="Times New Roman" w:hAnsi="Calibri" w:cs="Times New Roman"/>
                <w:color w:val="000000"/>
                <w:sz w:val="18"/>
                <w:szCs w:val="18"/>
                <w:lang w:eastAsia="en-AU"/>
              </w:rPr>
              <w:t>Number of hours spent on process, procedures and training - practices not on Organisation Register</w:t>
            </w:r>
          </w:p>
        </w:tc>
        <w:tc>
          <w:tcPr>
            <w:tcW w:w="0" w:type="auto"/>
            <w:tcBorders>
              <w:top w:val="nil"/>
              <w:left w:val="nil"/>
              <w:bottom w:val="single" w:sz="4" w:space="0" w:color="auto"/>
              <w:right w:val="single" w:sz="4" w:space="0" w:color="auto"/>
            </w:tcBorders>
            <w:shd w:val="clear" w:color="000000" w:fill="FFFFFF"/>
            <w:vAlign w:val="center"/>
            <w:hideMark/>
          </w:tcPr>
          <w:p w14:paraId="14751622" w14:textId="77777777" w:rsidR="004627CA" w:rsidRPr="00C1593F" w:rsidRDefault="004627CA" w:rsidP="004C1B84">
            <w:pPr>
              <w:spacing w:after="0" w:line="240" w:lineRule="auto"/>
              <w:jc w:val="center"/>
              <w:rPr>
                <w:rFonts w:ascii="Calibri" w:eastAsia="Times New Roman" w:hAnsi="Calibri" w:cs="Times New Roman"/>
                <w:sz w:val="18"/>
                <w:szCs w:val="18"/>
                <w:lang w:eastAsia="en-AU"/>
              </w:rPr>
            </w:pPr>
            <w:r w:rsidRPr="00C1593F">
              <w:rPr>
                <w:rFonts w:ascii="Calibri" w:eastAsia="Times New Roman" w:hAnsi="Calibri" w:cs="Times New Roman"/>
                <w:sz w:val="18"/>
                <w:szCs w:val="18"/>
                <w:lang w:eastAsia="en-AU"/>
              </w:rPr>
              <w:t>7.5</w:t>
            </w:r>
          </w:p>
        </w:tc>
        <w:tc>
          <w:tcPr>
            <w:tcW w:w="5653" w:type="dxa"/>
            <w:tcBorders>
              <w:top w:val="nil"/>
              <w:left w:val="nil"/>
              <w:bottom w:val="single" w:sz="4" w:space="0" w:color="auto"/>
              <w:right w:val="single" w:sz="4" w:space="0" w:color="auto"/>
            </w:tcBorders>
            <w:shd w:val="clear" w:color="000000" w:fill="FFFFFF"/>
            <w:vAlign w:val="center"/>
            <w:hideMark/>
          </w:tcPr>
          <w:p w14:paraId="6ADEC781" w14:textId="77777777" w:rsidR="004627CA" w:rsidRPr="00C1593F" w:rsidRDefault="004627CA" w:rsidP="004C1B84">
            <w:pPr>
              <w:spacing w:after="0" w:line="240" w:lineRule="auto"/>
              <w:rPr>
                <w:rFonts w:ascii="Calibri" w:eastAsia="Times New Roman" w:hAnsi="Calibri" w:cs="Times New Roman"/>
                <w:sz w:val="18"/>
                <w:szCs w:val="18"/>
                <w:lang w:eastAsia="en-AU"/>
              </w:rPr>
            </w:pPr>
            <w:r w:rsidRPr="00C1593F">
              <w:rPr>
                <w:rFonts w:ascii="Calibri" w:eastAsia="Times New Roman" w:hAnsi="Calibri" w:cs="Times New Roman"/>
                <w:sz w:val="18"/>
                <w:szCs w:val="18"/>
                <w:lang w:eastAsia="en-AU"/>
              </w:rPr>
              <w:t xml:space="preserve">Based on estimates from Services Australia. </w:t>
            </w:r>
          </w:p>
        </w:tc>
      </w:tr>
      <w:tr w:rsidR="004627CA" w:rsidRPr="00C1593F" w14:paraId="191D1E44" w14:textId="77777777" w:rsidTr="004627CA">
        <w:trPr>
          <w:trHeight w:val="676"/>
        </w:trPr>
        <w:tc>
          <w:tcPr>
            <w:tcW w:w="3659" w:type="dxa"/>
            <w:tcBorders>
              <w:top w:val="nil"/>
              <w:left w:val="single" w:sz="4" w:space="0" w:color="auto"/>
              <w:bottom w:val="single" w:sz="4" w:space="0" w:color="auto"/>
              <w:right w:val="single" w:sz="4" w:space="0" w:color="auto"/>
            </w:tcBorders>
            <w:shd w:val="clear" w:color="000000" w:fill="FFFFFF"/>
            <w:vAlign w:val="center"/>
            <w:hideMark/>
          </w:tcPr>
          <w:p w14:paraId="1867B5CB" w14:textId="77777777" w:rsidR="004627CA" w:rsidRPr="00C1593F" w:rsidRDefault="004627CA" w:rsidP="004C1B84">
            <w:pPr>
              <w:spacing w:after="0" w:line="240" w:lineRule="auto"/>
              <w:rPr>
                <w:rFonts w:ascii="Calibri" w:eastAsia="Times New Roman" w:hAnsi="Calibri" w:cs="Times New Roman"/>
                <w:color w:val="000000"/>
                <w:sz w:val="18"/>
                <w:szCs w:val="18"/>
                <w:lang w:eastAsia="en-AU"/>
              </w:rPr>
            </w:pPr>
            <w:r w:rsidRPr="00C1593F">
              <w:rPr>
                <w:rFonts w:ascii="Calibri" w:eastAsia="Times New Roman" w:hAnsi="Calibri" w:cs="Times New Roman"/>
                <w:color w:val="000000"/>
                <w:sz w:val="18"/>
                <w:szCs w:val="18"/>
                <w:lang w:eastAsia="en-AU"/>
              </w:rPr>
              <w:t xml:space="preserve">Number of hours spend on process, procedures and training - practices on Organisation Register </w:t>
            </w:r>
          </w:p>
        </w:tc>
        <w:tc>
          <w:tcPr>
            <w:tcW w:w="0" w:type="auto"/>
            <w:tcBorders>
              <w:top w:val="nil"/>
              <w:left w:val="nil"/>
              <w:bottom w:val="single" w:sz="4" w:space="0" w:color="auto"/>
              <w:right w:val="single" w:sz="4" w:space="0" w:color="auto"/>
            </w:tcBorders>
            <w:shd w:val="clear" w:color="000000" w:fill="FFFFFF"/>
            <w:vAlign w:val="center"/>
            <w:hideMark/>
          </w:tcPr>
          <w:p w14:paraId="5DB5F666" w14:textId="77777777" w:rsidR="004627CA" w:rsidRPr="00C1593F" w:rsidRDefault="004627CA" w:rsidP="004C1B84">
            <w:pPr>
              <w:spacing w:after="0" w:line="240" w:lineRule="auto"/>
              <w:jc w:val="center"/>
              <w:rPr>
                <w:rFonts w:ascii="Calibri" w:eastAsia="Times New Roman" w:hAnsi="Calibri" w:cs="Times New Roman"/>
                <w:sz w:val="18"/>
                <w:szCs w:val="18"/>
                <w:lang w:eastAsia="en-AU"/>
              </w:rPr>
            </w:pPr>
            <w:r w:rsidRPr="00C1593F">
              <w:rPr>
                <w:rFonts w:ascii="Calibri" w:eastAsia="Times New Roman" w:hAnsi="Calibri" w:cs="Times New Roman"/>
                <w:sz w:val="18"/>
                <w:szCs w:val="18"/>
                <w:lang w:eastAsia="en-AU"/>
              </w:rPr>
              <w:t>5.625</w:t>
            </w:r>
          </w:p>
        </w:tc>
        <w:tc>
          <w:tcPr>
            <w:tcW w:w="5653" w:type="dxa"/>
            <w:tcBorders>
              <w:top w:val="nil"/>
              <w:left w:val="nil"/>
              <w:bottom w:val="single" w:sz="4" w:space="0" w:color="auto"/>
              <w:right w:val="single" w:sz="4" w:space="0" w:color="auto"/>
            </w:tcBorders>
            <w:shd w:val="clear" w:color="000000" w:fill="FFFFFF"/>
            <w:vAlign w:val="center"/>
            <w:hideMark/>
          </w:tcPr>
          <w:p w14:paraId="28BA961A" w14:textId="77777777" w:rsidR="004627CA" w:rsidRPr="00C1593F" w:rsidRDefault="004627CA" w:rsidP="004C1B84">
            <w:pPr>
              <w:spacing w:after="0" w:line="240" w:lineRule="auto"/>
              <w:rPr>
                <w:rFonts w:ascii="Calibri" w:eastAsia="Times New Roman" w:hAnsi="Calibri" w:cs="Times New Roman"/>
                <w:sz w:val="18"/>
                <w:szCs w:val="18"/>
                <w:lang w:eastAsia="en-AU"/>
              </w:rPr>
            </w:pPr>
            <w:r w:rsidRPr="00C1593F">
              <w:rPr>
                <w:rFonts w:ascii="Calibri" w:eastAsia="Times New Roman" w:hAnsi="Calibri" w:cs="Times New Roman"/>
                <w:sz w:val="18"/>
                <w:szCs w:val="18"/>
                <w:lang w:eastAsia="en-AU"/>
              </w:rPr>
              <w:t xml:space="preserve">Based on estimates from Services Australia. </w:t>
            </w:r>
          </w:p>
        </w:tc>
      </w:tr>
      <w:tr w:rsidR="004627CA" w:rsidRPr="00C1593F" w14:paraId="525F6BAE" w14:textId="77777777" w:rsidTr="004627CA">
        <w:trPr>
          <w:trHeight w:val="916"/>
        </w:trPr>
        <w:tc>
          <w:tcPr>
            <w:tcW w:w="3659" w:type="dxa"/>
            <w:tcBorders>
              <w:top w:val="nil"/>
              <w:left w:val="single" w:sz="4" w:space="0" w:color="auto"/>
              <w:bottom w:val="single" w:sz="4" w:space="0" w:color="auto"/>
              <w:right w:val="single" w:sz="4" w:space="0" w:color="auto"/>
            </w:tcBorders>
            <w:shd w:val="clear" w:color="000000" w:fill="FFFFFF"/>
            <w:vAlign w:val="center"/>
            <w:hideMark/>
          </w:tcPr>
          <w:p w14:paraId="0D1EE0BC" w14:textId="77777777" w:rsidR="004627CA" w:rsidRPr="00C1593F" w:rsidRDefault="004627CA" w:rsidP="004C1B84">
            <w:pPr>
              <w:spacing w:after="0" w:line="240" w:lineRule="auto"/>
              <w:rPr>
                <w:rFonts w:ascii="Calibri" w:eastAsia="Times New Roman" w:hAnsi="Calibri" w:cs="Times New Roman"/>
                <w:color w:val="000000"/>
                <w:sz w:val="18"/>
                <w:szCs w:val="18"/>
                <w:lang w:eastAsia="en-AU"/>
              </w:rPr>
            </w:pPr>
            <w:r w:rsidRPr="00C1593F">
              <w:rPr>
                <w:rFonts w:ascii="Calibri" w:eastAsia="Times New Roman" w:hAnsi="Calibri" w:cs="Times New Roman"/>
                <w:color w:val="000000"/>
                <w:sz w:val="18"/>
                <w:szCs w:val="18"/>
                <w:lang w:eastAsia="en-AU"/>
              </w:rPr>
              <w:t>Number of practices unaccredited</w:t>
            </w:r>
          </w:p>
        </w:tc>
        <w:tc>
          <w:tcPr>
            <w:tcW w:w="0" w:type="auto"/>
            <w:tcBorders>
              <w:top w:val="nil"/>
              <w:left w:val="nil"/>
              <w:bottom w:val="single" w:sz="4" w:space="0" w:color="auto"/>
              <w:right w:val="single" w:sz="4" w:space="0" w:color="auto"/>
            </w:tcBorders>
            <w:shd w:val="clear" w:color="000000" w:fill="FFFFFF"/>
            <w:vAlign w:val="center"/>
            <w:hideMark/>
          </w:tcPr>
          <w:p w14:paraId="74A05174" w14:textId="77777777" w:rsidR="004627CA" w:rsidRPr="00C1593F" w:rsidRDefault="004627CA" w:rsidP="004C1B84">
            <w:pPr>
              <w:spacing w:after="0" w:line="240" w:lineRule="auto"/>
              <w:jc w:val="center"/>
              <w:rPr>
                <w:rFonts w:ascii="Calibri" w:eastAsia="Times New Roman" w:hAnsi="Calibri" w:cs="Times New Roman"/>
                <w:sz w:val="18"/>
                <w:szCs w:val="18"/>
                <w:lang w:eastAsia="en-AU"/>
              </w:rPr>
            </w:pPr>
            <w:r w:rsidRPr="00C1593F">
              <w:rPr>
                <w:rFonts w:ascii="Calibri" w:eastAsia="Times New Roman" w:hAnsi="Calibri" w:cs="Times New Roman"/>
                <w:sz w:val="18"/>
                <w:szCs w:val="18"/>
                <w:lang w:eastAsia="en-AU"/>
              </w:rPr>
              <w:t>1,091</w:t>
            </w:r>
          </w:p>
        </w:tc>
        <w:tc>
          <w:tcPr>
            <w:tcW w:w="5653" w:type="dxa"/>
            <w:tcBorders>
              <w:top w:val="nil"/>
              <w:left w:val="nil"/>
              <w:bottom w:val="single" w:sz="4" w:space="0" w:color="auto"/>
              <w:right w:val="single" w:sz="4" w:space="0" w:color="auto"/>
            </w:tcBorders>
            <w:shd w:val="clear" w:color="000000" w:fill="FFFFFF"/>
            <w:vAlign w:val="center"/>
            <w:hideMark/>
          </w:tcPr>
          <w:p w14:paraId="4561C215" w14:textId="19B16AE0" w:rsidR="004627CA" w:rsidRPr="00C1593F" w:rsidRDefault="004627CA" w:rsidP="004C1B84">
            <w:pPr>
              <w:spacing w:after="0" w:line="240" w:lineRule="auto"/>
              <w:rPr>
                <w:rFonts w:ascii="Calibri" w:eastAsia="Times New Roman" w:hAnsi="Calibri" w:cs="Times New Roman"/>
                <w:sz w:val="18"/>
                <w:szCs w:val="18"/>
                <w:lang w:eastAsia="en-AU"/>
              </w:rPr>
            </w:pPr>
            <w:r w:rsidRPr="00C1593F">
              <w:rPr>
                <w:rFonts w:ascii="Calibri" w:eastAsia="Times New Roman" w:hAnsi="Calibri" w:cs="Times New Roman"/>
                <w:sz w:val="18"/>
                <w:szCs w:val="18"/>
                <w:lang w:eastAsia="en-AU"/>
              </w:rPr>
              <w:t xml:space="preserve">Based on Department of Health estimate of unaccredited practices. Number of new practices becoming accredited over the 4 years has been calculated using the number of practices to become accredited multiplied by the expected uptake </w:t>
            </w:r>
            <w:r w:rsidR="009F7CC2" w:rsidRPr="00C1593F">
              <w:rPr>
                <w:rFonts w:ascii="Calibri" w:eastAsia="Times New Roman" w:hAnsi="Calibri" w:cs="Times New Roman"/>
                <w:sz w:val="18"/>
                <w:szCs w:val="18"/>
                <w:lang w:eastAsia="en-AU"/>
              </w:rPr>
              <w:t>by</w:t>
            </w:r>
            <w:r w:rsidRPr="00C1593F">
              <w:rPr>
                <w:rFonts w:ascii="Calibri" w:eastAsia="Times New Roman" w:hAnsi="Calibri" w:cs="Times New Roman"/>
                <w:sz w:val="18"/>
                <w:szCs w:val="18"/>
                <w:lang w:eastAsia="en-AU"/>
              </w:rPr>
              <w:t xml:space="preserve"> practices. </w:t>
            </w:r>
          </w:p>
        </w:tc>
      </w:tr>
      <w:tr w:rsidR="004627CA" w:rsidRPr="00C1593F" w14:paraId="318AF5C6" w14:textId="77777777" w:rsidTr="004627CA">
        <w:trPr>
          <w:trHeight w:val="715"/>
        </w:trPr>
        <w:tc>
          <w:tcPr>
            <w:tcW w:w="3659" w:type="dxa"/>
            <w:tcBorders>
              <w:top w:val="nil"/>
              <w:left w:val="single" w:sz="4" w:space="0" w:color="auto"/>
              <w:bottom w:val="single" w:sz="4" w:space="0" w:color="auto"/>
              <w:right w:val="single" w:sz="4" w:space="0" w:color="auto"/>
            </w:tcBorders>
            <w:shd w:val="clear" w:color="000000" w:fill="FFFFFF"/>
            <w:vAlign w:val="center"/>
            <w:hideMark/>
          </w:tcPr>
          <w:p w14:paraId="31B2DA10" w14:textId="77777777" w:rsidR="004627CA" w:rsidRPr="00C1593F" w:rsidRDefault="004627CA" w:rsidP="004C1B84">
            <w:pPr>
              <w:spacing w:after="0" w:line="240" w:lineRule="auto"/>
              <w:rPr>
                <w:rFonts w:ascii="Calibri" w:eastAsia="Times New Roman" w:hAnsi="Calibri" w:cs="Times New Roman"/>
                <w:color w:val="000000"/>
                <w:sz w:val="18"/>
                <w:szCs w:val="18"/>
                <w:lang w:eastAsia="en-AU"/>
              </w:rPr>
            </w:pPr>
            <w:r w:rsidRPr="00C1593F">
              <w:rPr>
                <w:rFonts w:ascii="Calibri" w:eastAsia="Times New Roman" w:hAnsi="Calibri" w:cs="Times New Roman"/>
                <w:color w:val="000000"/>
                <w:sz w:val="18"/>
                <w:szCs w:val="18"/>
                <w:lang w:eastAsia="en-AU"/>
              </w:rPr>
              <w:t>Average time taken at practice to complete accreditation (hours)</w:t>
            </w:r>
          </w:p>
        </w:tc>
        <w:tc>
          <w:tcPr>
            <w:tcW w:w="0" w:type="auto"/>
            <w:tcBorders>
              <w:top w:val="nil"/>
              <w:left w:val="nil"/>
              <w:bottom w:val="single" w:sz="4" w:space="0" w:color="auto"/>
              <w:right w:val="single" w:sz="4" w:space="0" w:color="auto"/>
            </w:tcBorders>
            <w:shd w:val="clear" w:color="000000" w:fill="FFFFFF"/>
            <w:vAlign w:val="center"/>
            <w:hideMark/>
          </w:tcPr>
          <w:p w14:paraId="35646836" w14:textId="77777777" w:rsidR="004627CA" w:rsidRPr="00C1593F" w:rsidRDefault="004627CA" w:rsidP="004C1B84">
            <w:pPr>
              <w:spacing w:after="0" w:line="240" w:lineRule="auto"/>
              <w:jc w:val="center"/>
              <w:rPr>
                <w:rFonts w:ascii="Calibri" w:eastAsia="Times New Roman" w:hAnsi="Calibri" w:cs="Times New Roman"/>
                <w:color w:val="000000"/>
                <w:sz w:val="18"/>
                <w:szCs w:val="18"/>
                <w:lang w:eastAsia="en-AU"/>
              </w:rPr>
            </w:pPr>
            <w:r w:rsidRPr="00C1593F">
              <w:rPr>
                <w:rFonts w:ascii="Calibri" w:eastAsia="Times New Roman" w:hAnsi="Calibri" w:cs="Times New Roman"/>
                <w:color w:val="000000"/>
                <w:sz w:val="18"/>
                <w:szCs w:val="18"/>
                <w:lang w:eastAsia="en-AU"/>
              </w:rPr>
              <w:t>112.5</w:t>
            </w:r>
          </w:p>
        </w:tc>
        <w:tc>
          <w:tcPr>
            <w:tcW w:w="5653" w:type="dxa"/>
            <w:tcBorders>
              <w:top w:val="nil"/>
              <w:left w:val="nil"/>
              <w:bottom w:val="single" w:sz="4" w:space="0" w:color="auto"/>
              <w:right w:val="single" w:sz="4" w:space="0" w:color="auto"/>
            </w:tcBorders>
            <w:shd w:val="clear" w:color="000000" w:fill="FFFFFF"/>
            <w:vAlign w:val="center"/>
            <w:hideMark/>
          </w:tcPr>
          <w:p w14:paraId="67FEB5A2" w14:textId="77777777" w:rsidR="004627CA" w:rsidRPr="00C1593F" w:rsidRDefault="004627CA" w:rsidP="004C1B84">
            <w:pPr>
              <w:spacing w:after="0" w:line="240" w:lineRule="auto"/>
              <w:rPr>
                <w:rFonts w:ascii="Calibri" w:eastAsia="Times New Roman" w:hAnsi="Calibri" w:cs="Times New Roman"/>
                <w:color w:val="000000"/>
                <w:sz w:val="18"/>
                <w:szCs w:val="18"/>
                <w:lang w:eastAsia="en-AU"/>
              </w:rPr>
            </w:pPr>
            <w:r w:rsidRPr="00C1593F">
              <w:rPr>
                <w:rFonts w:ascii="Calibri" w:eastAsia="Times New Roman" w:hAnsi="Calibri" w:cs="Times New Roman"/>
                <w:color w:val="000000"/>
                <w:sz w:val="18"/>
                <w:szCs w:val="18"/>
                <w:lang w:eastAsia="en-AU"/>
              </w:rPr>
              <w:t xml:space="preserve">Estimate based on a practice taking 12 months to achieve accreditation and includes time spent on preparation/establishment of processes and the desktop and onsite assessment. </w:t>
            </w:r>
          </w:p>
        </w:tc>
      </w:tr>
      <w:tr w:rsidR="004627CA" w:rsidRPr="00C1593F" w14:paraId="0A863E19" w14:textId="77777777" w:rsidTr="004627CA">
        <w:trPr>
          <w:trHeight w:val="597"/>
        </w:trPr>
        <w:tc>
          <w:tcPr>
            <w:tcW w:w="3659" w:type="dxa"/>
            <w:tcBorders>
              <w:top w:val="nil"/>
              <w:left w:val="single" w:sz="4" w:space="0" w:color="auto"/>
              <w:bottom w:val="single" w:sz="4" w:space="0" w:color="auto"/>
              <w:right w:val="single" w:sz="4" w:space="0" w:color="auto"/>
            </w:tcBorders>
            <w:shd w:val="clear" w:color="000000" w:fill="FFFFFF"/>
            <w:vAlign w:val="center"/>
            <w:hideMark/>
          </w:tcPr>
          <w:p w14:paraId="3B037250" w14:textId="77777777" w:rsidR="004627CA" w:rsidRPr="00C1593F" w:rsidRDefault="004627CA" w:rsidP="004C1B84">
            <w:pPr>
              <w:spacing w:after="0" w:line="240" w:lineRule="auto"/>
              <w:rPr>
                <w:rFonts w:ascii="Calibri" w:eastAsia="Times New Roman" w:hAnsi="Calibri" w:cs="Times New Roman"/>
                <w:color w:val="000000"/>
                <w:sz w:val="18"/>
                <w:szCs w:val="18"/>
                <w:lang w:eastAsia="en-AU"/>
              </w:rPr>
            </w:pPr>
            <w:r w:rsidRPr="00C1593F">
              <w:rPr>
                <w:rFonts w:ascii="Calibri" w:eastAsia="Times New Roman" w:hAnsi="Calibri" w:cs="Times New Roman"/>
                <w:color w:val="000000"/>
                <w:sz w:val="18"/>
                <w:szCs w:val="18"/>
                <w:lang w:eastAsia="en-AU"/>
              </w:rPr>
              <w:t xml:space="preserve">Number of Australian patients who have seen more than 3 practices in 1 year </w:t>
            </w:r>
          </w:p>
        </w:tc>
        <w:tc>
          <w:tcPr>
            <w:tcW w:w="0" w:type="auto"/>
            <w:tcBorders>
              <w:top w:val="nil"/>
              <w:left w:val="nil"/>
              <w:bottom w:val="single" w:sz="4" w:space="0" w:color="auto"/>
              <w:right w:val="single" w:sz="4" w:space="0" w:color="auto"/>
            </w:tcBorders>
            <w:shd w:val="clear" w:color="auto" w:fill="auto"/>
            <w:vAlign w:val="center"/>
            <w:hideMark/>
          </w:tcPr>
          <w:p w14:paraId="0E45488C" w14:textId="77777777" w:rsidR="004627CA" w:rsidRPr="00C1593F" w:rsidRDefault="004627CA" w:rsidP="004C1B84">
            <w:pPr>
              <w:spacing w:after="0" w:line="240" w:lineRule="auto"/>
              <w:jc w:val="center"/>
              <w:rPr>
                <w:rFonts w:ascii="Calibri" w:eastAsia="Times New Roman" w:hAnsi="Calibri" w:cs="Times New Roman"/>
                <w:color w:val="000000"/>
                <w:sz w:val="18"/>
                <w:szCs w:val="18"/>
                <w:lang w:eastAsia="en-AU"/>
              </w:rPr>
            </w:pPr>
            <w:r w:rsidRPr="00C1593F">
              <w:rPr>
                <w:rFonts w:ascii="Calibri" w:eastAsia="Times New Roman" w:hAnsi="Calibri" w:cs="Times New Roman"/>
                <w:color w:val="000000"/>
                <w:sz w:val="18"/>
                <w:szCs w:val="18"/>
                <w:lang w:eastAsia="en-AU"/>
              </w:rPr>
              <w:t>7,800,000</w:t>
            </w:r>
          </w:p>
        </w:tc>
        <w:tc>
          <w:tcPr>
            <w:tcW w:w="5653" w:type="dxa"/>
            <w:tcBorders>
              <w:top w:val="nil"/>
              <w:left w:val="nil"/>
              <w:bottom w:val="single" w:sz="4" w:space="0" w:color="auto"/>
              <w:right w:val="single" w:sz="4" w:space="0" w:color="auto"/>
            </w:tcBorders>
            <w:shd w:val="clear" w:color="000000" w:fill="FFFFFF"/>
            <w:vAlign w:val="center"/>
            <w:hideMark/>
          </w:tcPr>
          <w:p w14:paraId="12FCE267" w14:textId="77777777" w:rsidR="004627CA" w:rsidRPr="00C1593F" w:rsidRDefault="004627CA" w:rsidP="004C1B84">
            <w:pPr>
              <w:spacing w:after="0" w:line="240" w:lineRule="auto"/>
              <w:rPr>
                <w:rFonts w:ascii="Calibri" w:eastAsia="Times New Roman" w:hAnsi="Calibri" w:cs="Times New Roman"/>
                <w:color w:val="000000"/>
                <w:sz w:val="18"/>
                <w:szCs w:val="18"/>
                <w:lang w:eastAsia="en-AU"/>
              </w:rPr>
            </w:pPr>
            <w:r w:rsidRPr="00C1593F">
              <w:rPr>
                <w:rFonts w:ascii="Calibri" w:eastAsia="Times New Roman" w:hAnsi="Calibri" w:cs="Times New Roman"/>
                <w:color w:val="000000"/>
                <w:sz w:val="18"/>
                <w:szCs w:val="18"/>
                <w:lang w:eastAsia="en-AU"/>
              </w:rPr>
              <w:t xml:space="preserve">Based on unpublished MBS data. </w:t>
            </w:r>
          </w:p>
        </w:tc>
      </w:tr>
      <w:tr w:rsidR="004627CA" w:rsidRPr="00C1593F" w14:paraId="2B999E90" w14:textId="77777777" w:rsidTr="004627CA">
        <w:trPr>
          <w:trHeight w:val="808"/>
        </w:trPr>
        <w:tc>
          <w:tcPr>
            <w:tcW w:w="3659" w:type="dxa"/>
            <w:tcBorders>
              <w:top w:val="nil"/>
              <w:left w:val="single" w:sz="4" w:space="0" w:color="auto"/>
              <w:bottom w:val="single" w:sz="4" w:space="0" w:color="auto"/>
              <w:right w:val="single" w:sz="4" w:space="0" w:color="auto"/>
            </w:tcBorders>
            <w:shd w:val="clear" w:color="000000" w:fill="FFFFFF"/>
            <w:vAlign w:val="center"/>
            <w:hideMark/>
          </w:tcPr>
          <w:p w14:paraId="5B08ECCB" w14:textId="77777777" w:rsidR="004627CA" w:rsidRPr="00C1593F" w:rsidRDefault="004627CA" w:rsidP="004C1B84">
            <w:pPr>
              <w:spacing w:after="0" w:line="240" w:lineRule="auto"/>
              <w:rPr>
                <w:rFonts w:ascii="Calibri" w:eastAsia="Times New Roman" w:hAnsi="Calibri" w:cs="Times New Roman"/>
                <w:color w:val="000000"/>
                <w:sz w:val="18"/>
                <w:szCs w:val="18"/>
                <w:lang w:eastAsia="en-AU"/>
              </w:rPr>
            </w:pPr>
            <w:r w:rsidRPr="00C1593F">
              <w:rPr>
                <w:rFonts w:ascii="Calibri" w:eastAsia="Times New Roman" w:hAnsi="Calibri" w:cs="Times New Roman"/>
                <w:color w:val="000000"/>
                <w:sz w:val="18"/>
                <w:szCs w:val="18"/>
                <w:lang w:eastAsia="en-AU"/>
              </w:rPr>
              <w:t>Proportion of patients who have seen more than 3 practices in 1 year who require follow up from the practice</w:t>
            </w:r>
          </w:p>
        </w:tc>
        <w:tc>
          <w:tcPr>
            <w:tcW w:w="0" w:type="auto"/>
            <w:tcBorders>
              <w:top w:val="nil"/>
              <w:left w:val="nil"/>
              <w:bottom w:val="single" w:sz="4" w:space="0" w:color="auto"/>
              <w:right w:val="single" w:sz="4" w:space="0" w:color="auto"/>
            </w:tcBorders>
            <w:shd w:val="clear" w:color="000000" w:fill="FFFFFF"/>
            <w:vAlign w:val="center"/>
            <w:hideMark/>
          </w:tcPr>
          <w:p w14:paraId="00710BEE" w14:textId="77777777" w:rsidR="004627CA" w:rsidRPr="00C1593F" w:rsidRDefault="004627CA" w:rsidP="004C1B84">
            <w:pPr>
              <w:spacing w:after="0" w:line="240" w:lineRule="auto"/>
              <w:jc w:val="center"/>
              <w:rPr>
                <w:rFonts w:ascii="Calibri" w:eastAsia="Times New Roman" w:hAnsi="Calibri" w:cs="Times New Roman"/>
                <w:color w:val="000000"/>
                <w:sz w:val="18"/>
                <w:szCs w:val="18"/>
                <w:lang w:eastAsia="en-AU"/>
              </w:rPr>
            </w:pPr>
            <w:r w:rsidRPr="00C1593F">
              <w:rPr>
                <w:rFonts w:ascii="Calibri" w:eastAsia="Times New Roman" w:hAnsi="Calibri" w:cs="Times New Roman"/>
                <w:color w:val="000000"/>
                <w:sz w:val="18"/>
                <w:szCs w:val="18"/>
                <w:lang w:eastAsia="en-AU"/>
              </w:rPr>
              <w:t>25%</w:t>
            </w:r>
          </w:p>
        </w:tc>
        <w:tc>
          <w:tcPr>
            <w:tcW w:w="5653" w:type="dxa"/>
            <w:tcBorders>
              <w:top w:val="nil"/>
              <w:left w:val="nil"/>
              <w:bottom w:val="single" w:sz="4" w:space="0" w:color="auto"/>
              <w:right w:val="single" w:sz="4" w:space="0" w:color="auto"/>
            </w:tcBorders>
            <w:shd w:val="clear" w:color="000000" w:fill="FFFFFF"/>
            <w:vAlign w:val="center"/>
            <w:hideMark/>
          </w:tcPr>
          <w:p w14:paraId="0BE35752" w14:textId="77777777" w:rsidR="004627CA" w:rsidRPr="00C1593F" w:rsidRDefault="004627CA" w:rsidP="004C1B84">
            <w:pPr>
              <w:spacing w:after="0" w:line="240" w:lineRule="auto"/>
              <w:rPr>
                <w:rFonts w:ascii="Calibri" w:eastAsia="Times New Roman" w:hAnsi="Calibri" w:cs="Times New Roman"/>
                <w:color w:val="000000"/>
                <w:sz w:val="18"/>
                <w:szCs w:val="18"/>
                <w:lang w:eastAsia="en-AU"/>
              </w:rPr>
            </w:pPr>
            <w:r w:rsidRPr="00C1593F">
              <w:rPr>
                <w:rFonts w:ascii="Calibri" w:eastAsia="Times New Roman" w:hAnsi="Calibri" w:cs="Times New Roman"/>
                <w:color w:val="000000"/>
                <w:sz w:val="18"/>
                <w:szCs w:val="18"/>
                <w:lang w:eastAsia="en-AU"/>
              </w:rPr>
              <w:t xml:space="preserve">Based on anecdotal evidence from sector. </w:t>
            </w:r>
          </w:p>
        </w:tc>
      </w:tr>
      <w:tr w:rsidR="004627CA" w:rsidRPr="00C1593F" w14:paraId="76872C44" w14:textId="77777777" w:rsidTr="004627CA">
        <w:trPr>
          <w:trHeight w:val="579"/>
        </w:trPr>
        <w:tc>
          <w:tcPr>
            <w:tcW w:w="3659" w:type="dxa"/>
            <w:tcBorders>
              <w:top w:val="nil"/>
              <w:left w:val="single" w:sz="4" w:space="0" w:color="auto"/>
              <w:bottom w:val="single" w:sz="4" w:space="0" w:color="auto"/>
              <w:right w:val="single" w:sz="4" w:space="0" w:color="auto"/>
            </w:tcBorders>
            <w:shd w:val="clear" w:color="000000" w:fill="FFFFFF"/>
            <w:vAlign w:val="center"/>
            <w:hideMark/>
          </w:tcPr>
          <w:p w14:paraId="3F64BB03" w14:textId="77777777" w:rsidR="004627CA" w:rsidRPr="00C1593F" w:rsidRDefault="004627CA" w:rsidP="004C1B84">
            <w:pPr>
              <w:spacing w:after="0" w:line="240" w:lineRule="auto"/>
              <w:rPr>
                <w:rFonts w:ascii="Calibri" w:eastAsia="Times New Roman" w:hAnsi="Calibri" w:cs="Times New Roman"/>
                <w:color w:val="000000"/>
                <w:sz w:val="18"/>
                <w:szCs w:val="18"/>
                <w:lang w:eastAsia="en-AU"/>
              </w:rPr>
            </w:pPr>
            <w:r w:rsidRPr="00C1593F">
              <w:rPr>
                <w:rFonts w:ascii="Calibri" w:eastAsia="Times New Roman" w:hAnsi="Calibri" w:cs="Times New Roman"/>
                <w:color w:val="000000"/>
                <w:sz w:val="18"/>
                <w:szCs w:val="18"/>
                <w:lang w:eastAsia="en-AU"/>
              </w:rPr>
              <w:t>Time taken within practice to administer/follow up with infrequent patients (hours)</w:t>
            </w:r>
          </w:p>
        </w:tc>
        <w:tc>
          <w:tcPr>
            <w:tcW w:w="0" w:type="auto"/>
            <w:tcBorders>
              <w:top w:val="nil"/>
              <w:left w:val="nil"/>
              <w:bottom w:val="single" w:sz="4" w:space="0" w:color="auto"/>
              <w:right w:val="single" w:sz="4" w:space="0" w:color="auto"/>
            </w:tcBorders>
            <w:shd w:val="clear" w:color="000000" w:fill="FFFFFF"/>
            <w:vAlign w:val="center"/>
            <w:hideMark/>
          </w:tcPr>
          <w:p w14:paraId="1667493B" w14:textId="77777777" w:rsidR="004627CA" w:rsidRPr="00C1593F" w:rsidRDefault="004627CA" w:rsidP="004C1B84">
            <w:pPr>
              <w:spacing w:after="0" w:line="240" w:lineRule="auto"/>
              <w:jc w:val="center"/>
              <w:rPr>
                <w:rFonts w:ascii="Calibri" w:eastAsia="Times New Roman" w:hAnsi="Calibri" w:cs="Times New Roman"/>
                <w:color w:val="000000"/>
                <w:sz w:val="18"/>
                <w:szCs w:val="18"/>
                <w:lang w:eastAsia="en-AU"/>
              </w:rPr>
            </w:pPr>
            <w:r w:rsidRPr="00C1593F">
              <w:rPr>
                <w:rFonts w:ascii="Calibri" w:eastAsia="Times New Roman" w:hAnsi="Calibri" w:cs="Times New Roman"/>
                <w:color w:val="000000"/>
                <w:sz w:val="18"/>
                <w:szCs w:val="18"/>
                <w:lang w:eastAsia="en-AU"/>
              </w:rPr>
              <w:t>0.17</w:t>
            </w:r>
          </w:p>
        </w:tc>
        <w:tc>
          <w:tcPr>
            <w:tcW w:w="5653" w:type="dxa"/>
            <w:tcBorders>
              <w:top w:val="nil"/>
              <w:left w:val="nil"/>
              <w:bottom w:val="single" w:sz="4" w:space="0" w:color="auto"/>
              <w:right w:val="single" w:sz="4" w:space="0" w:color="auto"/>
            </w:tcBorders>
            <w:shd w:val="clear" w:color="000000" w:fill="FFFFFF"/>
            <w:vAlign w:val="center"/>
            <w:hideMark/>
          </w:tcPr>
          <w:p w14:paraId="13712438" w14:textId="77777777" w:rsidR="004627CA" w:rsidRPr="00C1593F" w:rsidRDefault="004627CA" w:rsidP="004C1B84">
            <w:pPr>
              <w:spacing w:after="0" w:line="240" w:lineRule="auto"/>
              <w:rPr>
                <w:rFonts w:ascii="Calibri" w:eastAsia="Times New Roman" w:hAnsi="Calibri" w:cs="Times New Roman"/>
                <w:color w:val="000000"/>
                <w:sz w:val="18"/>
                <w:szCs w:val="18"/>
                <w:lang w:eastAsia="en-AU"/>
              </w:rPr>
            </w:pPr>
            <w:r w:rsidRPr="00C1593F">
              <w:rPr>
                <w:rFonts w:ascii="Calibri" w:eastAsia="Times New Roman" w:hAnsi="Calibri" w:cs="Times New Roman"/>
                <w:color w:val="000000"/>
                <w:sz w:val="18"/>
                <w:szCs w:val="18"/>
                <w:lang w:eastAsia="en-AU"/>
              </w:rPr>
              <w:t xml:space="preserve">Based on anecdotal evidence from sector. </w:t>
            </w:r>
          </w:p>
        </w:tc>
      </w:tr>
      <w:tr w:rsidR="004627CA" w:rsidRPr="00C1593F" w14:paraId="02559F5C" w14:textId="77777777" w:rsidTr="004627CA">
        <w:trPr>
          <w:trHeight w:val="808"/>
        </w:trPr>
        <w:tc>
          <w:tcPr>
            <w:tcW w:w="3659" w:type="dxa"/>
            <w:tcBorders>
              <w:top w:val="nil"/>
              <w:left w:val="single" w:sz="4" w:space="0" w:color="auto"/>
              <w:bottom w:val="single" w:sz="4" w:space="0" w:color="auto"/>
              <w:right w:val="single" w:sz="4" w:space="0" w:color="auto"/>
            </w:tcBorders>
            <w:shd w:val="clear" w:color="000000" w:fill="FFFFFF"/>
            <w:vAlign w:val="center"/>
          </w:tcPr>
          <w:p w14:paraId="3ABA2830" w14:textId="77777777" w:rsidR="004627CA" w:rsidRPr="00C1593F" w:rsidRDefault="004627CA" w:rsidP="004C1B84">
            <w:pPr>
              <w:spacing w:after="0" w:line="240" w:lineRule="auto"/>
              <w:rPr>
                <w:rFonts w:ascii="Calibri" w:eastAsia="Times New Roman" w:hAnsi="Calibri" w:cs="Times New Roman"/>
                <w:color w:val="000000"/>
                <w:sz w:val="18"/>
                <w:szCs w:val="18"/>
                <w:lang w:eastAsia="en-AU"/>
              </w:rPr>
            </w:pPr>
            <w:r w:rsidRPr="00C1593F">
              <w:rPr>
                <w:rFonts w:ascii="Calibri" w:eastAsia="Times New Roman" w:hAnsi="Calibri" w:cs="Times New Roman"/>
                <w:sz w:val="18"/>
                <w:szCs w:val="18"/>
                <w:lang w:eastAsia="en-AU"/>
              </w:rPr>
              <w:t>Average incentive amount per patient paid to practices</w:t>
            </w:r>
          </w:p>
        </w:tc>
        <w:tc>
          <w:tcPr>
            <w:tcW w:w="0" w:type="auto"/>
            <w:tcBorders>
              <w:top w:val="nil"/>
              <w:left w:val="nil"/>
              <w:bottom w:val="single" w:sz="4" w:space="0" w:color="auto"/>
              <w:right w:val="single" w:sz="4" w:space="0" w:color="auto"/>
            </w:tcBorders>
            <w:shd w:val="clear" w:color="000000" w:fill="FFFFFF"/>
            <w:vAlign w:val="center"/>
          </w:tcPr>
          <w:p w14:paraId="12A47A1B" w14:textId="77777777" w:rsidR="004627CA" w:rsidRPr="00C1593F" w:rsidRDefault="004627CA" w:rsidP="004C1B84">
            <w:pPr>
              <w:spacing w:after="0" w:line="240" w:lineRule="auto"/>
              <w:jc w:val="center"/>
              <w:rPr>
                <w:rFonts w:ascii="Calibri" w:eastAsia="Times New Roman" w:hAnsi="Calibri" w:cs="Times New Roman"/>
                <w:color w:val="000000"/>
                <w:sz w:val="18"/>
                <w:szCs w:val="18"/>
                <w:lang w:eastAsia="en-AU"/>
              </w:rPr>
            </w:pPr>
            <w:r w:rsidRPr="00C1593F">
              <w:rPr>
                <w:rFonts w:ascii="Calibri" w:eastAsia="Times New Roman" w:hAnsi="Calibri" w:cs="Times New Roman"/>
                <w:sz w:val="18"/>
                <w:szCs w:val="18"/>
                <w:lang w:eastAsia="en-AU"/>
              </w:rPr>
              <w:t xml:space="preserve"> $ 312.00 </w:t>
            </w:r>
          </w:p>
        </w:tc>
        <w:tc>
          <w:tcPr>
            <w:tcW w:w="5653" w:type="dxa"/>
            <w:tcBorders>
              <w:top w:val="nil"/>
              <w:left w:val="nil"/>
              <w:bottom w:val="single" w:sz="4" w:space="0" w:color="auto"/>
              <w:right w:val="single" w:sz="4" w:space="0" w:color="auto"/>
            </w:tcBorders>
            <w:shd w:val="clear" w:color="000000" w:fill="FFFFFF"/>
            <w:vAlign w:val="center"/>
          </w:tcPr>
          <w:p w14:paraId="4AED07EB" w14:textId="0388E2BD" w:rsidR="004627CA" w:rsidRPr="00C1593F" w:rsidRDefault="00A53D1F" w:rsidP="002D450B">
            <w:pPr>
              <w:spacing w:after="0" w:line="240" w:lineRule="auto"/>
              <w:rPr>
                <w:rFonts w:ascii="Calibri" w:eastAsia="Times New Roman" w:hAnsi="Calibri" w:cs="Times New Roman"/>
                <w:color w:val="000000"/>
                <w:sz w:val="18"/>
                <w:szCs w:val="18"/>
                <w:lang w:eastAsia="en-AU"/>
              </w:rPr>
            </w:pPr>
            <w:r w:rsidRPr="00C1593F">
              <w:rPr>
                <w:rFonts w:ascii="Calibri" w:eastAsia="Times New Roman" w:hAnsi="Calibri" w:cs="Times New Roman"/>
                <w:sz w:val="18"/>
                <w:szCs w:val="18"/>
                <w:lang w:eastAsia="en-AU"/>
              </w:rPr>
              <w:t>This is the average payment amount per incentivised patient</w:t>
            </w:r>
            <w:r w:rsidR="00EF5625" w:rsidRPr="00C1593F">
              <w:rPr>
                <w:rFonts w:ascii="Calibri" w:eastAsia="Times New Roman" w:hAnsi="Calibri" w:cs="Times New Roman"/>
                <w:sz w:val="18"/>
                <w:szCs w:val="18"/>
                <w:lang w:eastAsia="en-AU"/>
              </w:rPr>
              <w:t>s</w:t>
            </w:r>
            <w:r w:rsidRPr="00C1593F">
              <w:rPr>
                <w:rFonts w:ascii="Calibri" w:eastAsia="Times New Roman" w:hAnsi="Calibri" w:cs="Times New Roman"/>
                <w:sz w:val="18"/>
                <w:szCs w:val="18"/>
                <w:lang w:eastAsia="en-AU"/>
              </w:rPr>
              <w:t xml:space="preserve"> across </w:t>
            </w:r>
            <w:r w:rsidR="002D450B" w:rsidRPr="00C1593F">
              <w:rPr>
                <w:rFonts w:ascii="Calibri" w:eastAsia="Times New Roman" w:hAnsi="Calibri" w:cs="Times New Roman"/>
                <w:sz w:val="18"/>
                <w:szCs w:val="18"/>
                <w:lang w:eastAsia="en-AU"/>
              </w:rPr>
              <w:t>new</w:t>
            </w:r>
            <w:r w:rsidRPr="00C1593F">
              <w:rPr>
                <w:rFonts w:ascii="Calibri" w:eastAsia="Times New Roman" w:hAnsi="Calibri" w:cs="Times New Roman"/>
                <w:sz w:val="18"/>
                <w:szCs w:val="18"/>
                <w:lang w:eastAsia="en-AU"/>
              </w:rPr>
              <w:t xml:space="preserve"> incentive streams.</w:t>
            </w:r>
          </w:p>
        </w:tc>
      </w:tr>
      <w:tr w:rsidR="004627CA" w:rsidRPr="00C1593F" w14:paraId="45A85E94" w14:textId="77777777" w:rsidTr="004627CA">
        <w:trPr>
          <w:trHeight w:val="379"/>
        </w:trPr>
        <w:tc>
          <w:tcPr>
            <w:tcW w:w="3659" w:type="dxa"/>
            <w:tcBorders>
              <w:top w:val="nil"/>
              <w:left w:val="single" w:sz="4" w:space="0" w:color="auto"/>
              <w:bottom w:val="single" w:sz="4" w:space="0" w:color="auto"/>
              <w:right w:val="single" w:sz="4" w:space="0" w:color="auto"/>
            </w:tcBorders>
            <w:shd w:val="clear" w:color="000000" w:fill="FFFFFF"/>
            <w:vAlign w:val="center"/>
            <w:hideMark/>
          </w:tcPr>
          <w:p w14:paraId="29CF4FDC" w14:textId="77777777" w:rsidR="004627CA" w:rsidRPr="00C1593F" w:rsidRDefault="004627CA" w:rsidP="004C1B84">
            <w:pPr>
              <w:spacing w:after="0" w:line="240" w:lineRule="auto"/>
              <w:rPr>
                <w:rFonts w:ascii="Calibri" w:eastAsia="Times New Roman" w:hAnsi="Calibri" w:cs="Times New Roman"/>
                <w:sz w:val="18"/>
                <w:szCs w:val="18"/>
                <w:lang w:eastAsia="en-AU"/>
              </w:rPr>
            </w:pPr>
            <w:r w:rsidRPr="00C1593F">
              <w:rPr>
                <w:rFonts w:ascii="Calibri" w:eastAsia="Times New Roman" w:hAnsi="Calibri" w:cs="Times New Roman"/>
                <w:sz w:val="18"/>
                <w:szCs w:val="18"/>
                <w:lang w:eastAsia="en-AU"/>
              </w:rPr>
              <w:t>Number of patients expected to participate in incentives</w:t>
            </w:r>
          </w:p>
        </w:tc>
        <w:tc>
          <w:tcPr>
            <w:tcW w:w="0" w:type="auto"/>
            <w:tcBorders>
              <w:top w:val="nil"/>
              <w:left w:val="nil"/>
              <w:bottom w:val="single" w:sz="4" w:space="0" w:color="auto"/>
              <w:right w:val="single" w:sz="4" w:space="0" w:color="auto"/>
            </w:tcBorders>
            <w:shd w:val="clear" w:color="000000" w:fill="FFFFFF"/>
            <w:vAlign w:val="center"/>
            <w:hideMark/>
          </w:tcPr>
          <w:p w14:paraId="113770B0" w14:textId="77777777" w:rsidR="004627CA" w:rsidRPr="00C1593F" w:rsidRDefault="004627CA" w:rsidP="004C1B84">
            <w:pPr>
              <w:spacing w:after="0" w:line="240" w:lineRule="auto"/>
              <w:jc w:val="center"/>
              <w:rPr>
                <w:rFonts w:ascii="Calibri" w:eastAsia="Times New Roman" w:hAnsi="Calibri" w:cs="Times New Roman"/>
                <w:sz w:val="18"/>
                <w:szCs w:val="18"/>
                <w:lang w:eastAsia="en-AU"/>
              </w:rPr>
            </w:pPr>
            <w:r w:rsidRPr="00C1593F">
              <w:rPr>
                <w:rFonts w:ascii="Calibri" w:eastAsia="Times New Roman" w:hAnsi="Calibri" w:cs="Times New Roman"/>
                <w:sz w:val="18"/>
                <w:szCs w:val="18"/>
                <w:lang w:eastAsia="en-AU"/>
              </w:rPr>
              <w:t xml:space="preserve">335,546 </w:t>
            </w:r>
          </w:p>
        </w:tc>
        <w:tc>
          <w:tcPr>
            <w:tcW w:w="5653" w:type="dxa"/>
            <w:tcBorders>
              <w:top w:val="nil"/>
              <w:left w:val="nil"/>
              <w:bottom w:val="single" w:sz="4" w:space="0" w:color="auto"/>
              <w:right w:val="single" w:sz="4" w:space="0" w:color="auto"/>
            </w:tcBorders>
            <w:shd w:val="clear" w:color="000000" w:fill="FFFFFF"/>
            <w:vAlign w:val="center"/>
            <w:hideMark/>
          </w:tcPr>
          <w:p w14:paraId="16EAB82D" w14:textId="119662D0" w:rsidR="004627CA" w:rsidRPr="00C1593F" w:rsidRDefault="00825EDF" w:rsidP="002D450B">
            <w:pPr>
              <w:spacing w:after="0" w:line="240" w:lineRule="auto"/>
              <w:rPr>
                <w:rFonts w:ascii="Calibri" w:eastAsia="Times New Roman" w:hAnsi="Calibri" w:cs="Times New Roman"/>
                <w:sz w:val="18"/>
                <w:szCs w:val="18"/>
                <w:lang w:eastAsia="en-AU"/>
              </w:rPr>
            </w:pPr>
            <w:r w:rsidRPr="00C1593F">
              <w:rPr>
                <w:rFonts w:ascii="Calibri" w:eastAsia="Times New Roman" w:hAnsi="Calibri" w:cs="Times New Roman"/>
                <w:sz w:val="18"/>
                <w:szCs w:val="18"/>
                <w:lang w:eastAsia="en-AU"/>
              </w:rPr>
              <w:t xml:space="preserve">This is the number of people we expect to qualify for </w:t>
            </w:r>
            <w:r w:rsidR="002D450B" w:rsidRPr="00C1593F">
              <w:rPr>
                <w:rFonts w:ascii="Calibri" w:eastAsia="Times New Roman" w:hAnsi="Calibri" w:cs="Times New Roman"/>
                <w:sz w:val="18"/>
                <w:szCs w:val="18"/>
                <w:lang w:eastAsia="en-AU"/>
              </w:rPr>
              <w:t>i</w:t>
            </w:r>
            <w:r w:rsidRPr="00C1593F">
              <w:rPr>
                <w:rFonts w:ascii="Calibri" w:eastAsia="Times New Roman" w:hAnsi="Calibri" w:cs="Times New Roman"/>
                <w:sz w:val="18"/>
                <w:szCs w:val="18"/>
                <w:lang w:eastAsia="en-AU"/>
              </w:rPr>
              <w:t>ncentive payments over the next 4 years. It does not include people we expect to qualify for future incentive payments/programs.</w:t>
            </w:r>
          </w:p>
        </w:tc>
      </w:tr>
    </w:tbl>
    <w:p w14:paraId="247FA192" w14:textId="51A067F0" w:rsidR="009065F5" w:rsidRPr="00450A17" w:rsidRDefault="009065F5" w:rsidP="009065F5">
      <w:pPr>
        <w:spacing w:after="160" w:line="256" w:lineRule="auto"/>
        <w:rPr>
          <w:rFonts w:cs="Arial"/>
        </w:rPr>
      </w:pPr>
    </w:p>
    <w:p w14:paraId="4F662BBD" w14:textId="091A2170" w:rsidR="000D6322" w:rsidRPr="00450A17" w:rsidRDefault="000D6322" w:rsidP="009065F5">
      <w:pPr>
        <w:spacing w:after="160" w:line="256" w:lineRule="auto"/>
        <w:rPr>
          <w:rFonts w:cs="Arial"/>
        </w:rPr>
      </w:pPr>
    </w:p>
    <w:p w14:paraId="1DA8D95D" w14:textId="48ADF2FE" w:rsidR="000D6322" w:rsidRPr="00450A17" w:rsidRDefault="000D6322">
      <w:pPr>
        <w:spacing w:after="160" w:line="259" w:lineRule="auto"/>
        <w:rPr>
          <w:rFonts w:cs="Arial"/>
        </w:rPr>
      </w:pPr>
      <w:r w:rsidRPr="00450A17">
        <w:rPr>
          <w:rFonts w:cs="Arial"/>
        </w:rPr>
        <w:br w:type="page"/>
      </w:r>
    </w:p>
    <w:sdt>
      <w:sdtPr>
        <w:rPr>
          <w:rFonts w:eastAsiaTheme="minorHAnsi" w:cs="Arial"/>
          <w:color w:val="auto"/>
          <w:sz w:val="22"/>
          <w:szCs w:val="22"/>
        </w:rPr>
        <w:id w:val="912597399"/>
        <w:docPartObj>
          <w:docPartGallery w:val="Bibliographies"/>
          <w:docPartUnique/>
        </w:docPartObj>
      </w:sdtPr>
      <w:sdtEndPr/>
      <w:sdtContent>
        <w:p w14:paraId="71A7873E" w14:textId="77777777" w:rsidR="009065F5" w:rsidRPr="00450A17" w:rsidRDefault="009065F5" w:rsidP="009065F5">
          <w:pPr>
            <w:pStyle w:val="Heading1"/>
            <w:ind w:left="357" w:hanging="357"/>
            <w:rPr>
              <w:rFonts w:cs="Arial"/>
              <w:b/>
              <w:bCs/>
            </w:rPr>
          </w:pPr>
          <w:r w:rsidRPr="00450A17">
            <w:rPr>
              <w:rFonts w:cs="Arial"/>
              <w:b/>
              <w:bCs/>
            </w:rPr>
            <w:t>References</w:t>
          </w:r>
        </w:p>
        <w:sdt>
          <w:sdtPr>
            <w:rPr>
              <w:rFonts w:cs="Arial"/>
            </w:rPr>
            <w:id w:val="-573587230"/>
            <w:bibliography/>
          </w:sdtPr>
          <w:sdtEndPr/>
          <w:sdtContent>
            <w:p w14:paraId="42FC5A26" w14:textId="408FC144" w:rsidR="009065F5" w:rsidRPr="00450A17" w:rsidRDefault="009065F5" w:rsidP="009065F5">
              <w:pPr>
                <w:pStyle w:val="Bibliography"/>
                <w:rPr>
                  <w:noProof/>
                  <w:sz w:val="24"/>
                  <w:szCs w:val="24"/>
                </w:rPr>
              </w:pPr>
              <w:r w:rsidRPr="00450A17">
                <w:rPr>
                  <w:rFonts w:cs="Arial"/>
                </w:rPr>
                <w:fldChar w:fldCharType="begin"/>
              </w:r>
              <w:r w:rsidRPr="00450A17">
                <w:rPr>
                  <w:rFonts w:cs="Arial"/>
                </w:rPr>
                <w:instrText xml:space="preserve"> BIBLIOGRAPHY </w:instrText>
              </w:r>
              <w:r w:rsidRPr="00450A17">
                <w:rPr>
                  <w:rFonts w:cs="Arial"/>
                </w:rPr>
                <w:fldChar w:fldCharType="separate"/>
              </w:r>
              <w:r w:rsidRPr="00450A17">
                <w:rPr>
                  <w:noProof/>
                </w:rPr>
                <w:t xml:space="preserve">ACRRM, 2020. </w:t>
              </w:r>
              <w:r w:rsidRPr="00450A17">
                <w:rPr>
                  <w:i/>
                  <w:iCs/>
                  <w:noProof/>
                </w:rPr>
                <w:t>Accessing Primar</w:t>
              </w:r>
              <w:r w:rsidR="00EF5625">
                <w:rPr>
                  <w:i/>
                  <w:iCs/>
                  <w:noProof/>
                </w:rPr>
                <w:t>y Health Care in Rural and Remo</w:t>
              </w:r>
              <w:r w:rsidRPr="00450A17">
                <w:rPr>
                  <w:i/>
                  <w:iCs/>
                  <w:noProof/>
                </w:rPr>
                <w:t>t</w:t>
              </w:r>
              <w:r w:rsidR="00EF5625">
                <w:rPr>
                  <w:i/>
                  <w:iCs/>
                  <w:noProof/>
                </w:rPr>
                <w:t>e</w:t>
              </w:r>
              <w:r w:rsidRPr="00450A17">
                <w:rPr>
                  <w:i/>
                  <w:iCs/>
                  <w:noProof/>
                </w:rPr>
                <w:t xml:space="preserve"> Australia: overview, issues and solutions (Commissioned background paper for the Primary Health Care Reform Taskforce), </w:t>
              </w:r>
              <w:r w:rsidRPr="00450A17">
                <w:rPr>
                  <w:noProof/>
                </w:rPr>
                <w:t>Brisbane, QLD: Australian College of Rural and Remote Medicine.</w:t>
              </w:r>
            </w:p>
            <w:p w14:paraId="661B2AC3" w14:textId="77777777" w:rsidR="009065F5" w:rsidRPr="00450A17" w:rsidRDefault="009065F5" w:rsidP="009065F5">
              <w:pPr>
                <w:pStyle w:val="Bibliography"/>
                <w:rPr>
                  <w:noProof/>
                </w:rPr>
              </w:pPr>
              <w:r w:rsidRPr="00450A17">
                <w:rPr>
                  <w:noProof/>
                </w:rPr>
                <w:t xml:space="preserve">AIHW, 2019. </w:t>
              </w:r>
              <w:r w:rsidRPr="00450A17">
                <w:rPr>
                  <w:i/>
                  <w:iCs/>
                  <w:noProof/>
                </w:rPr>
                <w:t xml:space="preserve">Australian Burden of Disease Study: impact and causes of illness and death in Australia 2015, </w:t>
              </w:r>
              <w:r w:rsidRPr="00450A17">
                <w:rPr>
                  <w:noProof/>
                </w:rPr>
                <w:t>Canberra, ACT: Australian Institute of Health and Welfare.</w:t>
              </w:r>
            </w:p>
            <w:p w14:paraId="3B445534" w14:textId="77777777" w:rsidR="009065F5" w:rsidRPr="00450A17" w:rsidRDefault="009065F5" w:rsidP="009065F5">
              <w:pPr>
                <w:pStyle w:val="Bibliography"/>
                <w:rPr>
                  <w:noProof/>
                </w:rPr>
              </w:pPr>
              <w:r w:rsidRPr="00450A17">
                <w:rPr>
                  <w:noProof/>
                </w:rPr>
                <w:t xml:space="preserve">AIHW, 2019. </w:t>
              </w:r>
              <w:r w:rsidRPr="00450A17">
                <w:rPr>
                  <w:i/>
                  <w:iCs/>
                  <w:noProof/>
                </w:rPr>
                <w:t xml:space="preserve">Rural &amp; remote health, </w:t>
              </w:r>
              <w:r w:rsidRPr="00450A17">
                <w:rPr>
                  <w:noProof/>
                </w:rPr>
                <w:t>Canberra, ACT: Australian Institute of Health and Welfare.</w:t>
              </w:r>
            </w:p>
            <w:p w14:paraId="478587FA" w14:textId="77777777" w:rsidR="009065F5" w:rsidRPr="00450A17" w:rsidRDefault="009065F5" w:rsidP="009065F5">
              <w:pPr>
                <w:pStyle w:val="Bibliography"/>
                <w:rPr>
                  <w:noProof/>
                </w:rPr>
              </w:pPr>
              <w:r w:rsidRPr="00450A17">
                <w:rPr>
                  <w:noProof/>
                </w:rPr>
                <w:t xml:space="preserve">Bond University, 2021. </w:t>
              </w:r>
              <w:r w:rsidRPr="00450A17">
                <w:rPr>
                  <w:i/>
                  <w:iCs/>
                  <w:noProof/>
                </w:rPr>
                <w:t xml:space="preserve">Final Report: Telehealth in Primary Care (Prepared for the Commonwealth Department of Health, Canberra), </w:t>
              </w:r>
              <w:r w:rsidRPr="00450A17">
                <w:rPr>
                  <w:noProof/>
                </w:rPr>
                <w:t>Robina, QLD: Institute for Evidence-Based Healthcare, Bond University.</w:t>
              </w:r>
            </w:p>
            <w:p w14:paraId="68BE64B9" w14:textId="77777777" w:rsidR="009065F5" w:rsidRPr="00450A17" w:rsidRDefault="009065F5" w:rsidP="009065F5">
              <w:pPr>
                <w:pStyle w:val="Bibliography"/>
                <w:rPr>
                  <w:noProof/>
                </w:rPr>
              </w:pPr>
              <w:r w:rsidRPr="00450A17">
                <w:rPr>
                  <w:noProof/>
                </w:rPr>
                <w:t xml:space="preserve">Christiansen, E., Hampton, M. D. &amp; Sullivan, M., 2016. Patient empanelment: A strategy to improve continuity and quality of patient care. </w:t>
              </w:r>
              <w:r w:rsidRPr="00450A17">
                <w:rPr>
                  <w:i/>
                  <w:iCs/>
                  <w:noProof/>
                </w:rPr>
                <w:t xml:space="preserve">J Am Assoc Nurse Pract, </w:t>
              </w:r>
              <w:r w:rsidRPr="00450A17">
                <w:rPr>
                  <w:noProof/>
                </w:rPr>
                <w:t>28(8), pp. 423-428.</w:t>
              </w:r>
            </w:p>
            <w:p w14:paraId="6B2B046A" w14:textId="77777777" w:rsidR="009065F5" w:rsidRPr="00450A17" w:rsidRDefault="009065F5" w:rsidP="009065F5">
              <w:pPr>
                <w:pStyle w:val="Bibliography"/>
                <w:rPr>
                  <w:noProof/>
                </w:rPr>
              </w:pPr>
              <w:r w:rsidRPr="00450A17">
                <w:rPr>
                  <w:noProof/>
                </w:rPr>
                <w:t>Cramm, J. e</w:t>
              </w:r>
              <w:r w:rsidR="00140AA8" w:rsidRPr="00450A17">
                <w:rPr>
                  <w:noProof/>
                </w:rPr>
                <w:t>t</w:t>
              </w:r>
              <w:r w:rsidRPr="00450A17">
                <w:rPr>
                  <w:noProof/>
                </w:rPr>
                <w:t xml:space="preserve"> a</w:t>
              </w:r>
              <w:r w:rsidR="00140AA8" w:rsidRPr="00450A17">
                <w:rPr>
                  <w:noProof/>
                </w:rPr>
                <w:t>l</w:t>
              </w:r>
              <w:r w:rsidRPr="00450A17">
                <w:rPr>
                  <w:noProof/>
                </w:rPr>
                <w:t xml:space="preserve">., 2021. Disease management programs in the Netherlands, do they really work?. </w:t>
              </w:r>
              <w:r w:rsidRPr="00450A17">
                <w:rPr>
                  <w:i/>
                  <w:iCs/>
                  <w:noProof/>
                </w:rPr>
                <w:t>Handbook Integrated Care.</w:t>
              </w:r>
            </w:p>
            <w:p w14:paraId="6C555655" w14:textId="77777777" w:rsidR="009065F5" w:rsidRPr="00450A17" w:rsidRDefault="009065F5" w:rsidP="009065F5">
              <w:pPr>
                <w:pStyle w:val="Bibliography"/>
                <w:rPr>
                  <w:noProof/>
                </w:rPr>
              </w:pPr>
              <w:r w:rsidRPr="00450A17">
                <w:rPr>
                  <w:noProof/>
                </w:rPr>
                <w:t xml:space="preserve">Glazier, R. H. et al., 2008. </w:t>
              </w:r>
              <w:r w:rsidRPr="00450A17">
                <w:rPr>
                  <w:i/>
                  <w:iCs/>
                  <w:noProof/>
                </w:rPr>
                <w:t xml:space="preserve">The Impact of not having a Primary Care Physician among people with Chronic Conditions. ICES Investigative Report, </w:t>
              </w:r>
              <w:r w:rsidRPr="00450A17">
                <w:rPr>
                  <w:noProof/>
                </w:rPr>
                <w:t>Toronto, CA: Institue for Clinical Evaluative Sciences.</w:t>
              </w:r>
            </w:p>
            <w:p w14:paraId="20DDF696" w14:textId="77777777" w:rsidR="009065F5" w:rsidRPr="00450A17" w:rsidRDefault="009065F5" w:rsidP="009065F5">
              <w:pPr>
                <w:pStyle w:val="Bibliography"/>
                <w:rPr>
                  <w:noProof/>
                </w:rPr>
              </w:pPr>
              <w:r w:rsidRPr="00450A17">
                <w:rPr>
                  <w:noProof/>
                </w:rPr>
                <w:t>Gregg, C. e</w:t>
              </w:r>
              <w:r w:rsidR="00140AA8" w:rsidRPr="00450A17">
                <w:rPr>
                  <w:noProof/>
                </w:rPr>
                <w:t>t</w:t>
              </w:r>
              <w:r w:rsidRPr="00450A17">
                <w:rPr>
                  <w:noProof/>
                </w:rPr>
                <w:t xml:space="preserve"> a</w:t>
              </w:r>
              <w:r w:rsidR="00140AA8" w:rsidRPr="00450A17">
                <w:rPr>
                  <w:noProof/>
                </w:rPr>
                <w:t>l</w:t>
              </w:r>
              <w:r w:rsidRPr="00450A17">
                <w:rPr>
                  <w:noProof/>
                </w:rPr>
                <w:t xml:space="preserve">., 2011. Outcomes of an interdisciplinary rehabilitation programme for the management of chronic low back pain. </w:t>
              </w:r>
              <w:r w:rsidRPr="00450A17">
                <w:rPr>
                  <w:i/>
                  <w:iCs/>
                  <w:noProof/>
                </w:rPr>
                <w:t xml:space="preserve">Journal of Primary Health Care, </w:t>
              </w:r>
              <w:r w:rsidRPr="00450A17">
                <w:rPr>
                  <w:noProof/>
                </w:rPr>
                <w:t>3(3), pp. 222-228.</w:t>
              </w:r>
            </w:p>
            <w:p w14:paraId="7E49AE22" w14:textId="77777777" w:rsidR="009065F5" w:rsidRPr="00450A17" w:rsidRDefault="009065F5" w:rsidP="009065F5">
              <w:pPr>
                <w:pStyle w:val="Bibliography"/>
                <w:rPr>
                  <w:noProof/>
                </w:rPr>
              </w:pPr>
              <w:r w:rsidRPr="00450A17">
                <w:rPr>
                  <w:noProof/>
                </w:rPr>
                <w:t>Harrison, M. J. e</w:t>
              </w:r>
              <w:r w:rsidR="00140AA8" w:rsidRPr="00450A17">
                <w:rPr>
                  <w:noProof/>
                </w:rPr>
                <w:t>t</w:t>
              </w:r>
              <w:r w:rsidRPr="00450A17">
                <w:rPr>
                  <w:noProof/>
                </w:rPr>
                <w:t>. a</w:t>
              </w:r>
              <w:r w:rsidR="00140AA8" w:rsidRPr="00450A17">
                <w:rPr>
                  <w:noProof/>
                </w:rPr>
                <w:t>l</w:t>
              </w:r>
              <w:r w:rsidRPr="00450A17">
                <w:rPr>
                  <w:noProof/>
                </w:rPr>
                <w:t xml:space="preserve">., 2014. Effect of a national primary care pay for performance scheme on emergency hospital admissions for ambulatory care sensitive conditions: controlled longitudinal study. </w:t>
              </w:r>
              <w:r w:rsidRPr="00450A17">
                <w:rPr>
                  <w:i/>
                  <w:iCs/>
                  <w:noProof/>
                </w:rPr>
                <w:t>BMJ.</w:t>
              </w:r>
            </w:p>
            <w:p w14:paraId="6BAA3FCA" w14:textId="77777777" w:rsidR="009065F5" w:rsidRPr="00450A17" w:rsidRDefault="009065F5" w:rsidP="009065F5">
              <w:pPr>
                <w:pStyle w:val="Bibliography"/>
                <w:rPr>
                  <w:noProof/>
                </w:rPr>
              </w:pPr>
              <w:r w:rsidRPr="00450A17">
                <w:rPr>
                  <w:noProof/>
                </w:rPr>
                <w:t>Kruis, A. e</w:t>
              </w:r>
              <w:r w:rsidR="00140AA8" w:rsidRPr="00450A17">
                <w:rPr>
                  <w:noProof/>
                </w:rPr>
                <w:t>t</w:t>
              </w:r>
              <w:r w:rsidRPr="00450A17">
                <w:rPr>
                  <w:noProof/>
                </w:rPr>
                <w:t xml:space="preserve"> a</w:t>
              </w:r>
              <w:r w:rsidR="00140AA8" w:rsidRPr="00450A17">
                <w:rPr>
                  <w:noProof/>
                </w:rPr>
                <w:t>l</w:t>
              </w:r>
              <w:r w:rsidRPr="00450A17">
                <w:rPr>
                  <w:noProof/>
                </w:rPr>
                <w:t xml:space="preserve">., 2013. Integrated disease management interventions for patients with chronic obstructive pulmonary disease. </w:t>
              </w:r>
              <w:r w:rsidRPr="00450A17">
                <w:rPr>
                  <w:i/>
                  <w:iCs/>
                  <w:noProof/>
                </w:rPr>
                <w:t xml:space="preserve">Cochrane Database of Systemic Reviews, </w:t>
              </w:r>
              <w:r w:rsidRPr="00450A17">
                <w:rPr>
                  <w:noProof/>
                </w:rPr>
                <w:t>Issue 10.</w:t>
              </w:r>
            </w:p>
            <w:p w14:paraId="7D5E28E2" w14:textId="77777777" w:rsidR="009065F5" w:rsidRPr="00450A17" w:rsidRDefault="009065F5" w:rsidP="009065F5">
              <w:pPr>
                <w:pStyle w:val="Bibliography"/>
                <w:rPr>
                  <w:noProof/>
                </w:rPr>
              </w:pPr>
              <w:r w:rsidRPr="00450A17">
                <w:rPr>
                  <w:noProof/>
                </w:rPr>
                <w:t>Lee, J. e</w:t>
              </w:r>
              <w:r w:rsidR="00140AA8" w:rsidRPr="00450A17">
                <w:rPr>
                  <w:noProof/>
                </w:rPr>
                <w:t xml:space="preserve">t </w:t>
              </w:r>
              <w:r w:rsidRPr="00450A17">
                <w:rPr>
                  <w:noProof/>
                </w:rPr>
                <w:t>a</w:t>
              </w:r>
              <w:r w:rsidR="00140AA8" w:rsidRPr="00450A17">
                <w:rPr>
                  <w:noProof/>
                </w:rPr>
                <w:t>l</w:t>
              </w:r>
              <w:r w:rsidRPr="00450A17">
                <w:rPr>
                  <w:noProof/>
                </w:rPr>
                <w:t xml:space="preserve">., 2021. Assessment of interprofessional collaborative practices and outcomes in adults with diabetes and hypertension in primary care: a systematic review and meta-analysis. </w:t>
              </w:r>
              <w:r w:rsidRPr="00450A17">
                <w:rPr>
                  <w:i/>
                  <w:iCs/>
                  <w:noProof/>
                </w:rPr>
                <w:t xml:space="preserve">JAMA, </w:t>
              </w:r>
              <w:r w:rsidRPr="00450A17">
                <w:rPr>
                  <w:noProof/>
                </w:rPr>
                <w:t>4(2).</w:t>
              </w:r>
            </w:p>
            <w:p w14:paraId="205353B9" w14:textId="77777777" w:rsidR="009065F5" w:rsidRPr="00450A17" w:rsidRDefault="009065F5" w:rsidP="009065F5">
              <w:pPr>
                <w:pStyle w:val="Bibliography"/>
                <w:rPr>
                  <w:noProof/>
                </w:rPr>
              </w:pPr>
              <w:r w:rsidRPr="00450A17">
                <w:rPr>
                  <w:noProof/>
                </w:rPr>
                <w:t xml:space="preserve">Mickan, S., 2005. Evaluating the effectiveness of health care teams. </w:t>
              </w:r>
              <w:r w:rsidRPr="00450A17">
                <w:rPr>
                  <w:i/>
                  <w:iCs/>
                  <w:noProof/>
                </w:rPr>
                <w:t xml:space="preserve">Australian Health Review, </w:t>
              </w:r>
              <w:r w:rsidRPr="00450A17">
                <w:rPr>
                  <w:noProof/>
                </w:rPr>
                <w:t>29(2), pp. 211-217.</w:t>
              </w:r>
            </w:p>
            <w:p w14:paraId="324B2ADC" w14:textId="7272759D" w:rsidR="001F7848" w:rsidRPr="00450A17" w:rsidRDefault="001F7848" w:rsidP="009065F5">
              <w:pPr>
                <w:pStyle w:val="Bibliography"/>
                <w:rPr>
                  <w:noProof/>
                </w:rPr>
              </w:pPr>
              <w:r w:rsidRPr="00450A17">
                <w:t xml:space="preserve">Maarsingh, O. R. et al, 2016. Continuity of care in primary care and association with survival in older people: a 17-year prospective cohort study. </w:t>
              </w:r>
              <w:r w:rsidRPr="00450A17">
                <w:rPr>
                  <w:i/>
                </w:rPr>
                <w:t>The British journal of general practice</w:t>
              </w:r>
            </w:p>
            <w:p w14:paraId="37BFB028" w14:textId="2AD11624" w:rsidR="009065F5" w:rsidRPr="00450A17" w:rsidRDefault="009065F5" w:rsidP="009065F5">
              <w:pPr>
                <w:pStyle w:val="Bibliography"/>
                <w:rPr>
                  <w:noProof/>
                </w:rPr>
              </w:pPr>
              <w:r w:rsidRPr="00450A17">
                <w:rPr>
                  <w:noProof/>
                </w:rPr>
                <w:t xml:space="preserve">NIAA, 2020. </w:t>
              </w:r>
              <w:r w:rsidRPr="00450A17">
                <w:rPr>
                  <w:i/>
                  <w:iCs/>
                  <w:noProof/>
                </w:rPr>
                <w:t xml:space="preserve">Closing the Gap Report 2020, </w:t>
              </w:r>
              <w:r w:rsidRPr="00450A17">
                <w:rPr>
                  <w:noProof/>
                </w:rPr>
                <w:t>Canberra, ACT: National Indigenous Australians Agency.</w:t>
              </w:r>
            </w:p>
            <w:p w14:paraId="4FD5C11A" w14:textId="77777777" w:rsidR="009065F5" w:rsidRPr="00450A17" w:rsidRDefault="009065F5" w:rsidP="009065F5">
              <w:pPr>
                <w:pStyle w:val="Bibliography"/>
                <w:rPr>
                  <w:noProof/>
                </w:rPr>
              </w:pPr>
              <w:r w:rsidRPr="00450A17">
                <w:rPr>
                  <w:noProof/>
                </w:rPr>
                <w:t xml:space="preserve">OECD, 2020. </w:t>
              </w:r>
              <w:r w:rsidRPr="00450A17">
                <w:rPr>
                  <w:i/>
                  <w:iCs/>
                  <w:noProof/>
                </w:rPr>
                <w:t xml:space="preserve">Realising the Potential of Primary Health Care. </w:t>
              </w:r>
              <w:r w:rsidRPr="00450A17">
                <w:rPr>
                  <w:noProof/>
                </w:rPr>
                <w:t>Paris: OECD Health Policy Studies, OECD Publishing.</w:t>
              </w:r>
            </w:p>
            <w:p w14:paraId="565DE2BA" w14:textId="77777777" w:rsidR="009065F5" w:rsidRPr="00450A17" w:rsidRDefault="009065F5" w:rsidP="009065F5">
              <w:pPr>
                <w:pStyle w:val="Bibliography"/>
                <w:rPr>
                  <w:noProof/>
                </w:rPr>
              </w:pPr>
              <w:r w:rsidRPr="00450A17">
                <w:rPr>
                  <w:noProof/>
                </w:rPr>
                <w:t xml:space="preserve">Philip, K., 2015. Allied health: untapped potential in the Australian health system. </w:t>
              </w:r>
              <w:r w:rsidRPr="00450A17">
                <w:rPr>
                  <w:i/>
                  <w:iCs/>
                  <w:noProof/>
                </w:rPr>
                <w:t xml:space="preserve">Australian Health Review, </w:t>
              </w:r>
              <w:r w:rsidRPr="00450A17">
                <w:rPr>
                  <w:noProof/>
                </w:rPr>
                <w:t>Volume 39, pp. 244-247.</w:t>
              </w:r>
            </w:p>
            <w:p w14:paraId="6ACFE311" w14:textId="77777777" w:rsidR="009065F5" w:rsidRPr="00450A17" w:rsidRDefault="009065F5" w:rsidP="009065F5">
              <w:pPr>
                <w:pStyle w:val="Bibliography"/>
                <w:rPr>
                  <w:noProof/>
                </w:rPr>
              </w:pPr>
              <w:r w:rsidRPr="00450A17">
                <w:rPr>
                  <w:noProof/>
                </w:rPr>
                <w:t xml:space="preserve">RACGP, 2020. </w:t>
              </w:r>
              <w:r w:rsidRPr="00450A17">
                <w:rPr>
                  <w:i/>
                  <w:iCs/>
                  <w:noProof/>
                </w:rPr>
                <w:t xml:space="preserve">Primary Health Care 10 Year Plan: GP roundtable (Background paper), </w:t>
              </w:r>
              <w:r w:rsidRPr="00450A17">
                <w:rPr>
                  <w:noProof/>
                </w:rPr>
                <w:t>East Melbourne, VIC: Royal Australian College of General Practitioners.</w:t>
              </w:r>
            </w:p>
            <w:p w14:paraId="4446F9CA" w14:textId="77777777" w:rsidR="009065F5" w:rsidRPr="00450A17" w:rsidRDefault="009065F5" w:rsidP="009065F5">
              <w:pPr>
                <w:pStyle w:val="Bibliography"/>
                <w:rPr>
                  <w:noProof/>
                </w:rPr>
              </w:pPr>
              <w:r w:rsidRPr="00450A17">
                <w:rPr>
                  <w:noProof/>
                </w:rPr>
                <w:t xml:space="preserve">RACGP, 2020. </w:t>
              </w:r>
              <w:r w:rsidRPr="00450A17">
                <w:rPr>
                  <w:i/>
                  <w:iCs/>
                  <w:noProof/>
                </w:rPr>
                <w:t xml:space="preserve">Standards for General Practices. </w:t>
              </w:r>
              <w:r w:rsidRPr="00450A17">
                <w:rPr>
                  <w:noProof/>
                </w:rPr>
                <w:t>5th ed. East Melbourne, VIC: The Royal Australian College of Australian Practitioners.</w:t>
              </w:r>
            </w:p>
            <w:p w14:paraId="71E98289" w14:textId="77777777" w:rsidR="009065F5" w:rsidRPr="00450A17" w:rsidRDefault="009065F5" w:rsidP="009065F5">
              <w:pPr>
                <w:pStyle w:val="Bibliography"/>
                <w:rPr>
                  <w:noProof/>
                </w:rPr>
              </w:pPr>
              <w:r w:rsidRPr="00450A17">
                <w:rPr>
                  <w:noProof/>
                </w:rPr>
                <w:t xml:space="preserve">Wajnberg, A. et al., 2019. Empanelment in a Resident Teaching Practice: A Cornerstone to Improving Resident Outpatient Education and Patient Care. </w:t>
              </w:r>
              <w:r w:rsidRPr="00450A17">
                <w:rPr>
                  <w:i/>
                  <w:iCs/>
                  <w:noProof/>
                </w:rPr>
                <w:t xml:space="preserve">J Grad Med Educ, </w:t>
              </w:r>
              <w:r w:rsidRPr="00450A17">
                <w:rPr>
                  <w:noProof/>
                </w:rPr>
                <w:t>11(2), pp. 202-206.</w:t>
              </w:r>
            </w:p>
            <w:p w14:paraId="2641BEE7" w14:textId="77777777" w:rsidR="009065F5" w:rsidRPr="00450A17" w:rsidRDefault="009065F5" w:rsidP="009065F5">
              <w:pPr>
                <w:pStyle w:val="Bibliography"/>
                <w:rPr>
                  <w:noProof/>
                </w:rPr>
              </w:pPr>
              <w:r w:rsidRPr="00450A17">
                <w:rPr>
                  <w:noProof/>
                </w:rPr>
                <w:t xml:space="preserve">World Health Organisation, 2008. </w:t>
              </w:r>
              <w:r w:rsidRPr="00450A17">
                <w:rPr>
                  <w:i/>
                  <w:iCs/>
                  <w:noProof/>
                </w:rPr>
                <w:t xml:space="preserve">Now more than ever. </w:t>
              </w:r>
              <w:r w:rsidRPr="00450A17">
                <w:rPr>
                  <w:noProof/>
                </w:rPr>
                <w:t xml:space="preserve">[Online] </w:t>
              </w:r>
              <w:r w:rsidRPr="00450A17">
                <w:rPr>
                  <w:noProof/>
                </w:rPr>
                <w:br/>
                <w:t xml:space="preserve">Available at: </w:t>
              </w:r>
              <w:r w:rsidRPr="00450A17">
                <w:rPr>
                  <w:noProof/>
                  <w:u w:val="single"/>
                </w:rPr>
                <w:t>www.who.int/whr/2008/whr08_en.pdf</w:t>
              </w:r>
            </w:p>
            <w:p w14:paraId="43456495" w14:textId="77777777" w:rsidR="009065F5" w:rsidRPr="00450A17" w:rsidRDefault="009065F5" w:rsidP="009065F5">
              <w:pPr>
                <w:pStyle w:val="Bibliography"/>
                <w:rPr>
                  <w:noProof/>
                </w:rPr>
              </w:pPr>
              <w:r w:rsidRPr="00450A17">
                <w:rPr>
                  <w:noProof/>
                </w:rPr>
                <w:t xml:space="preserve">World Health Organisation, 2018. </w:t>
              </w:r>
              <w:r w:rsidRPr="00450A17">
                <w:rPr>
                  <w:i/>
                  <w:iCs/>
                  <w:noProof/>
                </w:rPr>
                <w:t xml:space="preserve">6 Continuity and coordination of care: a practice brief to support implementation of the WHO Framework on integrated people-centred health services, </w:t>
              </w:r>
              <w:r w:rsidRPr="00450A17">
                <w:rPr>
                  <w:noProof/>
                </w:rPr>
                <w:t>Geneva: Licence: CC BY-NC-SA IGO.</w:t>
              </w:r>
            </w:p>
            <w:p w14:paraId="5830789A" w14:textId="77777777" w:rsidR="009065F5" w:rsidRPr="00450A17" w:rsidRDefault="009065F5" w:rsidP="009065F5">
              <w:pPr>
                <w:pStyle w:val="Bibliography"/>
                <w:rPr>
                  <w:noProof/>
                </w:rPr>
              </w:pPr>
              <w:r w:rsidRPr="00450A17">
                <w:rPr>
                  <w:noProof/>
                </w:rPr>
                <w:t xml:space="preserve">Wright, M., 2018. Can continuity of care in primary care be sustained in the modern health system?. </w:t>
              </w:r>
              <w:r w:rsidRPr="00450A17">
                <w:rPr>
                  <w:i/>
                  <w:iCs/>
                  <w:noProof/>
                </w:rPr>
                <w:t xml:space="preserve">Aus J GP, </w:t>
              </w:r>
              <w:r w:rsidRPr="00450A17">
                <w:rPr>
                  <w:noProof/>
                </w:rPr>
                <w:t>47(10), pp. 667-669.</w:t>
              </w:r>
            </w:p>
            <w:p w14:paraId="568F88EE" w14:textId="77777777" w:rsidR="009065F5" w:rsidRDefault="009065F5" w:rsidP="009065F5">
              <w:pPr>
                <w:rPr>
                  <w:rFonts w:cs="Arial"/>
                </w:rPr>
              </w:pPr>
              <w:r w:rsidRPr="00450A17">
                <w:rPr>
                  <w:rFonts w:cs="Arial"/>
                  <w:b/>
                  <w:bCs/>
                  <w:noProof/>
                </w:rPr>
                <w:fldChar w:fldCharType="end"/>
              </w:r>
            </w:p>
          </w:sdtContent>
        </w:sdt>
      </w:sdtContent>
    </w:sdt>
    <w:p w14:paraId="5B84FC42" w14:textId="77777777" w:rsidR="00651587" w:rsidRDefault="00651587"/>
    <w:sectPr w:rsidR="00651587" w:rsidSect="00A8056A">
      <w:footerReference w:type="defaul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1A2C9" w14:textId="77777777" w:rsidR="007C5D4C" w:rsidRDefault="007C5D4C" w:rsidP="0030442F">
      <w:pPr>
        <w:spacing w:after="0" w:line="240" w:lineRule="auto"/>
      </w:pPr>
      <w:r>
        <w:separator/>
      </w:r>
    </w:p>
  </w:endnote>
  <w:endnote w:type="continuationSeparator" w:id="0">
    <w:p w14:paraId="5C22666B" w14:textId="77777777" w:rsidR="007C5D4C" w:rsidRDefault="007C5D4C" w:rsidP="0030442F">
      <w:pPr>
        <w:spacing w:after="0" w:line="240" w:lineRule="auto"/>
      </w:pPr>
      <w:r>
        <w:continuationSeparator/>
      </w:r>
    </w:p>
  </w:endnote>
  <w:endnote w:type="continuationNotice" w:id="1">
    <w:p w14:paraId="15B01A36" w14:textId="77777777" w:rsidR="007C5D4C" w:rsidRDefault="007C5D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481647"/>
      <w:docPartObj>
        <w:docPartGallery w:val="Page Numbers (Bottom of Page)"/>
        <w:docPartUnique/>
      </w:docPartObj>
    </w:sdtPr>
    <w:sdtEndPr>
      <w:rPr>
        <w:noProof/>
      </w:rPr>
    </w:sdtEndPr>
    <w:sdtContent>
      <w:p w14:paraId="7C4A0471" w14:textId="41E83F81" w:rsidR="007C5D4C" w:rsidRDefault="007C5D4C">
        <w:pPr>
          <w:pStyle w:val="Footer"/>
          <w:jc w:val="right"/>
        </w:pPr>
        <w:r>
          <w:fldChar w:fldCharType="begin"/>
        </w:r>
        <w:r>
          <w:instrText xml:space="preserve"> PAGE   \* MERGEFORMAT </w:instrText>
        </w:r>
        <w:r>
          <w:fldChar w:fldCharType="separate"/>
        </w:r>
        <w:r w:rsidR="00A06251">
          <w:rPr>
            <w:noProof/>
          </w:rPr>
          <w:t>1</w:t>
        </w:r>
        <w:r>
          <w:rPr>
            <w:noProof/>
          </w:rPr>
          <w:fldChar w:fldCharType="end"/>
        </w:r>
      </w:p>
    </w:sdtContent>
  </w:sdt>
  <w:p w14:paraId="3E996307" w14:textId="77777777" w:rsidR="007C5D4C" w:rsidRDefault="007C5D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9D173" w14:textId="77777777" w:rsidR="007C5D4C" w:rsidRDefault="007C5D4C" w:rsidP="0030442F">
      <w:pPr>
        <w:spacing w:after="0" w:line="240" w:lineRule="auto"/>
      </w:pPr>
      <w:r>
        <w:separator/>
      </w:r>
    </w:p>
  </w:footnote>
  <w:footnote w:type="continuationSeparator" w:id="0">
    <w:p w14:paraId="18429458" w14:textId="77777777" w:rsidR="007C5D4C" w:rsidRDefault="007C5D4C" w:rsidP="0030442F">
      <w:pPr>
        <w:spacing w:after="0" w:line="240" w:lineRule="auto"/>
      </w:pPr>
      <w:r>
        <w:continuationSeparator/>
      </w:r>
    </w:p>
  </w:footnote>
  <w:footnote w:type="continuationNotice" w:id="1">
    <w:p w14:paraId="6D84B245" w14:textId="77777777" w:rsidR="007C5D4C" w:rsidRDefault="007C5D4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5A00"/>
    <w:multiLevelType w:val="multilevel"/>
    <w:tmpl w:val="06C62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43306"/>
    <w:multiLevelType w:val="multilevel"/>
    <w:tmpl w:val="93324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trike w:val="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66566"/>
    <w:multiLevelType w:val="hybridMultilevel"/>
    <w:tmpl w:val="DC461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D307BD"/>
    <w:multiLevelType w:val="hybridMultilevel"/>
    <w:tmpl w:val="116A6E86"/>
    <w:lvl w:ilvl="0" w:tplc="0C090001">
      <w:start w:val="1"/>
      <w:numFmt w:val="bullet"/>
      <w:lvlText w:val=""/>
      <w:lvlJc w:val="left"/>
      <w:pPr>
        <w:ind w:left="967" w:hanging="360"/>
      </w:pPr>
      <w:rPr>
        <w:rFonts w:ascii="Symbol" w:hAnsi="Symbol" w:hint="default"/>
      </w:rPr>
    </w:lvl>
    <w:lvl w:ilvl="1" w:tplc="0C090003" w:tentative="1">
      <w:start w:val="1"/>
      <w:numFmt w:val="bullet"/>
      <w:lvlText w:val="o"/>
      <w:lvlJc w:val="left"/>
      <w:pPr>
        <w:ind w:left="1687" w:hanging="360"/>
      </w:pPr>
      <w:rPr>
        <w:rFonts w:ascii="Courier New" w:hAnsi="Courier New" w:cs="Courier New" w:hint="default"/>
      </w:rPr>
    </w:lvl>
    <w:lvl w:ilvl="2" w:tplc="0C090005" w:tentative="1">
      <w:start w:val="1"/>
      <w:numFmt w:val="bullet"/>
      <w:lvlText w:val=""/>
      <w:lvlJc w:val="left"/>
      <w:pPr>
        <w:ind w:left="2407" w:hanging="360"/>
      </w:pPr>
      <w:rPr>
        <w:rFonts w:ascii="Wingdings" w:hAnsi="Wingdings" w:hint="default"/>
      </w:rPr>
    </w:lvl>
    <w:lvl w:ilvl="3" w:tplc="0C090001" w:tentative="1">
      <w:start w:val="1"/>
      <w:numFmt w:val="bullet"/>
      <w:lvlText w:val=""/>
      <w:lvlJc w:val="left"/>
      <w:pPr>
        <w:ind w:left="3127" w:hanging="360"/>
      </w:pPr>
      <w:rPr>
        <w:rFonts w:ascii="Symbol" w:hAnsi="Symbol" w:hint="default"/>
      </w:rPr>
    </w:lvl>
    <w:lvl w:ilvl="4" w:tplc="0C090003" w:tentative="1">
      <w:start w:val="1"/>
      <w:numFmt w:val="bullet"/>
      <w:lvlText w:val="o"/>
      <w:lvlJc w:val="left"/>
      <w:pPr>
        <w:ind w:left="3847" w:hanging="360"/>
      </w:pPr>
      <w:rPr>
        <w:rFonts w:ascii="Courier New" w:hAnsi="Courier New" w:cs="Courier New" w:hint="default"/>
      </w:rPr>
    </w:lvl>
    <w:lvl w:ilvl="5" w:tplc="0C090005" w:tentative="1">
      <w:start w:val="1"/>
      <w:numFmt w:val="bullet"/>
      <w:lvlText w:val=""/>
      <w:lvlJc w:val="left"/>
      <w:pPr>
        <w:ind w:left="4567" w:hanging="360"/>
      </w:pPr>
      <w:rPr>
        <w:rFonts w:ascii="Wingdings" w:hAnsi="Wingdings" w:hint="default"/>
      </w:rPr>
    </w:lvl>
    <w:lvl w:ilvl="6" w:tplc="0C090001" w:tentative="1">
      <w:start w:val="1"/>
      <w:numFmt w:val="bullet"/>
      <w:lvlText w:val=""/>
      <w:lvlJc w:val="left"/>
      <w:pPr>
        <w:ind w:left="5287" w:hanging="360"/>
      </w:pPr>
      <w:rPr>
        <w:rFonts w:ascii="Symbol" w:hAnsi="Symbol" w:hint="default"/>
      </w:rPr>
    </w:lvl>
    <w:lvl w:ilvl="7" w:tplc="0C090003" w:tentative="1">
      <w:start w:val="1"/>
      <w:numFmt w:val="bullet"/>
      <w:lvlText w:val="o"/>
      <w:lvlJc w:val="left"/>
      <w:pPr>
        <w:ind w:left="6007" w:hanging="360"/>
      </w:pPr>
      <w:rPr>
        <w:rFonts w:ascii="Courier New" w:hAnsi="Courier New" w:cs="Courier New" w:hint="default"/>
      </w:rPr>
    </w:lvl>
    <w:lvl w:ilvl="8" w:tplc="0C090005" w:tentative="1">
      <w:start w:val="1"/>
      <w:numFmt w:val="bullet"/>
      <w:lvlText w:val=""/>
      <w:lvlJc w:val="left"/>
      <w:pPr>
        <w:ind w:left="6727" w:hanging="360"/>
      </w:pPr>
      <w:rPr>
        <w:rFonts w:ascii="Wingdings" w:hAnsi="Wingdings" w:hint="default"/>
      </w:rPr>
    </w:lvl>
  </w:abstractNum>
  <w:abstractNum w:abstractNumId="4" w15:restartNumberingAfterBreak="0">
    <w:nsid w:val="0E05065E"/>
    <w:multiLevelType w:val="multilevel"/>
    <w:tmpl w:val="FA9A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827CF9"/>
    <w:multiLevelType w:val="hybridMultilevel"/>
    <w:tmpl w:val="4E382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5D5A77"/>
    <w:multiLevelType w:val="hybridMultilevel"/>
    <w:tmpl w:val="95F20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813B41"/>
    <w:multiLevelType w:val="hybridMultilevel"/>
    <w:tmpl w:val="0A246A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B246CCE"/>
    <w:multiLevelType w:val="hybridMultilevel"/>
    <w:tmpl w:val="D7D81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145E9D"/>
    <w:multiLevelType w:val="multilevel"/>
    <w:tmpl w:val="039CD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EB152E"/>
    <w:multiLevelType w:val="hybridMultilevel"/>
    <w:tmpl w:val="8C1EF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BE5940"/>
    <w:multiLevelType w:val="hybridMultilevel"/>
    <w:tmpl w:val="6D6E7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CD2D39"/>
    <w:multiLevelType w:val="hybridMultilevel"/>
    <w:tmpl w:val="530A31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473E48EE"/>
    <w:multiLevelType w:val="multilevel"/>
    <w:tmpl w:val="0A58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472EA9"/>
    <w:multiLevelType w:val="hybridMultilevel"/>
    <w:tmpl w:val="F92A6994"/>
    <w:lvl w:ilvl="0" w:tplc="EA0C82DE">
      <w:start w:val="1"/>
      <w:numFmt w:val="decimal"/>
      <w:lvlText w:val="%1."/>
      <w:lvlJc w:val="left"/>
      <w:pPr>
        <w:ind w:left="360" w:hanging="360"/>
      </w:pPr>
      <w:rPr>
        <w:b/>
        <w:bCs/>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5" w15:restartNumberingAfterBreak="0">
    <w:nsid w:val="4F704B5A"/>
    <w:multiLevelType w:val="hybridMultilevel"/>
    <w:tmpl w:val="257C911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547858BB"/>
    <w:multiLevelType w:val="hybridMultilevel"/>
    <w:tmpl w:val="06FE8E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59974254"/>
    <w:multiLevelType w:val="multilevel"/>
    <w:tmpl w:val="B6964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FB094B"/>
    <w:multiLevelType w:val="hybridMultilevel"/>
    <w:tmpl w:val="3E0257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62F476DD"/>
    <w:multiLevelType w:val="hybridMultilevel"/>
    <w:tmpl w:val="B2748AA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15:restartNumberingAfterBreak="0">
    <w:nsid w:val="63C37424"/>
    <w:multiLevelType w:val="hybridMultilevel"/>
    <w:tmpl w:val="C79417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645843B5"/>
    <w:multiLevelType w:val="multilevel"/>
    <w:tmpl w:val="7782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9C6C51"/>
    <w:multiLevelType w:val="hybridMultilevel"/>
    <w:tmpl w:val="3EEAEFD6"/>
    <w:lvl w:ilvl="0" w:tplc="7B18DF5A">
      <w:start w:val="87"/>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6F56CD"/>
    <w:multiLevelType w:val="hybridMultilevel"/>
    <w:tmpl w:val="63400DC2"/>
    <w:lvl w:ilvl="0" w:tplc="0C090001">
      <w:start w:val="1"/>
      <w:numFmt w:val="bullet"/>
      <w:lvlText w:val=""/>
      <w:lvlJc w:val="left"/>
      <w:pPr>
        <w:ind w:left="779" w:hanging="360"/>
      </w:pPr>
      <w:rPr>
        <w:rFonts w:ascii="Symbol" w:hAnsi="Symbol" w:hint="default"/>
      </w:rPr>
    </w:lvl>
    <w:lvl w:ilvl="1" w:tplc="0C090003" w:tentative="1">
      <w:start w:val="1"/>
      <w:numFmt w:val="bullet"/>
      <w:lvlText w:val="o"/>
      <w:lvlJc w:val="left"/>
      <w:pPr>
        <w:ind w:left="1499" w:hanging="360"/>
      </w:pPr>
      <w:rPr>
        <w:rFonts w:ascii="Courier New" w:hAnsi="Courier New" w:cs="Courier New" w:hint="default"/>
      </w:rPr>
    </w:lvl>
    <w:lvl w:ilvl="2" w:tplc="0C090005" w:tentative="1">
      <w:start w:val="1"/>
      <w:numFmt w:val="bullet"/>
      <w:lvlText w:val=""/>
      <w:lvlJc w:val="left"/>
      <w:pPr>
        <w:ind w:left="2219" w:hanging="360"/>
      </w:pPr>
      <w:rPr>
        <w:rFonts w:ascii="Wingdings" w:hAnsi="Wingdings" w:hint="default"/>
      </w:rPr>
    </w:lvl>
    <w:lvl w:ilvl="3" w:tplc="0C090001" w:tentative="1">
      <w:start w:val="1"/>
      <w:numFmt w:val="bullet"/>
      <w:lvlText w:val=""/>
      <w:lvlJc w:val="left"/>
      <w:pPr>
        <w:ind w:left="2939" w:hanging="360"/>
      </w:pPr>
      <w:rPr>
        <w:rFonts w:ascii="Symbol" w:hAnsi="Symbol" w:hint="default"/>
      </w:rPr>
    </w:lvl>
    <w:lvl w:ilvl="4" w:tplc="0C090003" w:tentative="1">
      <w:start w:val="1"/>
      <w:numFmt w:val="bullet"/>
      <w:lvlText w:val="o"/>
      <w:lvlJc w:val="left"/>
      <w:pPr>
        <w:ind w:left="3659" w:hanging="360"/>
      </w:pPr>
      <w:rPr>
        <w:rFonts w:ascii="Courier New" w:hAnsi="Courier New" w:cs="Courier New" w:hint="default"/>
      </w:rPr>
    </w:lvl>
    <w:lvl w:ilvl="5" w:tplc="0C090005" w:tentative="1">
      <w:start w:val="1"/>
      <w:numFmt w:val="bullet"/>
      <w:lvlText w:val=""/>
      <w:lvlJc w:val="left"/>
      <w:pPr>
        <w:ind w:left="4379" w:hanging="360"/>
      </w:pPr>
      <w:rPr>
        <w:rFonts w:ascii="Wingdings" w:hAnsi="Wingdings" w:hint="default"/>
      </w:rPr>
    </w:lvl>
    <w:lvl w:ilvl="6" w:tplc="0C090001" w:tentative="1">
      <w:start w:val="1"/>
      <w:numFmt w:val="bullet"/>
      <w:lvlText w:val=""/>
      <w:lvlJc w:val="left"/>
      <w:pPr>
        <w:ind w:left="5099" w:hanging="360"/>
      </w:pPr>
      <w:rPr>
        <w:rFonts w:ascii="Symbol" w:hAnsi="Symbol" w:hint="default"/>
      </w:rPr>
    </w:lvl>
    <w:lvl w:ilvl="7" w:tplc="0C090003" w:tentative="1">
      <w:start w:val="1"/>
      <w:numFmt w:val="bullet"/>
      <w:lvlText w:val="o"/>
      <w:lvlJc w:val="left"/>
      <w:pPr>
        <w:ind w:left="5819" w:hanging="360"/>
      </w:pPr>
      <w:rPr>
        <w:rFonts w:ascii="Courier New" w:hAnsi="Courier New" w:cs="Courier New" w:hint="default"/>
      </w:rPr>
    </w:lvl>
    <w:lvl w:ilvl="8" w:tplc="0C090005" w:tentative="1">
      <w:start w:val="1"/>
      <w:numFmt w:val="bullet"/>
      <w:lvlText w:val=""/>
      <w:lvlJc w:val="left"/>
      <w:pPr>
        <w:ind w:left="6539" w:hanging="360"/>
      </w:pPr>
      <w:rPr>
        <w:rFonts w:ascii="Wingdings" w:hAnsi="Wingdings" w:hint="default"/>
      </w:rPr>
    </w:lvl>
  </w:abstractNum>
  <w:abstractNum w:abstractNumId="24" w15:restartNumberingAfterBreak="0">
    <w:nsid w:val="6FB01358"/>
    <w:multiLevelType w:val="hybridMultilevel"/>
    <w:tmpl w:val="922C0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3566C8B"/>
    <w:multiLevelType w:val="hybridMultilevel"/>
    <w:tmpl w:val="C49E62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7ECC1F83"/>
    <w:multiLevelType w:val="hybridMultilevel"/>
    <w:tmpl w:val="5B74D5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25"/>
  </w:num>
  <w:num w:numId="3">
    <w:abstractNumId w:val="16"/>
  </w:num>
  <w:num w:numId="4">
    <w:abstractNumId w:val="18"/>
  </w:num>
  <w:num w:numId="5">
    <w:abstractNumId w:val="7"/>
  </w:num>
  <w:num w:numId="6">
    <w:abstractNumId w:val="15"/>
  </w:num>
  <w:num w:numId="7">
    <w:abstractNumId w:val="26"/>
  </w:num>
  <w:num w:numId="8">
    <w:abstractNumId w:val="5"/>
  </w:num>
  <w:num w:numId="9">
    <w:abstractNumId w:val="3"/>
  </w:num>
  <w:num w:numId="10">
    <w:abstractNumId w:val="0"/>
  </w:num>
  <w:num w:numId="11">
    <w:abstractNumId w:val="12"/>
  </w:num>
  <w:num w:numId="12">
    <w:abstractNumId w:val="19"/>
  </w:num>
  <w:num w:numId="13">
    <w:abstractNumId w:val="11"/>
  </w:num>
  <w:num w:numId="14">
    <w:abstractNumId w:val="6"/>
  </w:num>
  <w:num w:numId="15">
    <w:abstractNumId w:val="2"/>
  </w:num>
  <w:num w:numId="16">
    <w:abstractNumId w:val="10"/>
  </w:num>
  <w:num w:numId="17">
    <w:abstractNumId w:val="24"/>
  </w:num>
  <w:num w:numId="18">
    <w:abstractNumId w:val="16"/>
  </w:num>
  <w:num w:numId="19">
    <w:abstractNumId w:val="21"/>
  </w:num>
  <w:num w:numId="20">
    <w:abstractNumId w:val="9"/>
  </w:num>
  <w:num w:numId="21">
    <w:abstractNumId w:val="17"/>
  </w:num>
  <w:num w:numId="22">
    <w:abstractNumId w:val="23"/>
  </w:num>
  <w:num w:numId="23">
    <w:abstractNumId w:val="4"/>
  </w:num>
  <w:num w:numId="24">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4"/>
  </w:num>
  <w:num w:numId="27">
    <w:abstractNumId w:val="8"/>
  </w:num>
  <w:num w:numId="28">
    <w:abstractNumId w:val="13"/>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5F5"/>
    <w:rsid w:val="0000128D"/>
    <w:rsid w:val="000015D0"/>
    <w:rsid w:val="00006230"/>
    <w:rsid w:val="00006972"/>
    <w:rsid w:val="00006AEC"/>
    <w:rsid w:val="00006EBD"/>
    <w:rsid w:val="00010889"/>
    <w:rsid w:val="00012F6E"/>
    <w:rsid w:val="00013673"/>
    <w:rsid w:val="00014AAA"/>
    <w:rsid w:val="00015BA5"/>
    <w:rsid w:val="00017432"/>
    <w:rsid w:val="00017449"/>
    <w:rsid w:val="00020361"/>
    <w:rsid w:val="000242B9"/>
    <w:rsid w:val="0002635B"/>
    <w:rsid w:val="000301D5"/>
    <w:rsid w:val="000327C6"/>
    <w:rsid w:val="00032AC9"/>
    <w:rsid w:val="000432A7"/>
    <w:rsid w:val="000469E7"/>
    <w:rsid w:val="00046A58"/>
    <w:rsid w:val="00046FD7"/>
    <w:rsid w:val="00047481"/>
    <w:rsid w:val="00052E49"/>
    <w:rsid w:val="00054442"/>
    <w:rsid w:val="00055313"/>
    <w:rsid w:val="000612AF"/>
    <w:rsid w:val="0006339A"/>
    <w:rsid w:val="000656E5"/>
    <w:rsid w:val="000710A9"/>
    <w:rsid w:val="000713A0"/>
    <w:rsid w:val="000714D6"/>
    <w:rsid w:val="00073096"/>
    <w:rsid w:val="000738B3"/>
    <w:rsid w:val="00073A2D"/>
    <w:rsid w:val="00074696"/>
    <w:rsid w:val="0007588E"/>
    <w:rsid w:val="00076F70"/>
    <w:rsid w:val="00081AE8"/>
    <w:rsid w:val="0008312A"/>
    <w:rsid w:val="000844F0"/>
    <w:rsid w:val="00084727"/>
    <w:rsid w:val="00085D4C"/>
    <w:rsid w:val="00091A2C"/>
    <w:rsid w:val="00091CF5"/>
    <w:rsid w:val="000962FF"/>
    <w:rsid w:val="000A2934"/>
    <w:rsid w:val="000A3A28"/>
    <w:rsid w:val="000A720F"/>
    <w:rsid w:val="000B0CA0"/>
    <w:rsid w:val="000B355F"/>
    <w:rsid w:val="000B3FA5"/>
    <w:rsid w:val="000B681F"/>
    <w:rsid w:val="000C030D"/>
    <w:rsid w:val="000C03CD"/>
    <w:rsid w:val="000C4B18"/>
    <w:rsid w:val="000D0CCB"/>
    <w:rsid w:val="000D22D9"/>
    <w:rsid w:val="000D3CE2"/>
    <w:rsid w:val="000D4AEF"/>
    <w:rsid w:val="000D6322"/>
    <w:rsid w:val="000D7112"/>
    <w:rsid w:val="000E154E"/>
    <w:rsid w:val="000E466D"/>
    <w:rsid w:val="000E5696"/>
    <w:rsid w:val="000E6615"/>
    <w:rsid w:val="000F055D"/>
    <w:rsid w:val="000F0D66"/>
    <w:rsid w:val="000F1448"/>
    <w:rsid w:val="000F43CB"/>
    <w:rsid w:val="000F73FD"/>
    <w:rsid w:val="00103250"/>
    <w:rsid w:val="001033D2"/>
    <w:rsid w:val="0010404B"/>
    <w:rsid w:val="00104AFB"/>
    <w:rsid w:val="001078A8"/>
    <w:rsid w:val="00113D4F"/>
    <w:rsid w:val="001165CE"/>
    <w:rsid w:val="00116B0E"/>
    <w:rsid w:val="0011733D"/>
    <w:rsid w:val="00117995"/>
    <w:rsid w:val="001213D1"/>
    <w:rsid w:val="0012252D"/>
    <w:rsid w:val="0012370F"/>
    <w:rsid w:val="001245EC"/>
    <w:rsid w:val="00124D4E"/>
    <w:rsid w:val="00127048"/>
    <w:rsid w:val="0012788E"/>
    <w:rsid w:val="001311DB"/>
    <w:rsid w:val="0013306F"/>
    <w:rsid w:val="001361C5"/>
    <w:rsid w:val="00136B90"/>
    <w:rsid w:val="00137ADD"/>
    <w:rsid w:val="00140105"/>
    <w:rsid w:val="00140AA8"/>
    <w:rsid w:val="00140E0D"/>
    <w:rsid w:val="00143685"/>
    <w:rsid w:val="00144694"/>
    <w:rsid w:val="00144F6D"/>
    <w:rsid w:val="00146AF7"/>
    <w:rsid w:val="00146E14"/>
    <w:rsid w:val="001473C8"/>
    <w:rsid w:val="00150192"/>
    <w:rsid w:val="001611DE"/>
    <w:rsid w:val="00166DF4"/>
    <w:rsid w:val="0017425C"/>
    <w:rsid w:val="00175F94"/>
    <w:rsid w:val="00176DDC"/>
    <w:rsid w:val="00180152"/>
    <w:rsid w:val="0018661C"/>
    <w:rsid w:val="0018667A"/>
    <w:rsid w:val="00186B39"/>
    <w:rsid w:val="001908CC"/>
    <w:rsid w:val="00190DCE"/>
    <w:rsid w:val="00191E6E"/>
    <w:rsid w:val="00192A9D"/>
    <w:rsid w:val="00192CC6"/>
    <w:rsid w:val="00195254"/>
    <w:rsid w:val="001A0CF5"/>
    <w:rsid w:val="001A0D0E"/>
    <w:rsid w:val="001A3267"/>
    <w:rsid w:val="001A4DDD"/>
    <w:rsid w:val="001A6FE5"/>
    <w:rsid w:val="001B0BF1"/>
    <w:rsid w:val="001B2C27"/>
    <w:rsid w:val="001B5EE5"/>
    <w:rsid w:val="001B6107"/>
    <w:rsid w:val="001B77B1"/>
    <w:rsid w:val="001C0F63"/>
    <w:rsid w:val="001C1DBF"/>
    <w:rsid w:val="001C325F"/>
    <w:rsid w:val="001C695A"/>
    <w:rsid w:val="001D3BAD"/>
    <w:rsid w:val="001D420A"/>
    <w:rsid w:val="001D467C"/>
    <w:rsid w:val="001D5782"/>
    <w:rsid w:val="001D5D81"/>
    <w:rsid w:val="001D7014"/>
    <w:rsid w:val="001E0640"/>
    <w:rsid w:val="001E235A"/>
    <w:rsid w:val="001E7742"/>
    <w:rsid w:val="001E7B3B"/>
    <w:rsid w:val="001F1A2D"/>
    <w:rsid w:val="001F43C0"/>
    <w:rsid w:val="001F54F2"/>
    <w:rsid w:val="001F7848"/>
    <w:rsid w:val="00200789"/>
    <w:rsid w:val="002007AC"/>
    <w:rsid w:val="00200A47"/>
    <w:rsid w:val="00200AA1"/>
    <w:rsid w:val="002011DB"/>
    <w:rsid w:val="0020214B"/>
    <w:rsid w:val="00203788"/>
    <w:rsid w:val="002040A7"/>
    <w:rsid w:val="002040F6"/>
    <w:rsid w:val="0020514B"/>
    <w:rsid w:val="00206693"/>
    <w:rsid w:val="00210197"/>
    <w:rsid w:val="00211754"/>
    <w:rsid w:val="00212A43"/>
    <w:rsid w:val="00220D97"/>
    <w:rsid w:val="0022156F"/>
    <w:rsid w:val="0022263B"/>
    <w:rsid w:val="00223A5F"/>
    <w:rsid w:val="00224EBD"/>
    <w:rsid w:val="00226F8D"/>
    <w:rsid w:val="00231FAA"/>
    <w:rsid w:val="00233F20"/>
    <w:rsid w:val="00236BAD"/>
    <w:rsid w:val="00241296"/>
    <w:rsid w:val="0024248C"/>
    <w:rsid w:val="002426D7"/>
    <w:rsid w:val="002443EF"/>
    <w:rsid w:val="00244C8D"/>
    <w:rsid w:val="00245778"/>
    <w:rsid w:val="00245CEB"/>
    <w:rsid w:val="00246BF9"/>
    <w:rsid w:val="002517A9"/>
    <w:rsid w:val="00255BE2"/>
    <w:rsid w:val="00262980"/>
    <w:rsid w:val="00262F8C"/>
    <w:rsid w:val="00263D59"/>
    <w:rsid w:val="002717AD"/>
    <w:rsid w:val="0027526C"/>
    <w:rsid w:val="0028102E"/>
    <w:rsid w:val="00281057"/>
    <w:rsid w:val="002819D7"/>
    <w:rsid w:val="00282A86"/>
    <w:rsid w:val="00287102"/>
    <w:rsid w:val="00291BDB"/>
    <w:rsid w:val="00293998"/>
    <w:rsid w:val="002953BA"/>
    <w:rsid w:val="0029799C"/>
    <w:rsid w:val="002A26B2"/>
    <w:rsid w:val="002A3490"/>
    <w:rsid w:val="002A4F70"/>
    <w:rsid w:val="002A62E2"/>
    <w:rsid w:val="002B0678"/>
    <w:rsid w:val="002B0BF1"/>
    <w:rsid w:val="002B0D9C"/>
    <w:rsid w:val="002B1FE5"/>
    <w:rsid w:val="002B23A7"/>
    <w:rsid w:val="002B2DEE"/>
    <w:rsid w:val="002B4571"/>
    <w:rsid w:val="002B58D9"/>
    <w:rsid w:val="002C0DFB"/>
    <w:rsid w:val="002C11A1"/>
    <w:rsid w:val="002C4E33"/>
    <w:rsid w:val="002C4EFA"/>
    <w:rsid w:val="002C5C98"/>
    <w:rsid w:val="002D0F7D"/>
    <w:rsid w:val="002D17E8"/>
    <w:rsid w:val="002D1AFC"/>
    <w:rsid w:val="002D37B6"/>
    <w:rsid w:val="002D450B"/>
    <w:rsid w:val="002D63AA"/>
    <w:rsid w:val="002D75CB"/>
    <w:rsid w:val="002E028D"/>
    <w:rsid w:val="002E1BD6"/>
    <w:rsid w:val="002E3930"/>
    <w:rsid w:val="002E40FD"/>
    <w:rsid w:val="002E56B9"/>
    <w:rsid w:val="002E5BD2"/>
    <w:rsid w:val="002E6991"/>
    <w:rsid w:val="002F1B9C"/>
    <w:rsid w:val="002F7719"/>
    <w:rsid w:val="00300499"/>
    <w:rsid w:val="00302143"/>
    <w:rsid w:val="00303141"/>
    <w:rsid w:val="00303496"/>
    <w:rsid w:val="0030442F"/>
    <w:rsid w:val="0030619A"/>
    <w:rsid w:val="003069FD"/>
    <w:rsid w:val="003147A6"/>
    <w:rsid w:val="00321897"/>
    <w:rsid w:val="00323027"/>
    <w:rsid w:val="00323517"/>
    <w:rsid w:val="003258AE"/>
    <w:rsid w:val="003259EF"/>
    <w:rsid w:val="003261B5"/>
    <w:rsid w:val="00330FBB"/>
    <w:rsid w:val="003336FA"/>
    <w:rsid w:val="00334287"/>
    <w:rsid w:val="003343AD"/>
    <w:rsid w:val="00335DC7"/>
    <w:rsid w:val="00340E60"/>
    <w:rsid w:val="00341B9A"/>
    <w:rsid w:val="003426F4"/>
    <w:rsid w:val="00343160"/>
    <w:rsid w:val="00344E55"/>
    <w:rsid w:val="0034546D"/>
    <w:rsid w:val="00345EAD"/>
    <w:rsid w:val="003510EF"/>
    <w:rsid w:val="003525F3"/>
    <w:rsid w:val="00353592"/>
    <w:rsid w:val="00353A4E"/>
    <w:rsid w:val="00360FD6"/>
    <w:rsid w:val="003629A4"/>
    <w:rsid w:val="00363D56"/>
    <w:rsid w:val="00364C75"/>
    <w:rsid w:val="00365447"/>
    <w:rsid w:val="00366378"/>
    <w:rsid w:val="003670B7"/>
    <w:rsid w:val="00370B70"/>
    <w:rsid w:val="0037538D"/>
    <w:rsid w:val="003802A2"/>
    <w:rsid w:val="003814F7"/>
    <w:rsid w:val="00386381"/>
    <w:rsid w:val="003866EF"/>
    <w:rsid w:val="0039002E"/>
    <w:rsid w:val="003910FA"/>
    <w:rsid w:val="00391D11"/>
    <w:rsid w:val="003966DE"/>
    <w:rsid w:val="00397FE2"/>
    <w:rsid w:val="003A036C"/>
    <w:rsid w:val="003A0F84"/>
    <w:rsid w:val="003A22F9"/>
    <w:rsid w:val="003A4A59"/>
    <w:rsid w:val="003A4D45"/>
    <w:rsid w:val="003A75A2"/>
    <w:rsid w:val="003A7DD5"/>
    <w:rsid w:val="003B174B"/>
    <w:rsid w:val="003B1F69"/>
    <w:rsid w:val="003B201D"/>
    <w:rsid w:val="003B3912"/>
    <w:rsid w:val="003B7B0C"/>
    <w:rsid w:val="003C3F4D"/>
    <w:rsid w:val="003D05B7"/>
    <w:rsid w:val="003D0D60"/>
    <w:rsid w:val="003D3EB3"/>
    <w:rsid w:val="003D3FA9"/>
    <w:rsid w:val="003D443C"/>
    <w:rsid w:val="003E5145"/>
    <w:rsid w:val="003E5BCA"/>
    <w:rsid w:val="003E63BA"/>
    <w:rsid w:val="003E7AE6"/>
    <w:rsid w:val="003F020A"/>
    <w:rsid w:val="003F5F27"/>
    <w:rsid w:val="00402CF9"/>
    <w:rsid w:val="0040302D"/>
    <w:rsid w:val="00403246"/>
    <w:rsid w:val="00406F03"/>
    <w:rsid w:val="00407EEC"/>
    <w:rsid w:val="00411C53"/>
    <w:rsid w:val="004159CA"/>
    <w:rsid w:val="00415AE0"/>
    <w:rsid w:val="004166F6"/>
    <w:rsid w:val="00417376"/>
    <w:rsid w:val="004178EE"/>
    <w:rsid w:val="00417B79"/>
    <w:rsid w:val="004214FB"/>
    <w:rsid w:val="004216B0"/>
    <w:rsid w:val="00423584"/>
    <w:rsid w:val="004266E9"/>
    <w:rsid w:val="0042731B"/>
    <w:rsid w:val="00430169"/>
    <w:rsid w:val="0043214E"/>
    <w:rsid w:val="00432755"/>
    <w:rsid w:val="00432DE6"/>
    <w:rsid w:val="00434EB4"/>
    <w:rsid w:val="0043545F"/>
    <w:rsid w:val="00435D47"/>
    <w:rsid w:val="0043637B"/>
    <w:rsid w:val="004451EC"/>
    <w:rsid w:val="00446927"/>
    <w:rsid w:val="00446A8B"/>
    <w:rsid w:val="004472D2"/>
    <w:rsid w:val="00447E8E"/>
    <w:rsid w:val="00450A17"/>
    <w:rsid w:val="00450ED5"/>
    <w:rsid w:val="00451B18"/>
    <w:rsid w:val="00452E37"/>
    <w:rsid w:val="00453351"/>
    <w:rsid w:val="00454138"/>
    <w:rsid w:val="004552C8"/>
    <w:rsid w:val="004559B4"/>
    <w:rsid w:val="00456C92"/>
    <w:rsid w:val="00457092"/>
    <w:rsid w:val="004612A4"/>
    <w:rsid w:val="004627CA"/>
    <w:rsid w:val="00462F03"/>
    <w:rsid w:val="004664D3"/>
    <w:rsid w:val="004671D0"/>
    <w:rsid w:val="004714BE"/>
    <w:rsid w:val="00473BBC"/>
    <w:rsid w:val="00474134"/>
    <w:rsid w:val="00474601"/>
    <w:rsid w:val="00475A52"/>
    <w:rsid w:val="00475E2C"/>
    <w:rsid w:val="00480067"/>
    <w:rsid w:val="00480309"/>
    <w:rsid w:val="004851E3"/>
    <w:rsid w:val="00486884"/>
    <w:rsid w:val="00490D2A"/>
    <w:rsid w:val="0049136B"/>
    <w:rsid w:val="00493440"/>
    <w:rsid w:val="00495822"/>
    <w:rsid w:val="00496D05"/>
    <w:rsid w:val="00496E28"/>
    <w:rsid w:val="004A41AF"/>
    <w:rsid w:val="004B0377"/>
    <w:rsid w:val="004B1EC8"/>
    <w:rsid w:val="004B2473"/>
    <w:rsid w:val="004B301A"/>
    <w:rsid w:val="004B4393"/>
    <w:rsid w:val="004B7B93"/>
    <w:rsid w:val="004C0439"/>
    <w:rsid w:val="004C0744"/>
    <w:rsid w:val="004C09EA"/>
    <w:rsid w:val="004C1B84"/>
    <w:rsid w:val="004C340E"/>
    <w:rsid w:val="004C3B3E"/>
    <w:rsid w:val="004C4B23"/>
    <w:rsid w:val="004C58D8"/>
    <w:rsid w:val="004C7D30"/>
    <w:rsid w:val="004D2389"/>
    <w:rsid w:val="004D2AA0"/>
    <w:rsid w:val="004D4C59"/>
    <w:rsid w:val="004D61C6"/>
    <w:rsid w:val="004D7BA2"/>
    <w:rsid w:val="004E2BA1"/>
    <w:rsid w:val="004E559A"/>
    <w:rsid w:val="004E659C"/>
    <w:rsid w:val="004F09CA"/>
    <w:rsid w:val="004F229F"/>
    <w:rsid w:val="004F3EA0"/>
    <w:rsid w:val="004F5A44"/>
    <w:rsid w:val="004F713D"/>
    <w:rsid w:val="005003C7"/>
    <w:rsid w:val="0050110E"/>
    <w:rsid w:val="00503884"/>
    <w:rsid w:val="00513ED8"/>
    <w:rsid w:val="00514D9D"/>
    <w:rsid w:val="00514E19"/>
    <w:rsid w:val="005150F9"/>
    <w:rsid w:val="00517B57"/>
    <w:rsid w:val="005216AC"/>
    <w:rsid w:val="00522CB1"/>
    <w:rsid w:val="00526562"/>
    <w:rsid w:val="00526840"/>
    <w:rsid w:val="005278DC"/>
    <w:rsid w:val="00527986"/>
    <w:rsid w:val="0053038E"/>
    <w:rsid w:val="00535E70"/>
    <w:rsid w:val="0053758C"/>
    <w:rsid w:val="00540DD5"/>
    <w:rsid w:val="0054309D"/>
    <w:rsid w:val="00544F0E"/>
    <w:rsid w:val="005453C5"/>
    <w:rsid w:val="005454C0"/>
    <w:rsid w:val="00545CB1"/>
    <w:rsid w:val="00546545"/>
    <w:rsid w:val="00550944"/>
    <w:rsid w:val="00551A33"/>
    <w:rsid w:val="00552CBD"/>
    <w:rsid w:val="005603CB"/>
    <w:rsid w:val="00560702"/>
    <w:rsid w:val="005608BF"/>
    <w:rsid w:val="005622DB"/>
    <w:rsid w:val="005628A7"/>
    <w:rsid w:val="0056684C"/>
    <w:rsid w:val="0056789E"/>
    <w:rsid w:val="00567DD7"/>
    <w:rsid w:val="00571FCF"/>
    <w:rsid w:val="00573E91"/>
    <w:rsid w:val="00576F72"/>
    <w:rsid w:val="00577F88"/>
    <w:rsid w:val="005818E6"/>
    <w:rsid w:val="00582F9A"/>
    <w:rsid w:val="0058392E"/>
    <w:rsid w:val="0058507C"/>
    <w:rsid w:val="00586071"/>
    <w:rsid w:val="00586FBB"/>
    <w:rsid w:val="00587A32"/>
    <w:rsid w:val="00587B39"/>
    <w:rsid w:val="00590022"/>
    <w:rsid w:val="0059083F"/>
    <w:rsid w:val="00590EDC"/>
    <w:rsid w:val="005923F2"/>
    <w:rsid w:val="00595678"/>
    <w:rsid w:val="00597B8F"/>
    <w:rsid w:val="005A709D"/>
    <w:rsid w:val="005B19E4"/>
    <w:rsid w:val="005B2065"/>
    <w:rsid w:val="005B2C13"/>
    <w:rsid w:val="005B4A8C"/>
    <w:rsid w:val="005B5651"/>
    <w:rsid w:val="005B7EA0"/>
    <w:rsid w:val="005B7FDB"/>
    <w:rsid w:val="005C10F3"/>
    <w:rsid w:val="005C22B1"/>
    <w:rsid w:val="005C31C4"/>
    <w:rsid w:val="005C4098"/>
    <w:rsid w:val="005C44AB"/>
    <w:rsid w:val="005C54C0"/>
    <w:rsid w:val="005C5A66"/>
    <w:rsid w:val="005C5B53"/>
    <w:rsid w:val="005C607F"/>
    <w:rsid w:val="005C7983"/>
    <w:rsid w:val="005C7F64"/>
    <w:rsid w:val="005D12A2"/>
    <w:rsid w:val="005D2705"/>
    <w:rsid w:val="005D31A9"/>
    <w:rsid w:val="005D53BB"/>
    <w:rsid w:val="005E242D"/>
    <w:rsid w:val="005E2D46"/>
    <w:rsid w:val="005E4708"/>
    <w:rsid w:val="005E53BC"/>
    <w:rsid w:val="005F0FCC"/>
    <w:rsid w:val="005F11F2"/>
    <w:rsid w:val="005F183E"/>
    <w:rsid w:val="005F1C63"/>
    <w:rsid w:val="005F437A"/>
    <w:rsid w:val="0060025D"/>
    <w:rsid w:val="006005C5"/>
    <w:rsid w:val="00600B39"/>
    <w:rsid w:val="00600EC7"/>
    <w:rsid w:val="00605DF5"/>
    <w:rsid w:val="006109E9"/>
    <w:rsid w:val="00612D24"/>
    <w:rsid w:val="00614088"/>
    <w:rsid w:val="00615C72"/>
    <w:rsid w:val="00615E2C"/>
    <w:rsid w:val="00616E5A"/>
    <w:rsid w:val="006174DC"/>
    <w:rsid w:val="0062154F"/>
    <w:rsid w:val="00621592"/>
    <w:rsid w:val="00623543"/>
    <w:rsid w:val="006240F9"/>
    <w:rsid w:val="00624B41"/>
    <w:rsid w:val="00631521"/>
    <w:rsid w:val="00633BAB"/>
    <w:rsid w:val="006345C2"/>
    <w:rsid w:val="006365C7"/>
    <w:rsid w:val="0063688F"/>
    <w:rsid w:val="00641900"/>
    <w:rsid w:val="00641C8E"/>
    <w:rsid w:val="00644DE9"/>
    <w:rsid w:val="00645C1E"/>
    <w:rsid w:val="00646F88"/>
    <w:rsid w:val="00647652"/>
    <w:rsid w:val="006476D0"/>
    <w:rsid w:val="00650434"/>
    <w:rsid w:val="00651587"/>
    <w:rsid w:val="00651BD7"/>
    <w:rsid w:val="006538F1"/>
    <w:rsid w:val="00656115"/>
    <w:rsid w:val="00657349"/>
    <w:rsid w:val="0065743D"/>
    <w:rsid w:val="0066114F"/>
    <w:rsid w:val="00661595"/>
    <w:rsid w:val="006654F8"/>
    <w:rsid w:val="006741AF"/>
    <w:rsid w:val="00676897"/>
    <w:rsid w:val="00686C68"/>
    <w:rsid w:val="00687AFE"/>
    <w:rsid w:val="006939EE"/>
    <w:rsid w:val="00694143"/>
    <w:rsid w:val="0069586A"/>
    <w:rsid w:val="006A18BD"/>
    <w:rsid w:val="006A446B"/>
    <w:rsid w:val="006A753D"/>
    <w:rsid w:val="006B0F43"/>
    <w:rsid w:val="006B2B16"/>
    <w:rsid w:val="006B41C7"/>
    <w:rsid w:val="006B7813"/>
    <w:rsid w:val="006B78B9"/>
    <w:rsid w:val="006C2D8F"/>
    <w:rsid w:val="006C36AB"/>
    <w:rsid w:val="006C468E"/>
    <w:rsid w:val="006C5C8C"/>
    <w:rsid w:val="006C79ED"/>
    <w:rsid w:val="006C7BAC"/>
    <w:rsid w:val="006D2893"/>
    <w:rsid w:val="006D328D"/>
    <w:rsid w:val="006D3C89"/>
    <w:rsid w:val="006D41EA"/>
    <w:rsid w:val="006D611B"/>
    <w:rsid w:val="006E1C8C"/>
    <w:rsid w:val="006E3E18"/>
    <w:rsid w:val="006E5EC2"/>
    <w:rsid w:val="006E6845"/>
    <w:rsid w:val="006F414F"/>
    <w:rsid w:val="006F4FF2"/>
    <w:rsid w:val="006F7FB5"/>
    <w:rsid w:val="0070025B"/>
    <w:rsid w:val="007029DA"/>
    <w:rsid w:val="00702F2D"/>
    <w:rsid w:val="00703063"/>
    <w:rsid w:val="0070362B"/>
    <w:rsid w:val="007039C4"/>
    <w:rsid w:val="00704F5B"/>
    <w:rsid w:val="00705454"/>
    <w:rsid w:val="00710486"/>
    <w:rsid w:val="007104F2"/>
    <w:rsid w:val="0071582B"/>
    <w:rsid w:val="0071702D"/>
    <w:rsid w:val="007170B4"/>
    <w:rsid w:val="0072092D"/>
    <w:rsid w:val="00720B4D"/>
    <w:rsid w:val="007230D3"/>
    <w:rsid w:val="00724B2A"/>
    <w:rsid w:val="00727AA0"/>
    <w:rsid w:val="0073020D"/>
    <w:rsid w:val="0073269E"/>
    <w:rsid w:val="007334A6"/>
    <w:rsid w:val="007360D9"/>
    <w:rsid w:val="00737299"/>
    <w:rsid w:val="00740CBB"/>
    <w:rsid w:val="00741C6B"/>
    <w:rsid w:val="00743E65"/>
    <w:rsid w:val="007447D0"/>
    <w:rsid w:val="007451FE"/>
    <w:rsid w:val="00747A42"/>
    <w:rsid w:val="00750E34"/>
    <w:rsid w:val="00754180"/>
    <w:rsid w:val="00755228"/>
    <w:rsid w:val="0075635E"/>
    <w:rsid w:val="00756DAF"/>
    <w:rsid w:val="007603B9"/>
    <w:rsid w:val="00762313"/>
    <w:rsid w:val="0076568A"/>
    <w:rsid w:val="00766171"/>
    <w:rsid w:val="00766B7D"/>
    <w:rsid w:val="00767F51"/>
    <w:rsid w:val="00771232"/>
    <w:rsid w:val="0077163C"/>
    <w:rsid w:val="007732CC"/>
    <w:rsid w:val="00773D0D"/>
    <w:rsid w:val="0077470D"/>
    <w:rsid w:val="00775404"/>
    <w:rsid w:val="00776FE2"/>
    <w:rsid w:val="00781CA6"/>
    <w:rsid w:val="007849DA"/>
    <w:rsid w:val="00785AD7"/>
    <w:rsid w:val="00786238"/>
    <w:rsid w:val="0078628E"/>
    <w:rsid w:val="00792828"/>
    <w:rsid w:val="00794B6F"/>
    <w:rsid w:val="007A2B15"/>
    <w:rsid w:val="007A4481"/>
    <w:rsid w:val="007A7860"/>
    <w:rsid w:val="007B2F69"/>
    <w:rsid w:val="007B35EE"/>
    <w:rsid w:val="007B40D1"/>
    <w:rsid w:val="007B5544"/>
    <w:rsid w:val="007B6A55"/>
    <w:rsid w:val="007C0352"/>
    <w:rsid w:val="007C0C7D"/>
    <w:rsid w:val="007C1CCB"/>
    <w:rsid w:val="007C5D4C"/>
    <w:rsid w:val="007C7838"/>
    <w:rsid w:val="007D294B"/>
    <w:rsid w:val="007D2A8B"/>
    <w:rsid w:val="007D5265"/>
    <w:rsid w:val="007D616C"/>
    <w:rsid w:val="007E2B90"/>
    <w:rsid w:val="007E763C"/>
    <w:rsid w:val="007F0E68"/>
    <w:rsid w:val="007F0F41"/>
    <w:rsid w:val="007F1E43"/>
    <w:rsid w:val="007F2F59"/>
    <w:rsid w:val="007F33EA"/>
    <w:rsid w:val="007F37A4"/>
    <w:rsid w:val="007F38E0"/>
    <w:rsid w:val="007F4952"/>
    <w:rsid w:val="007F6B91"/>
    <w:rsid w:val="007F78D3"/>
    <w:rsid w:val="00803212"/>
    <w:rsid w:val="00805034"/>
    <w:rsid w:val="00805D15"/>
    <w:rsid w:val="00807F9A"/>
    <w:rsid w:val="00810F85"/>
    <w:rsid w:val="00811A0A"/>
    <w:rsid w:val="008131C5"/>
    <w:rsid w:val="00813D1F"/>
    <w:rsid w:val="0081710D"/>
    <w:rsid w:val="0081781E"/>
    <w:rsid w:val="00821059"/>
    <w:rsid w:val="008211B2"/>
    <w:rsid w:val="008215EF"/>
    <w:rsid w:val="008222E3"/>
    <w:rsid w:val="0082274D"/>
    <w:rsid w:val="00825EDF"/>
    <w:rsid w:val="00826343"/>
    <w:rsid w:val="008302D5"/>
    <w:rsid w:val="00832957"/>
    <w:rsid w:val="00834FB1"/>
    <w:rsid w:val="00835120"/>
    <w:rsid w:val="008358F9"/>
    <w:rsid w:val="00837FF6"/>
    <w:rsid w:val="00842F00"/>
    <w:rsid w:val="00843893"/>
    <w:rsid w:val="00844ECA"/>
    <w:rsid w:val="00844F88"/>
    <w:rsid w:val="0084625F"/>
    <w:rsid w:val="008510CE"/>
    <w:rsid w:val="00852B2D"/>
    <w:rsid w:val="0085410F"/>
    <w:rsid w:val="00854B53"/>
    <w:rsid w:val="0085548B"/>
    <w:rsid w:val="00856CDA"/>
    <w:rsid w:val="0086071D"/>
    <w:rsid w:val="008607F2"/>
    <w:rsid w:val="00861785"/>
    <w:rsid w:val="00861971"/>
    <w:rsid w:val="0086231B"/>
    <w:rsid w:val="00862E8E"/>
    <w:rsid w:val="00865C41"/>
    <w:rsid w:val="008663B0"/>
    <w:rsid w:val="0086658E"/>
    <w:rsid w:val="00867400"/>
    <w:rsid w:val="0087079F"/>
    <w:rsid w:val="00882071"/>
    <w:rsid w:val="00890F4E"/>
    <w:rsid w:val="008940FF"/>
    <w:rsid w:val="00894A85"/>
    <w:rsid w:val="00896F47"/>
    <w:rsid w:val="008A1E8F"/>
    <w:rsid w:val="008A2290"/>
    <w:rsid w:val="008A3B52"/>
    <w:rsid w:val="008A5F76"/>
    <w:rsid w:val="008B0749"/>
    <w:rsid w:val="008B1297"/>
    <w:rsid w:val="008B2570"/>
    <w:rsid w:val="008B35C9"/>
    <w:rsid w:val="008B41E3"/>
    <w:rsid w:val="008B70BF"/>
    <w:rsid w:val="008B7A7A"/>
    <w:rsid w:val="008C0576"/>
    <w:rsid w:val="008C18DD"/>
    <w:rsid w:val="008C3816"/>
    <w:rsid w:val="008C5177"/>
    <w:rsid w:val="008D387A"/>
    <w:rsid w:val="008D74B0"/>
    <w:rsid w:val="008D79E3"/>
    <w:rsid w:val="008E2930"/>
    <w:rsid w:val="008E3266"/>
    <w:rsid w:val="008E354B"/>
    <w:rsid w:val="008E5060"/>
    <w:rsid w:val="008E592D"/>
    <w:rsid w:val="008E59CF"/>
    <w:rsid w:val="008E6195"/>
    <w:rsid w:val="008E6924"/>
    <w:rsid w:val="008E7C4A"/>
    <w:rsid w:val="008F0CAF"/>
    <w:rsid w:val="008F250A"/>
    <w:rsid w:val="008F30FD"/>
    <w:rsid w:val="009004F1"/>
    <w:rsid w:val="00903143"/>
    <w:rsid w:val="00904AAC"/>
    <w:rsid w:val="009065F5"/>
    <w:rsid w:val="009078AB"/>
    <w:rsid w:val="0091144F"/>
    <w:rsid w:val="00912CCE"/>
    <w:rsid w:val="00912EA2"/>
    <w:rsid w:val="0091517C"/>
    <w:rsid w:val="009154DA"/>
    <w:rsid w:val="00916BA6"/>
    <w:rsid w:val="00917318"/>
    <w:rsid w:val="00921958"/>
    <w:rsid w:val="00922D8C"/>
    <w:rsid w:val="00923257"/>
    <w:rsid w:val="00923625"/>
    <w:rsid w:val="00923DE3"/>
    <w:rsid w:val="00923F0A"/>
    <w:rsid w:val="00925E63"/>
    <w:rsid w:val="00934379"/>
    <w:rsid w:val="009345F6"/>
    <w:rsid w:val="00941125"/>
    <w:rsid w:val="00941B17"/>
    <w:rsid w:val="00941B9C"/>
    <w:rsid w:val="0094654D"/>
    <w:rsid w:val="00951403"/>
    <w:rsid w:val="00953F09"/>
    <w:rsid w:val="009554A9"/>
    <w:rsid w:val="0095688D"/>
    <w:rsid w:val="00957023"/>
    <w:rsid w:val="0095706F"/>
    <w:rsid w:val="009572ED"/>
    <w:rsid w:val="00960A25"/>
    <w:rsid w:val="00962F86"/>
    <w:rsid w:val="00964F6E"/>
    <w:rsid w:val="0096586A"/>
    <w:rsid w:val="00966E6F"/>
    <w:rsid w:val="009702A0"/>
    <w:rsid w:val="00970DD5"/>
    <w:rsid w:val="00971D3C"/>
    <w:rsid w:val="00972699"/>
    <w:rsid w:val="00973021"/>
    <w:rsid w:val="00974AB5"/>
    <w:rsid w:val="00975D30"/>
    <w:rsid w:val="0097714B"/>
    <w:rsid w:val="00981768"/>
    <w:rsid w:val="00981F6D"/>
    <w:rsid w:val="00982513"/>
    <w:rsid w:val="00984F3D"/>
    <w:rsid w:val="00985077"/>
    <w:rsid w:val="009865BE"/>
    <w:rsid w:val="009866F8"/>
    <w:rsid w:val="00987BFE"/>
    <w:rsid w:val="00992B18"/>
    <w:rsid w:val="009937B8"/>
    <w:rsid w:val="00993F82"/>
    <w:rsid w:val="00994AEB"/>
    <w:rsid w:val="009965B4"/>
    <w:rsid w:val="00996AFF"/>
    <w:rsid w:val="009971E7"/>
    <w:rsid w:val="009A0EED"/>
    <w:rsid w:val="009A1BF2"/>
    <w:rsid w:val="009A1FD6"/>
    <w:rsid w:val="009A3801"/>
    <w:rsid w:val="009A5E46"/>
    <w:rsid w:val="009B01B4"/>
    <w:rsid w:val="009B02D4"/>
    <w:rsid w:val="009B07D8"/>
    <w:rsid w:val="009B1488"/>
    <w:rsid w:val="009B3705"/>
    <w:rsid w:val="009B59FC"/>
    <w:rsid w:val="009B619D"/>
    <w:rsid w:val="009C0840"/>
    <w:rsid w:val="009C188A"/>
    <w:rsid w:val="009C1B01"/>
    <w:rsid w:val="009C2779"/>
    <w:rsid w:val="009C5EDB"/>
    <w:rsid w:val="009D233E"/>
    <w:rsid w:val="009D6192"/>
    <w:rsid w:val="009D6B94"/>
    <w:rsid w:val="009D70DC"/>
    <w:rsid w:val="009E327C"/>
    <w:rsid w:val="009E60C2"/>
    <w:rsid w:val="009E76C1"/>
    <w:rsid w:val="009F3CA9"/>
    <w:rsid w:val="009F4B75"/>
    <w:rsid w:val="009F7CC2"/>
    <w:rsid w:val="00A06251"/>
    <w:rsid w:val="00A10430"/>
    <w:rsid w:val="00A117B7"/>
    <w:rsid w:val="00A1187F"/>
    <w:rsid w:val="00A148F3"/>
    <w:rsid w:val="00A16DA8"/>
    <w:rsid w:val="00A17460"/>
    <w:rsid w:val="00A212C0"/>
    <w:rsid w:val="00A22745"/>
    <w:rsid w:val="00A23183"/>
    <w:rsid w:val="00A2354D"/>
    <w:rsid w:val="00A26DD6"/>
    <w:rsid w:val="00A26DDD"/>
    <w:rsid w:val="00A30800"/>
    <w:rsid w:val="00A3313E"/>
    <w:rsid w:val="00A35F77"/>
    <w:rsid w:val="00A37607"/>
    <w:rsid w:val="00A41817"/>
    <w:rsid w:val="00A44B15"/>
    <w:rsid w:val="00A47F46"/>
    <w:rsid w:val="00A5182D"/>
    <w:rsid w:val="00A519EE"/>
    <w:rsid w:val="00A522EC"/>
    <w:rsid w:val="00A538D5"/>
    <w:rsid w:val="00A53D1F"/>
    <w:rsid w:val="00A55053"/>
    <w:rsid w:val="00A55641"/>
    <w:rsid w:val="00A55813"/>
    <w:rsid w:val="00A60A78"/>
    <w:rsid w:val="00A6128C"/>
    <w:rsid w:val="00A666E2"/>
    <w:rsid w:val="00A71612"/>
    <w:rsid w:val="00A71CF4"/>
    <w:rsid w:val="00A72133"/>
    <w:rsid w:val="00A73848"/>
    <w:rsid w:val="00A76186"/>
    <w:rsid w:val="00A76AD6"/>
    <w:rsid w:val="00A76D8D"/>
    <w:rsid w:val="00A8056A"/>
    <w:rsid w:val="00A81292"/>
    <w:rsid w:val="00A83603"/>
    <w:rsid w:val="00A8505A"/>
    <w:rsid w:val="00A852F6"/>
    <w:rsid w:val="00A858AC"/>
    <w:rsid w:val="00A85AC8"/>
    <w:rsid w:val="00A9183F"/>
    <w:rsid w:val="00A928C9"/>
    <w:rsid w:val="00A97289"/>
    <w:rsid w:val="00AA1022"/>
    <w:rsid w:val="00AA43F4"/>
    <w:rsid w:val="00AA4563"/>
    <w:rsid w:val="00AA4E9A"/>
    <w:rsid w:val="00AA57DC"/>
    <w:rsid w:val="00AA5889"/>
    <w:rsid w:val="00AA69BA"/>
    <w:rsid w:val="00AA70DB"/>
    <w:rsid w:val="00AB10CA"/>
    <w:rsid w:val="00AB3A38"/>
    <w:rsid w:val="00AB6434"/>
    <w:rsid w:val="00AC0B85"/>
    <w:rsid w:val="00AC6573"/>
    <w:rsid w:val="00AC6B84"/>
    <w:rsid w:val="00AC6D2D"/>
    <w:rsid w:val="00AC7085"/>
    <w:rsid w:val="00AD0351"/>
    <w:rsid w:val="00AD1843"/>
    <w:rsid w:val="00AD28E9"/>
    <w:rsid w:val="00AD2D5E"/>
    <w:rsid w:val="00AD691A"/>
    <w:rsid w:val="00AE0DBA"/>
    <w:rsid w:val="00AE2071"/>
    <w:rsid w:val="00AE22CA"/>
    <w:rsid w:val="00AE230C"/>
    <w:rsid w:val="00AE4CC6"/>
    <w:rsid w:val="00AE6188"/>
    <w:rsid w:val="00AE6BEB"/>
    <w:rsid w:val="00AE7FFB"/>
    <w:rsid w:val="00AF0E64"/>
    <w:rsid w:val="00AF32E8"/>
    <w:rsid w:val="00AF5804"/>
    <w:rsid w:val="00B011C8"/>
    <w:rsid w:val="00B03FED"/>
    <w:rsid w:val="00B0481F"/>
    <w:rsid w:val="00B06189"/>
    <w:rsid w:val="00B07736"/>
    <w:rsid w:val="00B11B99"/>
    <w:rsid w:val="00B15F37"/>
    <w:rsid w:val="00B175BD"/>
    <w:rsid w:val="00B17B91"/>
    <w:rsid w:val="00B21A77"/>
    <w:rsid w:val="00B22BBC"/>
    <w:rsid w:val="00B24859"/>
    <w:rsid w:val="00B24BA8"/>
    <w:rsid w:val="00B25211"/>
    <w:rsid w:val="00B3142C"/>
    <w:rsid w:val="00B32125"/>
    <w:rsid w:val="00B34526"/>
    <w:rsid w:val="00B3468E"/>
    <w:rsid w:val="00B3560E"/>
    <w:rsid w:val="00B359F4"/>
    <w:rsid w:val="00B35E4E"/>
    <w:rsid w:val="00B35FDB"/>
    <w:rsid w:val="00B36FA3"/>
    <w:rsid w:val="00B37570"/>
    <w:rsid w:val="00B4359F"/>
    <w:rsid w:val="00B4605C"/>
    <w:rsid w:val="00B468C8"/>
    <w:rsid w:val="00B50D58"/>
    <w:rsid w:val="00B510A2"/>
    <w:rsid w:val="00B51E85"/>
    <w:rsid w:val="00B60A16"/>
    <w:rsid w:val="00B61025"/>
    <w:rsid w:val="00B6215E"/>
    <w:rsid w:val="00B63012"/>
    <w:rsid w:val="00B658CF"/>
    <w:rsid w:val="00B66A03"/>
    <w:rsid w:val="00B73145"/>
    <w:rsid w:val="00B7464F"/>
    <w:rsid w:val="00B75D92"/>
    <w:rsid w:val="00B77A04"/>
    <w:rsid w:val="00B83279"/>
    <w:rsid w:val="00B83CF9"/>
    <w:rsid w:val="00B90B8A"/>
    <w:rsid w:val="00B9606B"/>
    <w:rsid w:val="00B97746"/>
    <w:rsid w:val="00BA23DB"/>
    <w:rsid w:val="00BA3790"/>
    <w:rsid w:val="00BA5793"/>
    <w:rsid w:val="00BA5EF5"/>
    <w:rsid w:val="00BB3C08"/>
    <w:rsid w:val="00BB5B8C"/>
    <w:rsid w:val="00BB5D8D"/>
    <w:rsid w:val="00BB5EB1"/>
    <w:rsid w:val="00BB797E"/>
    <w:rsid w:val="00BC0C9F"/>
    <w:rsid w:val="00BC271F"/>
    <w:rsid w:val="00BC3C6A"/>
    <w:rsid w:val="00BC55C0"/>
    <w:rsid w:val="00BC5833"/>
    <w:rsid w:val="00BD0C11"/>
    <w:rsid w:val="00BD12C7"/>
    <w:rsid w:val="00BD1327"/>
    <w:rsid w:val="00BD15AC"/>
    <w:rsid w:val="00BD2AFB"/>
    <w:rsid w:val="00BD37BD"/>
    <w:rsid w:val="00BD3B4B"/>
    <w:rsid w:val="00BD5E5F"/>
    <w:rsid w:val="00BD76C9"/>
    <w:rsid w:val="00BD784F"/>
    <w:rsid w:val="00BE1743"/>
    <w:rsid w:val="00BE465B"/>
    <w:rsid w:val="00BE5470"/>
    <w:rsid w:val="00BE6AA8"/>
    <w:rsid w:val="00BF1894"/>
    <w:rsid w:val="00BF6EFD"/>
    <w:rsid w:val="00C0053A"/>
    <w:rsid w:val="00C00C4A"/>
    <w:rsid w:val="00C01EEC"/>
    <w:rsid w:val="00C03F91"/>
    <w:rsid w:val="00C05CB5"/>
    <w:rsid w:val="00C11540"/>
    <w:rsid w:val="00C11C6D"/>
    <w:rsid w:val="00C13D99"/>
    <w:rsid w:val="00C158DF"/>
    <w:rsid w:val="00C1593F"/>
    <w:rsid w:val="00C162DF"/>
    <w:rsid w:val="00C212FF"/>
    <w:rsid w:val="00C2222D"/>
    <w:rsid w:val="00C226CA"/>
    <w:rsid w:val="00C25045"/>
    <w:rsid w:val="00C25413"/>
    <w:rsid w:val="00C34566"/>
    <w:rsid w:val="00C3650C"/>
    <w:rsid w:val="00C3693F"/>
    <w:rsid w:val="00C36CC7"/>
    <w:rsid w:val="00C40C51"/>
    <w:rsid w:val="00C42A98"/>
    <w:rsid w:val="00C43952"/>
    <w:rsid w:val="00C45D00"/>
    <w:rsid w:val="00C47B30"/>
    <w:rsid w:val="00C53733"/>
    <w:rsid w:val="00C53904"/>
    <w:rsid w:val="00C553B3"/>
    <w:rsid w:val="00C56CE3"/>
    <w:rsid w:val="00C60CFB"/>
    <w:rsid w:val="00C61A2A"/>
    <w:rsid w:val="00C62C5C"/>
    <w:rsid w:val="00C63E17"/>
    <w:rsid w:val="00C64421"/>
    <w:rsid w:val="00C66683"/>
    <w:rsid w:val="00C716D3"/>
    <w:rsid w:val="00C726D4"/>
    <w:rsid w:val="00C73D5E"/>
    <w:rsid w:val="00C74869"/>
    <w:rsid w:val="00C74C6F"/>
    <w:rsid w:val="00C75876"/>
    <w:rsid w:val="00C76496"/>
    <w:rsid w:val="00C77CC2"/>
    <w:rsid w:val="00C8290D"/>
    <w:rsid w:val="00C83657"/>
    <w:rsid w:val="00C84424"/>
    <w:rsid w:val="00C93EC2"/>
    <w:rsid w:val="00C950D2"/>
    <w:rsid w:val="00CA1149"/>
    <w:rsid w:val="00CA27C2"/>
    <w:rsid w:val="00CA748E"/>
    <w:rsid w:val="00CB0D70"/>
    <w:rsid w:val="00CB13A5"/>
    <w:rsid w:val="00CB154C"/>
    <w:rsid w:val="00CB1B00"/>
    <w:rsid w:val="00CB2AF7"/>
    <w:rsid w:val="00CB5119"/>
    <w:rsid w:val="00CB54A7"/>
    <w:rsid w:val="00CB63B0"/>
    <w:rsid w:val="00CB6A48"/>
    <w:rsid w:val="00CB6B01"/>
    <w:rsid w:val="00CC0341"/>
    <w:rsid w:val="00CC2240"/>
    <w:rsid w:val="00CC314F"/>
    <w:rsid w:val="00CC6021"/>
    <w:rsid w:val="00CC7447"/>
    <w:rsid w:val="00CD0AE7"/>
    <w:rsid w:val="00CD0D9B"/>
    <w:rsid w:val="00CD36E0"/>
    <w:rsid w:val="00CD4FB1"/>
    <w:rsid w:val="00CD6064"/>
    <w:rsid w:val="00CD6086"/>
    <w:rsid w:val="00CD7796"/>
    <w:rsid w:val="00CE1F82"/>
    <w:rsid w:val="00CE31A0"/>
    <w:rsid w:val="00CE4095"/>
    <w:rsid w:val="00CE5A30"/>
    <w:rsid w:val="00CE5D0C"/>
    <w:rsid w:val="00CE62F7"/>
    <w:rsid w:val="00CF354A"/>
    <w:rsid w:val="00CF6D26"/>
    <w:rsid w:val="00CF7190"/>
    <w:rsid w:val="00D00477"/>
    <w:rsid w:val="00D01E57"/>
    <w:rsid w:val="00D01F6F"/>
    <w:rsid w:val="00D0287B"/>
    <w:rsid w:val="00D073F6"/>
    <w:rsid w:val="00D1067F"/>
    <w:rsid w:val="00D119A2"/>
    <w:rsid w:val="00D15E6F"/>
    <w:rsid w:val="00D2252F"/>
    <w:rsid w:val="00D2265D"/>
    <w:rsid w:val="00D256E8"/>
    <w:rsid w:val="00D26E62"/>
    <w:rsid w:val="00D27D8F"/>
    <w:rsid w:val="00D30239"/>
    <w:rsid w:val="00D3242F"/>
    <w:rsid w:val="00D3321D"/>
    <w:rsid w:val="00D35E21"/>
    <w:rsid w:val="00D37858"/>
    <w:rsid w:val="00D37B6C"/>
    <w:rsid w:val="00D37BD5"/>
    <w:rsid w:val="00D37C7C"/>
    <w:rsid w:val="00D4067B"/>
    <w:rsid w:val="00D41F11"/>
    <w:rsid w:val="00D4511A"/>
    <w:rsid w:val="00D51680"/>
    <w:rsid w:val="00D55A08"/>
    <w:rsid w:val="00D57616"/>
    <w:rsid w:val="00D63709"/>
    <w:rsid w:val="00D63C48"/>
    <w:rsid w:val="00D649D6"/>
    <w:rsid w:val="00D67433"/>
    <w:rsid w:val="00D6746D"/>
    <w:rsid w:val="00D709D7"/>
    <w:rsid w:val="00D72A78"/>
    <w:rsid w:val="00D72B67"/>
    <w:rsid w:val="00D73CE1"/>
    <w:rsid w:val="00D74E1B"/>
    <w:rsid w:val="00D7708A"/>
    <w:rsid w:val="00D8097E"/>
    <w:rsid w:val="00D83312"/>
    <w:rsid w:val="00D83F38"/>
    <w:rsid w:val="00D85CEE"/>
    <w:rsid w:val="00D85FDC"/>
    <w:rsid w:val="00D87C9B"/>
    <w:rsid w:val="00D92286"/>
    <w:rsid w:val="00D96F55"/>
    <w:rsid w:val="00DA15C1"/>
    <w:rsid w:val="00DA3561"/>
    <w:rsid w:val="00DA57CB"/>
    <w:rsid w:val="00DA5ABF"/>
    <w:rsid w:val="00DA62E5"/>
    <w:rsid w:val="00DA77C6"/>
    <w:rsid w:val="00DB4704"/>
    <w:rsid w:val="00DB5998"/>
    <w:rsid w:val="00DB653F"/>
    <w:rsid w:val="00DC0C4C"/>
    <w:rsid w:val="00DC2F68"/>
    <w:rsid w:val="00DC6357"/>
    <w:rsid w:val="00DD14D1"/>
    <w:rsid w:val="00DD3B94"/>
    <w:rsid w:val="00DD6119"/>
    <w:rsid w:val="00DD702F"/>
    <w:rsid w:val="00DD71CF"/>
    <w:rsid w:val="00DE1463"/>
    <w:rsid w:val="00DE49F3"/>
    <w:rsid w:val="00DE4A4E"/>
    <w:rsid w:val="00DE6C2A"/>
    <w:rsid w:val="00DF08BD"/>
    <w:rsid w:val="00DF1A9A"/>
    <w:rsid w:val="00DF25DC"/>
    <w:rsid w:val="00DF333D"/>
    <w:rsid w:val="00DF51E1"/>
    <w:rsid w:val="00E00722"/>
    <w:rsid w:val="00E01520"/>
    <w:rsid w:val="00E019CC"/>
    <w:rsid w:val="00E04D19"/>
    <w:rsid w:val="00E06B92"/>
    <w:rsid w:val="00E103C4"/>
    <w:rsid w:val="00E1701D"/>
    <w:rsid w:val="00E178DC"/>
    <w:rsid w:val="00E238F8"/>
    <w:rsid w:val="00E26A7E"/>
    <w:rsid w:val="00E26FD1"/>
    <w:rsid w:val="00E3451D"/>
    <w:rsid w:val="00E4026A"/>
    <w:rsid w:val="00E408A2"/>
    <w:rsid w:val="00E41427"/>
    <w:rsid w:val="00E42D22"/>
    <w:rsid w:val="00E438F9"/>
    <w:rsid w:val="00E45533"/>
    <w:rsid w:val="00E45D5A"/>
    <w:rsid w:val="00E46489"/>
    <w:rsid w:val="00E46751"/>
    <w:rsid w:val="00E46FFC"/>
    <w:rsid w:val="00E537F5"/>
    <w:rsid w:val="00E55390"/>
    <w:rsid w:val="00E6167A"/>
    <w:rsid w:val="00E632D8"/>
    <w:rsid w:val="00E63E22"/>
    <w:rsid w:val="00E64C94"/>
    <w:rsid w:val="00E704EC"/>
    <w:rsid w:val="00E72B98"/>
    <w:rsid w:val="00E74FB1"/>
    <w:rsid w:val="00E85598"/>
    <w:rsid w:val="00E865BF"/>
    <w:rsid w:val="00E90A26"/>
    <w:rsid w:val="00E9239B"/>
    <w:rsid w:val="00E925D8"/>
    <w:rsid w:val="00E92B9E"/>
    <w:rsid w:val="00E9324F"/>
    <w:rsid w:val="00E95AEA"/>
    <w:rsid w:val="00EA0BAF"/>
    <w:rsid w:val="00EA13DE"/>
    <w:rsid w:val="00EA1E5D"/>
    <w:rsid w:val="00EA1F2D"/>
    <w:rsid w:val="00EA5956"/>
    <w:rsid w:val="00EA6E16"/>
    <w:rsid w:val="00EB0734"/>
    <w:rsid w:val="00EB1B47"/>
    <w:rsid w:val="00EB34B0"/>
    <w:rsid w:val="00EB3B46"/>
    <w:rsid w:val="00EB4E3E"/>
    <w:rsid w:val="00EB65D7"/>
    <w:rsid w:val="00EB690B"/>
    <w:rsid w:val="00EB6BED"/>
    <w:rsid w:val="00EB6E15"/>
    <w:rsid w:val="00EB6F4D"/>
    <w:rsid w:val="00EC237D"/>
    <w:rsid w:val="00EC3BF0"/>
    <w:rsid w:val="00EC4C8D"/>
    <w:rsid w:val="00ED19F5"/>
    <w:rsid w:val="00ED4C1B"/>
    <w:rsid w:val="00ED4F7D"/>
    <w:rsid w:val="00ED6D33"/>
    <w:rsid w:val="00ED70F2"/>
    <w:rsid w:val="00ED7C34"/>
    <w:rsid w:val="00ED7C71"/>
    <w:rsid w:val="00EE367E"/>
    <w:rsid w:val="00EE4881"/>
    <w:rsid w:val="00EE515B"/>
    <w:rsid w:val="00EE63A9"/>
    <w:rsid w:val="00EE6B10"/>
    <w:rsid w:val="00EE6E33"/>
    <w:rsid w:val="00EE7530"/>
    <w:rsid w:val="00EF0267"/>
    <w:rsid w:val="00EF1E66"/>
    <w:rsid w:val="00EF28B3"/>
    <w:rsid w:val="00EF3E70"/>
    <w:rsid w:val="00EF5625"/>
    <w:rsid w:val="00F0184F"/>
    <w:rsid w:val="00F043ED"/>
    <w:rsid w:val="00F044E3"/>
    <w:rsid w:val="00F05F2B"/>
    <w:rsid w:val="00F0628C"/>
    <w:rsid w:val="00F06532"/>
    <w:rsid w:val="00F12752"/>
    <w:rsid w:val="00F12769"/>
    <w:rsid w:val="00F177F2"/>
    <w:rsid w:val="00F17B07"/>
    <w:rsid w:val="00F17F08"/>
    <w:rsid w:val="00F20518"/>
    <w:rsid w:val="00F221F2"/>
    <w:rsid w:val="00F22374"/>
    <w:rsid w:val="00F241E6"/>
    <w:rsid w:val="00F265B1"/>
    <w:rsid w:val="00F27C60"/>
    <w:rsid w:val="00F3052B"/>
    <w:rsid w:val="00F30B63"/>
    <w:rsid w:val="00F36932"/>
    <w:rsid w:val="00F3710F"/>
    <w:rsid w:val="00F371AD"/>
    <w:rsid w:val="00F42E64"/>
    <w:rsid w:val="00F43148"/>
    <w:rsid w:val="00F451C8"/>
    <w:rsid w:val="00F4660D"/>
    <w:rsid w:val="00F52482"/>
    <w:rsid w:val="00F52B00"/>
    <w:rsid w:val="00F52E2C"/>
    <w:rsid w:val="00F53571"/>
    <w:rsid w:val="00F5392A"/>
    <w:rsid w:val="00F56DD3"/>
    <w:rsid w:val="00F57186"/>
    <w:rsid w:val="00F627C2"/>
    <w:rsid w:val="00F629A4"/>
    <w:rsid w:val="00F711C3"/>
    <w:rsid w:val="00F809DF"/>
    <w:rsid w:val="00F8155B"/>
    <w:rsid w:val="00F8251A"/>
    <w:rsid w:val="00F82E4C"/>
    <w:rsid w:val="00F8483C"/>
    <w:rsid w:val="00F85C06"/>
    <w:rsid w:val="00F8749D"/>
    <w:rsid w:val="00F9011A"/>
    <w:rsid w:val="00F907FA"/>
    <w:rsid w:val="00F95634"/>
    <w:rsid w:val="00F96A7F"/>
    <w:rsid w:val="00F96ACA"/>
    <w:rsid w:val="00FA2A9C"/>
    <w:rsid w:val="00FA3452"/>
    <w:rsid w:val="00FA6A9B"/>
    <w:rsid w:val="00FA7342"/>
    <w:rsid w:val="00FA7B7E"/>
    <w:rsid w:val="00FB7890"/>
    <w:rsid w:val="00FC19CB"/>
    <w:rsid w:val="00FC4F30"/>
    <w:rsid w:val="00FC78F5"/>
    <w:rsid w:val="00FD30E8"/>
    <w:rsid w:val="00FD7A20"/>
    <w:rsid w:val="00FE04A8"/>
    <w:rsid w:val="00FE23F6"/>
    <w:rsid w:val="00FE41CF"/>
    <w:rsid w:val="00FE43D5"/>
    <w:rsid w:val="00FE4E6F"/>
    <w:rsid w:val="00FE553C"/>
    <w:rsid w:val="00FE67D1"/>
    <w:rsid w:val="00FE69C6"/>
    <w:rsid w:val="00FE77FC"/>
    <w:rsid w:val="00FF185E"/>
    <w:rsid w:val="00FF1FDE"/>
    <w:rsid w:val="00FF4DF9"/>
    <w:rsid w:val="00FF77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A39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98"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qFormat/>
    <w:rsid w:val="009065F5"/>
    <w:pPr>
      <w:spacing w:after="200" w:line="276" w:lineRule="auto"/>
    </w:pPr>
    <w:rPr>
      <w:rFonts w:ascii="Arial" w:hAnsi="Arial"/>
    </w:rPr>
  </w:style>
  <w:style w:type="paragraph" w:styleId="Heading1">
    <w:name w:val="heading 1"/>
    <w:aliases w:val="CAB Section Heading,Heading 1 Cab"/>
    <w:next w:val="BodyText"/>
    <w:link w:val="Heading1Char"/>
    <w:uiPriority w:val="9"/>
    <w:qFormat/>
    <w:rsid w:val="009065F5"/>
    <w:pPr>
      <w:keepNext/>
      <w:keepLines/>
      <w:tabs>
        <w:tab w:val="left" w:pos="567"/>
      </w:tabs>
      <w:spacing w:before="240" w:after="200" w:line="240" w:lineRule="auto"/>
      <w:ind w:left="360" w:hanging="360"/>
      <w:outlineLvl w:val="0"/>
    </w:pPr>
    <w:rPr>
      <w:rFonts w:ascii="Arial" w:eastAsiaTheme="majorEastAsia" w:hAnsi="Arial" w:cstheme="majorBidi"/>
      <w:color w:val="003865"/>
      <w:sz w:val="28"/>
      <w:szCs w:val="28"/>
    </w:rPr>
  </w:style>
  <w:style w:type="paragraph" w:styleId="Heading2">
    <w:name w:val="heading 2"/>
    <w:aliases w:val="Heading 2 Cab"/>
    <w:next w:val="Normal"/>
    <w:link w:val="Heading2Char"/>
    <w:uiPriority w:val="4"/>
    <w:semiHidden/>
    <w:unhideWhenUsed/>
    <w:qFormat/>
    <w:rsid w:val="009065F5"/>
    <w:pPr>
      <w:keepNext/>
      <w:keepLines/>
      <w:spacing w:before="200" w:after="0" w:line="240" w:lineRule="auto"/>
      <w:outlineLvl w:val="1"/>
    </w:pPr>
    <w:rPr>
      <w:rFonts w:ascii="Arial" w:eastAsiaTheme="majorEastAsia" w:hAnsi="Arial"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B Section Heading Char,Heading 1 Cab Char"/>
    <w:basedOn w:val="DefaultParagraphFont"/>
    <w:link w:val="Heading1"/>
    <w:uiPriority w:val="9"/>
    <w:rsid w:val="009065F5"/>
    <w:rPr>
      <w:rFonts w:ascii="Arial" w:eastAsiaTheme="majorEastAsia" w:hAnsi="Arial" w:cstheme="majorBidi"/>
      <w:color w:val="003865"/>
      <w:sz w:val="28"/>
      <w:szCs w:val="28"/>
    </w:rPr>
  </w:style>
  <w:style w:type="character" w:customStyle="1" w:styleId="Heading2Char">
    <w:name w:val="Heading 2 Char"/>
    <w:aliases w:val="Heading 2 Cab Char"/>
    <w:basedOn w:val="DefaultParagraphFont"/>
    <w:link w:val="Heading2"/>
    <w:uiPriority w:val="4"/>
    <w:semiHidden/>
    <w:rsid w:val="009065F5"/>
    <w:rPr>
      <w:rFonts w:ascii="Arial" w:eastAsiaTheme="majorEastAsia" w:hAnsi="Arial" w:cstheme="majorBidi"/>
      <w:sz w:val="24"/>
      <w:szCs w:val="32"/>
    </w:rPr>
  </w:style>
  <w:style w:type="paragraph" w:styleId="CommentText">
    <w:name w:val="annotation text"/>
    <w:basedOn w:val="Normal"/>
    <w:link w:val="CommentTextChar"/>
    <w:uiPriority w:val="99"/>
    <w:unhideWhenUsed/>
    <w:rsid w:val="009065F5"/>
    <w:rPr>
      <w:sz w:val="20"/>
      <w:szCs w:val="20"/>
    </w:rPr>
  </w:style>
  <w:style w:type="character" w:customStyle="1" w:styleId="CommentTextChar">
    <w:name w:val="Comment Text Char"/>
    <w:basedOn w:val="DefaultParagraphFont"/>
    <w:link w:val="CommentText"/>
    <w:uiPriority w:val="99"/>
    <w:rsid w:val="009065F5"/>
    <w:rPr>
      <w:rFonts w:ascii="Arial" w:hAnsi="Arial"/>
      <w:sz w:val="20"/>
      <w:szCs w:val="20"/>
    </w:rPr>
  </w:style>
  <w:style w:type="paragraph" w:styleId="NoSpacing">
    <w:name w:val="No Spacing"/>
    <w:link w:val="NoSpacingChar"/>
    <w:uiPriority w:val="1"/>
    <w:qFormat/>
    <w:rsid w:val="009065F5"/>
    <w:pPr>
      <w:spacing w:after="0" w:line="240" w:lineRule="auto"/>
    </w:pPr>
    <w:rPr>
      <w:rFonts w:ascii="Arial" w:hAnsi="Arial"/>
    </w:rPr>
  </w:style>
  <w:style w:type="character" w:customStyle="1" w:styleId="ListParagraphChar">
    <w:name w:val="List Paragraph Char"/>
    <w:aliases w:val="CAB - List Bullet Char,List Bullet Cab Char,Murali 3 Char,List Paragraph1 Char,List Paragraph11 Char,Recommendation Char,First level bullet point Char,Bullet point Char,Body Text1 Char,Body text Char,standard lewis Char,Bullets Char"/>
    <w:link w:val="ListParagraph"/>
    <w:uiPriority w:val="34"/>
    <w:qFormat/>
    <w:locked/>
    <w:rsid w:val="009065F5"/>
    <w:rPr>
      <w:rFonts w:ascii="Arial" w:hAnsi="Arial"/>
    </w:rPr>
  </w:style>
  <w:style w:type="paragraph" w:styleId="ListParagraph">
    <w:name w:val="List Paragraph"/>
    <w:aliases w:val="CAB - List Bullet,List Bullet Cab,Murali 3,List Paragraph1,List Paragraph11,Recommendation,First level bullet point,Bullet point,Body Text1,Body text,standard lewis,NAST Quote,Bullets,CV text,Dot pt,F5 List Paragraph,FooterText,L,列,リスト段落"/>
    <w:basedOn w:val="BodyText"/>
    <w:link w:val="ListParagraphChar"/>
    <w:uiPriority w:val="34"/>
    <w:qFormat/>
    <w:rsid w:val="009065F5"/>
    <w:pPr>
      <w:tabs>
        <w:tab w:val="left" w:pos="851"/>
      </w:tabs>
      <w:spacing w:after="0" w:line="240" w:lineRule="auto"/>
      <w:ind w:left="851" w:hanging="284"/>
      <w:contextualSpacing/>
    </w:pPr>
  </w:style>
  <w:style w:type="paragraph" w:styleId="Bibliography">
    <w:name w:val="Bibliography"/>
    <w:basedOn w:val="Normal"/>
    <w:next w:val="Normal"/>
    <w:uiPriority w:val="37"/>
    <w:semiHidden/>
    <w:unhideWhenUsed/>
    <w:rsid w:val="009065F5"/>
  </w:style>
  <w:style w:type="paragraph" w:customStyle="1" w:styleId="CAB-NumberedParagraph">
    <w:name w:val="CAB - Numbered Paragraph"/>
    <w:basedOn w:val="Normal"/>
    <w:uiPriority w:val="98"/>
    <w:rsid w:val="009065F5"/>
    <w:pPr>
      <w:spacing w:before="120" w:after="120" w:line="240" w:lineRule="auto"/>
      <w:ind w:left="567" w:hanging="567"/>
    </w:pPr>
  </w:style>
  <w:style w:type="character" w:customStyle="1" w:styleId="CABParagraphChar">
    <w:name w:val="CAB Paragraph Char"/>
    <w:basedOn w:val="DefaultParagraphFont"/>
    <w:link w:val="CABParagraph"/>
    <w:uiPriority w:val="98"/>
    <w:locked/>
    <w:rsid w:val="009065F5"/>
    <w:rPr>
      <w:rFonts w:ascii="Arial" w:hAnsi="Arial"/>
    </w:rPr>
  </w:style>
  <w:style w:type="paragraph" w:customStyle="1" w:styleId="CABParagraph">
    <w:name w:val="CAB Paragraph"/>
    <w:basedOn w:val="BodyText"/>
    <w:link w:val="CABParagraphChar"/>
    <w:uiPriority w:val="98"/>
    <w:qFormat/>
    <w:rsid w:val="009065F5"/>
    <w:pPr>
      <w:spacing w:before="120" w:after="0" w:line="240" w:lineRule="auto"/>
    </w:pPr>
  </w:style>
  <w:style w:type="character" w:customStyle="1" w:styleId="CABNETParagraphChar">
    <w:name w:val="CABNET Paragraph. Char"/>
    <w:basedOn w:val="DefaultParagraphFont"/>
    <w:link w:val="CABNETParagraph"/>
    <w:uiPriority w:val="98"/>
    <w:locked/>
    <w:rsid w:val="009065F5"/>
    <w:rPr>
      <w:rFonts w:ascii="Arial" w:hAnsi="Arial" w:cstheme="minorHAnsi"/>
    </w:rPr>
  </w:style>
  <w:style w:type="paragraph" w:customStyle="1" w:styleId="CABNETParagraph">
    <w:name w:val="CABNET Paragraph."/>
    <w:basedOn w:val="Normal"/>
    <w:link w:val="CABNETParagraphChar"/>
    <w:uiPriority w:val="98"/>
    <w:qFormat/>
    <w:rsid w:val="009065F5"/>
    <w:pPr>
      <w:spacing w:before="120" w:after="120" w:line="240" w:lineRule="auto"/>
    </w:pPr>
    <w:rPr>
      <w:rFonts w:cstheme="minorHAnsi"/>
    </w:rPr>
  </w:style>
  <w:style w:type="paragraph" w:customStyle="1" w:styleId="paragraph">
    <w:name w:val="paragraph"/>
    <w:basedOn w:val="Normal"/>
    <w:rsid w:val="009065F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9065F5"/>
    <w:rPr>
      <w:sz w:val="16"/>
      <w:szCs w:val="16"/>
    </w:rPr>
  </w:style>
  <w:style w:type="character" w:customStyle="1" w:styleId="StyleArial10pt">
    <w:name w:val="Style Arial 10 pt"/>
    <w:basedOn w:val="DefaultParagraphFont"/>
    <w:uiPriority w:val="99"/>
    <w:rsid w:val="009065F5"/>
    <w:rPr>
      <w:rFonts w:ascii="Arial" w:hAnsi="Arial" w:cs="Times New Roman" w:hint="default"/>
      <w:sz w:val="20"/>
    </w:rPr>
  </w:style>
  <w:style w:type="character" w:customStyle="1" w:styleId="normaltextrun">
    <w:name w:val="normaltextrun"/>
    <w:basedOn w:val="DefaultParagraphFont"/>
    <w:rsid w:val="009065F5"/>
  </w:style>
  <w:style w:type="character" w:customStyle="1" w:styleId="eop">
    <w:name w:val="eop"/>
    <w:basedOn w:val="DefaultParagraphFont"/>
    <w:rsid w:val="009065F5"/>
  </w:style>
  <w:style w:type="character" w:styleId="Strong">
    <w:name w:val="Strong"/>
    <w:basedOn w:val="DefaultParagraphFont"/>
    <w:uiPriority w:val="22"/>
    <w:qFormat/>
    <w:rsid w:val="009065F5"/>
    <w:rPr>
      <w:b/>
      <w:bCs/>
    </w:rPr>
  </w:style>
  <w:style w:type="paragraph" w:styleId="BodyText">
    <w:name w:val="Body Text"/>
    <w:basedOn w:val="Normal"/>
    <w:link w:val="BodyTextChar"/>
    <w:uiPriority w:val="99"/>
    <w:semiHidden/>
    <w:unhideWhenUsed/>
    <w:rsid w:val="009065F5"/>
    <w:pPr>
      <w:spacing w:after="120"/>
    </w:pPr>
  </w:style>
  <w:style w:type="character" w:customStyle="1" w:styleId="BodyTextChar">
    <w:name w:val="Body Text Char"/>
    <w:basedOn w:val="DefaultParagraphFont"/>
    <w:link w:val="BodyText"/>
    <w:uiPriority w:val="99"/>
    <w:semiHidden/>
    <w:rsid w:val="009065F5"/>
    <w:rPr>
      <w:rFonts w:ascii="Arial" w:hAnsi="Arial"/>
    </w:rPr>
  </w:style>
  <w:style w:type="paragraph" w:styleId="BalloonText">
    <w:name w:val="Balloon Text"/>
    <w:basedOn w:val="Normal"/>
    <w:link w:val="BalloonTextChar"/>
    <w:uiPriority w:val="99"/>
    <w:semiHidden/>
    <w:unhideWhenUsed/>
    <w:rsid w:val="009065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5F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A748E"/>
    <w:pPr>
      <w:spacing w:line="240" w:lineRule="auto"/>
    </w:pPr>
    <w:rPr>
      <w:b/>
      <w:bCs/>
    </w:rPr>
  </w:style>
  <w:style w:type="character" w:customStyle="1" w:styleId="CommentSubjectChar">
    <w:name w:val="Comment Subject Char"/>
    <w:basedOn w:val="CommentTextChar"/>
    <w:link w:val="CommentSubject"/>
    <w:uiPriority w:val="99"/>
    <w:semiHidden/>
    <w:rsid w:val="00CA748E"/>
    <w:rPr>
      <w:rFonts w:ascii="Arial" w:hAnsi="Arial"/>
      <w:b/>
      <w:bCs/>
      <w:sz w:val="20"/>
      <w:szCs w:val="20"/>
    </w:rPr>
  </w:style>
  <w:style w:type="paragraph" w:styleId="NormalWeb">
    <w:name w:val="Normal (Web)"/>
    <w:basedOn w:val="Normal"/>
    <w:uiPriority w:val="99"/>
    <w:unhideWhenUsed/>
    <w:rsid w:val="00F907FA"/>
    <w:pPr>
      <w:spacing w:before="100" w:beforeAutospacing="1" w:after="100" w:afterAutospacing="1" w:line="240" w:lineRule="auto"/>
    </w:pPr>
    <w:rPr>
      <w:rFonts w:ascii="Times New Roman" w:hAnsi="Times New Roman" w:cs="Times New Roman"/>
      <w:sz w:val="24"/>
      <w:szCs w:val="24"/>
      <w:lang w:eastAsia="en-AU"/>
    </w:rPr>
  </w:style>
  <w:style w:type="paragraph" w:styleId="Header">
    <w:name w:val="header"/>
    <w:basedOn w:val="Normal"/>
    <w:link w:val="HeaderChar"/>
    <w:uiPriority w:val="99"/>
    <w:unhideWhenUsed/>
    <w:rsid w:val="003044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42F"/>
    <w:rPr>
      <w:rFonts w:ascii="Arial" w:hAnsi="Arial"/>
    </w:rPr>
  </w:style>
  <w:style w:type="paragraph" w:styleId="Footer">
    <w:name w:val="footer"/>
    <w:basedOn w:val="Normal"/>
    <w:link w:val="FooterChar"/>
    <w:uiPriority w:val="99"/>
    <w:unhideWhenUsed/>
    <w:rsid w:val="003044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42F"/>
    <w:rPr>
      <w:rFonts w:ascii="Arial" w:hAnsi="Arial"/>
    </w:rPr>
  </w:style>
  <w:style w:type="paragraph" w:styleId="Revision">
    <w:name w:val="Revision"/>
    <w:hidden/>
    <w:uiPriority w:val="99"/>
    <w:semiHidden/>
    <w:rsid w:val="00FE69C6"/>
    <w:pPr>
      <w:spacing w:after="0" w:line="240" w:lineRule="auto"/>
    </w:pPr>
    <w:rPr>
      <w:rFonts w:ascii="Arial" w:hAnsi="Arial"/>
    </w:rPr>
  </w:style>
  <w:style w:type="table" w:customStyle="1" w:styleId="TableGrid1">
    <w:name w:val="Table Grid1"/>
    <w:basedOn w:val="TableNormal"/>
    <w:next w:val="TableGrid"/>
    <w:uiPriority w:val="39"/>
    <w:rsid w:val="005C10F3"/>
    <w:pPr>
      <w:spacing w:after="0" w:line="240" w:lineRule="auto"/>
    </w:pPr>
    <w:rPr>
      <w:sz w:val="20"/>
    </w:rPr>
    <w:tblPr>
      <w:tblBorders>
        <w:insideH w:val="single" w:sz="4" w:space="0" w:color="7599BB"/>
        <w:insideV w:val="single" w:sz="4" w:space="0" w:color="7599BB"/>
      </w:tblBorders>
    </w:tblPr>
    <w:tblStylePr w:type="firstRow">
      <w:tblPr/>
      <w:tcPr>
        <w:shd w:val="clear" w:color="auto" w:fill="E3EAF1"/>
      </w:tcPr>
    </w:tblStylePr>
  </w:style>
  <w:style w:type="table" w:styleId="TableGrid">
    <w:name w:val="Table Grid"/>
    <w:basedOn w:val="TableNormal"/>
    <w:uiPriority w:val="39"/>
    <w:rsid w:val="005C1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A23DB"/>
    <w:rPr>
      <w:color w:val="0000FF"/>
      <w:u w:val="single"/>
    </w:rPr>
  </w:style>
  <w:style w:type="character" w:styleId="FollowedHyperlink">
    <w:name w:val="FollowedHyperlink"/>
    <w:basedOn w:val="DefaultParagraphFont"/>
    <w:uiPriority w:val="99"/>
    <w:semiHidden/>
    <w:unhideWhenUsed/>
    <w:rsid w:val="00BA23DB"/>
    <w:rPr>
      <w:color w:val="954F72" w:themeColor="followedHyperlink"/>
      <w:u w:val="single"/>
    </w:rPr>
  </w:style>
  <w:style w:type="paragraph" w:styleId="FootnoteText">
    <w:name w:val="footnote text"/>
    <w:basedOn w:val="Normal"/>
    <w:link w:val="FootnoteTextChar"/>
    <w:uiPriority w:val="99"/>
    <w:semiHidden/>
    <w:unhideWhenUsed/>
    <w:rsid w:val="007E76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763C"/>
    <w:rPr>
      <w:rFonts w:ascii="Arial" w:hAnsi="Arial"/>
      <w:sz w:val="20"/>
      <w:szCs w:val="20"/>
    </w:rPr>
  </w:style>
  <w:style w:type="character" w:styleId="FootnoteReference">
    <w:name w:val="footnote reference"/>
    <w:basedOn w:val="DefaultParagraphFont"/>
    <w:uiPriority w:val="99"/>
    <w:semiHidden/>
    <w:unhideWhenUsed/>
    <w:rsid w:val="007E763C"/>
    <w:rPr>
      <w:vertAlign w:val="superscript"/>
    </w:rPr>
  </w:style>
  <w:style w:type="character" w:customStyle="1" w:styleId="null1">
    <w:name w:val="null1"/>
    <w:basedOn w:val="DefaultParagraphFont"/>
    <w:rsid w:val="008E6195"/>
  </w:style>
  <w:style w:type="character" w:customStyle="1" w:styleId="NoSpacingChar">
    <w:name w:val="No Spacing Char"/>
    <w:basedOn w:val="DefaultParagraphFont"/>
    <w:link w:val="NoSpacing"/>
    <w:uiPriority w:val="1"/>
    <w:rsid w:val="00A8056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6497">
      <w:bodyDiv w:val="1"/>
      <w:marLeft w:val="0"/>
      <w:marRight w:val="0"/>
      <w:marTop w:val="0"/>
      <w:marBottom w:val="0"/>
      <w:divBdr>
        <w:top w:val="none" w:sz="0" w:space="0" w:color="auto"/>
        <w:left w:val="none" w:sz="0" w:space="0" w:color="auto"/>
        <w:bottom w:val="none" w:sz="0" w:space="0" w:color="auto"/>
        <w:right w:val="none" w:sz="0" w:space="0" w:color="auto"/>
      </w:divBdr>
    </w:div>
    <w:div w:id="76248792">
      <w:bodyDiv w:val="1"/>
      <w:marLeft w:val="0"/>
      <w:marRight w:val="0"/>
      <w:marTop w:val="0"/>
      <w:marBottom w:val="0"/>
      <w:divBdr>
        <w:top w:val="none" w:sz="0" w:space="0" w:color="auto"/>
        <w:left w:val="none" w:sz="0" w:space="0" w:color="auto"/>
        <w:bottom w:val="none" w:sz="0" w:space="0" w:color="auto"/>
        <w:right w:val="none" w:sz="0" w:space="0" w:color="auto"/>
      </w:divBdr>
    </w:div>
    <w:div w:id="162011705">
      <w:bodyDiv w:val="1"/>
      <w:marLeft w:val="0"/>
      <w:marRight w:val="0"/>
      <w:marTop w:val="0"/>
      <w:marBottom w:val="0"/>
      <w:divBdr>
        <w:top w:val="none" w:sz="0" w:space="0" w:color="auto"/>
        <w:left w:val="none" w:sz="0" w:space="0" w:color="auto"/>
        <w:bottom w:val="none" w:sz="0" w:space="0" w:color="auto"/>
        <w:right w:val="none" w:sz="0" w:space="0" w:color="auto"/>
      </w:divBdr>
    </w:div>
    <w:div w:id="173347339">
      <w:bodyDiv w:val="1"/>
      <w:marLeft w:val="0"/>
      <w:marRight w:val="0"/>
      <w:marTop w:val="0"/>
      <w:marBottom w:val="0"/>
      <w:divBdr>
        <w:top w:val="none" w:sz="0" w:space="0" w:color="auto"/>
        <w:left w:val="none" w:sz="0" w:space="0" w:color="auto"/>
        <w:bottom w:val="none" w:sz="0" w:space="0" w:color="auto"/>
        <w:right w:val="none" w:sz="0" w:space="0" w:color="auto"/>
      </w:divBdr>
    </w:div>
    <w:div w:id="192304765">
      <w:bodyDiv w:val="1"/>
      <w:marLeft w:val="0"/>
      <w:marRight w:val="0"/>
      <w:marTop w:val="0"/>
      <w:marBottom w:val="0"/>
      <w:divBdr>
        <w:top w:val="none" w:sz="0" w:space="0" w:color="auto"/>
        <w:left w:val="none" w:sz="0" w:space="0" w:color="auto"/>
        <w:bottom w:val="none" w:sz="0" w:space="0" w:color="auto"/>
        <w:right w:val="none" w:sz="0" w:space="0" w:color="auto"/>
      </w:divBdr>
    </w:div>
    <w:div w:id="196161513">
      <w:bodyDiv w:val="1"/>
      <w:marLeft w:val="0"/>
      <w:marRight w:val="0"/>
      <w:marTop w:val="0"/>
      <w:marBottom w:val="0"/>
      <w:divBdr>
        <w:top w:val="none" w:sz="0" w:space="0" w:color="auto"/>
        <w:left w:val="none" w:sz="0" w:space="0" w:color="auto"/>
        <w:bottom w:val="none" w:sz="0" w:space="0" w:color="auto"/>
        <w:right w:val="none" w:sz="0" w:space="0" w:color="auto"/>
      </w:divBdr>
    </w:div>
    <w:div w:id="249195090">
      <w:bodyDiv w:val="1"/>
      <w:marLeft w:val="0"/>
      <w:marRight w:val="0"/>
      <w:marTop w:val="0"/>
      <w:marBottom w:val="0"/>
      <w:divBdr>
        <w:top w:val="none" w:sz="0" w:space="0" w:color="auto"/>
        <w:left w:val="none" w:sz="0" w:space="0" w:color="auto"/>
        <w:bottom w:val="none" w:sz="0" w:space="0" w:color="auto"/>
        <w:right w:val="none" w:sz="0" w:space="0" w:color="auto"/>
      </w:divBdr>
    </w:div>
    <w:div w:id="272325549">
      <w:bodyDiv w:val="1"/>
      <w:marLeft w:val="0"/>
      <w:marRight w:val="0"/>
      <w:marTop w:val="0"/>
      <w:marBottom w:val="0"/>
      <w:divBdr>
        <w:top w:val="none" w:sz="0" w:space="0" w:color="auto"/>
        <w:left w:val="none" w:sz="0" w:space="0" w:color="auto"/>
        <w:bottom w:val="none" w:sz="0" w:space="0" w:color="auto"/>
        <w:right w:val="none" w:sz="0" w:space="0" w:color="auto"/>
      </w:divBdr>
    </w:div>
    <w:div w:id="275914143">
      <w:bodyDiv w:val="1"/>
      <w:marLeft w:val="0"/>
      <w:marRight w:val="0"/>
      <w:marTop w:val="0"/>
      <w:marBottom w:val="0"/>
      <w:divBdr>
        <w:top w:val="none" w:sz="0" w:space="0" w:color="auto"/>
        <w:left w:val="none" w:sz="0" w:space="0" w:color="auto"/>
        <w:bottom w:val="none" w:sz="0" w:space="0" w:color="auto"/>
        <w:right w:val="none" w:sz="0" w:space="0" w:color="auto"/>
      </w:divBdr>
    </w:div>
    <w:div w:id="339509029">
      <w:bodyDiv w:val="1"/>
      <w:marLeft w:val="0"/>
      <w:marRight w:val="0"/>
      <w:marTop w:val="0"/>
      <w:marBottom w:val="0"/>
      <w:divBdr>
        <w:top w:val="none" w:sz="0" w:space="0" w:color="auto"/>
        <w:left w:val="none" w:sz="0" w:space="0" w:color="auto"/>
        <w:bottom w:val="none" w:sz="0" w:space="0" w:color="auto"/>
        <w:right w:val="none" w:sz="0" w:space="0" w:color="auto"/>
      </w:divBdr>
    </w:div>
    <w:div w:id="360012817">
      <w:bodyDiv w:val="1"/>
      <w:marLeft w:val="0"/>
      <w:marRight w:val="0"/>
      <w:marTop w:val="0"/>
      <w:marBottom w:val="0"/>
      <w:divBdr>
        <w:top w:val="none" w:sz="0" w:space="0" w:color="auto"/>
        <w:left w:val="none" w:sz="0" w:space="0" w:color="auto"/>
        <w:bottom w:val="none" w:sz="0" w:space="0" w:color="auto"/>
        <w:right w:val="none" w:sz="0" w:space="0" w:color="auto"/>
      </w:divBdr>
    </w:div>
    <w:div w:id="383480711">
      <w:bodyDiv w:val="1"/>
      <w:marLeft w:val="0"/>
      <w:marRight w:val="0"/>
      <w:marTop w:val="0"/>
      <w:marBottom w:val="0"/>
      <w:divBdr>
        <w:top w:val="none" w:sz="0" w:space="0" w:color="auto"/>
        <w:left w:val="none" w:sz="0" w:space="0" w:color="auto"/>
        <w:bottom w:val="none" w:sz="0" w:space="0" w:color="auto"/>
        <w:right w:val="none" w:sz="0" w:space="0" w:color="auto"/>
      </w:divBdr>
    </w:div>
    <w:div w:id="389116122">
      <w:bodyDiv w:val="1"/>
      <w:marLeft w:val="0"/>
      <w:marRight w:val="0"/>
      <w:marTop w:val="0"/>
      <w:marBottom w:val="0"/>
      <w:divBdr>
        <w:top w:val="none" w:sz="0" w:space="0" w:color="auto"/>
        <w:left w:val="none" w:sz="0" w:space="0" w:color="auto"/>
        <w:bottom w:val="none" w:sz="0" w:space="0" w:color="auto"/>
        <w:right w:val="none" w:sz="0" w:space="0" w:color="auto"/>
      </w:divBdr>
    </w:div>
    <w:div w:id="392313209">
      <w:bodyDiv w:val="1"/>
      <w:marLeft w:val="0"/>
      <w:marRight w:val="0"/>
      <w:marTop w:val="0"/>
      <w:marBottom w:val="0"/>
      <w:divBdr>
        <w:top w:val="none" w:sz="0" w:space="0" w:color="auto"/>
        <w:left w:val="none" w:sz="0" w:space="0" w:color="auto"/>
        <w:bottom w:val="none" w:sz="0" w:space="0" w:color="auto"/>
        <w:right w:val="none" w:sz="0" w:space="0" w:color="auto"/>
      </w:divBdr>
    </w:div>
    <w:div w:id="420682892">
      <w:bodyDiv w:val="1"/>
      <w:marLeft w:val="0"/>
      <w:marRight w:val="0"/>
      <w:marTop w:val="0"/>
      <w:marBottom w:val="0"/>
      <w:divBdr>
        <w:top w:val="none" w:sz="0" w:space="0" w:color="auto"/>
        <w:left w:val="none" w:sz="0" w:space="0" w:color="auto"/>
        <w:bottom w:val="none" w:sz="0" w:space="0" w:color="auto"/>
        <w:right w:val="none" w:sz="0" w:space="0" w:color="auto"/>
      </w:divBdr>
    </w:div>
    <w:div w:id="569341736">
      <w:bodyDiv w:val="1"/>
      <w:marLeft w:val="0"/>
      <w:marRight w:val="0"/>
      <w:marTop w:val="0"/>
      <w:marBottom w:val="0"/>
      <w:divBdr>
        <w:top w:val="none" w:sz="0" w:space="0" w:color="auto"/>
        <w:left w:val="none" w:sz="0" w:space="0" w:color="auto"/>
        <w:bottom w:val="none" w:sz="0" w:space="0" w:color="auto"/>
        <w:right w:val="none" w:sz="0" w:space="0" w:color="auto"/>
      </w:divBdr>
    </w:div>
    <w:div w:id="576475083">
      <w:bodyDiv w:val="1"/>
      <w:marLeft w:val="0"/>
      <w:marRight w:val="0"/>
      <w:marTop w:val="0"/>
      <w:marBottom w:val="0"/>
      <w:divBdr>
        <w:top w:val="none" w:sz="0" w:space="0" w:color="auto"/>
        <w:left w:val="none" w:sz="0" w:space="0" w:color="auto"/>
        <w:bottom w:val="none" w:sz="0" w:space="0" w:color="auto"/>
        <w:right w:val="none" w:sz="0" w:space="0" w:color="auto"/>
      </w:divBdr>
    </w:div>
    <w:div w:id="625475853">
      <w:bodyDiv w:val="1"/>
      <w:marLeft w:val="0"/>
      <w:marRight w:val="0"/>
      <w:marTop w:val="0"/>
      <w:marBottom w:val="0"/>
      <w:divBdr>
        <w:top w:val="none" w:sz="0" w:space="0" w:color="auto"/>
        <w:left w:val="none" w:sz="0" w:space="0" w:color="auto"/>
        <w:bottom w:val="none" w:sz="0" w:space="0" w:color="auto"/>
        <w:right w:val="none" w:sz="0" w:space="0" w:color="auto"/>
      </w:divBdr>
    </w:div>
    <w:div w:id="721176369">
      <w:bodyDiv w:val="1"/>
      <w:marLeft w:val="0"/>
      <w:marRight w:val="0"/>
      <w:marTop w:val="0"/>
      <w:marBottom w:val="0"/>
      <w:divBdr>
        <w:top w:val="none" w:sz="0" w:space="0" w:color="auto"/>
        <w:left w:val="none" w:sz="0" w:space="0" w:color="auto"/>
        <w:bottom w:val="none" w:sz="0" w:space="0" w:color="auto"/>
        <w:right w:val="none" w:sz="0" w:space="0" w:color="auto"/>
      </w:divBdr>
    </w:div>
    <w:div w:id="750008739">
      <w:bodyDiv w:val="1"/>
      <w:marLeft w:val="0"/>
      <w:marRight w:val="0"/>
      <w:marTop w:val="0"/>
      <w:marBottom w:val="0"/>
      <w:divBdr>
        <w:top w:val="none" w:sz="0" w:space="0" w:color="auto"/>
        <w:left w:val="none" w:sz="0" w:space="0" w:color="auto"/>
        <w:bottom w:val="none" w:sz="0" w:space="0" w:color="auto"/>
        <w:right w:val="none" w:sz="0" w:space="0" w:color="auto"/>
      </w:divBdr>
    </w:div>
    <w:div w:id="812258946">
      <w:bodyDiv w:val="1"/>
      <w:marLeft w:val="0"/>
      <w:marRight w:val="0"/>
      <w:marTop w:val="0"/>
      <w:marBottom w:val="0"/>
      <w:divBdr>
        <w:top w:val="none" w:sz="0" w:space="0" w:color="auto"/>
        <w:left w:val="none" w:sz="0" w:space="0" w:color="auto"/>
        <w:bottom w:val="none" w:sz="0" w:space="0" w:color="auto"/>
        <w:right w:val="none" w:sz="0" w:space="0" w:color="auto"/>
      </w:divBdr>
    </w:div>
    <w:div w:id="869145715">
      <w:bodyDiv w:val="1"/>
      <w:marLeft w:val="0"/>
      <w:marRight w:val="0"/>
      <w:marTop w:val="0"/>
      <w:marBottom w:val="0"/>
      <w:divBdr>
        <w:top w:val="none" w:sz="0" w:space="0" w:color="auto"/>
        <w:left w:val="none" w:sz="0" w:space="0" w:color="auto"/>
        <w:bottom w:val="none" w:sz="0" w:space="0" w:color="auto"/>
        <w:right w:val="none" w:sz="0" w:space="0" w:color="auto"/>
      </w:divBdr>
    </w:div>
    <w:div w:id="903219444">
      <w:bodyDiv w:val="1"/>
      <w:marLeft w:val="0"/>
      <w:marRight w:val="0"/>
      <w:marTop w:val="0"/>
      <w:marBottom w:val="0"/>
      <w:divBdr>
        <w:top w:val="none" w:sz="0" w:space="0" w:color="auto"/>
        <w:left w:val="none" w:sz="0" w:space="0" w:color="auto"/>
        <w:bottom w:val="none" w:sz="0" w:space="0" w:color="auto"/>
        <w:right w:val="none" w:sz="0" w:space="0" w:color="auto"/>
      </w:divBdr>
    </w:div>
    <w:div w:id="988829782">
      <w:bodyDiv w:val="1"/>
      <w:marLeft w:val="0"/>
      <w:marRight w:val="0"/>
      <w:marTop w:val="0"/>
      <w:marBottom w:val="0"/>
      <w:divBdr>
        <w:top w:val="none" w:sz="0" w:space="0" w:color="auto"/>
        <w:left w:val="none" w:sz="0" w:space="0" w:color="auto"/>
        <w:bottom w:val="none" w:sz="0" w:space="0" w:color="auto"/>
        <w:right w:val="none" w:sz="0" w:space="0" w:color="auto"/>
      </w:divBdr>
    </w:div>
    <w:div w:id="998194535">
      <w:bodyDiv w:val="1"/>
      <w:marLeft w:val="0"/>
      <w:marRight w:val="0"/>
      <w:marTop w:val="0"/>
      <w:marBottom w:val="0"/>
      <w:divBdr>
        <w:top w:val="none" w:sz="0" w:space="0" w:color="auto"/>
        <w:left w:val="none" w:sz="0" w:space="0" w:color="auto"/>
        <w:bottom w:val="none" w:sz="0" w:space="0" w:color="auto"/>
        <w:right w:val="none" w:sz="0" w:space="0" w:color="auto"/>
      </w:divBdr>
    </w:div>
    <w:div w:id="1019819516">
      <w:bodyDiv w:val="1"/>
      <w:marLeft w:val="0"/>
      <w:marRight w:val="0"/>
      <w:marTop w:val="0"/>
      <w:marBottom w:val="0"/>
      <w:divBdr>
        <w:top w:val="none" w:sz="0" w:space="0" w:color="auto"/>
        <w:left w:val="none" w:sz="0" w:space="0" w:color="auto"/>
        <w:bottom w:val="none" w:sz="0" w:space="0" w:color="auto"/>
        <w:right w:val="none" w:sz="0" w:space="0" w:color="auto"/>
      </w:divBdr>
    </w:div>
    <w:div w:id="1040478293">
      <w:bodyDiv w:val="1"/>
      <w:marLeft w:val="0"/>
      <w:marRight w:val="0"/>
      <w:marTop w:val="0"/>
      <w:marBottom w:val="0"/>
      <w:divBdr>
        <w:top w:val="none" w:sz="0" w:space="0" w:color="auto"/>
        <w:left w:val="none" w:sz="0" w:space="0" w:color="auto"/>
        <w:bottom w:val="none" w:sz="0" w:space="0" w:color="auto"/>
        <w:right w:val="none" w:sz="0" w:space="0" w:color="auto"/>
      </w:divBdr>
    </w:div>
    <w:div w:id="1063482865">
      <w:bodyDiv w:val="1"/>
      <w:marLeft w:val="0"/>
      <w:marRight w:val="0"/>
      <w:marTop w:val="0"/>
      <w:marBottom w:val="0"/>
      <w:divBdr>
        <w:top w:val="none" w:sz="0" w:space="0" w:color="auto"/>
        <w:left w:val="none" w:sz="0" w:space="0" w:color="auto"/>
        <w:bottom w:val="none" w:sz="0" w:space="0" w:color="auto"/>
        <w:right w:val="none" w:sz="0" w:space="0" w:color="auto"/>
      </w:divBdr>
    </w:div>
    <w:div w:id="1090850929">
      <w:bodyDiv w:val="1"/>
      <w:marLeft w:val="0"/>
      <w:marRight w:val="0"/>
      <w:marTop w:val="0"/>
      <w:marBottom w:val="0"/>
      <w:divBdr>
        <w:top w:val="none" w:sz="0" w:space="0" w:color="auto"/>
        <w:left w:val="none" w:sz="0" w:space="0" w:color="auto"/>
        <w:bottom w:val="none" w:sz="0" w:space="0" w:color="auto"/>
        <w:right w:val="none" w:sz="0" w:space="0" w:color="auto"/>
      </w:divBdr>
    </w:div>
    <w:div w:id="1232694960">
      <w:bodyDiv w:val="1"/>
      <w:marLeft w:val="0"/>
      <w:marRight w:val="0"/>
      <w:marTop w:val="0"/>
      <w:marBottom w:val="0"/>
      <w:divBdr>
        <w:top w:val="none" w:sz="0" w:space="0" w:color="auto"/>
        <w:left w:val="none" w:sz="0" w:space="0" w:color="auto"/>
        <w:bottom w:val="none" w:sz="0" w:space="0" w:color="auto"/>
        <w:right w:val="none" w:sz="0" w:space="0" w:color="auto"/>
      </w:divBdr>
      <w:divsChild>
        <w:div w:id="497698082">
          <w:marLeft w:val="0"/>
          <w:marRight w:val="0"/>
          <w:marTop w:val="0"/>
          <w:marBottom w:val="0"/>
          <w:divBdr>
            <w:top w:val="none" w:sz="0" w:space="0" w:color="auto"/>
            <w:left w:val="none" w:sz="0" w:space="0" w:color="auto"/>
            <w:bottom w:val="none" w:sz="0" w:space="0" w:color="auto"/>
            <w:right w:val="none" w:sz="0" w:space="0" w:color="auto"/>
          </w:divBdr>
          <w:divsChild>
            <w:div w:id="119800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3110">
      <w:bodyDiv w:val="1"/>
      <w:marLeft w:val="0"/>
      <w:marRight w:val="0"/>
      <w:marTop w:val="0"/>
      <w:marBottom w:val="0"/>
      <w:divBdr>
        <w:top w:val="none" w:sz="0" w:space="0" w:color="auto"/>
        <w:left w:val="none" w:sz="0" w:space="0" w:color="auto"/>
        <w:bottom w:val="none" w:sz="0" w:space="0" w:color="auto"/>
        <w:right w:val="none" w:sz="0" w:space="0" w:color="auto"/>
      </w:divBdr>
    </w:div>
    <w:div w:id="1253247681">
      <w:bodyDiv w:val="1"/>
      <w:marLeft w:val="0"/>
      <w:marRight w:val="0"/>
      <w:marTop w:val="0"/>
      <w:marBottom w:val="0"/>
      <w:divBdr>
        <w:top w:val="none" w:sz="0" w:space="0" w:color="auto"/>
        <w:left w:val="none" w:sz="0" w:space="0" w:color="auto"/>
        <w:bottom w:val="none" w:sz="0" w:space="0" w:color="auto"/>
        <w:right w:val="none" w:sz="0" w:space="0" w:color="auto"/>
      </w:divBdr>
    </w:div>
    <w:div w:id="1363166226">
      <w:bodyDiv w:val="1"/>
      <w:marLeft w:val="0"/>
      <w:marRight w:val="0"/>
      <w:marTop w:val="0"/>
      <w:marBottom w:val="0"/>
      <w:divBdr>
        <w:top w:val="none" w:sz="0" w:space="0" w:color="auto"/>
        <w:left w:val="none" w:sz="0" w:space="0" w:color="auto"/>
        <w:bottom w:val="none" w:sz="0" w:space="0" w:color="auto"/>
        <w:right w:val="none" w:sz="0" w:space="0" w:color="auto"/>
      </w:divBdr>
    </w:div>
    <w:div w:id="1387408343">
      <w:bodyDiv w:val="1"/>
      <w:marLeft w:val="0"/>
      <w:marRight w:val="0"/>
      <w:marTop w:val="0"/>
      <w:marBottom w:val="0"/>
      <w:divBdr>
        <w:top w:val="none" w:sz="0" w:space="0" w:color="auto"/>
        <w:left w:val="none" w:sz="0" w:space="0" w:color="auto"/>
        <w:bottom w:val="none" w:sz="0" w:space="0" w:color="auto"/>
        <w:right w:val="none" w:sz="0" w:space="0" w:color="auto"/>
      </w:divBdr>
    </w:div>
    <w:div w:id="1415854207">
      <w:bodyDiv w:val="1"/>
      <w:marLeft w:val="0"/>
      <w:marRight w:val="0"/>
      <w:marTop w:val="0"/>
      <w:marBottom w:val="0"/>
      <w:divBdr>
        <w:top w:val="none" w:sz="0" w:space="0" w:color="auto"/>
        <w:left w:val="none" w:sz="0" w:space="0" w:color="auto"/>
        <w:bottom w:val="none" w:sz="0" w:space="0" w:color="auto"/>
        <w:right w:val="none" w:sz="0" w:space="0" w:color="auto"/>
      </w:divBdr>
    </w:div>
    <w:div w:id="1558278403">
      <w:bodyDiv w:val="1"/>
      <w:marLeft w:val="0"/>
      <w:marRight w:val="0"/>
      <w:marTop w:val="0"/>
      <w:marBottom w:val="0"/>
      <w:divBdr>
        <w:top w:val="none" w:sz="0" w:space="0" w:color="auto"/>
        <w:left w:val="none" w:sz="0" w:space="0" w:color="auto"/>
        <w:bottom w:val="none" w:sz="0" w:space="0" w:color="auto"/>
        <w:right w:val="none" w:sz="0" w:space="0" w:color="auto"/>
      </w:divBdr>
    </w:div>
    <w:div w:id="1658611720">
      <w:bodyDiv w:val="1"/>
      <w:marLeft w:val="0"/>
      <w:marRight w:val="0"/>
      <w:marTop w:val="0"/>
      <w:marBottom w:val="0"/>
      <w:divBdr>
        <w:top w:val="none" w:sz="0" w:space="0" w:color="auto"/>
        <w:left w:val="none" w:sz="0" w:space="0" w:color="auto"/>
        <w:bottom w:val="none" w:sz="0" w:space="0" w:color="auto"/>
        <w:right w:val="none" w:sz="0" w:space="0" w:color="auto"/>
      </w:divBdr>
    </w:div>
    <w:div w:id="1701665869">
      <w:bodyDiv w:val="1"/>
      <w:marLeft w:val="0"/>
      <w:marRight w:val="0"/>
      <w:marTop w:val="0"/>
      <w:marBottom w:val="0"/>
      <w:divBdr>
        <w:top w:val="none" w:sz="0" w:space="0" w:color="auto"/>
        <w:left w:val="none" w:sz="0" w:space="0" w:color="auto"/>
        <w:bottom w:val="none" w:sz="0" w:space="0" w:color="auto"/>
        <w:right w:val="none" w:sz="0" w:space="0" w:color="auto"/>
      </w:divBdr>
    </w:div>
    <w:div w:id="1741318829">
      <w:bodyDiv w:val="1"/>
      <w:marLeft w:val="0"/>
      <w:marRight w:val="0"/>
      <w:marTop w:val="0"/>
      <w:marBottom w:val="0"/>
      <w:divBdr>
        <w:top w:val="none" w:sz="0" w:space="0" w:color="auto"/>
        <w:left w:val="none" w:sz="0" w:space="0" w:color="auto"/>
        <w:bottom w:val="none" w:sz="0" w:space="0" w:color="auto"/>
        <w:right w:val="none" w:sz="0" w:space="0" w:color="auto"/>
      </w:divBdr>
    </w:div>
    <w:div w:id="1908566549">
      <w:bodyDiv w:val="1"/>
      <w:marLeft w:val="0"/>
      <w:marRight w:val="0"/>
      <w:marTop w:val="0"/>
      <w:marBottom w:val="0"/>
      <w:divBdr>
        <w:top w:val="none" w:sz="0" w:space="0" w:color="auto"/>
        <w:left w:val="none" w:sz="0" w:space="0" w:color="auto"/>
        <w:bottom w:val="none" w:sz="0" w:space="0" w:color="auto"/>
        <w:right w:val="none" w:sz="0" w:space="0" w:color="auto"/>
      </w:divBdr>
    </w:div>
    <w:div w:id="1950045903">
      <w:bodyDiv w:val="1"/>
      <w:marLeft w:val="0"/>
      <w:marRight w:val="0"/>
      <w:marTop w:val="0"/>
      <w:marBottom w:val="0"/>
      <w:divBdr>
        <w:top w:val="none" w:sz="0" w:space="0" w:color="auto"/>
        <w:left w:val="none" w:sz="0" w:space="0" w:color="auto"/>
        <w:bottom w:val="none" w:sz="0" w:space="0" w:color="auto"/>
        <w:right w:val="none" w:sz="0" w:space="0" w:color="auto"/>
      </w:divBdr>
    </w:div>
    <w:div w:id="1996372230">
      <w:bodyDiv w:val="1"/>
      <w:marLeft w:val="0"/>
      <w:marRight w:val="0"/>
      <w:marTop w:val="0"/>
      <w:marBottom w:val="0"/>
      <w:divBdr>
        <w:top w:val="none" w:sz="0" w:space="0" w:color="auto"/>
        <w:left w:val="none" w:sz="0" w:space="0" w:color="auto"/>
        <w:bottom w:val="none" w:sz="0" w:space="0" w:color="auto"/>
        <w:right w:val="none" w:sz="0" w:space="0" w:color="auto"/>
      </w:divBdr>
    </w:div>
    <w:div w:id="2032799278">
      <w:bodyDiv w:val="1"/>
      <w:marLeft w:val="0"/>
      <w:marRight w:val="0"/>
      <w:marTop w:val="0"/>
      <w:marBottom w:val="0"/>
      <w:divBdr>
        <w:top w:val="none" w:sz="0" w:space="0" w:color="auto"/>
        <w:left w:val="none" w:sz="0" w:space="0" w:color="auto"/>
        <w:bottom w:val="none" w:sz="0" w:space="0" w:color="auto"/>
        <w:right w:val="none" w:sz="0" w:space="0" w:color="auto"/>
      </w:divBdr>
    </w:div>
    <w:div w:id="2041010302">
      <w:bodyDiv w:val="1"/>
      <w:marLeft w:val="0"/>
      <w:marRight w:val="0"/>
      <w:marTop w:val="0"/>
      <w:marBottom w:val="0"/>
      <w:divBdr>
        <w:top w:val="none" w:sz="0" w:space="0" w:color="auto"/>
        <w:left w:val="none" w:sz="0" w:space="0" w:color="auto"/>
        <w:bottom w:val="none" w:sz="0" w:space="0" w:color="auto"/>
        <w:right w:val="none" w:sz="0" w:space="0" w:color="auto"/>
      </w:divBdr>
    </w:div>
    <w:div w:id="205503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gov.au/resources/publications/strengthening-medicare-taskforce-report?language=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health.gov.au/committees-and-groups/strengthening-medicare-taskforc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gov.au/resources/publications/australias-primary-health-care-10-year-plan-2022-20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A239676470E04B809DDC4E24CF2322" ma:contentTypeVersion="16" ma:contentTypeDescription="Create a new document." ma:contentTypeScope="" ma:versionID="15883b792da53fd44784623907b31bb4">
  <xsd:schema xmlns:xsd="http://www.w3.org/2001/XMLSchema" xmlns:xs="http://www.w3.org/2001/XMLSchema" xmlns:p="http://schemas.microsoft.com/office/2006/metadata/properties" xmlns:ns1="http://schemas.microsoft.com/sharepoint/v3" xmlns:ns2="4195ad5f-cdf2-4c4a-8d9b-b7944a108e98" xmlns:ns3="26285671-540d-468b-b7a1-f3e0438dd51a" targetNamespace="http://schemas.microsoft.com/office/2006/metadata/properties" ma:root="true" ma:fieldsID="0fc62fc07c23b42ad0842bced76ef983" ns1:_="" ns2:_="" ns3:_="">
    <xsd:import namespace="http://schemas.microsoft.com/sharepoint/v3"/>
    <xsd:import namespace="4195ad5f-cdf2-4c4a-8d9b-b7944a108e98"/>
    <xsd:import namespace="26285671-540d-468b-b7a1-f3e0438dd51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SharedWithUsers" minOccurs="0"/>
                <xsd:element ref="ns2:SharedWithDetails" minOccurs="0"/>
                <xsd:element ref="ns3:lcf76f155ced4ddcb4097134ff3c332f" minOccurs="0"/>
                <xsd:element ref="ns2: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95ad5f-cdf2-4c4a-8d9b-b7944a108e9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cfc965e-522b-48e0-94e0-2258889ba25b}" ma:internalName="TaxCatchAll" ma:showField="CatchAllData" ma:web="4195ad5f-cdf2-4c4a-8d9b-b7944a108e9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285671-540d-468b-b7a1-f3e0438dd51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704aed0-9400-4f73-8896-887924b24b8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4195ad5f-cdf2-4c4a-8d9b-b7944a108e98" xsi:nil="true"/>
    <_ip_UnifiedCompliancePolicyProperties xmlns="http://schemas.microsoft.com/sharepoint/v3" xsi:nil="true"/>
    <lcf76f155ced4ddcb4097134ff3c332f xmlns="26285671-540d-468b-b7a1-f3e0438dd51a">
      <Terms xmlns="http://schemas.microsoft.com/office/infopath/2007/PartnerControls"/>
    </lcf76f155ced4ddcb4097134ff3c332f>
    <_dlc_DocId xmlns="4195ad5f-cdf2-4c4a-8d9b-b7944a108e98">DOCID-322795542-32408</_dlc_DocId>
    <_dlc_DocIdUrl xmlns="4195ad5f-cdf2-4c4a-8d9b-b7944a108e98">
      <Url>https://pmc01.sharepoint.com/sites/CRMOBPR/_layouts/15/DocIdRedir.aspx?ID=DOCID-322795542-32408</Url>
      <Description>DOCID-322795542-32408</Description>
    </_dlc_DocIdUrl>
  </documentManagement>
</p:properties>
</file>

<file path=customXml/itemProps1.xml><?xml version="1.0" encoding="utf-8"?>
<ds:datastoreItem xmlns:ds="http://schemas.openxmlformats.org/officeDocument/2006/customXml" ds:itemID="{BC06FAF5-ED3C-4F71-8ED6-E5F9FEFA9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95ad5f-cdf2-4c4a-8d9b-b7944a108e98"/>
    <ds:schemaRef ds:uri="26285671-540d-468b-b7a1-f3e0438dd5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CB904A-CE84-4E68-AC3D-F1682F2BA4F7}">
  <ds:schemaRefs>
    <ds:schemaRef ds:uri="http://schemas.microsoft.com/sharepoint/events"/>
  </ds:schemaRefs>
</ds:datastoreItem>
</file>

<file path=customXml/itemProps3.xml><?xml version="1.0" encoding="utf-8"?>
<ds:datastoreItem xmlns:ds="http://schemas.openxmlformats.org/officeDocument/2006/customXml" ds:itemID="{8A359E30-DC13-4FBA-9A0B-FD6D0F06F836}">
  <ds:schemaRefs>
    <ds:schemaRef ds:uri="http://schemas.microsoft.com/sharepoint/v3/contenttype/forms"/>
  </ds:schemaRefs>
</ds:datastoreItem>
</file>

<file path=customXml/itemProps4.xml><?xml version="1.0" encoding="utf-8"?>
<ds:datastoreItem xmlns:ds="http://schemas.openxmlformats.org/officeDocument/2006/customXml" ds:itemID="{2BD6E8E2-A8AD-4A28-84BA-6B6D90E3618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26285671-540d-468b-b7a1-f3e0438dd51a"/>
    <ds:schemaRef ds:uri="http://purl.org/dc/terms/"/>
    <ds:schemaRef ds:uri="4195ad5f-cdf2-4c4a-8d9b-b7944a108e9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11469</Words>
  <Characters>65375</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2023-05-09T06:38:00Z</dcterms:created>
  <dcterms:modified xsi:type="dcterms:W3CDTF">2023-05-09T06:38:00Z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0x0101009CA239676470E04B809DDC4E24CF2322</vt:lpwstr>
  </property>
  <property fmtid="{D5CDD505-2E9C-101B-9397-08002B2CF9AE}" pid="3" name="MediaServiceImageTags">
    <vt:lpwstr/>
  </property>
  <property fmtid="{D5CDD505-2E9C-101B-9397-08002B2CF9AE}" pid="4" name="_dlc_DocIdItemGuid">
    <vt:lpwstr>abfdf59d-01c3-4a0f-964f-7f7834eb3f1e</vt:lpwstr>
  </property>
</Properties>
</file>