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C093" w14:textId="77777777" w:rsidR="001062F3" w:rsidRDefault="00F42A52">
      <w:pPr>
        <w:pStyle w:val="BodyText"/>
        <w:ind w:left="110"/>
        <w:rPr>
          <w:sz w:val="20"/>
        </w:rPr>
      </w:pPr>
      <w:r>
        <w:rPr>
          <w:noProof/>
          <w:sz w:val="20"/>
        </w:rPr>
        <w:drawing>
          <wp:inline distT="0" distB="0" distL="0" distR="0" wp14:anchorId="103AC985" wp14:editId="3A51B1E2">
            <wp:extent cx="7294502" cy="13167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294502" cy="1316736"/>
                    </a:xfrm>
                    <a:prstGeom prst="rect">
                      <a:avLst/>
                    </a:prstGeom>
                  </pic:spPr>
                </pic:pic>
              </a:graphicData>
            </a:graphic>
          </wp:inline>
        </w:drawing>
      </w:r>
    </w:p>
    <w:p w14:paraId="5579BFD0" w14:textId="77777777" w:rsidR="001062F3" w:rsidRDefault="001062F3">
      <w:pPr>
        <w:pStyle w:val="BodyText"/>
        <w:rPr>
          <w:sz w:val="20"/>
        </w:rPr>
      </w:pPr>
    </w:p>
    <w:p w14:paraId="3AC06482" w14:textId="77777777" w:rsidR="001062F3" w:rsidRDefault="001062F3">
      <w:pPr>
        <w:pStyle w:val="BodyText"/>
        <w:rPr>
          <w:sz w:val="20"/>
        </w:rPr>
      </w:pPr>
    </w:p>
    <w:p w14:paraId="01DC8FD2" w14:textId="77777777" w:rsidR="001062F3" w:rsidRDefault="001062F3">
      <w:pPr>
        <w:pStyle w:val="BodyText"/>
        <w:spacing w:before="10"/>
        <w:rPr>
          <w:sz w:val="26"/>
        </w:rPr>
      </w:pPr>
    </w:p>
    <w:p w14:paraId="05860E6F" w14:textId="77777777" w:rsidR="001062F3" w:rsidRDefault="00F42A52">
      <w:pPr>
        <w:pStyle w:val="BodyText"/>
        <w:spacing w:before="90"/>
        <w:ind w:left="1320" w:right="8525"/>
      </w:pPr>
      <w:r>
        <w:t>Mr Jason Lange Executive</w:t>
      </w:r>
      <w:r>
        <w:rPr>
          <w:spacing w:val="-15"/>
        </w:rPr>
        <w:t xml:space="preserve"> </w:t>
      </w:r>
      <w:r>
        <w:t>Director</w:t>
      </w:r>
    </w:p>
    <w:p w14:paraId="02E47313" w14:textId="77777777" w:rsidR="001062F3" w:rsidRDefault="00F42A52">
      <w:pPr>
        <w:pStyle w:val="BodyText"/>
        <w:ind w:left="1320" w:right="5891"/>
      </w:pPr>
      <w:r>
        <w:t>Office of Best Practice Regulation</w:t>
      </w:r>
      <w:r>
        <w:rPr>
          <w:spacing w:val="40"/>
        </w:rPr>
        <w:t xml:space="preserve"> </w:t>
      </w:r>
      <w:r>
        <w:t>Department</w:t>
      </w:r>
      <w:r>
        <w:rPr>
          <w:spacing w:val="-6"/>
        </w:rPr>
        <w:t xml:space="preserve"> </w:t>
      </w:r>
      <w:r>
        <w:t>of</w:t>
      </w:r>
      <w:r>
        <w:rPr>
          <w:spacing w:val="-7"/>
        </w:rPr>
        <w:t xml:space="preserve"> </w:t>
      </w:r>
      <w:r>
        <w:t>the</w:t>
      </w:r>
      <w:r>
        <w:rPr>
          <w:spacing w:val="-7"/>
        </w:rPr>
        <w:t xml:space="preserve"> </w:t>
      </w:r>
      <w:r>
        <w:t>Prime</w:t>
      </w:r>
      <w:r>
        <w:rPr>
          <w:spacing w:val="-7"/>
        </w:rPr>
        <w:t xml:space="preserve"> </w:t>
      </w:r>
      <w:r>
        <w:t>Minister</w:t>
      </w:r>
      <w:r>
        <w:rPr>
          <w:spacing w:val="-7"/>
        </w:rPr>
        <w:t xml:space="preserve"> </w:t>
      </w:r>
      <w:r>
        <w:t>and</w:t>
      </w:r>
      <w:r>
        <w:rPr>
          <w:spacing w:val="-6"/>
        </w:rPr>
        <w:t xml:space="preserve"> </w:t>
      </w:r>
      <w:r>
        <w:t>Cabinet 1 National Circuit</w:t>
      </w:r>
    </w:p>
    <w:p w14:paraId="111F5399" w14:textId="77777777" w:rsidR="001062F3" w:rsidRDefault="00F42A52">
      <w:pPr>
        <w:pStyle w:val="BodyText"/>
        <w:ind w:left="1320"/>
      </w:pPr>
      <w:r>
        <w:t>BARTON</w:t>
      </w:r>
      <w:r>
        <w:rPr>
          <w:spacing w:val="28"/>
        </w:rPr>
        <w:t xml:space="preserve">  </w:t>
      </w:r>
      <w:r>
        <w:t>ACT</w:t>
      </w:r>
      <w:r>
        <w:rPr>
          <w:spacing w:val="29"/>
        </w:rPr>
        <w:t xml:space="preserve">  </w:t>
      </w:r>
      <w:r>
        <w:rPr>
          <w:spacing w:val="-4"/>
        </w:rPr>
        <w:t>2600</w:t>
      </w:r>
    </w:p>
    <w:p w14:paraId="79D6C58A" w14:textId="77777777" w:rsidR="001062F3" w:rsidRDefault="001062F3">
      <w:pPr>
        <w:pStyle w:val="BodyText"/>
      </w:pPr>
    </w:p>
    <w:p w14:paraId="3F652877" w14:textId="77777777" w:rsidR="001062F3" w:rsidRDefault="00F42A52">
      <w:pPr>
        <w:pStyle w:val="BodyText"/>
        <w:ind w:left="1320"/>
      </w:pPr>
      <w:r>
        <w:t>Email:</w:t>
      </w:r>
      <w:r>
        <w:rPr>
          <w:spacing w:val="-6"/>
        </w:rPr>
        <w:t xml:space="preserve"> </w:t>
      </w:r>
      <w:hyperlink r:id="rId6">
        <w:r>
          <w:t>helpdesk-</w:t>
        </w:r>
        <w:r>
          <w:rPr>
            <w:spacing w:val="-2"/>
          </w:rPr>
          <w:t>OBPR@pmc.gov.au</w:t>
        </w:r>
      </w:hyperlink>
    </w:p>
    <w:p w14:paraId="26CE277C" w14:textId="77777777" w:rsidR="001062F3" w:rsidRDefault="001062F3">
      <w:pPr>
        <w:pStyle w:val="BodyText"/>
        <w:rPr>
          <w:sz w:val="26"/>
        </w:rPr>
      </w:pPr>
    </w:p>
    <w:p w14:paraId="4DCD9A1C" w14:textId="77777777" w:rsidR="001062F3" w:rsidRDefault="001062F3">
      <w:pPr>
        <w:pStyle w:val="BodyText"/>
        <w:rPr>
          <w:sz w:val="22"/>
        </w:rPr>
      </w:pPr>
    </w:p>
    <w:p w14:paraId="639E0ABF" w14:textId="77777777" w:rsidR="001062F3" w:rsidRDefault="00F42A52">
      <w:pPr>
        <w:pStyle w:val="BodyText"/>
        <w:spacing w:before="1"/>
        <w:ind w:left="1320"/>
      </w:pPr>
      <w:r>
        <w:t>Dear</w:t>
      </w:r>
      <w:r>
        <w:rPr>
          <w:spacing w:val="-4"/>
        </w:rPr>
        <w:t xml:space="preserve"> </w:t>
      </w:r>
      <w:r>
        <w:t>Mr</w:t>
      </w:r>
      <w:r>
        <w:rPr>
          <w:spacing w:val="-1"/>
        </w:rPr>
        <w:t xml:space="preserve"> </w:t>
      </w:r>
      <w:r>
        <w:rPr>
          <w:spacing w:val="-2"/>
        </w:rPr>
        <w:t>Lange</w:t>
      </w:r>
    </w:p>
    <w:p w14:paraId="410F34C7" w14:textId="77777777" w:rsidR="001062F3" w:rsidRDefault="001062F3">
      <w:pPr>
        <w:pStyle w:val="BodyText"/>
        <w:spacing w:before="3"/>
        <w:rPr>
          <w:sz w:val="22"/>
        </w:rPr>
      </w:pPr>
    </w:p>
    <w:p w14:paraId="7F6885A3" w14:textId="77777777" w:rsidR="001062F3" w:rsidRDefault="00F42A52">
      <w:pPr>
        <w:pStyle w:val="Title"/>
        <w:spacing w:line="261" w:lineRule="auto"/>
      </w:pPr>
      <w:bookmarkStart w:id="0" w:name="Regulation_Impact_Statement_–_Buy_Now,_P"/>
      <w:bookmarkEnd w:id="0"/>
      <w:r>
        <w:t>Regulation</w:t>
      </w:r>
      <w:r>
        <w:rPr>
          <w:spacing w:val="-3"/>
        </w:rPr>
        <w:t xml:space="preserve"> </w:t>
      </w:r>
      <w:r>
        <w:t>Impact</w:t>
      </w:r>
      <w:r>
        <w:rPr>
          <w:spacing w:val="-4"/>
        </w:rPr>
        <w:t xml:space="preserve"> </w:t>
      </w:r>
      <w:r>
        <w:t>Statement</w:t>
      </w:r>
      <w:r>
        <w:rPr>
          <w:spacing w:val="-4"/>
        </w:rPr>
        <w:t xml:space="preserve"> </w:t>
      </w:r>
      <w:r>
        <w:t>–</w:t>
      </w:r>
      <w:r>
        <w:rPr>
          <w:spacing w:val="-3"/>
        </w:rPr>
        <w:t xml:space="preserve"> </w:t>
      </w:r>
      <w:r>
        <w:t>Buy</w:t>
      </w:r>
      <w:r>
        <w:rPr>
          <w:spacing w:val="-3"/>
        </w:rPr>
        <w:t xml:space="preserve"> </w:t>
      </w:r>
      <w:r>
        <w:t>Now,</w:t>
      </w:r>
      <w:r>
        <w:rPr>
          <w:spacing w:val="-3"/>
        </w:rPr>
        <w:t xml:space="preserve"> </w:t>
      </w:r>
      <w:r>
        <w:t>Pay</w:t>
      </w:r>
      <w:r>
        <w:rPr>
          <w:spacing w:val="-3"/>
        </w:rPr>
        <w:t xml:space="preserve"> </w:t>
      </w:r>
      <w:r>
        <w:t>Later</w:t>
      </w:r>
      <w:r>
        <w:rPr>
          <w:spacing w:val="-4"/>
        </w:rPr>
        <w:t xml:space="preserve"> </w:t>
      </w:r>
      <w:r>
        <w:t>(BNPL)</w:t>
      </w:r>
      <w:r>
        <w:rPr>
          <w:spacing w:val="-4"/>
        </w:rPr>
        <w:t xml:space="preserve"> </w:t>
      </w:r>
      <w:r>
        <w:t>–</w:t>
      </w:r>
      <w:r>
        <w:rPr>
          <w:spacing w:val="-3"/>
        </w:rPr>
        <w:t xml:space="preserve"> </w:t>
      </w:r>
      <w:r>
        <w:t>Second</w:t>
      </w:r>
      <w:r>
        <w:rPr>
          <w:spacing w:val="-3"/>
        </w:rPr>
        <w:t xml:space="preserve"> </w:t>
      </w:r>
      <w:r>
        <w:t>Pass</w:t>
      </w:r>
      <w:r>
        <w:rPr>
          <w:spacing w:val="-3"/>
        </w:rPr>
        <w:t xml:space="preserve"> </w:t>
      </w:r>
      <w:r>
        <w:t xml:space="preserve">Final </w:t>
      </w:r>
      <w:r>
        <w:rPr>
          <w:spacing w:val="-2"/>
        </w:rPr>
        <w:t>Assessment</w:t>
      </w:r>
    </w:p>
    <w:p w14:paraId="67DBCC20" w14:textId="77777777" w:rsidR="001062F3" w:rsidRDefault="001062F3">
      <w:pPr>
        <w:pStyle w:val="BodyText"/>
        <w:spacing w:before="10"/>
        <w:rPr>
          <w:b/>
          <w:sz w:val="22"/>
        </w:rPr>
      </w:pPr>
    </w:p>
    <w:p w14:paraId="7632E906" w14:textId="77777777" w:rsidR="001062F3" w:rsidRDefault="00F42A52">
      <w:pPr>
        <w:pStyle w:val="BodyText"/>
        <w:ind w:left="1320" w:right="1319"/>
        <w:jc w:val="both"/>
      </w:pPr>
      <w:r>
        <w:t>I am writing in relation to the attached Impact Assessment (IA) prepared for proposals to regulate Buy Now, Pay Later (BNPL) products, following my earlier first pass certification letter of 12 April 2023.</w:t>
      </w:r>
    </w:p>
    <w:p w14:paraId="1A227F9F" w14:textId="77777777" w:rsidR="001062F3" w:rsidRDefault="001062F3">
      <w:pPr>
        <w:pStyle w:val="BodyText"/>
        <w:spacing w:before="2"/>
      </w:pPr>
    </w:p>
    <w:p w14:paraId="3886B4BA" w14:textId="77777777" w:rsidR="001062F3" w:rsidRDefault="00F42A52">
      <w:pPr>
        <w:pStyle w:val="BodyText"/>
        <w:ind w:left="1319" w:right="1402"/>
      </w:pPr>
      <w:r>
        <w:t>I am satisfied that the IA addresses the concerns</w:t>
      </w:r>
      <w:r>
        <w:t xml:space="preserve"> raised in your letter on 14 April 2023. Specifically, the IA</w:t>
      </w:r>
      <w:r>
        <w:rPr>
          <w:spacing w:val="-1"/>
        </w:rPr>
        <w:t xml:space="preserve"> </w:t>
      </w:r>
      <w:r>
        <w:t>now expands on the</w:t>
      </w:r>
      <w:r>
        <w:rPr>
          <w:spacing w:val="-1"/>
        </w:rPr>
        <w:t xml:space="preserve"> </w:t>
      </w:r>
      <w:r>
        <w:t>first pass assessment by including the</w:t>
      </w:r>
      <w:r>
        <w:rPr>
          <w:spacing w:val="-1"/>
        </w:rPr>
        <w:t xml:space="preserve"> </w:t>
      </w:r>
      <w:r>
        <w:t>status quo as an option for reform, providing additional analysis of the costs and benefits of each option and outcomes for affected sta</w:t>
      </w:r>
      <w:r>
        <w:t>keholders, setting out a more detailed explanation of how the policy</w:t>
      </w:r>
      <w:r>
        <w:rPr>
          <w:spacing w:val="-3"/>
        </w:rPr>
        <w:t xml:space="preserve"> </w:t>
      </w:r>
      <w:r>
        <w:t>will</w:t>
      </w:r>
      <w:r>
        <w:rPr>
          <w:spacing w:val="-3"/>
        </w:rPr>
        <w:t xml:space="preserve"> </w:t>
      </w:r>
      <w:r>
        <w:t>be</w:t>
      </w:r>
      <w:r>
        <w:rPr>
          <w:spacing w:val="-4"/>
        </w:rPr>
        <w:t xml:space="preserve"> </w:t>
      </w:r>
      <w:r>
        <w:t>executed</w:t>
      </w:r>
      <w:r>
        <w:rPr>
          <w:spacing w:val="-1"/>
        </w:rPr>
        <w:t xml:space="preserve"> </w:t>
      </w:r>
      <w:r>
        <w:t>and</w:t>
      </w:r>
      <w:r>
        <w:rPr>
          <w:spacing w:val="-3"/>
        </w:rPr>
        <w:t xml:space="preserve"> </w:t>
      </w:r>
      <w:r>
        <w:t>evaluated,</w:t>
      </w:r>
      <w:r>
        <w:rPr>
          <w:spacing w:val="-1"/>
        </w:rPr>
        <w:t xml:space="preserve"> </w:t>
      </w:r>
      <w:r>
        <w:t>and</w:t>
      </w:r>
      <w:r>
        <w:rPr>
          <w:spacing w:val="-3"/>
        </w:rPr>
        <w:t xml:space="preserve"> </w:t>
      </w:r>
      <w:r>
        <w:t>by</w:t>
      </w:r>
      <w:r>
        <w:rPr>
          <w:spacing w:val="-3"/>
        </w:rPr>
        <w:t xml:space="preserve"> </w:t>
      </w:r>
      <w:r>
        <w:t>including</w:t>
      </w:r>
      <w:r>
        <w:rPr>
          <w:spacing w:val="-3"/>
        </w:rPr>
        <w:t xml:space="preserve"> </w:t>
      </w:r>
      <w:r>
        <w:t>information</w:t>
      </w:r>
      <w:r>
        <w:rPr>
          <w:spacing w:val="-3"/>
        </w:rPr>
        <w:t xml:space="preserve"> </w:t>
      </w:r>
      <w:r>
        <w:t>on</w:t>
      </w:r>
      <w:r>
        <w:rPr>
          <w:spacing w:val="-3"/>
        </w:rPr>
        <w:t xml:space="preserve"> </w:t>
      </w:r>
      <w:r>
        <w:t>expected</w:t>
      </w:r>
      <w:r>
        <w:rPr>
          <w:spacing w:val="-3"/>
        </w:rPr>
        <w:t xml:space="preserve"> </w:t>
      </w:r>
      <w:r>
        <w:t>changes</w:t>
      </w:r>
      <w:r>
        <w:rPr>
          <w:spacing w:val="-3"/>
        </w:rPr>
        <w:t xml:space="preserve"> </w:t>
      </w:r>
      <w:r>
        <w:t>to the IA at future major decision points.</w:t>
      </w:r>
    </w:p>
    <w:p w14:paraId="22D025BA" w14:textId="77777777" w:rsidR="001062F3" w:rsidRDefault="001062F3">
      <w:pPr>
        <w:pStyle w:val="BodyText"/>
        <w:spacing w:before="5"/>
      </w:pPr>
    </w:p>
    <w:p w14:paraId="26442877" w14:textId="77777777" w:rsidR="001062F3" w:rsidRDefault="00F42A52">
      <w:pPr>
        <w:pStyle w:val="BodyText"/>
        <w:ind w:left="1320" w:right="1402"/>
      </w:pPr>
      <w:r>
        <w:t>In regard</w:t>
      </w:r>
      <w:r>
        <w:rPr>
          <w:spacing w:val="-2"/>
        </w:rPr>
        <w:t xml:space="preserve"> </w:t>
      </w:r>
      <w:r>
        <w:t>to</w:t>
      </w:r>
      <w:r>
        <w:rPr>
          <w:spacing w:val="-2"/>
        </w:rPr>
        <w:t xml:space="preserve"> </w:t>
      </w:r>
      <w:r>
        <w:t>questions</w:t>
      </w:r>
      <w:r>
        <w:rPr>
          <w:spacing w:val="-2"/>
        </w:rPr>
        <w:t xml:space="preserve"> </w:t>
      </w:r>
      <w:r>
        <w:t>3</w:t>
      </w:r>
      <w:r>
        <w:rPr>
          <w:spacing w:val="-2"/>
        </w:rPr>
        <w:t xml:space="preserve"> </w:t>
      </w:r>
      <w:r>
        <w:t>&amp;</w:t>
      </w:r>
      <w:r>
        <w:rPr>
          <w:spacing w:val="-2"/>
        </w:rPr>
        <w:t xml:space="preserve"> </w:t>
      </w:r>
      <w:r>
        <w:t>4</w:t>
      </w:r>
      <w:r>
        <w:rPr>
          <w:spacing w:val="-2"/>
        </w:rPr>
        <w:t xml:space="preserve"> </w:t>
      </w:r>
      <w:r>
        <w:t>of</w:t>
      </w:r>
      <w:r>
        <w:rPr>
          <w:spacing w:val="-3"/>
        </w:rPr>
        <w:t xml:space="preserve"> </w:t>
      </w:r>
      <w:r>
        <w:t>the</w:t>
      </w:r>
      <w:r>
        <w:rPr>
          <w:spacing w:val="-1"/>
        </w:rPr>
        <w:t xml:space="preserve"> </w:t>
      </w:r>
      <w:r>
        <w:t>IA,</w:t>
      </w:r>
      <w:r>
        <w:rPr>
          <w:spacing w:val="-2"/>
        </w:rPr>
        <w:t xml:space="preserve"> </w:t>
      </w:r>
      <w:r>
        <w:t>the</w:t>
      </w:r>
      <w:r>
        <w:rPr>
          <w:spacing w:val="-3"/>
        </w:rPr>
        <w:t xml:space="preserve"> </w:t>
      </w:r>
      <w:r>
        <w:t>net</w:t>
      </w:r>
      <w:r>
        <w:rPr>
          <w:spacing w:val="-2"/>
        </w:rPr>
        <w:t xml:space="preserve"> </w:t>
      </w:r>
      <w:r>
        <w:t>benefit</w:t>
      </w:r>
      <w:r>
        <w:rPr>
          <w:spacing w:val="-2"/>
        </w:rPr>
        <w:t xml:space="preserve"> </w:t>
      </w:r>
      <w:r>
        <w:t>of</w:t>
      </w:r>
      <w:r>
        <w:rPr>
          <w:spacing w:val="-3"/>
        </w:rPr>
        <w:t xml:space="preserve"> </w:t>
      </w:r>
      <w:r>
        <w:t>each</w:t>
      </w:r>
      <w:r>
        <w:rPr>
          <w:spacing w:val="-2"/>
        </w:rPr>
        <w:t xml:space="preserve"> </w:t>
      </w:r>
      <w:r>
        <w:t>option</w:t>
      </w:r>
      <w:r>
        <w:rPr>
          <w:spacing w:val="-2"/>
        </w:rPr>
        <w:t xml:space="preserve"> </w:t>
      </w:r>
      <w:r>
        <w:t>is</w:t>
      </w:r>
      <w:r>
        <w:rPr>
          <w:spacing w:val="-2"/>
        </w:rPr>
        <w:t xml:space="preserve"> </w:t>
      </w:r>
      <w:r>
        <w:t>now</w:t>
      </w:r>
      <w:r>
        <w:rPr>
          <w:spacing w:val="-3"/>
        </w:rPr>
        <w:t xml:space="preserve"> </w:t>
      </w:r>
      <w:r>
        <w:t>analysed</w:t>
      </w:r>
      <w:r>
        <w:rPr>
          <w:spacing w:val="-2"/>
        </w:rPr>
        <w:t xml:space="preserve"> </w:t>
      </w:r>
      <w:r>
        <w:t>against the status quo. Section 4 now contains more detailed analysis for each option, including on the likely outcomes for affected stakeholders and the economy.</w:t>
      </w:r>
    </w:p>
    <w:p w14:paraId="1FD1132E" w14:textId="77777777" w:rsidR="001062F3" w:rsidRDefault="001062F3">
      <w:pPr>
        <w:pStyle w:val="BodyText"/>
        <w:spacing w:before="3"/>
      </w:pPr>
    </w:p>
    <w:p w14:paraId="32D99D29" w14:textId="77777777" w:rsidR="001062F3" w:rsidRDefault="00F42A52">
      <w:pPr>
        <w:pStyle w:val="ListParagraph"/>
        <w:numPr>
          <w:ilvl w:val="0"/>
          <w:numId w:val="1"/>
        </w:numPr>
        <w:tabs>
          <w:tab w:val="left" w:pos="1886"/>
          <w:tab w:val="left" w:pos="1887"/>
        </w:tabs>
        <w:ind w:right="1361"/>
        <w:rPr>
          <w:sz w:val="24"/>
        </w:rPr>
      </w:pPr>
      <w:r>
        <w:rPr>
          <w:sz w:val="24"/>
        </w:rPr>
        <w:t>Option</w:t>
      </w:r>
      <w:r>
        <w:rPr>
          <w:spacing w:val="-3"/>
          <w:sz w:val="24"/>
        </w:rPr>
        <w:t xml:space="preserve"> </w:t>
      </w:r>
      <w:r>
        <w:rPr>
          <w:sz w:val="24"/>
        </w:rPr>
        <w:t>1</w:t>
      </w:r>
      <w:r>
        <w:rPr>
          <w:spacing w:val="-3"/>
          <w:sz w:val="24"/>
        </w:rPr>
        <w:t xml:space="preserve"> </w:t>
      </w:r>
      <w:r>
        <w:rPr>
          <w:sz w:val="24"/>
        </w:rPr>
        <w:t>would</w:t>
      </w:r>
      <w:r>
        <w:rPr>
          <w:spacing w:val="-3"/>
          <w:sz w:val="24"/>
        </w:rPr>
        <w:t xml:space="preserve"> </w:t>
      </w:r>
      <w:r>
        <w:rPr>
          <w:sz w:val="24"/>
        </w:rPr>
        <w:t>deliver</w:t>
      </w:r>
      <w:r>
        <w:rPr>
          <w:spacing w:val="-4"/>
          <w:sz w:val="24"/>
        </w:rPr>
        <w:t xml:space="preserve"> </w:t>
      </w:r>
      <w:r>
        <w:rPr>
          <w:sz w:val="24"/>
        </w:rPr>
        <w:t>a</w:t>
      </w:r>
      <w:r>
        <w:rPr>
          <w:spacing w:val="-2"/>
          <w:sz w:val="24"/>
        </w:rPr>
        <w:t xml:space="preserve"> </w:t>
      </w:r>
      <w:r>
        <w:rPr>
          <w:sz w:val="24"/>
        </w:rPr>
        <w:t>marginal</w:t>
      </w:r>
      <w:r>
        <w:rPr>
          <w:spacing w:val="-3"/>
          <w:sz w:val="24"/>
        </w:rPr>
        <w:t xml:space="preserve"> </w:t>
      </w:r>
      <w:r>
        <w:rPr>
          <w:sz w:val="24"/>
        </w:rPr>
        <w:t>net</w:t>
      </w:r>
      <w:r>
        <w:rPr>
          <w:spacing w:val="-3"/>
          <w:sz w:val="24"/>
        </w:rPr>
        <w:t xml:space="preserve"> </w:t>
      </w:r>
      <w:r>
        <w:rPr>
          <w:sz w:val="24"/>
        </w:rPr>
        <w:t>benefit</w:t>
      </w:r>
      <w:r>
        <w:rPr>
          <w:spacing w:val="-3"/>
          <w:sz w:val="24"/>
        </w:rPr>
        <w:t xml:space="preserve"> </w:t>
      </w:r>
      <w:r>
        <w:rPr>
          <w:sz w:val="24"/>
        </w:rPr>
        <w:t>to</w:t>
      </w:r>
      <w:r>
        <w:rPr>
          <w:spacing w:val="-3"/>
          <w:sz w:val="24"/>
        </w:rPr>
        <w:t xml:space="preserve"> </w:t>
      </w:r>
      <w:r>
        <w:rPr>
          <w:sz w:val="24"/>
        </w:rPr>
        <w:t>consumers</w:t>
      </w:r>
      <w:r>
        <w:rPr>
          <w:spacing w:val="-3"/>
          <w:sz w:val="24"/>
        </w:rPr>
        <w:t xml:space="preserve"> </w:t>
      </w:r>
      <w:r>
        <w:rPr>
          <w:sz w:val="24"/>
        </w:rPr>
        <w:t>compared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status</w:t>
      </w:r>
      <w:r>
        <w:rPr>
          <w:spacing w:val="-3"/>
          <w:sz w:val="24"/>
        </w:rPr>
        <w:t xml:space="preserve"> </w:t>
      </w:r>
      <w:r>
        <w:rPr>
          <w:sz w:val="24"/>
        </w:rPr>
        <w:t>quo. While introducing a discrete unaffordability assessment in law would slightly increase consumer</w:t>
      </w:r>
      <w:r>
        <w:rPr>
          <w:spacing w:val="-3"/>
          <w:sz w:val="24"/>
        </w:rPr>
        <w:t xml:space="preserve"> </w:t>
      </w:r>
      <w:r>
        <w:rPr>
          <w:sz w:val="24"/>
        </w:rPr>
        <w:t>protection</w:t>
      </w:r>
      <w:r>
        <w:rPr>
          <w:spacing w:val="-2"/>
          <w:sz w:val="24"/>
        </w:rPr>
        <w:t xml:space="preserve"> </w:t>
      </w:r>
      <w:r>
        <w:rPr>
          <w:sz w:val="24"/>
        </w:rPr>
        <w:t>with</w:t>
      </w:r>
      <w:r>
        <w:rPr>
          <w:spacing w:val="-2"/>
          <w:sz w:val="24"/>
        </w:rPr>
        <w:t xml:space="preserve"> </w:t>
      </w:r>
      <w:r>
        <w:rPr>
          <w:sz w:val="24"/>
        </w:rPr>
        <w:t>minimal</w:t>
      </w:r>
      <w:r>
        <w:rPr>
          <w:spacing w:val="-2"/>
          <w:sz w:val="24"/>
        </w:rPr>
        <w:t xml:space="preserve"> </w:t>
      </w:r>
      <w:r>
        <w:rPr>
          <w:sz w:val="24"/>
        </w:rPr>
        <w:t>cost</w:t>
      </w:r>
      <w:r>
        <w:rPr>
          <w:spacing w:val="-2"/>
          <w:sz w:val="24"/>
        </w:rPr>
        <w:t xml:space="preserve"> </w:t>
      </w:r>
      <w:r>
        <w:rPr>
          <w:sz w:val="24"/>
        </w:rPr>
        <w:t>to</w:t>
      </w:r>
      <w:r>
        <w:rPr>
          <w:spacing w:val="-2"/>
          <w:sz w:val="24"/>
        </w:rPr>
        <w:t xml:space="preserve"> </w:t>
      </w:r>
      <w:r>
        <w:rPr>
          <w:sz w:val="24"/>
        </w:rPr>
        <w:t>industry,</w:t>
      </w:r>
      <w:r>
        <w:rPr>
          <w:spacing w:val="-2"/>
          <w:sz w:val="24"/>
        </w:rPr>
        <w:t xml:space="preserve"> </w:t>
      </w:r>
      <w:r>
        <w:rPr>
          <w:sz w:val="24"/>
        </w:rPr>
        <w:t>it</w:t>
      </w:r>
      <w:r>
        <w:rPr>
          <w:spacing w:val="-2"/>
          <w:sz w:val="24"/>
        </w:rPr>
        <w:t xml:space="preserve"> </w:t>
      </w:r>
      <w:r>
        <w:rPr>
          <w:sz w:val="24"/>
        </w:rPr>
        <w:t>would</w:t>
      </w:r>
      <w:r>
        <w:rPr>
          <w:spacing w:val="-2"/>
          <w:sz w:val="24"/>
        </w:rPr>
        <w:t xml:space="preserve"> </w:t>
      </w:r>
      <w:r>
        <w:rPr>
          <w:sz w:val="24"/>
        </w:rPr>
        <w:t>only</w:t>
      </w:r>
      <w:r>
        <w:rPr>
          <w:spacing w:val="-2"/>
          <w:sz w:val="24"/>
        </w:rPr>
        <w:t xml:space="preserve"> </w:t>
      </w:r>
      <w:r>
        <w:rPr>
          <w:sz w:val="24"/>
        </w:rPr>
        <w:t>marginally</w:t>
      </w:r>
      <w:r>
        <w:rPr>
          <w:spacing w:val="-2"/>
          <w:sz w:val="24"/>
        </w:rPr>
        <w:t xml:space="preserve"> </w:t>
      </w:r>
      <w:r>
        <w:rPr>
          <w:sz w:val="24"/>
        </w:rPr>
        <w:t>reduce</w:t>
      </w:r>
      <w:r>
        <w:rPr>
          <w:spacing w:val="-3"/>
          <w:sz w:val="24"/>
        </w:rPr>
        <w:t xml:space="preserve"> </w:t>
      </w:r>
      <w:r>
        <w:rPr>
          <w:sz w:val="24"/>
        </w:rPr>
        <w:t>the instances of unaffordable lending, such that</w:t>
      </w:r>
      <w:r>
        <w:rPr>
          <w:sz w:val="24"/>
        </w:rPr>
        <w:t xml:space="preserve"> significant consumer harm would persist. The</w:t>
      </w:r>
      <w:r>
        <w:rPr>
          <w:spacing w:val="-1"/>
          <w:sz w:val="24"/>
        </w:rPr>
        <w:t xml:space="preserve"> </w:t>
      </w:r>
      <w:r>
        <w:rPr>
          <w:sz w:val="24"/>
        </w:rPr>
        <w:t>total regulatory costs of</w:t>
      </w:r>
      <w:r>
        <w:rPr>
          <w:spacing w:val="-1"/>
          <w:sz w:val="24"/>
        </w:rPr>
        <w:t xml:space="preserve"> </w:t>
      </w:r>
      <w:r>
        <w:rPr>
          <w:sz w:val="24"/>
        </w:rPr>
        <w:t>this option are</w:t>
      </w:r>
      <w:r>
        <w:rPr>
          <w:spacing w:val="-1"/>
          <w:sz w:val="24"/>
        </w:rPr>
        <w:t xml:space="preserve"> </w:t>
      </w:r>
      <w:r>
        <w:rPr>
          <w:sz w:val="24"/>
        </w:rPr>
        <w:t>estimated to be</w:t>
      </w:r>
      <w:r>
        <w:rPr>
          <w:spacing w:val="-1"/>
          <w:sz w:val="24"/>
        </w:rPr>
        <w:t xml:space="preserve"> </w:t>
      </w:r>
      <w:r>
        <w:rPr>
          <w:sz w:val="24"/>
        </w:rPr>
        <w:t>$3.96 million per</w:t>
      </w:r>
      <w:r>
        <w:rPr>
          <w:spacing w:val="-1"/>
          <w:sz w:val="24"/>
        </w:rPr>
        <w:t xml:space="preserve"> </w:t>
      </w:r>
      <w:r>
        <w:rPr>
          <w:sz w:val="24"/>
        </w:rPr>
        <w:t>annum on a 10-year annualised basis.</w:t>
      </w:r>
    </w:p>
    <w:p w14:paraId="616EF261" w14:textId="77777777" w:rsidR="001062F3" w:rsidRDefault="001062F3">
      <w:pPr>
        <w:pStyle w:val="BodyText"/>
      </w:pPr>
    </w:p>
    <w:p w14:paraId="78554DD3" w14:textId="77777777" w:rsidR="001062F3" w:rsidRDefault="00F42A52">
      <w:pPr>
        <w:pStyle w:val="ListParagraph"/>
        <w:numPr>
          <w:ilvl w:val="0"/>
          <w:numId w:val="1"/>
        </w:numPr>
        <w:tabs>
          <w:tab w:val="left" w:pos="1886"/>
          <w:tab w:val="left" w:pos="1887"/>
        </w:tabs>
        <w:ind w:right="1498"/>
        <w:rPr>
          <w:sz w:val="24"/>
        </w:rPr>
      </w:pPr>
      <w:r>
        <w:rPr>
          <w:sz w:val="24"/>
        </w:rPr>
        <w:t>Option 2 delivers significant net benefits over the status quo. Option 2 applies the principle</w:t>
      </w:r>
      <w:r>
        <w:rPr>
          <w:spacing w:val="-4"/>
          <w:sz w:val="24"/>
        </w:rPr>
        <w:t xml:space="preserve"> </w:t>
      </w:r>
      <w:r>
        <w:rPr>
          <w:sz w:val="24"/>
        </w:rPr>
        <w:t>b</w:t>
      </w:r>
      <w:r>
        <w:rPr>
          <w:sz w:val="24"/>
        </w:rPr>
        <w:t>ased</w:t>
      </w:r>
      <w:r>
        <w:rPr>
          <w:spacing w:val="-3"/>
          <w:sz w:val="24"/>
        </w:rPr>
        <w:t xml:space="preserve"> </w:t>
      </w:r>
      <w:r>
        <w:rPr>
          <w:sz w:val="24"/>
        </w:rPr>
        <w:t>Responsible</w:t>
      </w:r>
      <w:r>
        <w:rPr>
          <w:spacing w:val="-4"/>
          <w:sz w:val="24"/>
        </w:rPr>
        <w:t xml:space="preserve"> </w:t>
      </w:r>
      <w:r>
        <w:rPr>
          <w:sz w:val="24"/>
        </w:rPr>
        <w:t>Lending</w:t>
      </w:r>
      <w:r>
        <w:rPr>
          <w:spacing w:val="-3"/>
          <w:sz w:val="24"/>
        </w:rPr>
        <w:t xml:space="preserve"> </w:t>
      </w:r>
      <w:r>
        <w:rPr>
          <w:sz w:val="24"/>
        </w:rPr>
        <w:t>Obligation</w:t>
      </w:r>
      <w:r>
        <w:rPr>
          <w:spacing w:val="-3"/>
          <w:sz w:val="24"/>
        </w:rPr>
        <w:t xml:space="preserve"> </w:t>
      </w:r>
      <w:r>
        <w:rPr>
          <w:sz w:val="24"/>
        </w:rPr>
        <w:t>(RLO)</w:t>
      </w:r>
      <w:r>
        <w:rPr>
          <w:spacing w:val="-4"/>
          <w:sz w:val="24"/>
        </w:rPr>
        <w:t xml:space="preserve"> </w:t>
      </w:r>
      <w:r>
        <w:rPr>
          <w:sz w:val="24"/>
        </w:rPr>
        <w:t>framework</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BNPL</w:t>
      </w:r>
      <w:r>
        <w:rPr>
          <w:spacing w:val="-4"/>
          <w:sz w:val="24"/>
        </w:rPr>
        <w:t xml:space="preserve"> </w:t>
      </w:r>
      <w:r>
        <w:rPr>
          <w:sz w:val="24"/>
        </w:rPr>
        <w:t>is</w:t>
      </w:r>
    </w:p>
    <w:p w14:paraId="7B9788A4" w14:textId="77777777" w:rsidR="001062F3" w:rsidRDefault="001062F3">
      <w:pPr>
        <w:pStyle w:val="BodyText"/>
        <w:rPr>
          <w:sz w:val="20"/>
        </w:rPr>
      </w:pPr>
    </w:p>
    <w:p w14:paraId="7F61F87B" w14:textId="77777777" w:rsidR="001062F3" w:rsidRDefault="001062F3">
      <w:pPr>
        <w:pStyle w:val="BodyText"/>
        <w:rPr>
          <w:sz w:val="20"/>
        </w:rPr>
      </w:pPr>
    </w:p>
    <w:p w14:paraId="6C867F17" w14:textId="77777777" w:rsidR="001062F3" w:rsidRDefault="001062F3">
      <w:pPr>
        <w:pStyle w:val="BodyText"/>
        <w:rPr>
          <w:sz w:val="20"/>
        </w:rPr>
      </w:pPr>
    </w:p>
    <w:p w14:paraId="7EC691A8" w14:textId="77777777" w:rsidR="001062F3" w:rsidRDefault="001062F3">
      <w:pPr>
        <w:pStyle w:val="BodyText"/>
        <w:rPr>
          <w:sz w:val="20"/>
        </w:rPr>
      </w:pPr>
    </w:p>
    <w:p w14:paraId="22CEE76C" w14:textId="77777777" w:rsidR="001062F3" w:rsidRDefault="00F42A52">
      <w:pPr>
        <w:spacing w:before="69"/>
        <w:ind w:left="9264" w:right="1315" w:hanging="49"/>
        <w:jc w:val="right"/>
        <w:rPr>
          <w:rFonts w:ascii="Calibri"/>
          <w:sz w:val="16"/>
        </w:rPr>
      </w:pPr>
      <w:r>
        <w:rPr>
          <w:noProof/>
        </w:rPr>
        <w:drawing>
          <wp:anchor distT="0" distB="0" distL="0" distR="0" simplePos="0" relativeHeight="15728640" behindDoc="0" locked="0" layoutInCell="1" allowOverlap="1" wp14:anchorId="6B21F847" wp14:editId="113E9915">
            <wp:simplePos x="0" y="0"/>
            <wp:positionH relativeFrom="page">
              <wp:posOffset>917461</wp:posOffset>
            </wp:positionH>
            <wp:positionV relativeFrom="paragraph">
              <wp:posOffset>76181</wp:posOffset>
            </wp:positionV>
            <wp:extent cx="1601284" cy="82743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601284" cy="827432"/>
                    </a:xfrm>
                    <a:prstGeom prst="rect">
                      <a:avLst/>
                    </a:prstGeom>
                  </pic:spPr>
                </pic:pic>
              </a:graphicData>
            </a:graphic>
          </wp:anchor>
        </w:drawing>
      </w:r>
      <w:r>
        <w:rPr>
          <w:rFonts w:ascii="Calibri"/>
          <w:color w:val="4F81BC"/>
          <w:sz w:val="16"/>
        </w:rPr>
        <w:t>Langton</w:t>
      </w:r>
      <w:r>
        <w:rPr>
          <w:rFonts w:ascii="Calibri"/>
          <w:color w:val="4F81BC"/>
          <w:spacing w:val="-10"/>
          <w:sz w:val="16"/>
        </w:rPr>
        <w:t xml:space="preserve"> </w:t>
      </w:r>
      <w:r>
        <w:rPr>
          <w:rFonts w:ascii="Calibri"/>
          <w:color w:val="4F81BC"/>
          <w:sz w:val="16"/>
        </w:rPr>
        <w:t>Crescent</w:t>
      </w:r>
      <w:r>
        <w:rPr>
          <w:rFonts w:ascii="Calibri"/>
          <w:color w:val="4F81BC"/>
          <w:spacing w:val="40"/>
          <w:sz w:val="16"/>
        </w:rPr>
        <w:t xml:space="preserve"> </w:t>
      </w:r>
      <w:r>
        <w:rPr>
          <w:rFonts w:ascii="Calibri"/>
          <w:color w:val="4F81BC"/>
          <w:sz w:val="16"/>
        </w:rPr>
        <w:t>Parkes</w:t>
      </w:r>
      <w:r>
        <w:rPr>
          <w:rFonts w:ascii="Calibri"/>
          <w:color w:val="4F81BC"/>
          <w:spacing w:val="-6"/>
          <w:sz w:val="16"/>
        </w:rPr>
        <w:t xml:space="preserve"> </w:t>
      </w:r>
      <w:r>
        <w:rPr>
          <w:rFonts w:ascii="Calibri"/>
          <w:color w:val="4F81BC"/>
          <w:sz w:val="16"/>
        </w:rPr>
        <w:t>ACT</w:t>
      </w:r>
      <w:r>
        <w:rPr>
          <w:rFonts w:ascii="Calibri"/>
          <w:color w:val="4F81BC"/>
          <w:spacing w:val="-2"/>
          <w:sz w:val="16"/>
        </w:rPr>
        <w:t xml:space="preserve"> </w:t>
      </w:r>
      <w:r>
        <w:rPr>
          <w:rFonts w:ascii="Calibri"/>
          <w:color w:val="4F81BC"/>
          <w:spacing w:val="-4"/>
          <w:sz w:val="16"/>
        </w:rPr>
        <w:t>2600</w:t>
      </w:r>
    </w:p>
    <w:p w14:paraId="7690EAC7" w14:textId="77777777" w:rsidR="001062F3" w:rsidRDefault="00F42A52">
      <w:pPr>
        <w:spacing w:line="386" w:lineRule="auto"/>
        <w:ind w:left="9064" w:right="1317" w:firstLine="705"/>
        <w:jc w:val="right"/>
        <w:rPr>
          <w:rFonts w:ascii="Calibri"/>
          <w:sz w:val="16"/>
        </w:rPr>
      </w:pPr>
      <w:r>
        <w:rPr>
          <w:rFonts w:ascii="Calibri"/>
          <w:color w:val="4F81BC"/>
          <w:spacing w:val="-2"/>
          <w:sz w:val="16"/>
        </w:rPr>
        <w:t>Australia</w:t>
      </w:r>
      <w:r>
        <w:rPr>
          <w:rFonts w:ascii="Calibri"/>
          <w:color w:val="4F81BC"/>
          <w:spacing w:val="40"/>
          <w:sz w:val="16"/>
        </w:rPr>
        <w:t xml:space="preserve"> </w:t>
      </w:r>
      <w:r>
        <w:rPr>
          <w:rFonts w:ascii="Calibri"/>
          <w:color w:val="4F81BC"/>
          <w:sz w:val="16"/>
        </w:rPr>
        <w:t>P:</w:t>
      </w:r>
      <w:r>
        <w:rPr>
          <w:rFonts w:ascii="Calibri"/>
          <w:color w:val="4F81BC"/>
          <w:spacing w:val="34"/>
          <w:sz w:val="16"/>
        </w:rPr>
        <w:t xml:space="preserve"> </w:t>
      </w:r>
      <w:r>
        <w:rPr>
          <w:rFonts w:ascii="Calibri"/>
          <w:color w:val="4F81BC"/>
          <w:sz w:val="16"/>
        </w:rPr>
        <w:t>+61</w:t>
      </w:r>
      <w:r>
        <w:rPr>
          <w:rFonts w:ascii="Calibri"/>
          <w:color w:val="4F81BC"/>
          <w:spacing w:val="-2"/>
          <w:sz w:val="16"/>
        </w:rPr>
        <w:t xml:space="preserve"> </w:t>
      </w:r>
      <w:r>
        <w:rPr>
          <w:rFonts w:ascii="Calibri"/>
          <w:color w:val="4F81BC"/>
          <w:sz w:val="16"/>
        </w:rPr>
        <w:t>2</w:t>
      </w:r>
      <w:r>
        <w:rPr>
          <w:rFonts w:ascii="Calibri"/>
          <w:color w:val="4F81BC"/>
          <w:spacing w:val="-2"/>
          <w:sz w:val="16"/>
        </w:rPr>
        <w:t xml:space="preserve"> </w:t>
      </w:r>
      <w:r>
        <w:rPr>
          <w:rFonts w:ascii="Calibri"/>
          <w:color w:val="4F81BC"/>
          <w:sz w:val="16"/>
        </w:rPr>
        <w:t>6263</w:t>
      </w:r>
      <w:r>
        <w:rPr>
          <w:rFonts w:ascii="Calibri"/>
          <w:color w:val="4F81BC"/>
          <w:spacing w:val="-1"/>
          <w:sz w:val="16"/>
        </w:rPr>
        <w:t xml:space="preserve"> </w:t>
      </w:r>
      <w:r>
        <w:rPr>
          <w:rFonts w:ascii="Calibri"/>
          <w:color w:val="4F81BC"/>
          <w:spacing w:val="-4"/>
          <w:sz w:val="16"/>
        </w:rPr>
        <w:t>2111</w:t>
      </w:r>
    </w:p>
    <w:p w14:paraId="308BDE9D" w14:textId="77777777" w:rsidR="001062F3" w:rsidRDefault="001062F3">
      <w:pPr>
        <w:spacing w:line="386" w:lineRule="auto"/>
        <w:jc w:val="right"/>
        <w:rPr>
          <w:rFonts w:ascii="Calibri"/>
          <w:sz w:val="16"/>
        </w:rPr>
        <w:sectPr w:rsidR="001062F3">
          <w:type w:val="continuous"/>
          <w:pgSz w:w="11910" w:h="16840"/>
          <w:pgMar w:top="220" w:right="120" w:bottom="280" w:left="120" w:header="720" w:footer="720" w:gutter="0"/>
          <w:cols w:space="720"/>
        </w:sectPr>
      </w:pPr>
    </w:p>
    <w:p w14:paraId="00E7EC81" w14:textId="77777777" w:rsidR="001062F3" w:rsidRDefault="00F42A52">
      <w:pPr>
        <w:pStyle w:val="BodyText"/>
        <w:spacing w:before="60"/>
        <w:ind w:left="1886" w:right="1198"/>
      </w:pPr>
      <w:r>
        <w:lastRenderedPageBreak/>
        <w:t>not provided to those for whom it is unsuitable, while ensuring that regulation is proportionate to the risk of the product and will not unduly disrupt the business operations of BNPL providers. It also applies credit licencing and other Credit Act regulat</w:t>
      </w:r>
      <w:r>
        <w:t>ion</w:t>
      </w:r>
      <w:r>
        <w:rPr>
          <w:spacing w:val="-3"/>
        </w:rPr>
        <w:t xml:space="preserve"> </w:t>
      </w:r>
      <w:r>
        <w:t>to</w:t>
      </w:r>
      <w:r>
        <w:rPr>
          <w:spacing w:val="-3"/>
        </w:rPr>
        <w:t xml:space="preserve"> </w:t>
      </w:r>
      <w:r>
        <w:t>BNPL</w:t>
      </w:r>
      <w:r>
        <w:rPr>
          <w:spacing w:val="-4"/>
        </w:rPr>
        <w:t xml:space="preserve"> </w:t>
      </w:r>
      <w:r>
        <w:t>but</w:t>
      </w:r>
      <w:r>
        <w:rPr>
          <w:spacing w:val="-3"/>
        </w:rPr>
        <w:t xml:space="preserve"> </w:t>
      </w:r>
      <w:r>
        <w:t>modified</w:t>
      </w:r>
      <w:r>
        <w:rPr>
          <w:spacing w:val="-4"/>
        </w:rPr>
        <w:t xml:space="preserve"> </w:t>
      </w:r>
      <w:r>
        <w:t>in</w:t>
      </w:r>
      <w:r>
        <w:rPr>
          <w:spacing w:val="-3"/>
        </w:rPr>
        <w:t xml:space="preserve"> </w:t>
      </w:r>
      <w:r>
        <w:t>a</w:t>
      </w:r>
      <w:r>
        <w:rPr>
          <w:spacing w:val="-4"/>
        </w:rPr>
        <w:t xml:space="preserve"> </w:t>
      </w:r>
      <w:r>
        <w:t>way</w:t>
      </w:r>
      <w:r>
        <w:rPr>
          <w:spacing w:val="-3"/>
        </w:rPr>
        <w:t xml:space="preserve"> </w:t>
      </w:r>
      <w:r>
        <w:t>that</w:t>
      </w:r>
      <w:r>
        <w:rPr>
          <w:spacing w:val="-3"/>
        </w:rPr>
        <w:t xml:space="preserve"> </w:t>
      </w:r>
      <w:r>
        <w:t>is</w:t>
      </w:r>
      <w:r>
        <w:rPr>
          <w:spacing w:val="-1"/>
        </w:rPr>
        <w:t xml:space="preserve"> </w:t>
      </w:r>
      <w:r>
        <w:t>flexible</w:t>
      </w:r>
      <w:r>
        <w:rPr>
          <w:spacing w:val="-4"/>
        </w:rPr>
        <w:t xml:space="preserve"> </w:t>
      </w:r>
      <w:r>
        <w:t>and</w:t>
      </w:r>
      <w:r>
        <w:rPr>
          <w:spacing w:val="-3"/>
        </w:rPr>
        <w:t xml:space="preserve"> </w:t>
      </w:r>
      <w:r>
        <w:t>technologically</w:t>
      </w:r>
      <w:r>
        <w:rPr>
          <w:spacing w:val="-3"/>
        </w:rPr>
        <w:t xml:space="preserve"> </w:t>
      </w:r>
      <w:r>
        <w:t>neutral</w:t>
      </w:r>
      <w:r>
        <w:rPr>
          <w:spacing w:val="-3"/>
        </w:rPr>
        <w:t xml:space="preserve"> </w:t>
      </w:r>
      <w:r>
        <w:t>so that it is fit for purpose for the BNPL business model. This option will greatly increase protections for consumers over the status quo and is expected to reduce unaffordable</w:t>
      </w:r>
      <w:r>
        <w:t xml:space="preserve"> lending markedly while ensuring that consumers can still access BNPL credit. The regulatory burden upon providers and merchants would increase moderately. The total regulatory costs of this option are estimated to be $15 million per annum on a 10-year ann</w:t>
      </w:r>
      <w:r>
        <w:t>ualised basis.</w:t>
      </w:r>
    </w:p>
    <w:p w14:paraId="5C68BE91" w14:textId="77777777" w:rsidR="001062F3" w:rsidRDefault="001062F3">
      <w:pPr>
        <w:pStyle w:val="BodyText"/>
        <w:spacing w:before="1"/>
      </w:pPr>
    </w:p>
    <w:p w14:paraId="3963B93D" w14:textId="77777777" w:rsidR="001062F3" w:rsidRDefault="00F42A52">
      <w:pPr>
        <w:pStyle w:val="ListParagraph"/>
        <w:numPr>
          <w:ilvl w:val="0"/>
          <w:numId w:val="1"/>
        </w:numPr>
        <w:tabs>
          <w:tab w:val="left" w:pos="1886"/>
          <w:tab w:val="left" w:pos="1887"/>
        </w:tabs>
        <w:rPr>
          <w:sz w:val="24"/>
        </w:rPr>
      </w:pPr>
      <w:r>
        <w:rPr>
          <w:sz w:val="24"/>
        </w:rPr>
        <w:t>Option 3, a wholesale application of existing credit regulation without any</w:t>
      </w:r>
      <w:r>
        <w:rPr>
          <w:spacing w:val="40"/>
          <w:sz w:val="24"/>
        </w:rPr>
        <w:t xml:space="preserve"> </w:t>
      </w:r>
      <w:r>
        <w:rPr>
          <w:sz w:val="24"/>
        </w:rPr>
        <w:t>modification, would be expected to have a net benefit to consumers, but less so than under</w:t>
      </w:r>
      <w:r>
        <w:rPr>
          <w:spacing w:val="-4"/>
          <w:sz w:val="24"/>
        </w:rPr>
        <w:t xml:space="preserve"> </w:t>
      </w:r>
      <w:r>
        <w:rPr>
          <w:sz w:val="24"/>
        </w:rPr>
        <w:t>Option</w:t>
      </w:r>
      <w:r>
        <w:rPr>
          <w:spacing w:val="-3"/>
          <w:sz w:val="24"/>
        </w:rPr>
        <w:t xml:space="preserve"> </w:t>
      </w:r>
      <w:r>
        <w:rPr>
          <w:sz w:val="24"/>
        </w:rPr>
        <w:t>2.</w:t>
      </w:r>
      <w:r>
        <w:rPr>
          <w:spacing w:val="-3"/>
          <w:sz w:val="24"/>
        </w:rPr>
        <w:t xml:space="preserve"> </w:t>
      </w:r>
      <w:r>
        <w:rPr>
          <w:sz w:val="24"/>
        </w:rPr>
        <w:t>The</w:t>
      </w:r>
      <w:r>
        <w:rPr>
          <w:spacing w:val="-4"/>
          <w:sz w:val="24"/>
        </w:rPr>
        <w:t xml:space="preserve"> </w:t>
      </w:r>
      <w:r>
        <w:rPr>
          <w:sz w:val="24"/>
        </w:rPr>
        <w:t>RLO</w:t>
      </w:r>
      <w:r>
        <w:rPr>
          <w:spacing w:val="-4"/>
          <w:sz w:val="24"/>
        </w:rPr>
        <w:t xml:space="preserve"> </w:t>
      </w:r>
      <w:r>
        <w:rPr>
          <w:sz w:val="24"/>
        </w:rPr>
        <w:t>framework</w:t>
      </w:r>
      <w:r>
        <w:rPr>
          <w:spacing w:val="-3"/>
          <w:sz w:val="24"/>
        </w:rPr>
        <w:t xml:space="preserve"> </w:t>
      </w:r>
      <w:r>
        <w:rPr>
          <w:sz w:val="24"/>
        </w:rPr>
        <w:t>would</w:t>
      </w:r>
      <w:r>
        <w:rPr>
          <w:spacing w:val="-3"/>
          <w:sz w:val="24"/>
        </w:rPr>
        <w:t xml:space="preserve"> </w:t>
      </w:r>
      <w:r>
        <w:rPr>
          <w:sz w:val="24"/>
        </w:rPr>
        <w:t>be</w:t>
      </w:r>
      <w:r>
        <w:rPr>
          <w:spacing w:val="-4"/>
          <w:sz w:val="24"/>
        </w:rPr>
        <w:t xml:space="preserve"> </w:t>
      </w:r>
      <w:r>
        <w:rPr>
          <w:sz w:val="24"/>
        </w:rPr>
        <w:t>instituted</w:t>
      </w:r>
      <w:r>
        <w:rPr>
          <w:spacing w:val="-3"/>
          <w:sz w:val="24"/>
        </w:rPr>
        <w:t xml:space="preserve"> </w:t>
      </w:r>
      <w:r>
        <w:rPr>
          <w:sz w:val="24"/>
        </w:rPr>
        <w:t>without</w:t>
      </w:r>
      <w:r>
        <w:rPr>
          <w:spacing w:val="-3"/>
          <w:sz w:val="24"/>
        </w:rPr>
        <w:t xml:space="preserve"> </w:t>
      </w:r>
      <w:r>
        <w:rPr>
          <w:sz w:val="24"/>
        </w:rPr>
        <w:t>amendment.</w:t>
      </w:r>
      <w:r>
        <w:rPr>
          <w:spacing w:val="-3"/>
          <w:sz w:val="24"/>
        </w:rPr>
        <w:t xml:space="preserve"> </w:t>
      </w:r>
      <w:r>
        <w:rPr>
          <w:sz w:val="24"/>
        </w:rPr>
        <w:t>This</w:t>
      </w:r>
      <w:r>
        <w:rPr>
          <w:spacing w:val="-3"/>
          <w:sz w:val="24"/>
        </w:rPr>
        <w:t xml:space="preserve"> </w:t>
      </w:r>
      <w:r>
        <w:rPr>
          <w:sz w:val="24"/>
        </w:rPr>
        <w:t>will increase consumer protections and significantly reduce unaffordable lending by a greater</w:t>
      </w:r>
      <w:r>
        <w:rPr>
          <w:sz w:val="24"/>
        </w:rPr>
        <w:t xml:space="preserve"> degree than other options. However, it would also significantly increase costs for industry compared to the status quo and may make many lower-value BNPL products</w:t>
      </w:r>
      <w:r>
        <w:rPr>
          <w:spacing w:val="-1"/>
          <w:sz w:val="24"/>
        </w:rPr>
        <w:t xml:space="preserve"> </w:t>
      </w:r>
      <w:r>
        <w:rPr>
          <w:sz w:val="24"/>
        </w:rPr>
        <w:t>economically</w:t>
      </w:r>
      <w:r>
        <w:rPr>
          <w:spacing w:val="-1"/>
          <w:sz w:val="24"/>
        </w:rPr>
        <w:t xml:space="preserve"> </w:t>
      </w:r>
      <w:r>
        <w:rPr>
          <w:sz w:val="24"/>
        </w:rPr>
        <w:t>unviable.</w:t>
      </w:r>
      <w:r>
        <w:rPr>
          <w:spacing w:val="-1"/>
          <w:sz w:val="24"/>
        </w:rPr>
        <w:t xml:space="preserve"> </w:t>
      </w:r>
      <w:r>
        <w:rPr>
          <w:sz w:val="24"/>
        </w:rPr>
        <w:t>Any</w:t>
      </w:r>
      <w:r>
        <w:rPr>
          <w:spacing w:val="-1"/>
          <w:sz w:val="24"/>
        </w:rPr>
        <w:t xml:space="preserve"> </w:t>
      </w:r>
      <w:r>
        <w:rPr>
          <w:sz w:val="24"/>
        </w:rPr>
        <w:t>benefit</w:t>
      </w:r>
      <w:r>
        <w:rPr>
          <w:spacing w:val="-1"/>
          <w:sz w:val="24"/>
        </w:rPr>
        <w:t xml:space="preserve"> </w:t>
      </w:r>
      <w:r>
        <w:rPr>
          <w:sz w:val="24"/>
        </w:rPr>
        <w:t>from</w:t>
      </w:r>
      <w:r>
        <w:rPr>
          <w:spacing w:val="-1"/>
          <w:sz w:val="24"/>
        </w:rPr>
        <w:t xml:space="preserve"> </w:t>
      </w:r>
      <w:r>
        <w:rPr>
          <w:sz w:val="24"/>
        </w:rPr>
        <w:t>increased consumer</w:t>
      </w:r>
      <w:r>
        <w:rPr>
          <w:spacing w:val="-2"/>
          <w:sz w:val="24"/>
        </w:rPr>
        <w:t xml:space="preserve"> </w:t>
      </w:r>
      <w:r>
        <w:rPr>
          <w:sz w:val="24"/>
        </w:rPr>
        <w:t>protections</w:t>
      </w:r>
      <w:r>
        <w:rPr>
          <w:spacing w:val="-1"/>
          <w:sz w:val="24"/>
        </w:rPr>
        <w:t xml:space="preserve"> </w:t>
      </w:r>
      <w:r>
        <w:rPr>
          <w:sz w:val="24"/>
        </w:rPr>
        <w:t xml:space="preserve">over those in Option </w:t>
      </w:r>
      <w:r>
        <w:rPr>
          <w:sz w:val="24"/>
        </w:rPr>
        <w:t xml:space="preserve">2 would be outweighed by the reductions in benefits to merchants, providers and consumers, including reductions in financial inclusion. The total regulatory costs are estimated to be $36.07 million per annum on a 10-year annualised </w:t>
      </w:r>
      <w:r>
        <w:rPr>
          <w:spacing w:val="-2"/>
          <w:sz w:val="24"/>
        </w:rPr>
        <w:t>basis.</w:t>
      </w:r>
    </w:p>
    <w:p w14:paraId="41C62211" w14:textId="77777777" w:rsidR="001062F3" w:rsidRDefault="001062F3">
      <w:pPr>
        <w:pStyle w:val="BodyText"/>
        <w:spacing w:before="2"/>
      </w:pPr>
    </w:p>
    <w:p w14:paraId="6915B5E6" w14:textId="77777777" w:rsidR="001062F3" w:rsidRDefault="00F42A52">
      <w:pPr>
        <w:pStyle w:val="BodyText"/>
        <w:ind w:left="1320" w:right="1402"/>
      </w:pPr>
      <w:r>
        <w:t>Question</w:t>
      </w:r>
      <w:r>
        <w:rPr>
          <w:spacing w:val="-1"/>
        </w:rPr>
        <w:t xml:space="preserve"> </w:t>
      </w:r>
      <w:r>
        <w:t>7</w:t>
      </w:r>
      <w:r>
        <w:rPr>
          <w:spacing w:val="-1"/>
        </w:rPr>
        <w:t xml:space="preserve"> </w:t>
      </w:r>
      <w:r>
        <w:t>of</w:t>
      </w:r>
      <w:r>
        <w:rPr>
          <w:spacing w:val="-2"/>
        </w:rPr>
        <w:t xml:space="preserve"> </w:t>
      </w:r>
      <w:r>
        <w:t>the IA</w:t>
      </w:r>
      <w:r>
        <w:rPr>
          <w:spacing w:val="-2"/>
        </w:rPr>
        <w:t xml:space="preserve"> </w:t>
      </w:r>
      <w:r>
        <w:t>is</w:t>
      </w:r>
      <w:r>
        <w:rPr>
          <w:spacing w:val="-1"/>
        </w:rPr>
        <w:t xml:space="preserve"> </w:t>
      </w:r>
      <w:r>
        <w:t>now</w:t>
      </w:r>
      <w:r>
        <w:rPr>
          <w:spacing w:val="-2"/>
        </w:rPr>
        <w:t xml:space="preserve"> </w:t>
      </w:r>
      <w:r>
        <w:t>addressed</w:t>
      </w:r>
      <w:r>
        <w:rPr>
          <w:spacing w:val="-1"/>
        </w:rPr>
        <w:t xml:space="preserve"> </w:t>
      </w:r>
      <w:r>
        <w:t>in</w:t>
      </w:r>
      <w:r>
        <w:rPr>
          <w:spacing w:val="-1"/>
        </w:rPr>
        <w:t xml:space="preserve"> </w:t>
      </w:r>
      <w:r>
        <w:t>more</w:t>
      </w:r>
      <w:r>
        <w:rPr>
          <w:spacing w:val="-2"/>
        </w:rPr>
        <w:t xml:space="preserve"> </w:t>
      </w:r>
      <w:r>
        <w:t>detail.</w:t>
      </w:r>
      <w:r>
        <w:rPr>
          <w:spacing w:val="-1"/>
        </w:rPr>
        <w:t xml:space="preserve"> </w:t>
      </w:r>
      <w:r>
        <w:t>The</w:t>
      </w:r>
      <w:r>
        <w:rPr>
          <w:spacing w:val="-2"/>
        </w:rPr>
        <w:t xml:space="preserve"> </w:t>
      </w:r>
      <w:r>
        <w:t>performance</w:t>
      </w:r>
      <w:r>
        <w:rPr>
          <w:spacing w:val="-2"/>
        </w:rPr>
        <w:t xml:space="preserve"> </w:t>
      </w:r>
      <w:r>
        <w:t>of</w:t>
      </w:r>
      <w:r>
        <w:rPr>
          <w:spacing w:val="-2"/>
        </w:rPr>
        <w:t xml:space="preserve"> </w:t>
      </w:r>
      <w:r>
        <w:t>the</w:t>
      </w:r>
      <w:r>
        <w:rPr>
          <w:spacing w:val="-2"/>
        </w:rPr>
        <w:t xml:space="preserve"> </w:t>
      </w:r>
      <w:r>
        <w:t>policy</w:t>
      </w:r>
      <w:r>
        <w:rPr>
          <w:spacing w:val="-1"/>
        </w:rPr>
        <w:t xml:space="preserve"> </w:t>
      </w:r>
      <w:r>
        <w:t xml:space="preserve">would be measured through the collection of statistics indicative of consumer harm, such as financial stress measures, complaint numbers, changed spending behaviours on essentials, late </w:t>
      </w:r>
      <w:r>
        <w:t>payment rates and published bad debt provisions by firms. Post implementation evaluation</w:t>
      </w:r>
      <w:r>
        <w:rPr>
          <w:spacing w:val="-4"/>
        </w:rPr>
        <w:t xml:space="preserve"> </w:t>
      </w:r>
      <w:r>
        <w:t>would</w:t>
      </w:r>
      <w:r>
        <w:rPr>
          <w:spacing w:val="-3"/>
        </w:rPr>
        <w:t xml:space="preserve"> </w:t>
      </w:r>
      <w:r>
        <w:t>also</w:t>
      </w:r>
      <w:r>
        <w:rPr>
          <w:spacing w:val="-3"/>
        </w:rPr>
        <w:t xml:space="preserve"> </w:t>
      </w:r>
      <w:r>
        <w:t>include</w:t>
      </w:r>
      <w:r>
        <w:rPr>
          <w:spacing w:val="-4"/>
        </w:rPr>
        <w:t xml:space="preserve"> </w:t>
      </w:r>
      <w:r>
        <w:t>consideration</w:t>
      </w:r>
      <w:r>
        <w:rPr>
          <w:spacing w:val="-3"/>
        </w:rPr>
        <w:t xml:space="preserve"> </w:t>
      </w:r>
      <w:r>
        <w:t>of</w:t>
      </w:r>
      <w:r>
        <w:rPr>
          <w:spacing w:val="-4"/>
        </w:rPr>
        <w:t xml:space="preserve"> </w:t>
      </w:r>
      <w:r>
        <w:t>qualitative</w:t>
      </w:r>
      <w:r>
        <w:rPr>
          <w:spacing w:val="-4"/>
        </w:rPr>
        <w:t xml:space="preserve"> </w:t>
      </w:r>
      <w:r>
        <w:t>feedback</w:t>
      </w:r>
      <w:r>
        <w:rPr>
          <w:spacing w:val="-3"/>
        </w:rPr>
        <w:t xml:space="preserve"> </w:t>
      </w:r>
      <w:r>
        <w:t>from</w:t>
      </w:r>
      <w:r>
        <w:rPr>
          <w:spacing w:val="-3"/>
        </w:rPr>
        <w:t xml:space="preserve"> </w:t>
      </w:r>
      <w:r>
        <w:t>consumer</w:t>
      </w:r>
      <w:r>
        <w:rPr>
          <w:spacing w:val="-4"/>
        </w:rPr>
        <w:t xml:space="preserve"> </w:t>
      </w:r>
      <w:r>
        <w:t>groups, such as financial counsellors, to determine whether the instances of harm they are seeing from</w:t>
      </w:r>
      <w:r>
        <w:rPr>
          <w:spacing w:val="-1"/>
        </w:rPr>
        <w:t xml:space="preserve"> </w:t>
      </w:r>
      <w:r>
        <w:t>BNPL</w:t>
      </w:r>
      <w:r>
        <w:rPr>
          <w:spacing w:val="-2"/>
        </w:rPr>
        <w:t xml:space="preserve"> </w:t>
      </w:r>
      <w:r>
        <w:t>products</w:t>
      </w:r>
      <w:r>
        <w:rPr>
          <w:spacing w:val="-1"/>
        </w:rPr>
        <w:t xml:space="preserve"> </w:t>
      </w:r>
      <w:r>
        <w:t>has materially</w:t>
      </w:r>
      <w:r>
        <w:rPr>
          <w:spacing w:val="-1"/>
        </w:rPr>
        <w:t xml:space="preserve"> </w:t>
      </w:r>
      <w:r>
        <w:t>reduced</w:t>
      </w:r>
      <w:r>
        <w:rPr>
          <w:spacing w:val="-1"/>
        </w:rPr>
        <w:t xml:space="preserve"> </w:t>
      </w:r>
      <w:r>
        <w:t>as a</w:t>
      </w:r>
      <w:r>
        <w:rPr>
          <w:spacing w:val="-2"/>
        </w:rPr>
        <w:t xml:space="preserve"> </w:t>
      </w:r>
      <w:r>
        <w:t>result</w:t>
      </w:r>
      <w:r>
        <w:rPr>
          <w:spacing w:val="-1"/>
        </w:rPr>
        <w:t xml:space="preserve"> </w:t>
      </w:r>
      <w:r>
        <w:t>of</w:t>
      </w:r>
      <w:r>
        <w:rPr>
          <w:spacing w:val="-2"/>
        </w:rPr>
        <w:t xml:space="preserve"> </w:t>
      </w:r>
      <w:r>
        <w:t>the</w:t>
      </w:r>
      <w:r>
        <w:rPr>
          <w:spacing w:val="-2"/>
        </w:rPr>
        <w:t xml:space="preserve"> </w:t>
      </w:r>
      <w:r>
        <w:t>reforms.</w:t>
      </w:r>
      <w:r>
        <w:rPr>
          <w:spacing w:val="-1"/>
        </w:rPr>
        <w:t xml:space="preserve"> </w:t>
      </w:r>
      <w:r>
        <w:t>At</w:t>
      </w:r>
      <w:r>
        <w:rPr>
          <w:spacing w:val="-1"/>
        </w:rPr>
        <w:t xml:space="preserve"> </w:t>
      </w:r>
      <w:r>
        <w:t>present,</w:t>
      </w:r>
      <w:r>
        <w:rPr>
          <w:spacing w:val="-1"/>
        </w:rPr>
        <w:t xml:space="preserve"> </w:t>
      </w:r>
      <w:r>
        <w:t>a</w:t>
      </w:r>
      <w:r>
        <w:rPr>
          <w:spacing w:val="-2"/>
        </w:rPr>
        <w:t xml:space="preserve"> </w:t>
      </w:r>
      <w:r>
        <w:t>review date for the reform measure has not been set.</w:t>
      </w:r>
    </w:p>
    <w:p w14:paraId="00F01C97" w14:textId="77777777" w:rsidR="001062F3" w:rsidRDefault="001062F3">
      <w:pPr>
        <w:pStyle w:val="BodyText"/>
        <w:spacing w:before="5"/>
      </w:pPr>
    </w:p>
    <w:p w14:paraId="16856CC7" w14:textId="77777777" w:rsidR="001062F3" w:rsidRDefault="00F42A52">
      <w:pPr>
        <w:pStyle w:val="BodyText"/>
        <w:ind w:left="1320" w:right="1402"/>
      </w:pPr>
      <w:r>
        <w:t>While it is not poss</w:t>
      </w:r>
      <w:r>
        <w:t>ible to estimate the regulatory benefits of an increase in consumer protection,</w:t>
      </w:r>
      <w:r>
        <w:rPr>
          <w:spacing w:val="-4"/>
        </w:rPr>
        <w:t xml:space="preserve"> </w:t>
      </w:r>
      <w:r>
        <w:t>it</w:t>
      </w:r>
      <w:r>
        <w:rPr>
          <w:spacing w:val="-4"/>
        </w:rPr>
        <w:t xml:space="preserve"> </w:t>
      </w:r>
      <w:r>
        <w:t>is</w:t>
      </w:r>
      <w:r>
        <w:rPr>
          <w:spacing w:val="-4"/>
        </w:rPr>
        <w:t xml:space="preserve"> </w:t>
      </w:r>
      <w:r>
        <w:t>anticipated</w:t>
      </w:r>
      <w:r>
        <w:rPr>
          <w:spacing w:val="-4"/>
        </w:rPr>
        <w:t xml:space="preserve"> </w:t>
      </w:r>
      <w:r>
        <w:t>that</w:t>
      </w:r>
      <w:r>
        <w:rPr>
          <w:spacing w:val="-4"/>
        </w:rPr>
        <w:t xml:space="preserve"> </w:t>
      </w:r>
      <w:r>
        <w:t>a</w:t>
      </w:r>
      <w:r>
        <w:rPr>
          <w:spacing w:val="-4"/>
        </w:rPr>
        <w:t xml:space="preserve"> </w:t>
      </w:r>
      <w:r>
        <w:t>significant</w:t>
      </w:r>
      <w:r>
        <w:rPr>
          <w:spacing w:val="-4"/>
        </w:rPr>
        <w:t xml:space="preserve"> </w:t>
      </w:r>
      <w:r>
        <w:t>reduction</w:t>
      </w:r>
      <w:r>
        <w:rPr>
          <w:spacing w:val="-4"/>
        </w:rPr>
        <w:t xml:space="preserve"> </w:t>
      </w:r>
      <w:r>
        <w:t>in</w:t>
      </w:r>
      <w:r>
        <w:rPr>
          <w:spacing w:val="-4"/>
        </w:rPr>
        <w:t xml:space="preserve"> </w:t>
      </w:r>
      <w:r>
        <w:t>unaffordable</w:t>
      </w:r>
      <w:r>
        <w:rPr>
          <w:spacing w:val="-4"/>
        </w:rPr>
        <w:t xml:space="preserve"> </w:t>
      </w:r>
      <w:r>
        <w:t>lending,</w:t>
      </w:r>
      <w:r>
        <w:rPr>
          <w:spacing w:val="-4"/>
        </w:rPr>
        <w:t xml:space="preserve"> </w:t>
      </w:r>
      <w:r>
        <w:t>among</w:t>
      </w:r>
      <w:r>
        <w:rPr>
          <w:spacing w:val="-4"/>
        </w:rPr>
        <w:t xml:space="preserve"> </w:t>
      </w:r>
      <w:r>
        <w:t>other benefits, would mean the benefits of regulatory intervention would outweigh the costs of reg</w:t>
      </w:r>
      <w:r>
        <w:t>ulation. Regulatory offsets have not been identified.</w:t>
      </w:r>
    </w:p>
    <w:p w14:paraId="17AAD04F" w14:textId="77777777" w:rsidR="001062F3" w:rsidRDefault="001062F3">
      <w:pPr>
        <w:pStyle w:val="BodyText"/>
        <w:spacing w:before="5"/>
      </w:pPr>
    </w:p>
    <w:p w14:paraId="0F0626A7" w14:textId="77777777" w:rsidR="001062F3" w:rsidRDefault="00F42A52">
      <w:pPr>
        <w:pStyle w:val="BodyText"/>
        <w:ind w:left="1320" w:right="1402"/>
      </w:pPr>
      <w:r>
        <w:t>The</w:t>
      </w:r>
      <w:r>
        <w:rPr>
          <w:spacing w:val="-2"/>
        </w:rPr>
        <w:t xml:space="preserve"> </w:t>
      </w:r>
      <w:r>
        <w:t>IA</w:t>
      </w:r>
      <w:r>
        <w:rPr>
          <w:spacing w:val="-4"/>
        </w:rPr>
        <w:t xml:space="preserve"> </w:t>
      </w:r>
      <w:r>
        <w:t>will</w:t>
      </w:r>
      <w:r>
        <w:rPr>
          <w:spacing w:val="-3"/>
        </w:rPr>
        <w:t xml:space="preserve"> </w:t>
      </w:r>
      <w:r>
        <w:t>inform</w:t>
      </w:r>
      <w:r>
        <w:rPr>
          <w:spacing w:val="-3"/>
        </w:rPr>
        <w:t xml:space="preserve"> </w:t>
      </w:r>
      <w:r>
        <w:t>cabinet’s</w:t>
      </w:r>
      <w:r>
        <w:rPr>
          <w:spacing w:val="-3"/>
        </w:rPr>
        <w:t xml:space="preserve"> </w:t>
      </w:r>
      <w:r>
        <w:t>decision</w:t>
      </w:r>
      <w:r>
        <w:rPr>
          <w:spacing w:val="-3"/>
        </w:rPr>
        <w:t xml:space="preserve"> </w:t>
      </w:r>
      <w:r>
        <w:t>on</w:t>
      </w:r>
      <w:r>
        <w:rPr>
          <w:spacing w:val="-3"/>
        </w:rPr>
        <w:t xml:space="preserve"> </w:t>
      </w:r>
      <w:r>
        <w:t>the</w:t>
      </w:r>
      <w:r>
        <w:rPr>
          <w:spacing w:val="-4"/>
        </w:rPr>
        <w:t xml:space="preserve"> </w:t>
      </w:r>
      <w:r>
        <w:t>key</w:t>
      </w:r>
      <w:r>
        <w:rPr>
          <w:spacing w:val="-3"/>
        </w:rPr>
        <w:t xml:space="preserve"> </w:t>
      </w:r>
      <w:r>
        <w:t>policy</w:t>
      </w:r>
      <w:r>
        <w:rPr>
          <w:spacing w:val="-3"/>
        </w:rPr>
        <w:t xml:space="preserve"> </w:t>
      </w:r>
      <w:r>
        <w:t>framework</w:t>
      </w:r>
      <w:r>
        <w:rPr>
          <w:spacing w:val="-3"/>
        </w:rPr>
        <w:t xml:space="preserve"> </w:t>
      </w:r>
      <w:r>
        <w:t>for</w:t>
      </w:r>
      <w:r>
        <w:rPr>
          <w:spacing w:val="-2"/>
        </w:rPr>
        <w:t xml:space="preserve"> </w:t>
      </w:r>
      <w:r>
        <w:t>regulating</w:t>
      </w:r>
      <w:r>
        <w:rPr>
          <w:spacing w:val="-3"/>
        </w:rPr>
        <w:t xml:space="preserve"> </w:t>
      </w:r>
      <w:r>
        <w:t>BNPL.</w:t>
      </w:r>
      <w:r>
        <w:rPr>
          <w:spacing w:val="-3"/>
        </w:rPr>
        <w:t xml:space="preserve"> </w:t>
      </w:r>
      <w:r>
        <w:t>If necessary, the IA will be</w:t>
      </w:r>
      <w:r>
        <w:rPr>
          <w:spacing w:val="-1"/>
        </w:rPr>
        <w:t xml:space="preserve"> </w:t>
      </w:r>
      <w:r>
        <w:t xml:space="preserve">reviewed and revised following further expected consultations on the design of the reforms in late 2023, prior to the finalisation and introduction of any </w:t>
      </w:r>
      <w:r>
        <w:rPr>
          <w:spacing w:val="-2"/>
        </w:rPr>
        <w:t>legislation.</w:t>
      </w:r>
    </w:p>
    <w:p w14:paraId="7A059C7C" w14:textId="77777777" w:rsidR="001062F3" w:rsidRDefault="001062F3">
      <w:pPr>
        <w:pStyle w:val="BodyText"/>
        <w:spacing w:before="3"/>
      </w:pPr>
    </w:p>
    <w:p w14:paraId="44513200" w14:textId="77777777" w:rsidR="001062F3" w:rsidRDefault="00F42A52">
      <w:pPr>
        <w:ind w:left="1320" w:right="1402"/>
        <w:rPr>
          <w:sz w:val="24"/>
        </w:rPr>
      </w:pPr>
      <w:r>
        <w:rPr>
          <w:sz w:val="24"/>
        </w:rPr>
        <w:t xml:space="preserve">Accordingly, I am satisfied that the RIS is now consistent with the six principles for </w:t>
      </w:r>
      <w:r>
        <w:rPr>
          <w:sz w:val="24"/>
        </w:rPr>
        <w:t>Australian</w:t>
      </w:r>
      <w:r>
        <w:rPr>
          <w:spacing w:val="-4"/>
          <w:sz w:val="24"/>
        </w:rPr>
        <w:t xml:space="preserve"> </w:t>
      </w:r>
      <w:r>
        <w:rPr>
          <w:sz w:val="24"/>
        </w:rPr>
        <w:t>Government</w:t>
      </w:r>
      <w:r>
        <w:rPr>
          <w:spacing w:val="-4"/>
          <w:sz w:val="24"/>
        </w:rPr>
        <w:t xml:space="preserve"> </w:t>
      </w:r>
      <w:r>
        <w:rPr>
          <w:sz w:val="24"/>
        </w:rPr>
        <w:t>policy</w:t>
      </w:r>
      <w:r>
        <w:rPr>
          <w:spacing w:val="-4"/>
          <w:sz w:val="24"/>
        </w:rPr>
        <w:t xml:space="preserve"> </w:t>
      </w:r>
      <w:r>
        <w:rPr>
          <w:sz w:val="24"/>
        </w:rPr>
        <w:t>makers</w:t>
      </w:r>
      <w:r>
        <w:rPr>
          <w:spacing w:val="-4"/>
          <w:sz w:val="24"/>
        </w:rPr>
        <w:t xml:space="preserve"> </w:t>
      </w:r>
      <w:r>
        <w:rPr>
          <w:sz w:val="24"/>
        </w:rPr>
        <w:t>as</w:t>
      </w:r>
      <w:r>
        <w:rPr>
          <w:spacing w:val="-4"/>
          <w:sz w:val="24"/>
        </w:rPr>
        <w:t xml:space="preserve"> </w:t>
      </w:r>
      <w:r>
        <w:rPr>
          <w:sz w:val="24"/>
        </w:rPr>
        <w:t>specified</w:t>
      </w:r>
      <w:r>
        <w:rPr>
          <w:spacing w:val="-2"/>
          <w:sz w:val="24"/>
        </w:rPr>
        <w:t xml:space="preserve"> </w:t>
      </w:r>
      <w:r>
        <w:rPr>
          <w:sz w:val="24"/>
        </w:rPr>
        <w:t>in</w:t>
      </w:r>
      <w:r>
        <w:rPr>
          <w:spacing w:val="-4"/>
          <w:sz w:val="24"/>
        </w:rPr>
        <w:t xml:space="preserve"> </w:t>
      </w:r>
      <w:r>
        <w:rPr>
          <w:sz w:val="24"/>
        </w:rPr>
        <w:t>the</w:t>
      </w:r>
      <w:r>
        <w:rPr>
          <w:spacing w:val="-5"/>
          <w:sz w:val="24"/>
        </w:rPr>
        <w:t xml:space="preserve"> </w:t>
      </w:r>
      <w:r>
        <w:rPr>
          <w:i/>
          <w:sz w:val="24"/>
        </w:rPr>
        <w:t>Australian</w:t>
      </w:r>
      <w:r>
        <w:rPr>
          <w:i/>
          <w:spacing w:val="-4"/>
          <w:sz w:val="24"/>
        </w:rPr>
        <w:t xml:space="preserve"> </w:t>
      </w:r>
      <w:r>
        <w:rPr>
          <w:i/>
          <w:sz w:val="24"/>
        </w:rPr>
        <w:t>Government</w:t>
      </w:r>
      <w:r>
        <w:rPr>
          <w:i/>
          <w:spacing w:val="-4"/>
          <w:sz w:val="24"/>
        </w:rPr>
        <w:t xml:space="preserve"> </w:t>
      </w:r>
      <w:r>
        <w:rPr>
          <w:i/>
          <w:sz w:val="24"/>
        </w:rPr>
        <w:t>Guide</w:t>
      </w:r>
      <w:r>
        <w:rPr>
          <w:i/>
          <w:spacing w:val="-5"/>
          <w:sz w:val="24"/>
        </w:rPr>
        <w:t xml:space="preserve"> </w:t>
      </w:r>
      <w:r>
        <w:rPr>
          <w:i/>
          <w:sz w:val="24"/>
        </w:rPr>
        <w:t>to Regulatory Impact Analysis</w:t>
      </w:r>
      <w:r>
        <w:rPr>
          <w:sz w:val="24"/>
        </w:rPr>
        <w:t>.</w:t>
      </w:r>
    </w:p>
    <w:p w14:paraId="79F81046" w14:textId="77777777" w:rsidR="001062F3" w:rsidRDefault="001062F3">
      <w:pPr>
        <w:rPr>
          <w:sz w:val="24"/>
        </w:rPr>
        <w:sectPr w:rsidR="001062F3">
          <w:pgSz w:w="11910" w:h="16840"/>
          <w:pgMar w:top="1360" w:right="120" w:bottom="280" w:left="120" w:header="720" w:footer="720" w:gutter="0"/>
          <w:cols w:space="720"/>
        </w:sectPr>
      </w:pPr>
    </w:p>
    <w:p w14:paraId="3C954B4F" w14:textId="77777777" w:rsidR="001062F3" w:rsidRDefault="00F42A52">
      <w:pPr>
        <w:pStyle w:val="BodyText"/>
        <w:spacing w:before="77" w:after="3" w:line="482" w:lineRule="auto"/>
        <w:ind w:left="1320" w:right="1549"/>
      </w:pPr>
      <w:r>
        <w:lastRenderedPageBreak/>
        <w:t>I</w:t>
      </w:r>
      <w:r>
        <w:rPr>
          <w:spacing w:val="-6"/>
        </w:rPr>
        <w:t xml:space="preserve"> </w:t>
      </w:r>
      <w:r>
        <w:t>submit</w:t>
      </w:r>
      <w:r>
        <w:rPr>
          <w:spacing w:val="-2"/>
        </w:rPr>
        <w:t xml:space="preserve"> </w:t>
      </w:r>
      <w:r>
        <w:t>the</w:t>
      </w:r>
      <w:r>
        <w:rPr>
          <w:spacing w:val="-3"/>
        </w:rPr>
        <w:t xml:space="preserve"> </w:t>
      </w:r>
      <w:r>
        <w:t>RIS</w:t>
      </w:r>
      <w:r>
        <w:rPr>
          <w:spacing w:val="-2"/>
        </w:rPr>
        <w:t xml:space="preserve"> </w:t>
      </w:r>
      <w:r>
        <w:t>to</w:t>
      </w:r>
      <w:r>
        <w:rPr>
          <w:spacing w:val="-2"/>
        </w:rPr>
        <w:t xml:space="preserve"> </w:t>
      </w:r>
      <w:r>
        <w:t>the</w:t>
      </w:r>
      <w:r>
        <w:rPr>
          <w:spacing w:val="-3"/>
        </w:rPr>
        <w:t xml:space="preserve"> </w:t>
      </w:r>
      <w:r>
        <w:t>Office</w:t>
      </w:r>
      <w:r>
        <w:rPr>
          <w:spacing w:val="-3"/>
        </w:rPr>
        <w:t xml:space="preserve"> </w:t>
      </w:r>
      <w:r>
        <w:t>of</w:t>
      </w:r>
      <w:r>
        <w:rPr>
          <w:spacing w:val="-3"/>
        </w:rPr>
        <w:t xml:space="preserve"> </w:t>
      </w:r>
      <w:r>
        <w:t>Best</w:t>
      </w:r>
      <w:r>
        <w:rPr>
          <w:spacing w:val="-2"/>
        </w:rPr>
        <w:t xml:space="preserve"> </w:t>
      </w:r>
      <w:r>
        <w:t>Practice</w:t>
      </w:r>
      <w:r>
        <w:rPr>
          <w:spacing w:val="-3"/>
        </w:rPr>
        <w:t xml:space="preserve"> </w:t>
      </w:r>
      <w:r>
        <w:t>Regulation</w:t>
      </w:r>
      <w:r>
        <w:rPr>
          <w:spacing w:val="-2"/>
        </w:rPr>
        <w:t xml:space="preserve"> </w:t>
      </w:r>
      <w:r>
        <w:t>for</w:t>
      </w:r>
      <w:r>
        <w:rPr>
          <w:spacing w:val="-3"/>
        </w:rPr>
        <w:t xml:space="preserve"> </w:t>
      </w:r>
      <w:r>
        <w:t>formal</w:t>
      </w:r>
      <w:r>
        <w:rPr>
          <w:spacing w:val="-2"/>
        </w:rPr>
        <w:t xml:space="preserve"> </w:t>
      </w:r>
      <w:r>
        <w:t>final</w:t>
      </w:r>
      <w:r>
        <w:rPr>
          <w:spacing w:val="-1"/>
        </w:rPr>
        <w:t xml:space="preserve"> </w:t>
      </w:r>
      <w:r>
        <w:t>assessment. Yours sincerely</w:t>
      </w:r>
    </w:p>
    <w:p w14:paraId="4676F588" w14:textId="77777777" w:rsidR="001062F3" w:rsidRDefault="00F42A52">
      <w:pPr>
        <w:pStyle w:val="BodyText"/>
        <w:ind w:left="1396"/>
        <w:rPr>
          <w:sz w:val="20"/>
        </w:rPr>
      </w:pPr>
      <w:r>
        <w:rPr>
          <w:noProof/>
          <w:sz w:val="20"/>
        </w:rPr>
        <w:drawing>
          <wp:inline distT="0" distB="0" distL="0" distR="0" wp14:anchorId="298373A7" wp14:editId="32F889E9">
            <wp:extent cx="907513" cy="34747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907513" cy="347472"/>
                    </a:xfrm>
                    <a:prstGeom prst="rect">
                      <a:avLst/>
                    </a:prstGeom>
                  </pic:spPr>
                </pic:pic>
              </a:graphicData>
            </a:graphic>
          </wp:inline>
        </w:drawing>
      </w:r>
    </w:p>
    <w:p w14:paraId="5CB64875" w14:textId="77777777" w:rsidR="001062F3" w:rsidRDefault="001062F3">
      <w:pPr>
        <w:pStyle w:val="BodyText"/>
        <w:spacing w:before="9"/>
        <w:rPr>
          <w:sz w:val="23"/>
        </w:rPr>
      </w:pPr>
    </w:p>
    <w:p w14:paraId="5806997A" w14:textId="77777777" w:rsidR="001062F3" w:rsidRDefault="00F42A52">
      <w:pPr>
        <w:pStyle w:val="BodyText"/>
        <w:spacing w:before="1"/>
        <w:ind w:left="1319" w:right="8525"/>
      </w:pPr>
      <w:r>
        <w:t>Brenton Philp Deputy</w:t>
      </w:r>
      <w:r>
        <w:rPr>
          <w:spacing w:val="-15"/>
        </w:rPr>
        <w:t xml:space="preserve"> </w:t>
      </w:r>
      <w:r>
        <w:t>Secretary 19 April 2023</w:t>
      </w:r>
    </w:p>
    <w:sectPr w:rsidR="001062F3">
      <w:pgSz w:w="11910" w:h="16840"/>
      <w:pgMar w:top="1900" w:right="120" w:bottom="28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07519"/>
    <w:multiLevelType w:val="hybridMultilevel"/>
    <w:tmpl w:val="22403D98"/>
    <w:lvl w:ilvl="0" w:tplc="589AA78A">
      <w:numFmt w:val="bullet"/>
      <w:lvlText w:val="•"/>
      <w:lvlJc w:val="left"/>
      <w:pPr>
        <w:ind w:left="1886" w:hanging="567"/>
      </w:pPr>
      <w:rPr>
        <w:rFonts w:ascii="Times New Roman" w:eastAsia="Times New Roman" w:hAnsi="Times New Roman" w:cs="Times New Roman" w:hint="default"/>
        <w:b w:val="0"/>
        <w:bCs w:val="0"/>
        <w:i w:val="0"/>
        <w:iCs w:val="0"/>
        <w:w w:val="100"/>
        <w:sz w:val="24"/>
        <w:szCs w:val="24"/>
        <w:lang w:val="en-US" w:eastAsia="en-US" w:bidi="ar-SA"/>
      </w:rPr>
    </w:lvl>
    <w:lvl w:ilvl="1" w:tplc="EB3290FE">
      <w:numFmt w:val="bullet"/>
      <w:lvlText w:val="•"/>
      <w:lvlJc w:val="left"/>
      <w:pPr>
        <w:ind w:left="2858" w:hanging="567"/>
      </w:pPr>
      <w:rPr>
        <w:rFonts w:hint="default"/>
        <w:lang w:val="en-US" w:eastAsia="en-US" w:bidi="ar-SA"/>
      </w:rPr>
    </w:lvl>
    <w:lvl w:ilvl="2" w:tplc="F3DCDA16">
      <w:numFmt w:val="bullet"/>
      <w:lvlText w:val="•"/>
      <w:lvlJc w:val="left"/>
      <w:pPr>
        <w:ind w:left="3837" w:hanging="567"/>
      </w:pPr>
      <w:rPr>
        <w:rFonts w:hint="default"/>
        <w:lang w:val="en-US" w:eastAsia="en-US" w:bidi="ar-SA"/>
      </w:rPr>
    </w:lvl>
    <w:lvl w:ilvl="3" w:tplc="40705A0C">
      <w:numFmt w:val="bullet"/>
      <w:lvlText w:val="•"/>
      <w:lvlJc w:val="left"/>
      <w:pPr>
        <w:ind w:left="4815" w:hanging="567"/>
      </w:pPr>
      <w:rPr>
        <w:rFonts w:hint="default"/>
        <w:lang w:val="en-US" w:eastAsia="en-US" w:bidi="ar-SA"/>
      </w:rPr>
    </w:lvl>
    <w:lvl w:ilvl="4" w:tplc="EBB2AB10">
      <w:numFmt w:val="bullet"/>
      <w:lvlText w:val="•"/>
      <w:lvlJc w:val="left"/>
      <w:pPr>
        <w:ind w:left="5794" w:hanging="567"/>
      </w:pPr>
      <w:rPr>
        <w:rFonts w:hint="default"/>
        <w:lang w:val="en-US" w:eastAsia="en-US" w:bidi="ar-SA"/>
      </w:rPr>
    </w:lvl>
    <w:lvl w:ilvl="5" w:tplc="0DF00EFE">
      <w:numFmt w:val="bullet"/>
      <w:lvlText w:val="•"/>
      <w:lvlJc w:val="left"/>
      <w:pPr>
        <w:ind w:left="6773" w:hanging="567"/>
      </w:pPr>
      <w:rPr>
        <w:rFonts w:hint="default"/>
        <w:lang w:val="en-US" w:eastAsia="en-US" w:bidi="ar-SA"/>
      </w:rPr>
    </w:lvl>
    <w:lvl w:ilvl="6" w:tplc="995CC8B6">
      <w:numFmt w:val="bullet"/>
      <w:lvlText w:val="•"/>
      <w:lvlJc w:val="left"/>
      <w:pPr>
        <w:ind w:left="7751" w:hanging="567"/>
      </w:pPr>
      <w:rPr>
        <w:rFonts w:hint="default"/>
        <w:lang w:val="en-US" w:eastAsia="en-US" w:bidi="ar-SA"/>
      </w:rPr>
    </w:lvl>
    <w:lvl w:ilvl="7" w:tplc="896EDBBA">
      <w:numFmt w:val="bullet"/>
      <w:lvlText w:val="•"/>
      <w:lvlJc w:val="left"/>
      <w:pPr>
        <w:ind w:left="8730" w:hanging="567"/>
      </w:pPr>
      <w:rPr>
        <w:rFonts w:hint="default"/>
        <w:lang w:val="en-US" w:eastAsia="en-US" w:bidi="ar-SA"/>
      </w:rPr>
    </w:lvl>
    <w:lvl w:ilvl="8" w:tplc="30FC86F0">
      <w:numFmt w:val="bullet"/>
      <w:lvlText w:val="•"/>
      <w:lvlJc w:val="left"/>
      <w:pPr>
        <w:ind w:left="9709" w:hanging="567"/>
      </w:pPr>
      <w:rPr>
        <w:rFonts w:hint="default"/>
        <w:lang w:val="en-US" w:eastAsia="en-US" w:bidi="ar-SA"/>
      </w:rPr>
    </w:lvl>
  </w:abstractNum>
  <w:num w:numId="1" w16cid:durableId="2143571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F3"/>
    <w:rsid w:val="001062F3"/>
    <w:rsid w:val="00F42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A922"/>
  <w15:docId w15:val="{35D00906-7F5F-40CE-ACE5-C33FFF88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320" w:right="1402"/>
    </w:pPr>
    <w:rPr>
      <w:b/>
      <w:bCs/>
      <w:sz w:val="24"/>
      <w:szCs w:val="24"/>
    </w:rPr>
  </w:style>
  <w:style w:type="paragraph" w:styleId="ListParagraph">
    <w:name w:val="List Paragraph"/>
    <w:basedOn w:val="Normal"/>
    <w:uiPriority w:val="1"/>
    <w:qFormat/>
    <w:pPr>
      <w:ind w:left="1886" w:right="1323"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desk-OBPR@pmc.gov.au"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DOCID-322795542-33128</_dlc_DocId>
    <_dlc_DocIdUrl xmlns="4195ad5f-cdf2-4c4a-8d9b-b7944a108e98">
      <Url>https://pmc01.sharepoint.com/sites/CRMOBPR/_layouts/15/DocIdRedir.aspx?ID=DOCID-322795542-33128</Url>
      <Description>DOCID-322795542-33128</Description>
    </_dlc_DocIdUrl>
  </documentManagement>
</p:properties>
</file>

<file path=customXml/itemProps1.xml><?xml version="1.0" encoding="utf-8"?>
<ds:datastoreItem xmlns:ds="http://schemas.openxmlformats.org/officeDocument/2006/customXml" ds:itemID="{1E740A68-63FC-4DFC-80F2-55303D337A95}"/>
</file>

<file path=customXml/itemProps2.xml><?xml version="1.0" encoding="utf-8"?>
<ds:datastoreItem xmlns:ds="http://schemas.openxmlformats.org/officeDocument/2006/customXml" ds:itemID="{6EF0CA8E-56FA-4C0A-8986-6247E0F71546}"/>
</file>

<file path=customXml/itemProps3.xml><?xml version="1.0" encoding="utf-8"?>
<ds:datastoreItem xmlns:ds="http://schemas.openxmlformats.org/officeDocument/2006/customXml" ds:itemID="{368BD48E-817B-49EA-9644-06848B27DA38}"/>
</file>

<file path=customXml/itemProps4.xml><?xml version="1.0" encoding="utf-8"?>
<ds:datastoreItem xmlns:ds="http://schemas.openxmlformats.org/officeDocument/2006/customXml" ds:itemID="{EEB929EB-EB8A-4E29-A204-A4091AC5E341}"/>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4467</Characters>
  <Application>Microsoft Office Word</Application>
  <DocSecurity>4</DocSecurity>
  <Lines>37</Lines>
  <Paragraphs>10</Paragraphs>
  <ScaleCrop>false</ScaleCrop>
  <Company>FINANCE</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 Certification Letter</dc:title>
  <dc:creator>Cameron, Suzana</dc:creator>
  <cp:lastModifiedBy>Press, Daniel</cp:lastModifiedBy>
  <cp:revision>2</cp:revision>
  <dcterms:created xsi:type="dcterms:W3CDTF">2023-05-16T02:54:00Z</dcterms:created>
  <dcterms:modified xsi:type="dcterms:W3CDTF">2023-05-16T02:54:00Z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Created">
    <vt:filetime>2023-04-19T00:00:00Z</vt:filetime>
  </property>
  <property fmtid="{D5CDD505-2E9C-101B-9397-08002B2CF9AE}" pid="4" name="Creator">
    <vt:lpwstr>Acrobat PDFMaker 22 for Word</vt:lpwstr>
  </property>
  <property fmtid="{D5CDD505-2E9C-101B-9397-08002B2CF9AE}" pid="5" name="LastSaved">
    <vt:filetime>2023-05-16T00:00:00Z</vt:filetime>
  </property>
  <property fmtid="{D5CDD505-2E9C-101B-9397-08002B2CF9AE}" pid="6" name="Producer">
    <vt:lpwstr>Adobe PDF Library 22.3.86</vt:lpwstr>
  </property>
  <property fmtid="{D5CDD505-2E9C-101B-9397-08002B2CF9AE}" pid="7" name="SourceModified">
    <vt:lpwstr>D:20230419051051</vt:lpwstr>
  </property>
  <property fmtid="{D5CDD505-2E9C-101B-9397-08002B2CF9AE}" pid="8" name="_dlc_DocIdItemGuid">
    <vt:lpwstr>40ed3d25-89e8-4bb7-8c59-0bed409d3881</vt:lpwstr>
  </property>
  <property fmtid="{D5CDD505-2E9C-101B-9397-08002B2CF9AE}" pid="9" name="eActivity">
    <vt:lpwstr>178;#Advice|7410e4fa-f399-413c-bf77-fd52474fcb91</vt:lpwstr>
  </property>
  <property fmtid="{D5CDD505-2E9C-101B-9397-08002B2CF9AE}" pid="10" name="eDocumentType">
    <vt:lpwstr>249;#Letter|df767eab-0675-4517-bbca-25c685e634c7</vt:lpwstr>
  </property>
  <property fmtid="{D5CDD505-2E9C-101B-9397-08002B2CF9AE}" pid="11" name="eTheme">
    <vt:lpwstr>1;#Financial System|047002ef-5ee0-47ee-8184-5f4aaddfe3b3</vt:lpwstr>
  </property>
  <property fmtid="{D5CDD505-2E9C-101B-9397-08002B2CF9AE}" pid="12" name="eTopic">
    <vt:lpwstr>205;#Buy now pay later|a07a5c3a-7fd1-438d-8479-6c166ccc891e</vt:lpwstr>
  </property>
  <property fmtid="{D5CDD505-2E9C-101B-9397-08002B2CF9AE}" pid="13" name="MediaServiceImageTags">
    <vt:lpwstr/>
  </property>
</Properties>
</file>