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6.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notes.xml" ContentType="application/vnd.openxmlformats-officedocument.wordprocessingml.footnotes+xml"/>
  <Override PartName="/word/header11.xml" ContentType="application/vnd.openxmlformats-officedocument.wordprocessingml.header+xml"/>
  <Override PartName="/word/endnotes.xml" ContentType="application/vnd.openxmlformats-officedocument.wordprocessingml.endnotes+xml"/>
  <Override PartName="/word/footer10.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charts/style4.xml" ContentType="application/vnd.ms-office.chartstyle+xml"/>
  <Override PartName="/word/charts/chart4.xml" ContentType="application/vnd.openxmlformats-officedocument.drawingml.chart+xml"/>
  <Override PartName="/word/charts/colors4.xml" ContentType="application/vnd.ms-office.chartcolorstyle+xml"/>
  <Override PartName="/word/charts/style1.xml" ContentType="application/vnd.ms-office.chartstyl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chart1.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61" w:type="dxa"/>
        <w:tblLayout w:type="fixed"/>
        <w:tblCellMar>
          <w:left w:w="0" w:type="dxa"/>
          <w:right w:w="0" w:type="dxa"/>
        </w:tblCellMar>
        <w:tblLook w:val="0000" w:firstRow="0" w:lastRow="0" w:firstColumn="0" w:lastColumn="0" w:noHBand="0" w:noVBand="0"/>
      </w:tblPr>
      <w:tblGrid>
        <w:gridCol w:w="1200"/>
        <w:gridCol w:w="8461"/>
      </w:tblGrid>
      <w:tr w:rsidR="00C17404" w14:paraId="340C67E8" w14:textId="77777777" w:rsidTr="001C47EB">
        <w:trPr>
          <w:trHeight w:hRule="exact" w:val="332"/>
        </w:trPr>
        <w:tc>
          <w:tcPr>
            <w:tcW w:w="9661" w:type="dxa"/>
            <w:gridSpan w:val="2"/>
            <w:shd w:val="clear" w:color="auto" w:fill="auto"/>
          </w:tcPr>
          <w:p w14:paraId="73D456A2" w14:textId="31876716" w:rsidR="00C17404" w:rsidRDefault="00205BA5" w:rsidP="00205BA5">
            <w:pPr>
              <w:pStyle w:val="CpReportDate"/>
            </w:pPr>
            <w:bookmarkStart w:id="0" w:name="_GoBack"/>
            <w:r>
              <w:t>30</w:t>
            </w:r>
            <w:r w:rsidR="00321C4A" w:rsidRPr="00321C4A">
              <w:t xml:space="preserve"> </w:t>
            </w:r>
            <w:sdt>
              <w:sdtPr>
                <w:id w:val="334578556"/>
                <w:placeholder>
                  <w:docPart w:val="DefaultPlaceholder_-1854013437"/>
                </w:placeholder>
                <w:date w:fullDate="2021-06-01T00:00:00Z">
                  <w:dateFormat w:val="MMMM yyyy"/>
                  <w:lid w:val="en-US"/>
                  <w:storeMappedDataAs w:val="dateTime"/>
                  <w:calendar w:val="gregorian"/>
                </w:date>
              </w:sdtPr>
              <w:sdtEndPr/>
              <w:sdtContent>
                <w:r w:rsidR="00321C4A" w:rsidRPr="004D4728" w:rsidDel="00786D08">
                  <w:rPr>
                    <w:lang w:val="en-US"/>
                  </w:rPr>
                  <w:t>June 2021</w:t>
                </w:r>
              </w:sdtContent>
            </w:sdt>
          </w:p>
        </w:tc>
      </w:tr>
      <w:tr w:rsidR="00C17404" w14:paraId="4E7FB9C7" w14:textId="77777777" w:rsidTr="00C17404">
        <w:sdt>
          <w:sdtPr>
            <w:id w:val="-2017759377"/>
            <w:placeholder>
              <w:docPart w:val="8FBCBA6352C1454198201BA3A2C723FA"/>
            </w:placeholder>
            <w:showingPlcHdr/>
            <w:comboBox>
              <w:listItem w:displayText="Report to" w:value="Report to"/>
              <w:listItem w:displayText="Proposal to" w:value="Proposal to"/>
            </w:comboBox>
          </w:sdtPr>
          <w:sdtEndPr/>
          <w:sdtContent>
            <w:tc>
              <w:tcPr>
                <w:tcW w:w="1200" w:type="dxa"/>
                <w:shd w:val="clear" w:color="auto" w:fill="auto"/>
                <w:tcMar>
                  <w:bottom w:w="432" w:type="dxa"/>
                </w:tcMar>
              </w:tcPr>
              <w:p w14:paraId="5AFB0E37" w14:textId="2FF13D5E" w:rsidR="00C17404" w:rsidRDefault="00C17404" w:rsidP="00C17404">
                <w:pPr>
                  <w:pStyle w:val="CpReportTo"/>
                </w:pPr>
                <w:r w:rsidRPr="004D4728">
                  <w:rPr>
                    <w:rStyle w:val="PlaceholderText"/>
                    <w:color w:val="9D85BE"/>
                  </w:rPr>
                  <w:t>Report to</w:t>
                </w:r>
              </w:p>
            </w:tc>
          </w:sdtContent>
        </w:sdt>
        <w:tc>
          <w:tcPr>
            <w:tcW w:w="8461" w:type="dxa"/>
            <w:shd w:val="clear" w:color="auto" w:fill="auto"/>
          </w:tcPr>
          <w:p w14:paraId="6C5D3323" w14:textId="7A2B8FB2" w:rsidR="00C17404" w:rsidRDefault="00F82FF0" w:rsidP="00C17404">
            <w:pPr>
              <w:pStyle w:val="CpClientName"/>
            </w:pPr>
            <w:r>
              <w:t>Department of Infrastructure, Transport, Regional Development and Communications</w:t>
            </w:r>
          </w:p>
        </w:tc>
      </w:tr>
      <w:tr w:rsidR="00C17404" w14:paraId="2DF85A3C" w14:textId="77777777" w:rsidTr="001C47EB">
        <w:tc>
          <w:tcPr>
            <w:tcW w:w="9661" w:type="dxa"/>
            <w:gridSpan w:val="2"/>
            <w:shd w:val="clear" w:color="auto" w:fill="auto"/>
          </w:tcPr>
          <w:p w14:paraId="460E4EF8" w14:textId="260AA1FF" w:rsidR="00C17404" w:rsidRDefault="00F82FF0" w:rsidP="00C17404">
            <w:pPr>
              <w:pStyle w:val="CpTitle"/>
            </w:pPr>
            <w:r>
              <w:t>A</w:t>
            </w:r>
            <w:r w:rsidR="00493321">
              <w:t>n indicative</w:t>
            </w:r>
            <w:r>
              <w:t xml:space="preserve"> cost benefit analysis on Australia’s possible accession to the Nairobi Convention</w:t>
            </w:r>
          </w:p>
        </w:tc>
      </w:tr>
      <w:tr w:rsidR="00C17404" w14:paraId="2377F615" w14:textId="77777777" w:rsidTr="001C47EB">
        <w:tc>
          <w:tcPr>
            <w:tcW w:w="9661" w:type="dxa"/>
            <w:gridSpan w:val="2"/>
            <w:shd w:val="clear" w:color="auto" w:fill="auto"/>
          </w:tcPr>
          <w:p w14:paraId="45A34417" w14:textId="006EDEE4" w:rsidR="00C17404" w:rsidRDefault="00602E94" w:rsidP="00C17404">
            <w:pPr>
              <w:pStyle w:val="CpSubTitle"/>
            </w:pPr>
            <w:r>
              <w:t>FINAL</w:t>
            </w:r>
            <w:r w:rsidR="00F82FF0">
              <w:t xml:space="preserve"> REPORT</w:t>
            </w:r>
          </w:p>
        </w:tc>
      </w:tr>
    </w:tbl>
    <w:p w14:paraId="122CA57F" w14:textId="38AA359D" w:rsidR="00C17404" w:rsidRDefault="00C17404" w:rsidP="00C17404">
      <w:pPr>
        <w:pStyle w:val="BodyText"/>
      </w:pPr>
    </w:p>
    <w:p w14:paraId="74D7888C" w14:textId="77777777" w:rsidR="00C17404" w:rsidRDefault="00C17404" w:rsidP="00C17404">
      <w:pPr>
        <w:pStyle w:val="BodyText"/>
      </w:pPr>
    </w:p>
    <w:p w14:paraId="55D5AA70" w14:textId="77777777" w:rsidR="00C17404" w:rsidRDefault="00C17404" w:rsidP="00C17404">
      <w:pPr>
        <w:pStyle w:val="BodyText"/>
        <w:sectPr w:rsidR="00C17404" w:rsidSect="00C17404">
          <w:headerReference w:type="even" r:id="rId8"/>
          <w:headerReference w:type="default" r:id="rId9"/>
          <w:footerReference w:type="even" r:id="rId10"/>
          <w:footerReference w:type="default" r:id="rId11"/>
          <w:headerReference w:type="first" r:id="rId12"/>
          <w:footerReference w:type="first" r:id="rId13"/>
          <w:pgSz w:w="11906" w:h="16838" w:code="9"/>
          <w:pgMar w:top="2557" w:right="1111" w:bottom="1134" w:left="1134" w:header="454" w:footer="164" w:gutter="0"/>
          <w:cols w:space="708"/>
          <w:titlePg/>
          <w:docGrid w:linePitch="360"/>
        </w:sectPr>
      </w:pPr>
    </w:p>
    <w:tbl>
      <w:tblPr>
        <w:tblW w:w="10052" w:type="dxa"/>
        <w:tblLayout w:type="fixed"/>
        <w:tblLook w:val="0000" w:firstRow="0" w:lastRow="0" w:firstColumn="0" w:lastColumn="0" w:noHBand="0" w:noVBand="0"/>
      </w:tblPr>
      <w:tblGrid>
        <w:gridCol w:w="10052"/>
      </w:tblGrid>
      <w:tr w:rsidR="00C17404" w14:paraId="459DD420" w14:textId="77777777" w:rsidTr="001C47EB">
        <w:trPr>
          <w:trHeight w:hRule="exact" w:val="140"/>
        </w:trPr>
        <w:tc>
          <w:tcPr>
            <w:tcW w:w="10052" w:type="dxa"/>
            <w:shd w:val="clear" w:color="auto" w:fill="auto"/>
          </w:tcPr>
          <w:p w14:paraId="3858E6DF" w14:textId="77777777" w:rsidR="00C17404" w:rsidRDefault="00C17404" w:rsidP="001C47EB">
            <w:pPr>
              <w:pStyle w:val="tagcontactsPage-Front"/>
            </w:pPr>
          </w:p>
        </w:tc>
      </w:tr>
      <w:tr w:rsidR="00C17404" w14:paraId="7F083E25" w14:textId="77777777" w:rsidTr="001C47EB">
        <w:trPr>
          <w:trHeight w:hRule="exact" w:val="14432"/>
        </w:trPr>
        <w:tc>
          <w:tcPr>
            <w:tcW w:w="10052" w:type="dxa"/>
            <w:shd w:val="clear" w:color="auto" w:fill="auto"/>
            <w:vAlign w:val="bottom"/>
          </w:tcPr>
          <w:tbl>
            <w:tblPr>
              <w:tblW w:w="9836" w:type="dxa"/>
              <w:tblLayout w:type="fixed"/>
              <w:tblLook w:val="0000" w:firstRow="0" w:lastRow="0" w:firstColumn="0" w:lastColumn="0" w:noHBand="0" w:noVBand="0"/>
            </w:tblPr>
            <w:tblGrid>
              <w:gridCol w:w="9836"/>
            </w:tblGrid>
            <w:tr w:rsidR="00C17404" w14:paraId="68BD142D" w14:textId="77777777" w:rsidTr="001C47EB">
              <w:tc>
                <w:tcPr>
                  <w:tcW w:w="9836" w:type="dxa"/>
                  <w:shd w:val="clear" w:color="auto" w:fill="auto"/>
                  <w:tcMar>
                    <w:bottom w:w="136" w:type="dxa"/>
                  </w:tcMar>
                </w:tcPr>
                <w:p w14:paraId="52DFA4AB" w14:textId="77777777" w:rsidR="00C17404" w:rsidRPr="00C17404" w:rsidRDefault="00C17404" w:rsidP="001C47EB">
                  <w:pPr>
                    <w:pStyle w:val="CpAboutAcilAllen"/>
                    <w:rPr>
                      <w:b/>
                      <w:color w:val="FFFEFF"/>
                    </w:rPr>
                  </w:pPr>
                  <w:r>
                    <w:rPr>
                      <w:b/>
                      <w:color w:val="FFFEFF"/>
                    </w:rPr>
                    <w:t>About ACIL Allen</w:t>
                  </w:r>
                </w:p>
              </w:tc>
            </w:tr>
            <w:tr w:rsidR="00C17404" w14:paraId="2330822A" w14:textId="77777777" w:rsidTr="001C47EB">
              <w:tc>
                <w:tcPr>
                  <w:tcW w:w="9836" w:type="dxa"/>
                  <w:shd w:val="clear" w:color="auto" w:fill="auto"/>
                  <w:tcMar>
                    <w:bottom w:w="320" w:type="dxa"/>
                  </w:tcMar>
                </w:tcPr>
                <w:p w14:paraId="38BBFD4E" w14:textId="77777777" w:rsidR="00C17404" w:rsidRDefault="00C17404" w:rsidP="001C47EB">
                  <w:pPr>
                    <w:pStyle w:val="CpAboutAcilAllen"/>
                  </w:pPr>
                  <w:r>
                    <w:t>ACIL Allen is a leading independent economics, policy and strategy advisory firm, dedicated to helping clients solve complex issues.</w:t>
                  </w:r>
                </w:p>
                <w:p w14:paraId="1EF175F3" w14:textId="77777777" w:rsidR="00C17404" w:rsidRDefault="00C17404" w:rsidP="001C47EB">
                  <w:pPr>
                    <w:pStyle w:val="CpAboutAcilAllen"/>
                  </w:pPr>
                  <w:r>
                    <w:t>Our purpose is to help clients make informed decisions about complex economic and public policy issues.</w:t>
                  </w:r>
                </w:p>
                <w:p w14:paraId="3046B23C" w14:textId="77777777" w:rsidR="00C17404" w:rsidRDefault="00C17404" w:rsidP="001C47EB">
                  <w:pPr>
                    <w:pStyle w:val="CpAboutAcilAllen"/>
                  </w:pPr>
                  <w:r>
                    <w:t>Our vision is to be Australia’s most trusted economics, policy and strategy advisory firm. We are committed and passionate about providing rigorous independent advice that contributes to a better world.</w:t>
                  </w:r>
                </w:p>
              </w:tc>
            </w:tr>
            <w:tr w:rsidR="00C17404" w14:paraId="7FD64D33" w14:textId="77777777" w:rsidTr="001C47EB">
              <w:tc>
                <w:tcPr>
                  <w:tcW w:w="9836" w:type="dxa"/>
                  <w:shd w:val="clear" w:color="auto" w:fill="auto"/>
                </w:tcPr>
                <w:p w14:paraId="16FE3AFC" w14:textId="77777777" w:rsidR="00C17404" w:rsidRDefault="00C17404" w:rsidP="001C47EB">
                  <w:pPr>
                    <w:pStyle w:val="CpDisclaimer9pt"/>
                  </w:pPr>
                  <w:r>
                    <w:t>Suggested citation for this report</w:t>
                  </w:r>
                </w:p>
                <w:p w14:paraId="32299217" w14:textId="7744E568" w:rsidR="00C17404" w:rsidRDefault="001E5CAD" w:rsidP="001C47EB">
                  <w:pPr>
                    <w:pStyle w:val="CpDisclaimer9pt"/>
                  </w:pPr>
                  <w:r>
                    <w:t>ACIL Allen (2021) A cost benefit analysis on Australia’s possible accession to the Nairobi Convention, Draft Report prepared for the Department of Infrastructure, Transport, Regional Development and Communications, Australian Government</w:t>
                  </w:r>
                </w:p>
              </w:tc>
            </w:tr>
            <w:tr w:rsidR="00C17404" w14:paraId="494BAF55" w14:textId="77777777" w:rsidTr="001C47EB">
              <w:tc>
                <w:tcPr>
                  <w:tcW w:w="9836" w:type="dxa"/>
                  <w:shd w:val="clear" w:color="auto" w:fill="auto"/>
                </w:tcPr>
                <w:p w14:paraId="0B0D8168" w14:textId="77777777" w:rsidR="00C17404" w:rsidRDefault="00C17404" w:rsidP="001C47EB">
                  <w:pPr>
                    <w:pStyle w:val="CpDisclaimer"/>
                  </w:pPr>
                  <w:r w:rsidRPr="00C17404">
                    <w:rPr>
                      <w:b/>
                    </w:rPr>
                    <w:t>Reliance and disclaimer</w:t>
                  </w:r>
                  <w:r>
                    <w:t xml:space="preserve"> The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Allen’s prior written consent. ACIL Allen accepts no responsibility whatsoever for any loss occasioned by any person acting or refraining from action as a result of reliance on the report, other than the addressee.</w:t>
                  </w:r>
                </w:p>
                <w:p w14:paraId="202A21FD" w14:textId="77777777" w:rsidR="00C17404" w:rsidRDefault="00C17404" w:rsidP="001C47EB">
                  <w:pPr>
                    <w:pStyle w:val="CpDisclaimer"/>
                  </w:pPr>
                  <w:r>
                    <w:t>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inaccurate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observations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0B66AB06" w14:textId="77777777" w:rsidR="00C17404" w:rsidRDefault="00C17404" w:rsidP="001C47EB">
                  <w:pPr>
                    <w:pStyle w:val="CpDisclaimer"/>
                  </w:pPr>
                  <w:r>
                    <w:t>This report does not constitute a personal recommendation of ACIL Allen or take into account the particular investment objectives, financial situations, or needs of the addressee in relation to any transaction that the addressee is contemplating. Investors should consider whether the content of this report is suitable for their particular circumstances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7CBBBCEC" w14:textId="5409C7A5" w:rsidR="00C17404" w:rsidRDefault="00966CD2" w:rsidP="001C47EB">
                  <w:pPr>
                    <w:pStyle w:val="CpDisclaimer"/>
                  </w:pPr>
                  <w:r>
                    <w:fldChar w:fldCharType="begin"/>
                  </w:r>
                  <w:r>
                    <w:instrText xml:space="preserve"> COMMENTS  \* MERGEFORMAT </w:instrText>
                  </w:r>
                  <w:r>
                    <w:fldChar w:fldCharType="end"/>
                  </w:r>
                </w:p>
              </w:tc>
            </w:tr>
            <w:tr w:rsidR="00C17404" w14:paraId="3C93D24F" w14:textId="77777777" w:rsidTr="001C47EB">
              <w:trPr>
                <w:trHeight w:hRule="exact" w:val="64"/>
              </w:trPr>
              <w:tc>
                <w:tcPr>
                  <w:tcW w:w="9836" w:type="dxa"/>
                  <w:shd w:val="clear" w:color="auto" w:fill="auto"/>
                </w:tcPr>
                <w:p w14:paraId="7792249F" w14:textId="77777777" w:rsidR="00C17404" w:rsidRDefault="00C17404" w:rsidP="001C47EB">
                  <w:pPr>
                    <w:pStyle w:val="spacer"/>
                  </w:pPr>
                </w:p>
              </w:tc>
            </w:tr>
          </w:tbl>
          <w:p w14:paraId="0DF805EE" w14:textId="77777777" w:rsidR="00C17404" w:rsidRDefault="00C17404" w:rsidP="001C47EB">
            <w:pPr>
              <w:pStyle w:val="BodyText"/>
            </w:pPr>
          </w:p>
        </w:tc>
      </w:tr>
    </w:tbl>
    <w:p w14:paraId="490AF702" w14:textId="77777777" w:rsidR="00C17404" w:rsidRDefault="00C17404" w:rsidP="00C17404">
      <w:pPr>
        <w:pStyle w:val="BodyText"/>
      </w:pPr>
    </w:p>
    <w:p w14:paraId="44B2E2FD" w14:textId="77777777" w:rsidR="00C17404" w:rsidRDefault="00C17404" w:rsidP="00C17404">
      <w:pPr>
        <w:pStyle w:val="BodyText"/>
        <w:sectPr w:rsidR="00C17404" w:rsidSect="00C17404">
          <w:headerReference w:type="even" r:id="rId14"/>
          <w:headerReference w:type="default" r:id="rId15"/>
          <w:footerReference w:type="even" r:id="rId16"/>
          <w:footerReference w:type="default" r:id="rId17"/>
          <w:headerReference w:type="first" r:id="rId18"/>
          <w:footerReference w:type="first" r:id="rId19"/>
          <w:pgSz w:w="11906" w:h="16838" w:code="9"/>
          <w:pgMar w:top="1134" w:right="720" w:bottom="518" w:left="1134" w:header="454" w:footer="288" w:gutter="0"/>
          <w:cols w:space="708"/>
          <w:docGrid w:linePitch="360"/>
        </w:sectPr>
      </w:pPr>
    </w:p>
    <w:p w14:paraId="471E48CA" w14:textId="2DF31B07" w:rsidR="00755AD3" w:rsidRDefault="00C17404">
      <w:pPr>
        <w:pStyle w:val="TOC1"/>
        <w:rPr>
          <w:rFonts w:asciiTheme="minorHAnsi" w:eastAsiaTheme="minorEastAsia" w:hAnsiTheme="minorHAnsi"/>
          <w:b w:val="0"/>
          <w:color w:val="auto"/>
          <w:sz w:val="22"/>
          <w:lang w:eastAsia="en-AU"/>
        </w:rPr>
      </w:pPr>
      <w:r>
        <w:rPr>
          <w:b w:val="0"/>
          <w:color w:val="000100"/>
        </w:rPr>
        <w:lastRenderedPageBreak/>
        <w:fldChar w:fldCharType="begin"/>
      </w:r>
      <w:r>
        <w:rPr>
          <w:b w:val="0"/>
          <w:color w:val="000100"/>
        </w:rPr>
        <w:instrText xml:space="preserve"> TOC \o "2-2" \h \z \t "Heading 1,2,Heading 2,3,Part xx,1,Heading 1 (ES),1,App - Divider (Heading),1,Heading 1 (AP),2,Heading 2 (AP),3,Heading (glossary),1" </w:instrText>
      </w:r>
      <w:r>
        <w:rPr>
          <w:b w:val="0"/>
          <w:color w:val="000100"/>
        </w:rPr>
        <w:fldChar w:fldCharType="separate"/>
      </w:r>
      <w:hyperlink w:anchor="_Toc99543709" w:history="1">
        <w:r w:rsidR="00755AD3" w:rsidRPr="005A23D7">
          <w:rPr>
            <w:rStyle w:val="Hyperlink"/>
          </w:rPr>
          <w:t>Glossary</w:t>
        </w:r>
        <w:r w:rsidR="00755AD3">
          <w:rPr>
            <w:webHidden/>
          </w:rPr>
          <w:tab/>
        </w:r>
        <w:r w:rsidR="00755AD3">
          <w:rPr>
            <w:webHidden/>
          </w:rPr>
          <w:fldChar w:fldCharType="begin"/>
        </w:r>
        <w:r w:rsidR="00755AD3">
          <w:rPr>
            <w:webHidden/>
          </w:rPr>
          <w:instrText xml:space="preserve"> PAGEREF _Toc99543709 \h </w:instrText>
        </w:r>
        <w:r w:rsidR="00755AD3">
          <w:rPr>
            <w:webHidden/>
          </w:rPr>
        </w:r>
        <w:r w:rsidR="00755AD3">
          <w:rPr>
            <w:webHidden/>
          </w:rPr>
          <w:fldChar w:fldCharType="separate"/>
        </w:r>
        <w:r w:rsidR="00755AD3">
          <w:rPr>
            <w:webHidden/>
          </w:rPr>
          <w:t>i</w:t>
        </w:r>
        <w:r w:rsidR="00755AD3">
          <w:rPr>
            <w:webHidden/>
          </w:rPr>
          <w:fldChar w:fldCharType="end"/>
        </w:r>
      </w:hyperlink>
    </w:p>
    <w:p w14:paraId="6FDB3D7B" w14:textId="76D4846E" w:rsidR="00755AD3" w:rsidRDefault="008C3AD9">
      <w:pPr>
        <w:pStyle w:val="TOC1"/>
        <w:rPr>
          <w:rFonts w:asciiTheme="minorHAnsi" w:eastAsiaTheme="minorEastAsia" w:hAnsiTheme="minorHAnsi"/>
          <w:b w:val="0"/>
          <w:color w:val="auto"/>
          <w:sz w:val="22"/>
          <w:lang w:eastAsia="en-AU"/>
        </w:rPr>
      </w:pPr>
      <w:hyperlink w:anchor="_Toc99543710" w:history="1">
        <w:r w:rsidR="00755AD3" w:rsidRPr="005A23D7">
          <w:rPr>
            <w:rStyle w:val="Hyperlink"/>
          </w:rPr>
          <w:t>Executive summary</w:t>
        </w:r>
        <w:r w:rsidR="00755AD3">
          <w:rPr>
            <w:webHidden/>
          </w:rPr>
          <w:tab/>
        </w:r>
        <w:r w:rsidR="00755AD3">
          <w:rPr>
            <w:webHidden/>
          </w:rPr>
          <w:fldChar w:fldCharType="begin"/>
        </w:r>
        <w:r w:rsidR="00755AD3">
          <w:rPr>
            <w:webHidden/>
          </w:rPr>
          <w:instrText xml:space="preserve"> PAGEREF _Toc99543710 \h </w:instrText>
        </w:r>
        <w:r w:rsidR="00755AD3">
          <w:rPr>
            <w:webHidden/>
          </w:rPr>
        </w:r>
        <w:r w:rsidR="00755AD3">
          <w:rPr>
            <w:webHidden/>
          </w:rPr>
          <w:fldChar w:fldCharType="separate"/>
        </w:r>
        <w:r w:rsidR="00755AD3">
          <w:rPr>
            <w:webHidden/>
          </w:rPr>
          <w:t>i</w:t>
        </w:r>
        <w:r w:rsidR="00755AD3">
          <w:rPr>
            <w:webHidden/>
          </w:rPr>
          <w:fldChar w:fldCharType="end"/>
        </w:r>
      </w:hyperlink>
    </w:p>
    <w:p w14:paraId="48D27831" w14:textId="6B72E8A6" w:rsidR="00755AD3" w:rsidRDefault="008C3AD9">
      <w:pPr>
        <w:pStyle w:val="TOC2"/>
        <w:rPr>
          <w:rFonts w:asciiTheme="minorHAnsi" w:eastAsiaTheme="minorEastAsia" w:hAnsiTheme="minorHAnsi"/>
          <w:b w:val="0"/>
          <w:color w:val="auto"/>
          <w:sz w:val="22"/>
          <w:lang w:eastAsia="en-AU"/>
        </w:rPr>
      </w:pPr>
      <w:hyperlink w:anchor="_Toc99543711" w:history="1">
        <w:r w:rsidR="00755AD3" w:rsidRPr="005A23D7">
          <w:rPr>
            <w:rStyle w:val="Hyperlink"/>
          </w:rPr>
          <w:t>1</w:t>
        </w:r>
        <w:r w:rsidR="00755AD3">
          <w:rPr>
            <w:rFonts w:asciiTheme="minorHAnsi" w:eastAsiaTheme="minorEastAsia" w:hAnsiTheme="minorHAnsi"/>
            <w:b w:val="0"/>
            <w:color w:val="auto"/>
            <w:sz w:val="22"/>
            <w:lang w:eastAsia="en-AU"/>
          </w:rPr>
          <w:tab/>
        </w:r>
        <w:r w:rsidR="00755AD3" w:rsidRPr="005A23D7">
          <w:rPr>
            <w:rStyle w:val="Hyperlink"/>
          </w:rPr>
          <w:t>Introduction</w:t>
        </w:r>
        <w:r w:rsidR="00755AD3">
          <w:rPr>
            <w:webHidden/>
          </w:rPr>
          <w:tab/>
        </w:r>
        <w:r w:rsidR="00755AD3">
          <w:rPr>
            <w:webHidden/>
          </w:rPr>
          <w:fldChar w:fldCharType="begin"/>
        </w:r>
        <w:r w:rsidR="00755AD3">
          <w:rPr>
            <w:webHidden/>
          </w:rPr>
          <w:instrText xml:space="preserve"> PAGEREF _Toc99543711 \h </w:instrText>
        </w:r>
        <w:r w:rsidR="00755AD3">
          <w:rPr>
            <w:webHidden/>
          </w:rPr>
        </w:r>
        <w:r w:rsidR="00755AD3">
          <w:rPr>
            <w:webHidden/>
          </w:rPr>
          <w:fldChar w:fldCharType="separate"/>
        </w:r>
        <w:r w:rsidR="00755AD3">
          <w:rPr>
            <w:webHidden/>
          </w:rPr>
          <w:t>5</w:t>
        </w:r>
        <w:r w:rsidR="00755AD3">
          <w:rPr>
            <w:webHidden/>
          </w:rPr>
          <w:fldChar w:fldCharType="end"/>
        </w:r>
      </w:hyperlink>
    </w:p>
    <w:p w14:paraId="4D59C7D7" w14:textId="76AFEB28" w:rsidR="00755AD3" w:rsidRDefault="008C3AD9">
      <w:pPr>
        <w:pStyle w:val="TOC3"/>
        <w:tabs>
          <w:tab w:val="left" w:pos="1120"/>
        </w:tabs>
        <w:rPr>
          <w:rFonts w:asciiTheme="minorHAnsi" w:eastAsiaTheme="minorEastAsia" w:hAnsiTheme="minorHAnsi"/>
          <w:color w:val="auto"/>
          <w:position w:val="0"/>
          <w:lang w:eastAsia="en-AU"/>
        </w:rPr>
      </w:pPr>
      <w:hyperlink w:anchor="_Toc99543712" w:history="1">
        <w:r w:rsidR="00755AD3" w:rsidRPr="005A23D7">
          <w:rPr>
            <w:rStyle w:val="Hyperlink"/>
            <w:lang w:val="en-US"/>
          </w:rPr>
          <w:t>1.1</w:t>
        </w:r>
        <w:r w:rsidR="00755AD3">
          <w:rPr>
            <w:rFonts w:asciiTheme="minorHAnsi" w:eastAsiaTheme="minorEastAsia" w:hAnsiTheme="minorHAnsi"/>
            <w:color w:val="auto"/>
            <w:position w:val="0"/>
            <w:lang w:eastAsia="en-AU"/>
          </w:rPr>
          <w:tab/>
        </w:r>
        <w:r w:rsidR="00755AD3" w:rsidRPr="005A23D7">
          <w:rPr>
            <w:rStyle w:val="Hyperlink"/>
            <w:lang w:val="en-US"/>
          </w:rPr>
          <w:t>The Nairobi Convention</w:t>
        </w:r>
        <w:r w:rsidR="00755AD3">
          <w:rPr>
            <w:webHidden/>
          </w:rPr>
          <w:tab/>
        </w:r>
        <w:r w:rsidR="00755AD3">
          <w:rPr>
            <w:webHidden/>
          </w:rPr>
          <w:fldChar w:fldCharType="begin"/>
        </w:r>
        <w:r w:rsidR="00755AD3">
          <w:rPr>
            <w:webHidden/>
          </w:rPr>
          <w:instrText xml:space="preserve"> PAGEREF _Toc99543712 \h </w:instrText>
        </w:r>
        <w:r w:rsidR="00755AD3">
          <w:rPr>
            <w:webHidden/>
          </w:rPr>
        </w:r>
        <w:r w:rsidR="00755AD3">
          <w:rPr>
            <w:webHidden/>
          </w:rPr>
          <w:fldChar w:fldCharType="separate"/>
        </w:r>
        <w:r w:rsidR="00755AD3">
          <w:rPr>
            <w:webHidden/>
          </w:rPr>
          <w:t>5</w:t>
        </w:r>
        <w:r w:rsidR="00755AD3">
          <w:rPr>
            <w:webHidden/>
          </w:rPr>
          <w:fldChar w:fldCharType="end"/>
        </w:r>
      </w:hyperlink>
    </w:p>
    <w:p w14:paraId="08546D5C" w14:textId="015DC3B3" w:rsidR="00755AD3" w:rsidRDefault="008C3AD9">
      <w:pPr>
        <w:pStyle w:val="TOC3"/>
        <w:tabs>
          <w:tab w:val="left" w:pos="1120"/>
        </w:tabs>
        <w:rPr>
          <w:rFonts w:asciiTheme="minorHAnsi" w:eastAsiaTheme="minorEastAsia" w:hAnsiTheme="minorHAnsi"/>
          <w:color w:val="auto"/>
          <w:position w:val="0"/>
          <w:lang w:eastAsia="en-AU"/>
        </w:rPr>
      </w:pPr>
      <w:hyperlink w:anchor="_Toc99543713" w:history="1">
        <w:r w:rsidR="00755AD3" w:rsidRPr="005A23D7">
          <w:rPr>
            <w:rStyle w:val="Hyperlink"/>
          </w:rPr>
          <w:t>1.2</w:t>
        </w:r>
        <w:r w:rsidR="00755AD3">
          <w:rPr>
            <w:rFonts w:asciiTheme="minorHAnsi" w:eastAsiaTheme="minorEastAsia" w:hAnsiTheme="minorHAnsi"/>
            <w:color w:val="auto"/>
            <w:position w:val="0"/>
            <w:lang w:eastAsia="en-AU"/>
          </w:rPr>
          <w:tab/>
        </w:r>
        <w:r w:rsidR="00755AD3" w:rsidRPr="005A23D7">
          <w:rPr>
            <w:rStyle w:val="Hyperlink"/>
            <w:lang w:val="en-US"/>
          </w:rPr>
          <w:t>Problem under consideration</w:t>
        </w:r>
        <w:r w:rsidR="00755AD3">
          <w:rPr>
            <w:webHidden/>
          </w:rPr>
          <w:tab/>
        </w:r>
        <w:r w:rsidR="00755AD3">
          <w:rPr>
            <w:webHidden/>
          </w:rPr>
          <w:fldChar w:fldCharType="begin"/>
        </w:r>
        <w:r w:rsidR="00755AD3">
          <w:rPr>
            <w:webHidden/>
          </w:rPr>
          <w:instrText xml:space="preserve"> PAGEREF _Toc99543713 \h </w:instrText>
        </w:r>
        <w:r w:rsidR="00755AD3">
          <w:rPr>
            <w:webHidden/>
          </w:rPr>
        </w:r>
        <w:r w:rsidR="00755AD3">
          <w:rPr>
            <w:webHidden/>
          </w:rPr>
          <w:fldChar w:fldCharType="separate"/>
        </w:r>
        <w:r w:rsidR="00755AD3">
          <w:rPr>
            <w:webHidden/>
          </w:rPr>
          <w:t>6</w:t>
        </w:r>
        <w:r w:rsidR="00755AD3">
          <w:rPr>
            <w:webHidden/>
          </w:rPr>
          <w:fldChar w:fldCharType="end"/>
        </w:r>
      </w:hyperlink>
    </w:p>
    <w:p w14:paraId="29F40544" w14:textId="7E797F8B" w:rsidR="00755AD3" w:rsidRDefault="008C3AD9">
      <w:pPr>
        <w:pStyle w:val="TOC3"/>
        <w:tabs>
          <w:tab w:val="left" w:pos="1120"/>
        </w:tabs>
        <w:rPr>
          <w:rFonts w:asciiTheme="minorHAnsi" w:eastAsiaTheme="minorEastAsia" w:hAnsiTheme="minorHAnsi"/>
          <w:color w:val="auto"/>
          <w:position w:val="0"/>
          <w:lang w:eastAsia="en-AU"/>
        </w:rPr>
      </w:pPr>
      <w:hyperlink w:anchor="_Toc99543714" w:history="1">
        <w:r w:rsidR="00755AD3" w:rsidRPr="005A23D7">
          <w:rPr>
            <w:rStyle w:val="Hyperlink"/>
            <w:lang w:val="en-US"/>
          </w:rPr>
          <w:t>1.3</w:t>
        </w:r>
        <w:r w:rsidR="00755AD3">
          <w:rPr>
            <w:rFonts w:asciiTheme="minorHAnsi" w:eastAsiaTheme="minorEastAsia" w:hAnsiTheme="minorHAnsi"/>
            <w:color w:val="auto"/>
            <w:position w:val="0"/>
            <w:lang w:eastAsia="en-AU"/>
          </w:rPr>
          <w:tab/>
        </w:r>
        <w:r w:rsidR="00755AD3" w:rsidRPr="005A23D7">
          <w:rPr>
            <w:rStyle w:val="Hyperlink"/>
            <w:lang w:val="en-US"/>
          </w:rPr>
          <w:t>Rationale of government intervention</w:t>
        </w:r>
        <w:r w:rsidR="00755AD3">
          <w:rPr>
            <w:webHidden/>
          </w:rPr>
          <w:tab/>
        </w:r>
        <w:r w:rsidR="00755AD3">
          <w:rPr>
            <w:webHidden/>
          </w:rPr>
          <w:fldChar w:fldCharType="begin"/>
        </w:r>
        <w:r w:rsidR="00755AD3">
          <w:rPr>
            <w:webHidden/>
          </w:rPr>
          <w:instrText xml:space="preserve"> PAGEREF _Toc99543714 \h </w:instrText>
        </w:r>
        <w:r w:rsidR="00755AD3">
          <w:rPr>
            <w:webHidden/>
          </w:rPr>
        </w:r>
        <w:r w:rsidR="00755AD3">
          <w:rPr>
            <w:webHidden/>
          </w:rPr>
          <w:fldChar w:fldCharType="separate"/>
        </w:r>
        <w:r w:rsidR="00755AD3">
          <w:rPr>
            <w:webHidden/>
          </w:rPr>
          <w:t>7</w:t>
        </w:r>
        <w:r w:rsidR="00755AD3">
          <w:rPr>
            <w:webHidden/>
          </w:rPr>
          <w:fldChar w:fldCharType="end"/>
        </w:r>
      </w:hyperlink>
    </w:p>
    <w:p w14:paraId="117AC6F1" w14:textId="71589002" w:rsidR="00755AD3" w:rsidRDefault="008C3AD9">
      <w:pPr>
        <w:pStyle w:val="TOC3"/>
        <w:tabs>
          <w:tab w:val="left" w:pos="1120"/>
        </w:tabs>
        <w:rPr>
          <w:rFonts w:asciiTheme="minorHAnsi" w:eastAsiaTheme="minorEastAsia" w:hAnsiTheme="minorHAnsi"/>
          <w:color w:val="auto"/>
          <w:position w:val="0"/>
          <w:lang w:eastAsia="en-AU"/>
        </w:rPr>
      </w:pPr>
      <w:hyperlink w:anchor="_Toc99543715" w:history="1">
        <w:r w:rsidR="00755AD3" w:rsidRPr="005A23D7">
          <w:rPr>
            <w:rStyle w:val="Hyperlink"/>
          </w:rPr>
          <w:t>1.4</w:t>
        </w:r>
        <w:r w:rsidR="00755AD3">
          <w:rPr>
            <w:rFonts w:asciiTheme="minorHAnsi" w:eastAsiaTheme="minorEastAsia" w:hAnsiTheme="minorHAnsi"/>
            <w:color w:val="auto"/>
            <w:position w:val="0"/>
            <w:lang w:eastAsia="en-AU"/>
          </w:rPr>
          <w:tab/>
        </w:r>
        <w:r w:rsidR="00755AD3" w:rsidRPr="005A23D7">
          <w:rPr>
            <w:rStyle w:val="Hyperlink"/>
            <w:lang w:val="en-US"/>
          </w:rPr>
          <w:t>Policy options</w:t>
        </w:r>
        <w:r w:rsidR="00755AD3">
          <w:rPr>
            <w:webHidden/>
          </w:rPr>
          <w:tab/>
        </w:r>
        <w:r w:rsidR="00755AD3">
          <w:rPr>
            <w:webHidden/>
          </w:rPr>
          <w:fldChar w:fldCharType="begin"/>
        </w:r>
        <w:r w:rsidR="00755AD3">
          <w:rPr>
            <w:webHidden/>
          </w:rPr>
          <w:instrText xml:space="preserve"> PAGEREF _Toc99543715 \h </w:instrText>
        </w:r>
        <w:r w:rsidR="00755AD3">
          <w:rPr>
            <w:webHidden/>
          </w:rPr>
        </w:r>
        <w:r w:rsidR="00755AD3">
          <w:rPr>
            <w:webHidden/>
          </w:rPr>
          <w:fldChar w:fldCharType="separate"/>
        </w:r>
        <w:r w:rsidR="00755AD3">
          <w:rPr>
            <w:webHidden/>
          </w:rPr>
          <w:t>8</w:t>
        </w:r>
        <w:r w:rsidR="00755AD3">
          <w:rPr>
            <w:webHidden/>
          </w:rPr>
          <w:fldChar w:fldCharType="end"/>
        </w:r>
      </w:hyperlink>
    </w:p>
    <w:p w14:paraId="2E2EB8BC" w14:textId="1FAEECD7" w:rsidR="00755AD3" w:rsidRDefault="008C3AD9">
      <w:pPr>
        <w:pStyle w:val="TOC3"/>
        <w:tabs>
          <w:tab w:val="left" w:pos="1120"/>
        </w:tabs>
        <w:rPr>
          <w:rFonts w:asciiTheme="minorHAnsi" w:eastAsiaTheme="minorEastAsia" w:hAnsiTheme="minorHAnsi"/>
          <w:color w:val="auto"/>
          <w:position w:val="0"/>
          <w:lang w:eastAsia="en-AU"/>
        </w:rPr>
      </w:pPr>
      <w:hyperlink w:anchor="_Toc99543716" w:history="1">
        <w:r w:rsidR="00755AD3" w:rsidRPr="005A23D7">
          <w:rPr>
            <w:rStyle w:val="Hyperlink"/>
          </w:rPr>
          <w:t>1.5</w:t>
        </w:r>
        <w:r w:rsidR="00755AD3">
          <w:rPr>
            <w:rFonts w:asciiTheme="minorHAnsi" w:eastAsiaTheme="minorEastAsia" w:hAnsiTheme="minorHAnsi"/>
            <w:color w:val="auto"/>
            <w:position w:val="0"/>
            <w:lang w:eastAsia="en-AU"/>
          </w:rPr>
          <w:tab/>
        </w:r>
        <w:r w:rsidR="00755AD3" w:rsidRPr="005A23D7">
          <w:rPr>
            <w:rStyle w:val="Hyperlink"/>
          </w:rPr>
          <w:t>Report structure</w:t>
        </w:r>
        <w:r w:rsidR="00755AD3">
          <w:rPr>
            <w:webHidden/>
          </w:rPr>
          <w:tab/>
        </w:r>
        <w:r w:rsidR="00755AD3">
          <w:rPr>
            <w:webHidden/>
          </w:rPr>
          <w:fldChar w:fldCharType="begin"/>
        </w:r>
        <w:r w:rsidR="00755AD3">
          <w:rPr>
            <w:webHidden/>
          </w:rPr>
          <w:instrText xml:space="preserve"> PAGEREF _Toc99543716 \h </w:instrText>
        </w:r>
        <w:r w:rsidR="00755AD3">
          <w:rPr>
            <w:webHidden/>
          </w:rPr>
        </w:r>
        <w:r w:rsidR="00755AD3">
          <w:rPr>
            <w:webHidden/>
          </w:rPr>
          <w:fldChar w:fldCharType="separate"/>
        </w:r>
        <w:r w:rsidR="00755AD3">
          <w:rPr>
            <w:webHidden/>
          </w:rPr>
          <w:t>9</w:t>
        </w:r>
        <w:r w:rsidR="00755AD3">
          <w:rPr>
            <w:webHidden/>
          </w:rPr>
          <w:fldChar w:fldCharType="end"/>
        </w:r>
      </w:hyperlink>
    </w:p>
    <w:p w14:paraId="5171CC14" w14:textId="3D0C58A0" w:rsidR="00755AD3" w:rsidRDefault="008C3AD9">
      <w:pPr>
        <w:pStyle w:val="TOC2"/>
        <w:rPr>
          <w:rFonts w:asciiTheme="minorHAnsi" w:eastAsiaTheme="minorEastAsia" w:hAnsiTheme="minorHAnsi"/>
          <w:b w:val="0"/>
          <w:color w:val="auto"/>
          <w:sz w:val="22"/>
          <w:lang w:eastAsia="en-AU"/>
        </w:rPr>
      </w:pPr>
      <w:hyperlink w:anchor="_Toc99543717" w:history="1">
        <w:r w:rsidR="00755AD3" w:rsidRPr="005A23D7">
          <w:rPr>
            <w:rStyle w:val="Hyperlink"/>
          </w:rPr>
          <w:t>2</w:t>
        </w:r>
        <w:r w:rsidR="00755AD3">
          <w:rPr>
            <w:rFonts w:asciiTheme="minorHAnsi" w:eastAsiaTheme="minorEastAsia" w:hAnsiTheme="minorHAnsi"/>
            <w:b w:val="0"/>
            <w:color w:val="auto"/>
            <w:sz w:val="22"/>
            <w:lang w:eastAsia="en-AU"/>
          </w:rPr>
          <w:tab/>
        </w:r>
        <w:r w:rsidR="00755AD3" w:rsidRPr="005A23D7">
          <w:rPr>
            <w:rStyle w:val="Hyperlink"/>
          </w:rPr>
          <w:t>Stakeholder consultation</w:t>
        </w:r>
        <w:r w:rsidR="00755AD3">
          <w:rPr>
            <w:webHidden/>
          </w:rPr>
          <w:tab/>
        </w:r>
        <w:r w:rsidR="00755AD3">
          <w:rPr>
            <w:webHidden/>
          </w:rPr>
          <w:fldChar w:fldCharType="begin"/>
        </w:r>
        <w:r w:rsidR="00755AD3">
          <w:rPr>
            <w:webHidden/>
          </w:rPr>
          <w:instrText xml:space="preserve"> PAGEREF _Toc99543717 \h </w:instrText>
        </w:r>
        <w:r w:rsidR="00755AD3">
          <w:rPr>
            <w:webHidden/>
          </w:rPr>
        </w:r>
        <w:r w:rsidR="00755AD3">
          <w:rPr>
            <w:webHidden/>
          </w:rPr>
          <w:fldChar w:fldCharType="separate"/>
        </w:r>
        <w:r w:rsidR="00755AD3">
          <w:rPr>
            <w:webHidden/>
          </w:rPr>
          <w:t>10</w:t>
        </w:r>
        <w:r w:rsidR="00755AD3">
          <w:rPr>
            <w:webHidden/>
          </w:rPr>
          <w:fldChar w:fldCharType="end"/>
        </w:r>
      </w:hyperlink>
    </w:p>
    <w:p w14:paraId="15AEF58F" w14:textId="446DD661" w:rsidR="00755AD3" w:rsidRDefault="008C3AD9">
      <w:pPr>
        <w:pStyle w:val="TOC3"/>
        <w:tabs>
          <w:tab w:val="left" w:pos="1120"/>
        </w:tabs>
        <w:rPr>
          <w:rFonts w:asciiTheme="minorHAnsi" w:eastAsiaTheme="minorEastAsia" w:hAnsiTheme="minorHAnsi"/>
          <w:color w:val="auto"/>
          <w:position w:val="0"/>
          <w:lang w:eastAsia="en-AU"/>
        </w:rPr>
      </w:pPr>
      <w:hyperlink w:anchor="_Toc99543718" w:history="1">
        <w:r w:rsidR="00755AD3" w:rsidRPr="005A23D7">
          <w:rPr>
            <w:rStyle w:val="Hyperlink"/>
          </w:rPr>
          <w:t>2.1</w:t>
        </w:r>
        <w:r w:rsidR="00755AD3">
          <w:rPr>
            <w:rFonts w:asciiTheme="minorHAnsi" w:eastAsiaTheme="minorEastAsia" w:hAnsiTheme="minorHAnsi"/>
            <w:color w:val="auto"/>
            <w:position w:val="0"/>
            <w:lang w:eastAsia="en-AU"/>
          </w:rPr>
          <w:tab/>
        </w:r>
        <w:r w:rsidR="00755AD3" w:rsidRPr="005A23D7">
          <w:rPr>
            <w:rStyle w:val="Hyperlink"/>
          </w:rPr>
          <w:t>Shipping Australia</w:t>
        </w:r>
        <w:r w:rsidR="00755AD3">
          <w:rPr>
            <w:webHidden/>
          </w:rPr>
          <w:tab/>
        </w:r>
        <w:r w:rsidR="00755AD3">
          <w:rPr>
            <w:webHidden/>
          </w:rPr>
          <w:fldChar w:fldCharType="begin"/>
        </w:r>
        <w:r w:rsidR="00755AD3">
          <w:rPr>
            <w:webHidden/>
          </w:rPr>
          <w:instrText xml:space="preserve"> PAGEREF _Toc99543718 \h </w:instrText>
        </w:r>
        <w:r w:rsidR="00755AD3">
          <w:rPr>
            <w:webHidden/>
          </w:rPr>
        </w:r>
        <w:r w:rsidR="00755AD3">
          <w:rPr>
            <w:webHidden/>
          </w:rPr>
          <w:fldChar w:fldCharType="separate"/>
        </w:r>
        <w:r w:rsidR="00755AD3">
          <w:rPr>
            <w:webHidden/>
          </w:rPr>
          <w:t>10</w:t>
        </w:r>
        <w:r w:rsidR="00755AD3">
          <w:rPr>
            <w:webHidden/>
          </w:rPr>
          <w:fldChar w:fldCharType="end"/>
        </w:r>
      </w:hyperlink>
    </w:p>
    <w:p w14:paraId="740F1DB4" w14:textId="2CCBD57B" w:rsidR="00755AD3" w:rsidRDefault="008C3AD9">
      <w:pPr>
        <w:pStyle w:val="TOC3"/>
        <w:tabs>
          <w:tab w:val="left" w:pos="1120"/>
        </w:tabs>
        <w:rPr>
          <w:rFonts w:asciiTheme="minorHAnsi" w:eastAsiaTheme="minorEastAsia" w:hAnsiTheme="minorHAnsi"/>
          <w:color w:val="auto"/>
          <w:position w:val="0"/>
          <w:lang w:eastAsia="en-AU"/>
        </w:rPr>
      </w:pPr>
      <w:hyperlink w:anchor="_Toc99543719" w:history="1">
        <w:r w:rsidR="00755AD3" w:rsidRPr="005A23D7">
          <w:rPr>
            <w:rStyle w:val="Hyperlink"/>
          </w:rPr>
          <w:t>2.2</w:t>
        </w:r>
        <w:r w:rsidR="00755AD3">
          <w:rPr>
            <w:rFonts w:asciiTheme="minorHAnsi" w:eastAsiaTheme="minorEastAsia" w:hAnsiTheme="minorHAnsi"/>
            <w:color w:val="auto"/>
            <w:position w:val="0"/>
            <w:lang w:eastAsia="en-AU"/>
          </w:rPr>
          <w:tab/>
        </w:r>
        <w:r w:rsidR="00755AD3" w:rsidRPr="005A23D7">
          <w:rPr>
            <w:rStyle w:val="Hyperlink"/>
          </w:rPr>
          <w:t>The IGP&amp;I Clubs, and the ICS</w:t>
        </w:r>
        <w:r w:rsidR="00755AD3">
          <w:rPr>
            <w:webHidden/>
          </w:rPr>
          <w:tab/>
        </w:r>
        <w:r w:rsidR="00755AD3">
          <w:rPr>
            <w:webHidden/>
          </w:rPr>
          <w:fldChar w:fldCharType="begin"/>
        </w:r>
        <w:r w:rsidR="00755AD3">
          <w:rPr>
            <w:webHidden/>
          </w:rPr>
          <w:instrText xml:space="preserve"> PAGEREF _Toc99543719 \h </w:instrText>
        </w:r>
        <w:r w:rsidR="00755AD3">
          <w:rPr>
            <w:webHidden/>
          </w:rPr>
        </w:r>
        <w:r w:rsidR="00755AD3">
          <w:rPr>
            <w:webHidden/>
          </w:rPr>
          <w:fldChar w:fldCharType="separate"/>
        </w:r>
        <w:r w:rsidR="00755AD3">
          <w:rPr>
            <w:webHidden/>
          </w:rPr>
          <w:t>11</w:t>
        </w:r>
        <w:r w:rsidR="00755AD3">
          <w:rPr>
            <w:webHidden/>
          </w:rPr>
          <w:fldChar w:fldCharType="end"/>
        </w:r>
      </w:hyperlink>
    </w:p>
    <w:p w14:paraId="02F3696C" w14:textId="1A7AE465" w:rsidR="00755AD3" w:rsidRDefault="008C3AD9">
      <w:pPr>
        <w:pStyle w:val="TOC3"/>
        <w:tabs>
          <w:tab w:val="left" w:pos="1120"/>
        </w:tabs>
        <w:rPr>
          <w:rFonts w:asciiTheme="minorHAnsi" w:eastAsiaTheme="minorEastAsia" w:hAnsiTheme="minorHAnsi"/>
          <w:color w:val="auto"/>
          <w:position w:val="0"/>
          <w:lang w:eastAsia="en-AU"/>
        </w:rPr>
      </w:pPr>
      <w:hyperlink w:anchor="_Toc99543720" w:history="1">
        <w:r w:rsidR="00755AD3" w:rsidRPr="005A23D7">
          <w:rPr>
            <w:rStyle w:val="Hyperlink"/>
          </w:rPr>
          <w:t>2.3</w:t>
        </w:r>
        <w:r w:rsidR="00755AD3">
          <w:rPr>
            <w:rFonts w:asciiTheme="minorHAnsi" w:eastAsiaTheme="minorEastAsia" w:hAnsiTheme="minorHAnsi"/>
            <w:color w:val="auto"/>
            <w:position w:val="0"/>
            <w:lang w:eastAsia="en-AU"/>
          </w:rPr>
          <w:tab/>
        </w:r>
        <w:r w:rsidR="00755AD3" w:rsidRPr="005A23D7">
          <w:rPr>
            <w:rStyle w:val="Hyperlink"/>
          </w:rPr>
          <w:t>Some examples of shipwrecks</w:t>
        </w:r>
        <w:r w:rsidR="00755AD3">
          <w:rPr>
            <w:webHidden/>
          </w:rPr>
          <w:tab/>
        </w:r>
        <w:r w:rsidR="00755AD3">
          <w:rPr>
            <w:webHidden/>
          </w:rPr>
          <w:fldChar w:fldCharType="begin"/>
        </w:r>
        <w:r w:rsidR="00755AD3">
          <w:rPr>
            <w:webHidden/>
          </w:rPr>
          <w:instrText xml:space="preserve"> PAGEREF _Toc99543720 \h </w:instrText>
        </w:r>
        <w:r w:rsidR="00755AD3">
          <w:rPr>
            <w:webHidden/>
          </w:rPr>
        </w:r>
        <w:r w:rsidR="00755AD3">
          <w:rPr>
            <w:webHidden/>
          </w:rPr>
          <w:fldChar w:fldCharType="separate"/>
        </w:r>
        <w:r w:rsidR="00755AD3">
          <w:rPr>
            <w:webHidden/>
          </w:rPr>
          <w:t>13</w:t>
        </w:r>
        <w:r w:rsidR="00755AD3">
          <w:rPr>
            <w:webHidden/>
          </w:rPr>
          <w:fldChar w:fldCharType="end"/>
        </w:r>
      </w:hyperlink>
    </w:p>
    <w:p w14:paraId="4F1FFE6B" w14:textId="5EB89940" w:rsidR="00755AD3" w:rsidRDefault="008C3AD9">
      <w:pPr>
        <w:pStyle w:val="TOC3"/>
        <w:tabs>
          <w:tab w:val="left" w:pos="1120"/>
        </w:tabs>
        <w:rPr>
          <w:rFonts w:asciiTheme="minorHAnsi" w:eastAsiaTheme="minorEastAsia" w:hAnsiTheme="minorHAnsi"/>
          <w:color w:val="auto"/>
          <w:position w:val="0"/>
          <w:lang w:eastAsia="en-AU"/>
        </w:rPr>
      </w:pPr>
      <w:hyperlink w:anchor="_Toc99543721" w:history="1">
        <w:r w:rsidR="00755AD3" w:rsidRPr="005A23D7">
          <w:rPr>
            <w:rStyle w:val="Hyperlink"/>
          </w:rPr>
          <w:t>2.4</w:t>
        </w:r>
        <w:r w:rsidR="00755AD3">
          <w:rPr>
            <w:rFonts w:asciiTheme="minorHAnsi" w:eastAsiaTheme="minorEastAsia" w:hAnsiTheme="minorHAnsi"/>
            <w:color w:val="auto"/>
            <w:position w:val="0"/>
            <w:lang w:eastAsia="en-AU"/>
          </w:rPr>
          <w:tab/>
        </w:r>
        <w:r w:rsidR="00755AD3" w:rsidRPr="005A23D7">
          <w:rPr>
            <w:rStyle w:val="Hyperlink"/>
          </w:rPr>
          <w:t>Summary</w:t>
        </w:r>
        <w:r w:rsidR="00755AD3">
          <w:rPr>
            <w:webHidden/>
          </w:rPr>
          <w:tab/>
        </w:r>
        <w:r w:rsidR="00755AD3">
          <w:rPr>
            <w:webHidden/>
          </w:rPr>
          <w:fldChar w:fldCharType="begin"/>
        </w:r>
        <w:r w:rsidR="00755AD3">
          <w:rPr>
            <w:webHidden/>
          </w:rPr>
          <w:instrText xml:space="preserve"> PAGEREF _Toc99543721 \h </w:instrText>
        </w:r>
        <w:r w:rsidR="00755AD3">
          <w:rPr>
            <w:webHidden/>
          </w:rPr>
        </w:r>
        <w:r w:rsidR="00755AD3">
          <w:rPr>
            <w:webHidden/>
          </w:rPr>
          <w:fldChar w:fldCharType="separate"/>
        </w:r>
        <w:r w:rsidR="00755AD3">
          <w:rPr>
            <w:webHidden/>
          </w:rPr>
          <w:t>14</w:t>
        </w:r>
        <w:r w:rsidR="00755AD3">
          <w:rPr>
            <w:webHidden/>
          </w:rPr>
          <w:fldChar w:fldCharType="end"/>
        </w:r>
      </w:hyperlink>
    </w:p>
    <w:p w14:paraId="197032D5" w14:textId="2B004D56" w:rsidR="00755AD3" w:rsidRDefault="008C3AD9">
      <w:pPr>
        <w:pStyle w:val="TOC2"/>
        <w:rPr>
          <w:rFonts w:asciiTheme="minorHAnsi" w:eastAsiaTheme="minorEastAsia" w:hAnsiTheme="minorHAnsi"/>
          <w:b w:val="0"/>
          <w:color w:val="auto"/>
          <w:sz w:val="22"/>
          <w:lang w:eastAsia="en-AU"/>
        </w:rPr>
      </w:pPr>
      <w:hyperlink w:anchor="_Toc99543722" w:history="1">
        <w:r w:rsidR="00755AD3" w:rsidRPr="005A23D7">
          <w:rPr>
            <w:rStyle w:val="Hyperlink"/>
          </w:rPr>
          <w:t>3</w:t>
        </w:r>
        <w:r w:rsidR="00755AD3">
          <w:rPr>
            <w:rFonts w:asciiTheme="minorHAnsi" w:eastAsiaTheme="minorEastAsia" w:hAnsiTheme="minorHAnsi"/>
            <w:b w:val="0"/>
            <w:color w:val="auto"/>
            <w:sz w:val="22"/>
            <w:lang w:eastAsia="en-AU"/>
          </w:rPr>
          <w:tab/>
        </w:r>
        <w:r w:rsidR="00755AD3" w:rsidRPr="005A23D7">
          <w:rPr>
            <w:rStyle w:val="Hyperlink"/>
          </w:rPr>
          <w:t>Data and assumptions</w:t>
        </w:r>
        <w:r w:rsidR="00755AD3">
          <w:rPr>
            <w:webHidden/>
          </w:rPr>
          <w:tab/>
        </w:r>
        <w:r w:rsidR="00755AD3">
          <w:rPr>
            <w:webHidden/>
          </w:rPr>
          <w:fldChar w:fldCharType="begin"/>
        </w:r>
        <w:r w:rsidR="00755AD3">
          <w:rPr>
            <w:webHidden/>
          </w:rPr>
          <w:instrText xml:space="preserve"> PAGEREF _Toc99543722 \h </w:instrText>
        </w:r>
        <w:r w:rsidR="00755AD3">
          <w:rPr>
            <w:webHidden/>
          </w:rPr>
        </w:r>
        <w:r w:rsidR="00755AD3">
          <w:rPr>
            <w:webHidden/>
          </w:rPr>
          <w:fldChar w:fldCharType="separate"/>
        </w:r>
        <w:r w:rsidR="00755AD3">
          <w:rPr>
            <w:webHidden/>
          </w:rPr>
          <w:t>15</w:t>
        </w:r>
        <w:r w:rsidR="00755AD3">
          <w:rPr>
            <w:webHidden/>
          </w:rPr>
          <w:fldChar w:fldCharType="end"/>
        </w:r>
      </w:hyperlink>
    </w:p>
    <w:p w14:paraId="005AC556" w14:textId="68C2ED78" w:rsidR="00755AD3" w:rsidRDefault="008C3AD9">
      <w:pPr>
        <w:pStyle w:val="TOC3"/>
        <w:tabs>
          <w:tab w:val="left" w:pos="1120"/>
        </w:tabs>
        <w:rPr>
          <w:rFonts w:asciiTheme="minorHAnsi" w:eastAsiaTheme="minorEastAsia" w:hAnsiTheme="minorHAnsi"/>
          <w:color w:val="auto"/>
          <w:position w:val="0"/>
          <w:lang w:eastAsia="en-AU"/>
        </w:rPr>
      </w:pPr>
      <w:hyperlink w:anchor="_Toc99543723" w:history="1">
        <w:r w:rsidR="00755AD3" w:rsidRPr="005A23D7">
          <w:rPr>
            <w:rStyle w:val="Hyperlink"/>
          </w:rPr>
          <w:t>3.1</w:t>
        </w:r>
        <w:r w:rsidR="00755AD3">
          <w:rPr>
            <w:rFonts w:asciiTheme="minorHAnsi" w:eastAsiaTheme="minorEastAsia" w:hAnsiTheme="minorHAnsi"/>
            <w:color w:val="auto"/>
            <w:position w:val="0"/>
            <w:lang w:eastAsia="en-AU"/>
          </w:rPr>
          <w:tab/>
        </w:r>
        <w:r w:rsidR="00755AD3" w:rsidRPr="005A23D7">
          <w:rPr>
            <w:rStyle w:val="Hyperlink"/>
          </w:rPr>
          <w:t>Approach</w:t>
        </w:r>
        <w:r w:rsidR="00755AD3">
          <w:rPr>
            <w:webHidden/>
          </w:rPr>
          <w:tab/>
        </w:r>
        <w:r w:rsidR="00755AD3">
          <w:rPr>
            <w:webHidden/>
          </w:rPr>
          <w:fldChar w:fldCharType="begin"/>
        </w:r>
        <w:r w:rsidR="00755AD3">
          <w:rPr>
            <w:webHidden/>
          </w:rPr>
          <w:instrText xml:space="preserve"> PAGEREF _Toc99543723 \h </w:instrText>
        </w:r>
        <w:r w:rsidR="00755AD3">
          <w:rPr>
            <w:webHidden/>
          </w:rPr>
        </w:r>
        <w:r w:rsidR="00755AD3">
          <w:rPr>
            <w:webHidden/>
          </w:rPr>
          <w:fldChar w:fldCharType="separate"/>
        </w:r>
        <w:r w:rsidR="00755AD3">
          <w:rPr>
            <w:webHidden/>
          </w:rPr>
          <w:t>15</w:t>
        </w:r>
        <w:r w:rsidR="00755AD3">
          <w:rPr>
            <w:webHidden/>
          </w:rPr>
          <w:fldChar w:fldCharType="end"/>
        </w:r>
      </w:hyperlink>
    </w:p>
    <w:p w14:paraId="3551314F" w14:textId="6BD92EA6" w:rsidR="00755AD3" w:rsidRDefault="008C3AD9">
      <w:pPr>
        <w:pStyle w:val="TOC3"/>
        <w:tabs>
          <w:tab w:val="left" w:pos="1120"/>
        </w:tabs>
        <w:rPr>
          <w:rFonts w:asciiTheme="minorHAnsi" w:eastAsiaTheme="minorEastAsia" w:hAnsiTheme="minorHAnsi"/>
          <w:color w:val="auto"/>
          <w:position w:val="0"/>
          <w:lang w:eastAsia="en-AU"/>
        </w:rPr>
      </w:pPr>
      <w:hyperlink w:anchor="_Toc99543724" w:history="1">
        <w:r w:rsidR="00755AD3" w:rsidRPr="005A23D7">
          <w:rPr>
            <w:rStyle w:val="Hyperlink"/>
          </w:rPr>
          <w:t>3.2</w:t>
        </w:r>
        <w:r w:rsidR="00755AD3">
          <w:rPr>
            <w:rFonts w:asciiTheme="minorHAnsi" w:eastAsiaTheme="minorEastAsia" w:hAnsiTheme="minorHAnsi"/>
            <w:color w:val="auto"/>
            <w:position w:val="0"/>
            <w:lang w:eastAsia="en-AU"/>
          </w:rPr>
          <w:tab/>
        </w:r>
        <w:r w:rsidR="00755AD3" w:rsidRPr="005A23D7">
          <w:rPr>
            <w:rStyle w:val="Hyperlink"/>
          </w:rPr>
          <w:t>An assessment of policy options</w:t>
        </w:r>
        <w:r w:rsidR="00755AD3">
          <w:rPr>
            <w:webHidden/>
          </w:rPr>
          <w:tab/>
        </w:r>
        <w:r w:rsidR="00755AD3">
          <w:rPr>
            <w:webHidden/>
          </w:rPr>
          <w:fldChar w:fldCharType="begin"/>
        </w:r>
        <w:r w:rsidR="00755AD3">
          <w:rPr>
            <w:webHidden/>
          </w:rPr>
          <w:instrText xml:space="preserve"> PAGEREF _Toc99543724 \h </w:instrText>
        </w:r>
        <w:r w:rsidR="00755AD3">
          <w:rPr>
            <w:webHidden/>
          </w:rPr>
        </w:r>
        <w:r w:rsidR="00755AD3">
          <w:rPr>
            <w:webHidden/>
          </w:rPr>
          <w:fldChar w:fldCharType="separate"/>
        </w:r>
        <w:r w:rsidR="00755AD3">
          <w:rPr>
            <w:webHidden/>
          </w:rPr>
          <w:t>18</w:t>
        </w:r>
        <w:r w:rsidR="00755AD3">
          <w:rPr>
            <w:webHidden/>
          </w:rPr>
          <w:fldChar w:fldCharType="end"/>
        </w:r>
      </w:hyperlink>
    </w:p>
    <w:p w14:paraId="06DD7EF8" w14:textId="5A7E6655" w:rsidR="00755AD3" w:rsidRDefault="008C3AD9">
      <w:pPr>
        <w:pStyle w:val="TOC3"/>
        <w:tabs>
          <w:tab w:val="left" w:pos="1120"/>
        </w:tabs>
        <w:rPr>
          <w:rFonts w:asciiTheme="minorHAnsi" w:eastAsiaTheme="minorEastAsia" w:hAnsiTheme="minorHAnsi"/>
          <w:color w:val="auto"/>
          <w:position w:val="0"/>
          <w:lang w:eastAsia="en-AU"/>
        </w:rPr>
      </w:pPr>
      <w:hyperlink w:anchor="_Toc99543725" w:history="1">
        <w:r w:rsidR="00755AD3" w:rsidRPr="005A23D7">
          <w:rPr>
            <w:rStyle w:val="Hyperlink"/>
          </w:rPr>
          <w:t>3.3</w:t>
        </w:r>
        <w:r w:rsidR="00755AD3">
          <w:rPr>
            <w:rFonts w:asciiTheme="minorHAnsi" w:eastAsiaTheme="minorEastAsia" w:hAnsiTheme="minorHAnsi"/>
            <w:color w:val="auto"/>
            <w:position w:val="0"/>
            <w:lang w:eastAsia="en-AU"/>
          </w:rPr>
          <w:tab/>
        </w:r>
        <w:r w:rsidR="00755AD3" w:rsidRPr="005A23D7">
          <w:rPr>
            <w:rStyle w:val="Hyperlink"/>
          </w:rPr>
          <w:t>Incidence of costs and benefits</w:t>
        </w:r>
        <w:r w:rsidR="00755AD3">
          <w:rPr>
            <w:webHidden/>
          </w:rPr>
          <w:tab/>
        </w:r>
        <w:r w:rsidR="00755AD3">
          <w:rPr>
            <w:webHidden/>
          </w:rPr>
          <w:fldChar w:fldCharType="begin"/>
        </w:r>
        <w:r w:rsidR="00755AD3">
          <w:rPr>
            <w:webHidden/>
          </w:rPr>
          <w:instrText xml:space="preserve"> PAGEREF _Toc99543725 \h </w:instrText>
        </w:r>
        <w:r w:rsidR="00755AD3">
          <w:rPr>
            <w:webHidden/>
          </w:rPr>
        </w:r>
        <w:r w:rsidR="00755AD3">
          <w:rPr>
            <w:webHidden/>
          </w:rPr>
          <w:fldChar w:fldCharType="separate"/>
        </w:r>
        <w:r w:rsidR="00755AD3">
          <w:rPr>
            <w:webHidden/>
          </w:rPr>
          <w:t>20</w:t>
        </w:r>
        <w:r w:rsidR="00755AD3">
          <w:rPr>
            <w:webHidden/>
          </w:rPr>
          <w:fldChar w:fldCharType="end"/>
        </w:r>
      </w:hyperlink>
    </w:p>
    <w:p w14:paraId="7A5C94BB" w14:textId="15E03F57" w:rsidR="00755AD3" w:rsidRDefault="008C3AD9">
      <w:pPr>
        <w:pStyle w:val="TOC3"/>
        <w:tabs>
          <w:tab w:val="left" w:pos="1120"/>
        </w:tabs>
        <w:rPr>
          <w:rFonts w:asciiTheme="minorHAnsi" w:eastAsiaTheme="minorEastAsia" w:hAnsiTheme="minorHAnsi"/>
          <w:color w:val="auto"/>
          <w:position w:val="0"/>
          <w:lang w:eastAsia="en-AU"/>
        </w:rPr>
      </w:pPr>
      <w:hyperlink w:anchor="_Toc99543726" w:history="1">
        <w:r w:rsidR="00755AD3" w:rsidRPr="005A23D7">
          <w:rPr>
            <w:rStyle w:val="Hyperlink"/>
          </w:rPr>
          <w:t>3.4</w:t>
        </w:r>
        <w:r w:rsidR="00755AD3">
          <w:rPr>
            <w:rFonts w:asciiTheme="minorHAnsi" w:eastAsiaTheme="minorEastAsia" w:hAnsiTheme="minorHAnsi"/>
            <w:color w:val="auto"/>
            <w:position w:val="0"/>
            <w:lang w:eastAsia="en-AU"/>
          </w:rPr>
          <w:tab/>
        </w:r>
        <w:r w:rsidR="00755AD3" w:rsidRPr="005A23D7">
          <w:rPr>
            <w:rStyle w:val="Hyperlink"/>
          </w:rPr>
          <w:t>Financial security costs</w:t>
        </w:r>
        <w:r w:rsidR="00755AD3">
          <w:rPr>
            <w:webHidden/>
          </w:rPr>
          <w:tab/>
        </w:r>
        <w:r w:rsidR="00755AD3">
          <w:rPr>
            <w:webHidden/>
          </w:rPr>
          <w:fldChar w:fldCharType="begin"/>
        </w:r>
        <w:r w:rsidR="00755AD3">
          <w:rPr>
            <w:webHidden/>
          </w:rPr>
          <w:instrText xml:space="preserve"> PAGEREF _Toc99543726 \h </w:instrText>
        </w:r>
        <w:r w:rsidR="00755AD3">
          <w:rPr>
            <w:webHidden/>
          </w:rPr>
        </w:r>
        <w:r w:rsidR="00755AD3">
          <w:rPr>
            <w:webHidden/>
          </w:rPr>
          <w:fldChar w:fldCharType="separate"/>
        </w:r>
        <w:r w:rsidR="00755AD3">
          <w:rPr>
            <w:webHidden/>
          </w:rPr>
          <w:t>21</w:t>
        </w:r>
        <w:r w:rsidR="00755AD3">
          <w:rPr>
            <w:webHidden/>
          </w:rPr>
          <w:fldChar w:fldCharType="end"/>
        </w:r>
      </w:hyperlink>
    </w:p>
    <w:p w14:paraId="4CC2C351" w14:textId="6ABC0D58" w:rsidR="00755AD3" w:rsidRDefault="008C3AD9">
      <w:pPr>
        <w:pStyle w:val="TOC3"/>
        <w:tabs>
          <w:tab w:val="left" w:pos="1120"/>
        </w:tabs>
        <w:rPr>
          <w:rFonts w:asciiTheme="minorHAnsi" w:eastAsiaTheme="minorEastAsia" w:hAnsiTheme="minorHAnsi"/>
          <w:color w:val="auto"/>
          <w:position w:val="0"/>
          <w:lang w:eastAsia="en-AU"/>
        </w:rPr>
      </w:pPr>
      <w:hyperlink w:anchor="_Toc99543727" w:history="1">
        <w:r w:rsidR="00755AD3" w:rsidRPr="005A23D7">
          <w:rPr>
            <w:rStyle w:val="Hyperlink"/>
          </w:rPr>
          <w:t>3.5</w:t>
        </w:r>
        <w:r w:rsidR="00755AD3">
          <w:rPr>
            <w:rFonts w:asciiTheme="minorHAnsi" w:eastAsiaTheme="minorEastAsia" w:hAnsiTheme="minorHAnsi"/>
            <w:color w:val="auto"/>
            <w:position w:val="0"/>
            <w:lang w:eastAsia="en-AU"/>
          </w:rPr>
          <w:tab/>
        </w:r>
        <w:r w:rsidR="00755AD3" w:rsidRPr="005A23D7">
          <w:rPr>
            <w:rStyle w:val="Hyperlink"/>
          </w:rPr>
          <w:t>Potential expenses of shipwreck removal</w:t>
        </w:r>
        <w:r w:rsidR="00755AD3">
          <w:rPr>
            <w:webHidden/>
          </w:rPr>
          <w:tab/>
        </w:r>
        <w:r w:rsidR="00755AD3">
          <w:rPr>
            <w:webHidden/>
          </w:rPr>
          <w:fldChar w:fldCharType="begin"/>
        </w:r>
        <w:r w:rsidR="00755AD3">
          <w:rPr>
            <w:webHidden/>
          </w:rPr>
          <w:instrText xml:space="preserve"> PAGEREF _Toc99543727 \h </w:instrText>
        </w:r>
        <w:r w:rsidR="00755AD3">
          <w:rPr>
            <w:webHidden/>
          </w:rPr>
        </w:r>
        <w:r w:rsidR="00755AD3">
          <w:rPr>
            <w:webHidden/>
          </w:rPr>
          <w:fldChar w:fldCharType="separate"/>
        </w:r>
        <w:r w:rsidR="00755AD3">
          <w:rPr>
            <w:webHidden/>
          </w:rPr>
          <w:t>22</w:t>
        </w:r>
        <w:r w:rsidR="00755AD3">
          <w:rPr>
            <w:webHidden/>
          </w:rPr>
          <w:fldChar w:fldCharType="end"/>
        </w:r>
      </w:hyperlink>
    </w:p>
    <w:p w14:paraId="66CBDE27" w14:textId="24640129" w:rsidR="00755AD3" w:rsidRDefault="008C3AD9">
      <w:pPr>
        <w:pStyle w:val="TOC3"/>
        <w:tabs>
          <w:tab w:val="left" w:pos="1120"/>
        </w:tabs>
        <w:rPr>
          <w:rFonts w:asciiTheme="minorHAnsi" w:eastAsiaTheme="minorEastAsia" w:hAnsiTheme="minorHAnsi"/>
          <w:color w:val="auto"/>
          <w:position w:val="0"/>
          <w:lang w:eastAsia="en-AU"/>
        </w:rPr>
      </w:pPr>
      <w:hyperlink w:anchor="_Toc99543728" w:history="1">
        <w:r w:rsidR="00755AD3" w:rsidRPr="005A23D7">
          <w:rPr>
            <w:rStyle w:val="Hyperlink"/>
          </w:rPr>
          <w:t>3.6</w:t>
        </w:r>
        <w:r w:rsidR="00755AD3">
          <w:rPr>
            <w:rFonts w:asciiTheme="minorHAnsi" w:eastAsiaTheme="minorEastAsia" w:hAnsiTheme="minorHAnsi"/>
            <w:color w:val="auto"/>
            <w:position w:val="0"/>
            <w:lang w:eastAsia="en-AU"/>
          </w:rPr>
          <w:tab/>
        </w:r>
        <w:r w:rsidR="00755AD3" w:rsidRPr="005A23D7">
          <w:rPr>
            <w:rStyle w:val="Hyperlink"/>
          </w:rPr>
          <w:t>Marine insurance</w:t>
        </w:r>
        <w:r w:rsidR="00755AD3">
          <w:rPr>
            <w:webHidden/>
          </w:rPr>
          <w:tab/>
        </w:r>
        <w:r w:rsidR="00755AD3">
          <w:rPr>
            <w:webHidden/>
          </w:rPr>
          <w:fldChar w:fldCharType="begin"/>
        </w:r>
        <w:r w:rsidR="00755AD3">
          <w:rPr>
            <w:webHidden/>
          </w:rPr>
          <w:instrText xml:space="preserve"> PAGEREF _Toc99543728 \h </w:instrText>
        </w:r>
        <w:r w:rsidR="00755AD3">
          <w:rPr>
            <w:webHidden/>
          </w:rPr>
        </w:r>
        <w:r w:rsidR="00755AD3">
          <w:rPr>
            <w:webHidden/>
          </w:rPr>
          <w:fldChar w:fldCharType="separate"/>
        </w:r>
        <w:r w:rsidR="00755AD3">
          <w:rPr>
            <w:webHidden/>
          </w:rPr>
          <w:t>23</w:t>
        </w:r>
        <w:r w:rsidR="00755AD3">
          <w:rPr>
            <w:webHidden/>
          </w:rPr>
          <w:fldChar w:fldCharType="end"/>
        </w:r>
      </w:hyperlink>
    </w:p>
    <w:p w14:paraId="3616754E" w14:textId="1911D575" w:rsidR="00755AD3" w:rsidRDefault="008C3AD9">
      <w:pPr>
        <w:pStyle w:val="TOC3"/>
        <w:tabs>
          <w:tab w:val="left" w:pos="1120"/>
        </w:tabs>
        <w:rPr>
          <w:rFonts w:asciiTheme="minorHAnsi" w:eastAsiaTheme="minorEastAsia" w:hAnsiTheme="minorHAnsi"/>
          <w:color w:val="auto"/>
          <w:position w:val="0"/>
          <w:lang w:eastAsia="en-AU"/>
        </w:rPr>
      </w:pPr>
      <w:hyperlink w:anchor="_Toc99543729" w:history="1">
        <w:r w:rsidR="00755AD3" w:rsidRPr="005A23D7">
          <w:rPr>
            <w:rStyle w:val="Hyperlink"/>
          </w:rPr>
          <w:t>3.7</w:t>
        </w:r>
        <w:r w:rsidR="00755AD3">
          <w:rPr>
            <w:rFonts w:asciiTheme="minorHAnsi" w:eastAsiaTheme="minorEastAsia" w:hAnsiTheme="minorHAnsi"/>
            <w:color w:val="auto"/>
            <w:position w:val="0"/>
            <w:lang w:eastAsia="en-AU"/>
          </w:rPr>
          <w:tab/>
        </w:r>
        <w:r w:rsidR="00755AD3" w:rsidRPr="005A23D7">
          <w:rPr>
            <w:rStyle w:val="Hyperlink"/>
          </w:rPr>
          <w:t>Protection of the sea levy</w:t>
        </w:r>
        <w:r w:rsidR="00755AD3">
          <w:rPr>
            <w:webHidden/>
          </w:rPr>
          <w:tab/>
        </w:r>
        <w:r w:rsidR="00755AD3">
          <w:rPr>
            <w:webHidden/>
          </w:rPr>
          <w:fldChar w:fldCharType="begin"/>
        </w:r>
        <w:r w:rsidR="00755AD3">
          <w:rPr>
            <w:webHidden/>
          </w:rPr>
          <w:instrText xml:space="preserve"> PAGEREF _Toc99543729 \h </w:instrText>
        </w:r>
        <w:r w:rsidR="00755AD3">
          <w:rPr>
            <w:webHidden/>
          </w:rPr>
        </w:r>
        <w:r w:rsidR="00755AD3">
          <w:rPr>
            <w:webHidden/>
          </w:rPr>
          <w:fldChar w:fldCharType="separate"/>
        </w:r>
        <w:r w:rsidR="00755AD3">
          <w:rPr>
            <w:webHidden/>
          </w:rPr>
          <w:t>25</w:t>
        </w:r>
        <w:r w:rsidR="00755AD3">
          <w:rPr>
            <w:webHidden/>
          </w:rPr>
          <w:fldChar w:fldCharType="end"/>
        </w:r>
      </w:hyperlink>
    </w:p>
    <w:p w14:paraId="169F03D6" w14:textId="350C81D1" w:rsidR="00755AD3" w:rsidRDefault="008C3AD9">
      <w:pPr>
        <w:pStyle w:val="TOC3"/>
        <w:tabs>
          <w:tab w:val="left" w:pos="1120"/>
        </w:tabs>
        <w:rPr>
          <w:rFonts w:asciiTheme="minorHAnsi" w:eastAsiaTheme="minorEastAsia" w:hAnsiTheme="minorHAnsi"/>
          <w:color w:val="auto"/>
          <w:position w:val="0"/>
          <w:lang w:eastAsia="en-AU"/>
        </w:rPr>
      </w:pPr>
      <w:hyperlink w:anchor="_Toc99543730" w:history="1">
        <w:r w:rsidR="00755AD3" w:rsidRPr="005A23D7">
          <w:rPr>
            <w:rStyle w:val="Hyperlink"/>
          </w:rPr>
          <w:t>3.8</w:t>
        </w:r>
        <w:r w:rsidR="00755AD3">
          <w:rPr>
            <w:rFonts w:asciiTheme="minorHAnsi" w:eastAsiaTheme="minorEastAsia" w:hAnsiTheme="minorHAnsi"/>
            <w:color w:val="auto"/>
            <w:position w:val="0"/>
            <w:lang w:eastAsia="en-AU"/>
          </w:rPr>
          <w:tab/>
        </w:r>
        <w:r w:rsidR="00755AD3" w:rsidRPr="005A23D7">
          <w:rPr>
            <w:rStyle w:val="Hyperlink"/>
          </w:rPr>
          <w:t>Vessel activities in Australian waters</w:t>
        </w:r>
        <w:r w:rsidR="00755AD3">
          <w:rPr>
            <w:webHidden/>
          </w:rPr>
          <w:tab/>
        </w:r>
        <w:r w:rsidR="00755AD3">
          <w:rPr>
            <w:webHidden/>
          </w:rPr>
          <w:fldChar w:fldCharType="begin"/>
        </w:r>
        <w:r w:rsidR="00755AD3">
          <w:rPr>
            <w:webHidden/>
          </w:rPr>
          <w:instrText xml:space="preserve"> PAGEREF _Toc99543730 \h </w:instrText>
        </w:r>
        <w:r w:rsidR="00755AD3">
          <w:rPr>
            <w:webHidden/>
          </w:rPr>
        </w:r>
        <w:r w:rsidR="00755AD3">
          <w:rPr>
            <w:webHidden/>
          </w:rPr>
          <w:fldChar w:fldCharType="separate"/>
        </w:r>
        <w:r w:rsidR="00755AD3">
          <w:rPr>
            <w:webHidden/>
          </w:rPr>
          <w:t>27</w:t>
        </w:r>
        <w:r w:rsidR="00755AD3">
          <w:rPr>
            <w:webHidden/>
          </w:rPr>
          <w:fldChar w:fldCharType="end"/>
        </w:r>
      </w:hyperlink>
    </w:p>
    <w:p w14:paraId="6D62DBB1" w14:textId="238B15E4" w:rsidR="00755AD3" w:rsidRDefault="008C3AD9">
      <w:pPr>
        <w:pStyle w:val="TOC3"/>
        <w:tabs>
          <w:tab w:val="left" w:pos="1120"/>
        </w:tabs>
        <w:rPr>
          <w:rFonts w:asciiTheme="minorHAnsi" w:eastAsiaTheme="minorEastAsia" w:hAnsiTheme="minorHAnsi"/>
          <w:color w:val="auto"/>
          <w:position w:val="0"/>
          <w:lang w:eastAsia="en-AU"/>
        </w:rPr>
      </w:pPr>
      <w:hyperlink w:anchor="_Toc99543731" w:history="1">
        <w:r w:rsidR="00755AD3" w:rsidRPr="005A23D7">
          <w:rPr>
            <w:rStyle w:val="Hyperlink"/>
          </w:rPr>
          <w:t>3.9</w:t>
        </w:r>
        <w:r w:rsidR="00755AD3">
          <w:rPr>
            <w:rFonts w:asciiTheme="minorHAnsi" w:eastAsiaTheme="minorEastAsia" w:hAnsiTheme="minorHAnsi"/>
            <w:color w:val="auto"/>
            <w:position w:val="0"/>
            <w:lang w:eastAsia="en-AU"/>
          </w:rPr>
          <w:tab/>
        </w:r>
        <w:r w:rsidR="00755AD3" w:rsidRPr="005A23D7">
          <w:rPr>
            <w:rStyle w:val="Hyperlink"/>
          </w:rPr>
          <w:t>An overview of recent incidents</w:t>
        </w:r>
        <w:r w:rsidR="00755AD3">
          <w:rPr>
            <w:webHidden/>
          </w:rPr>
          <w:tab/>
        </w:r>
        <w:r w:rsidR="00755AD3">
          <w:rPr>
            <w:webHidden/>
          </w:rPr>
          <w:fldChar w:fldCharType="begin"/>
        </w:r>
        <w:r w:rsidR="00755AD3">
          <w:rPr>
            <w:webHidden/>
          </w:rPr>
          <w:instrText xml:space="preserve"> PAGEREF _Toc99543731 \h </w:instrText>
        </w:r>
        <w:r w:rsidR="00755AD3">
          <w:rPr>
            <w:webHidden/>
          </w:rPr>
        </w:r>
        <w:r w:rsidR="00755AD3">
          <w:rPr>
            <w:webHidden/>
          </w:rPr>
          <w:fldChar w:fldCharType="separate"/>
        </w:r>
        <w:r w:rsidR="00755AD3">
          <w:rPr>
            <w:webHidden/>
          </w:rPr>
          <w:t>28</w:t>
        </w:r>
        <w:r w:rsidR="00755AD3">
          <w:rPr>
            <w:webHidden/>
          </w:rPr>
          <w:fldChar w:fldCharType="end"/>
        </w:r>
      </w:hyperlink>
    </w:p>
    <w:p w14:paraId="049302ED" w14:textId="5D015811" w:rsidR="00755AD3" w:rsidRDefault="008C3AD9">
      <w:pPr>
        <w:pStyle w:val="TOC3"/>
        <w:tabs>
          <w:tab w:val="left" w:pos="1680"/>
        </w:tabs>
        <w:rPr>
          <w:rFonts w:asciiTheme="minorHAnsi" w:eastAsiaTheme="minorEastAsia" w:hAnsiTheme="minorHAnsi"/>
          <w:color w:val="auto"/>
          <w:position w:val="0"/>
          <w:lang w:eastAsia="en-AU"/>
        </w:rPr>
      </w:pPr>
      <w:hyperlink w:anchor="_Toc99543732" w:history="1">
        <w:r w:rsidR="00755AD3" w:rsidRPr="005A23D7">
          <w:rPr>
            <w:rStyle w:val="Hyperlink"/>
          </w:rPr>
          <w:t>3.10</w:t>
        </w:r>
        <w:r w:rsidR="00755AD3">
          <w:rPr>
            <w:rFonts w:asciiTheme="minorHAnsi" w:eastAsiaTheme="minorEastAsia" w:hAnsiTheme="minorHAnsi"/>
            <w:color w:val="auto"/>
            <w:position w:val="0"/>
            <w:lang w:eastAsia="en-AU"/>
          </w:rPr>
          <w:tab/>
        </w:r>
        <w:r w:rsidR="00755AD3" w:rsidRPr="005A23D7">
          <w:rPr>
            <w:rStyle w:val="Hyperlink"/>
          </w:rPr>
          <w:t>Key assumptions</w:t>
        </w:r>
        <w:r w:rsidR="00755AD3">
          <w:rPr>
            <w:webHidden/>
          </w:rPr>
          <w:tab/>
        </w:r>
        <w:r w:rsidR="00755AD3">
          <w:rPr>
            <w:webHidden/>
          </w:rPr>
          <w:fldChar w:fldCharType="begin"/>
        </w:r>
        <w:r w:rsidR="00755AD3">
          <w:rPr>
            <w:webHidden/>
          </w:rPr>
          <w:instrText xml:space="preserve"> PAGEREF _Toc99543732 \h </w:instrText>
        </w:r>
        <w:r w:rsidR="00755AD3">
          <w:rPr>
            <w:webHidden/>
          </w:rPr>
        </w:r>
        <w:r w:rsidR="00755AD3">
          <w:rPr>
            <w:webHidden/>
          </w:rPr>
          <w:fldChar w:fldCharType="separate"/>
        </w:r>
        <w:r w:rsidR="00755AD3">
          <w:rPr>
            <w:webHidden/>
          </w:rPr>
          <w:t>29</w:t>
        </w:r>
        <w:r w:rsidR="00755AD3">
          <w:rPr>
            <w:webHidden/>
          </w:rPr>
          <w:fldChar w:fldCharType="end"/>
        </w:r>
      </w:hyperlink>
    </w:p>
    <w:p w14:paraId="16E3E7B0" w14:textId="134673A0" w:rsidR="00755AD3" w:rsidRDefault="008C3AD9">
      <w:pPr>
        <w:pStyle w:val="TOC2"/>
        <w:rPr>
          <w:rFonts w:asciiTheme="minorHAnsi" w:eastAsiaTheme="minorEastAsia" w:hAnsiTheme="minorHAnsi"/>
          <w:b w:val="0"/>
          <w:color w:val="auto"/>
          <w:sz w:val="22"/>
          <w:lang w:eastAsia="en-AU"/>
        </w:rPr>
      </w:pPr>
      <w:hyperlink w:anchor="_Toc99543733" w:history="1">
        <w:r w:rsidR="00755AD3" w:rsidRPr="005A23D7">
          <w:rPr>
            <w:rStyle w:val="Hyperlink"/>
          </w:rPr>
          <w:t>4</w:t>
        </w:r>
        <w:r w:rsidR="00755AD3">
          <w:rPr>
            <w:rFonts w:asciiTheme="minorHAnsi" w:eastAsiaTheme="minorEastAsia" w:hAnsiTheme="minorHAnsi"/>
            <w:b w:val="0"/>
            <w:color w:val="auto"/>
            <w:sz w:val="22"/>
            <w:lang w:eastAsia="en-AU"/>
          </w:rPr>
          <w:tab/>
        </w:r>
        <w:r w:rsidR="00755AD3" w:rsidRPr="005A23D7">
          <w:rPr>
            <w:rStyle w:val="Hyperlink"/>
          </w:rPr>
          <w:t>Cost benefit analysis</w:t>
        </w:r>
        <w:r w:rsidR="00755AD3">
          <w:rPr>
            <w:webHidden/>
          </w:rPr>
          <w:tab/>
        </w:r>
        <w:r w:rsidR="00755AD3">
          <w:rPr>
            <w:webHidden/>
          </w:rPr>
          <w:fldChar w:fldCharType="begin"/>
        </w:r>
        <w:r w:rsidR="00755AD3">
          <w:rPr>
            <w:webHidden/>
          </w:rPr>
          <w:instrText xml:space="preserve"> PAGEREF _Toc99543733 \h </w:instrText>
        </w:r>
        <w:r w:rsidR="00755AD3">
          <w:rPr>
            <w:webHidden/>
          </w:rPr>
        </w:r>
        <w:r w:rsidR="00755AD3">
          <w:rPr>
            <w:webHidden/>
          </w:rPr>
          <w:fldChar w:fldCharType="separate"/>
        </w:r>
        <w:r w:rsidR="00755AD3">
          <w:rPr>
            <w:webHidden/>
          </w:rPr>
          <w:t>33</w:t>
        </w:r>
        <w:r w:rsidR="00755AD3">
          <w:rPr>
            <w:webHidden/>
          </w:rPr>
          <w:fldChar w:fldCharType="end"/>
        </w:r>
      </w:hyperlink>
    </w:p>
    <w:p w14:paraId="403BF725" w14:textId="214B468F" w:rsidR="00755AD3" w:rsidRDefault="008C3AD9">
      <w:pPr>
        <w:pStyle w:val="TOC3"/>
        <w:tabs>
          <w:tab w:val="left" w:pos="1120"/>
        </w:tabs>
        <w:rPr>
          <w:rFonts w:asciiTheme="minorHAnsi" w:eastAsiaTheme="minorEastAsia" w:hAnsiTheme="minorHAnsi"/>
          <w:color w:val="auto"/>
          <w:position w:val="0"/>
          <w:lang w:eastAsia="en-AU"/>
        </w:rPr>
      </w:pPr>
      <w:hyperlink w:anchor="_Toc99543734" w:history="1">
        <w:r w:rsidR="00755AD3" w:rsidRPr="005A23D7">
          <w:rPr>
            <w:rStyle w:val="Hyperlink"/>
          </w:rPr>
          <w:t>4.1</w:t>
        </w:r>
        <w:r w:rsidR="00755AD3">
          <w:rPr>
            <w:rFonts w:asciiTheme="minorHAnsi" w:eastAsiaTheme="minorEastAsia" w:hAnsiTheme="minorHAnsi"/>
            <w:color w:val="auto"/>
            <w:position w:val="0"/>
            <w:lang w:eastAsia="en-AU"/>
          </w:rPr>
          <w:tab/>
        </w:r>
        <w:r w:rsidR="00755AD3" w:rsidRPr="005A23D7">
          <w:rPr>
            <w:rStyle w:val="Hyperlink"/>
          </w:rPr>
          <w:t>Analysis framework</w:t>
        </w:r>
        <w:r w:rsidR="00755AD3">
          <w:rPr>
            <w:webHidden/>
          </w:rPr>
          <w:tab/>
        </w:r>
        <w:r w:rsidR="00755AD3">
          <w:rPr>
            <w:webHidden/>
          </w:rPr>
          <w:fldChar w:fldCharType="begin"/>
        </w:r>
        <w:r w:rsidR="00755AD3">
          <w:rPr>
            <w:webHidden/>
          </w:rPr>
          <w:instrText xml:space="preserve"> PAGEREF _Toc99543734 \h </w:instrText>
        </w:r>
        <w:r w:rsidR="00755AD3">
          <w:rPr>
            <w:webHidden/>
          </w:rPr>
        </w:r>
        <w:r w:rsidR="00755AD3">
          <w:rPr>
            <w:webHidden/>
          </w:rPr>
          <w:fldChar w:fldCharType="separate"/>
        </w:r>
        <w:r w:rsidR="00755AD3">
          <w:rPr>
            <w:webHidden/>
          </w:rPr>
          <w:t>33</w:t>
        </w:r>
        <w:r w:rsidR="00755AD3">
          <w:rPr>
            <w:webHidden/>
          </w:rPr>
          <w:fldChar w:fldCharType="end"/>
        </w:r>
      </w:hyperlink>
    </w:p>
    <w:p w14:paraId="578526B9" w14:textId="2808D044" w:rsidR="00755AD3" w:rsidRDefault="008C3AD9">
      <w:pPr>
        <w:pStyle w:val="TOC3"/>
        <w:tabs>
          <w:tab w:val="left" w:pos="1120"/>
        </w:tabs>
        <w:rPr>
          <w:rFonts w:asciiTheme="minorHAnsi" w:eastAsiaTheme="minorEastAsia" w:hAnsiTheme="minorHAnsi"/>
          <w:color w:val="auto"/>
          <w:position w:val="0"/>
          <w:lang w:eastAsia="en-AU"/>
        </w:rPr>
      </w:pPr>
      <w:hyperlink w:anchor="_Toc99543735" w:history="1">
        <w:r w:rsidR="00755AD3" w:rsidRPr="005A23D7">
          <w:rPr>
            <w:rStyle w:val="Hyperlink"/>
          </w:rPr>
          <w:t>4.2</w:t>
        </w:r>
        <w:r w:rsidR="00755AD3">
          <w:rPr>
            <w:rFonts w:asciiTheme="minorHAnsi" w:eastAsiaTheme="minorEastAsia" w:hAnsiTheme="minorHAnsi"/>
            <w:color w:val="auto"/>
            <w:position w:val="0"/>
            <w:lang w:eastAsia="en-AU"/>
          </w:rPr>
          <w:tab/>
        </w:r>
        <w:r w:rsidR="00755AD3" w:rsidRPr="005A23D7">
          <w:rPr>
            <w:rStyle w:val="Hyperlink"/>
          </w:rPr>
          <w:t>Expected ongoing compliance costs under Options 3 and 4</w:t>
        </w:r>
        <w:r w:rsidR="00755AD3">
          <w:rPr>
            <w:webHidden/>
          </w:rPr>
          <w:tab/>
        </w:r>
        <w:r w:rsidR="00755AD3">
          <w:rPr>
            <w:webHidden/>
          </w:rPr>
          <w:fldChar w:fldCharType="begin"/>
        </w:r>
        <w:r w:rsidR="00755AD3">
          <w:rPr>
            <w:webHidden/>
          </w:rPr>
          <w:instrText xml:space="preserve"> PAGEREF _Toc99543735 \h </w:instrText>
        </w:r>
        <w:r w:rsidR="00755AD3">
          <w:rPr>
            <w:webHidden/>
          </w:rPr>
        </w:r>
        <w:r w:rsidR="00755AD3">
          <w:rPr>
            <w:webHidden/>
          </w:rPr>
          <w:fldChar w:fldCharType="separate"/>
        </w:r>
        <w:r w:rsidR="00755AD3">
          <w:rPr>
            <w:webHidden/>
          </w:rPr>
          <w:t>34</w:t>
        </w:r>
        <w:r w:rsidR="00755AD3">
          <w:rPr>
            <w:webHidden/>
          </w:rPr>
          <w:fldChar w:fldCharType="end"/>
        </w:r>
      </w:hyperlink>
    </w:p>
    <w:p w14:paraId="2A2B70B5" w14:textId="6286A408" w:rsidR="00755AD3" w:rsidRDefault="008C3AD9">
      <w:pPr>
        <w:pStyle w:val="TOC3"/>
        <w:tabs>
          <w:tab w:val="left" w:pos="1120"/>
        </w:tabs>
        <w:rPr>
          <w:rFonts w:asciiTheme="minorHAnsi" w:eastAsiaTheme="minorEastAsia" w:hAnsiTheme="minorHAnsi"/>
          <w:color w:val="auto"/>
          <w:position w:val="0"/>
          <w:lang w:eastAsia="en-AU"/>
        </w:rPr>
      </w:pPr>
      <w:hyperlink w:anchor="_Toc99543736" w:history="1">
        <w:r w:rsidR="00755AD3" w:rsidRPr="005A23D7">
          <w:rPr>
            <w:rStyle w:val="Hyperlink"/>
          </w:rPr>
          <w:t>4.3</w:t>
        </w:r>
        <w:r w:rsidR="00755AD3">
          <w:rPr>
            <w:rFonts w:asciiTheme="minorHAnsi" w:eastAsiaTheme="minorEastAsia" w:hAnsiTheme="minorHAnsi"/>
            <w:color w:val="auto"/>
            <w:position w:val="0"/>
            <w:lang w:eastAsia="en-AU"/>
          </w:rPr>
          <w:tab/>
        </w:r>
        <w:r w:rsidR="00755AD3" w:rsidRPr="005A23D7">
          <w:rPr>
            <w:rStyle w:val="Hyperlink"/>
          </w:rPr>
          <w:t>Costs and benefits in the event of an incident</w:t>
        </w:r>
        <w:r w:rsidR="00755AD3">
          <w:rPr>
            <w:webHidden/>
          </w:rPr>
          <w:tab/>
        </w:r>
        <w:r w:rsidR="00755AD3">
          <w:rPr>
            <w:webHidden/>
          </w:rPr>
          <w:fldChar w:fldCharType="begin"/>
        </w:r>
        <w:r w:rsidR="00755AD3">
          <w:rPr>
            <w:webHidden/>
          </w:rPr>
          <w:instrText xml:space="preserve"> PAGEREF _Toc99543736 \h </w:instrText>
        </w:r>
        <w:r w:rsidR="00755AD3">
          <w:rPr>
            <w:webHidden/>
          </w:rPr>
        </w:r>
        <w:r w:rsidR="00755AD3">
          <w:rPr>
            <w:webHidden/>
          </w:rPr>
          <w:fldChar w:fldCharType="separate"/>
        </w:r>
        <w:r w:rsidR="00755AD3">
          <w:rPr>
            <w:webHidden/>
          </w:rPr>
          <w:t>36</w:t>
        </w:r>
        <w:r w:rsidR="00755AD3">
          <w:rPr>
            <w:webHidden/>
          </w:rPr>
          <w:fldChar w:fldCharType="end"/>
        </w:r>
      </w:hyperlink>
    </w:p>
    <w:p w14:paraId="5F8FA000" w14:textId="133CA0B4" w:rsidR="00755AD3" w:rsidRDefault="008C3AD9">
      <w:pPr>
        <w:pStyle w:val="TOC3"/>
        <w:tabs>
          <w:tab w:val="left" w:pos="1120"/>
        </w:tabs>
        <w:rPr>
          <w:rFonts w:asciiTheme="minorHAnsi" w:eastAsiaTheme="minorEastAsia" w:hAnsiTheme="minorHAnsi"/>
          <w:color w:val="auto"/>
          <w:position w:val="0"/>
          <w:lang w:eastAsia="en-AU"/>
        </w:rPr>
      </w:pPr>
      <w:hyperlink w:anchor="_Toc99543737" w:history="1">
        <w:r w:rsidR="00755AD3" w:rsidRPr="005A23D7">
          <w:rPr>
            <w:rStyle w:val="Hyperlink"/>
          </w:rPr>
          <w:t>4.4</w:t>
        </w:r>
        <w:r w:rsidR="00755AD3">
          <w:rPr>
            <w:rFonts w:asciiTheme="minorHAnsi" w:eastAsiaTheme="minorEastAsia" w:hAnsiTheme="minorHAnsi"/>
            <w:color w:val="auto"/>
            <w:position w:val="0"/>
            <w:lang w:eastAsia="en-AU"/>
          </w:rPr>
          <w:tab/>
        </w:r>
        <w:r w:rsidR="00755AD3" w:rsidRPr="005A23D7">
          <w:rPr>
            <w:rStyle w:val="Hyperlink"/>
          </w:rPr>
          <w:t>Sub-option 1</w:t>
        </w:r>
        <w:r w:rsidR="00755AD3">
          <w:rPr>
            <w:webHidden/>
          </w:rPr>
          <w:tab/>
        </w:r>
        <w:r w:rsidR="00755AD3">
          <w:rPr>
            <w:webHidden/>
          </w:rPr>
          <w:fldChar w:fldCharType="begin"/>
        </w:r>
        <w:r w:rsidR="00755AD3">
          <w:rPr>
            <w:webHidden/>
          </w:rPr>
          <w:instrText xml:space="preserve"> PAGEREF _Toc99543737 \h </w:instrText>
        </w:r>
        <w:r w:rsidR="00755AD3">
          <w:rPr>
            <w:webHidden/>
          </w:rPr>
        </w:r>
        <w:r w:rsidR="00755AD3">
          <w:rPr>
            <w:webHidden/>
          </w:rPr>
          <w:fldChar w:fldCharType="separate"/>
        </w:r>
        <w:r w:rsidR="00755AD3">
          <w:rPr>
            <w:webHidden/>
          </w:rPr>
          <w:t>43</w:t>
        </w:r>
        <w:r w:rsidR="00755AD3">
          <w:rPr>
            <w:webHidden/>
          </w:rPr>
          <w:fldChar w:fldCharType="end"/>
        </w:r>
      </w:hyperlink>
    </w:p>
    <w:p w14:paraId="23FA0E72" w14:textId="28A83034" w:rsidR="00755AD3" w:rsidRDefault="008C3AD9">
      <w:pPr>
        <w:pStyle w:val="TOC3"/>
        <w:tabs>
          <w:tab w:val="left" w:pos="1120"/>
        </w:tabs>
        <w:rPr>
          <w:rFonts w:asciiTheme="minorHAnsi" w:eastAsiaTheme="minorEastAsia" w:hAnsiTheme="minorHAnsi"/>
          <w:color w:val="auto"/>
          <w:position w:val="0"/>
          <w:lang w:eastAsia="en-AU"/>
        </w:rPr>
      </w:pPr>
      <w:hyperlink w:anchor="_Toc99543738" w:history="1">
        <w:r w:rsidR="00755AD3" w:rsidRPr="005A23D7">
          <w:rPr>
            <w:rStyle w:val="Hyperlink"/>
          </w:rPr>
          <w:t>4.5</w:t>
        </w:r>
        <w:r w:rsidR="00755AD3">
          <w:rPr>
            <w:rFonts w:asciiTheme="minorHAnsi" w:eastAsiaTheme="minorEastAsia" w:hAnsiTheme="minorHAnsi"/>
            <w:color w:val="auto"/>
            <w:position w:val="0"/>
            <w:lang w:eastAsia="en-AU"/>
          </w:rPr>
          <w:tab/>
        </w:r>
        <w:r w:rsidR="00755AD3" w:rsidRPr="005A23D7">
          <w:rPr>
            <w:rStyle w:val="Hyperlink"/>
          </w:rPr>
          <w:t>Environmental impacts</w:t>
        </w:r>
        <w:r w:rsidR="00755AD3">
          <w:rPr>
            <w:webHidden/>
          </w:rPr>
          <w:tab/>
        </w:r>
        <w:r w:rsidR="00755AD3">
          <w:rPr>
            <w:webHidden/>
          </w:rPr>
          <w:fldChar w:fldCharType="begin"/>
        </w:r>
        <w:r w:rsidR="00755AD3">
          <w:rPr>
            <w:webHidden/>
          </w:rPr>
          <w:instrText xml:space="preserve"> PAGEREF _Toc99543738 \h </w:instrText>
        </w:r>
        <w:r w:rsidR="00755AD3">
          <w:rPr>
            <w:webHidden/>
          </w:rPr>
        </w:r>
        <w:r w:rsidR="00755AD3">
          <w:rPr>
            <w:webHidden/>
          </w:rPr>
          <w:fldChar w:fldCharType="separate"/>
        </w:r>
        <w:r w:rsidR="00755AD3">
          <w:rPr>
            <w:webHidden/>
          </w:rPr>
          <w:t>44</w:t>
        </w:r>
        <w:r w:rsidR="00755AD3">
          <w:rPr>
            <w:webHidden/>
          </w:rPr>
          <w:fldChar w:fldCharType="end"/>
        </w:r>
      </w:hyperlink>
    </w:p>
    <w:p w14:paraId="4B08FB36" w14:textId="1EDF08F6" w:rsidR="00755AD3" w:rsidRDefault="008C3AD9">
      <w:pPr>
        <w:pStyle w:val="TOC3"/>
        <w:tabs>
          <w:tab w:val="left" w:pos="1120"/>
        </w:tabs>
        <w:rPr>
          <w:rFonts w:asciiTheme="minorHAnsi" w:eastAsiaTheme="minorEastAsia" w:hAnsiTheme="minorHAnsi"/>
          <w:color w:val="auto"/>
          <w:position w:val="0"/>
          <w:lang w:eastAsia="en-AU"/>
        </w:rPr>
      </w:pPr>
      <w:hyperlink w:anchor="_Toc99543739" w:history="1">
        <w:r w:rsidR="00755AD3" w:rsidRPr="005A23D7">
          <w:rPr>
            <w:rStyle w:val="Hyperlink"/>
          </w:rPr>
          <w:t>4.6</w:t>
        </w:r>
        <w:r w:rsidR="00755AD3">
          <w:rPr>
            <w:rFonts w:asciiTheme="minorHAnsi" w:eastAsiaTheme="minorEastAsia" w:hAnsiTheme="minorHAnsi"/>
            <w:color w:val="auto"/>
            <w:position w:val="0"/>
            <w:lang w:eastAsia="en-AU"/>
          </w:rPr>
          <w:tab/>
        </w:r>
        <w:r w:rsidR="00755AD3" w:rsidRPr="005A23D7">
          <w:rPr>
            <w:rStyle w:val="Hyperlink"/>
          </w:rPr>
          <w:t>Caveats of analysis</w:t>
        </w:r>
        <w:r w:rsidR="00755AD3">
          <w:rPr>
            <w:webHidden/>
          </w:rPr>
          <w:tab/>
        </w:r>
        <w:r w:rsidR="00755AD3">
          <w:rPr>
            <w:webHidden/>
          </w:rPr>
          <w:fldChar w:fldCharType="begin"/>
        </w:r>
        <w:r w:rsidR="00755AD3">
          <w:rPr>
            <w:webHidden/>
          </w:rPr>
          <w:instrText xml:space="preserve"> PAGEREF _Toc99543739 \h </w:instrText>
        </w:r>
        <w:r w:rsidR="00755AD3">
          <w:rPr>
            <w:webHidden/>
          </w:rPr>
        </w:r>
        <w:r w:rsidR="00755AD3">
          <w:rPr>
            <w:webHidden/>
          </w:rPr>
          <w:fldChar w:fldCharType="separate"/>
        </w:r>
        <w:r w:rsidR="00755AD3">
          <w:rPr>
            <w:webHidden/>
          </w:rPr>
          <w:t>44</w:t>
        </w:r>
        <w:r w:rsidR="00755AD3">
          <w:rPr>
            <w:webHidden/>
          </w:rPr>
          <w:fldChar w:fldCharType="end"/>
        </w:r>
      </w:hyperlink>
    </w:p>
    <w:p w14:paraId="1DCDA3CA" w14:textId="239931F5" w:rsidR="00C17404" w:rsidRDefault="00C17404" w:rsidP="00C17404">
      <w:pPr>
        <w:pStyle w:val="BodyText"/>
        <w:rPr>
          <w:rFonts w:ascii="Yu Gothic Medium" w:eastAsia="Yu Gothic Medium" w:hAnsi="Yu Gothic Medium" w:cstheme="minorBidi"/>
          <w:b/>
          <w:noProof/>
          <w:color w:val="000100"/>
          <w:sz w:val="24"/>
        </w:rPr>
      </w:pPr>
      <w:r>
        <w:rPr>
          <w:rFonts w:ascii="Yu Gothic Medium" w:eastAsia="Yu Gothic Medium" w:hAnsi="Yu Gothic Medium" w:cstheme="minorBidi"/>
          <w:b/>
          <w:noProof/>
          <w:color w:val="000100"/>
          <w:sz w:val="24"/>
        </w:rPr>
        <w:fldChar w:fldCharType="end"/>
      </w:r>
    </w:p>
    <w:p w14:paraId="657160C2" w14:textId="77777777" w:rsidR="00C17404" w:rsidRDefault="00C17404" w:rsidP="00C17404">
      <w:pPr>
        <w:pStyle w:val="TOCTOFSubHeading"/>
      </w:pPr>
      <w:r>
        <w:t>Figures</w:t>
      </w:r>
    </w:p>
    <w:p w14:paraId="65A7C61A" w14:textId="77777777" w:rsidR="00755AD3" w:rsidRDefault="009B3495" w:rsidP="00C17404">
      <w:pPr>
        <w:pStyle w:val="TOCGeneral"/>
        <w:rPr>
          <w:noProof/>
        </w:rPr>
      </w:pPr>
      <w:r>
        <w:rPr>
          <w:rFonts w:cs="Arial"/>
          <w:vanish w:val="0"/>
          <w:color w:val="auto"/>
          <w:sz w:val="22"/>
        </w:rPr>
        <w:fldChar w:fldCharType="begin"/>
      </w:r>
      <w:r>
        <w:instrText xml:space="preserve"> TOC \h \c "Figure ES" \* MERGEFORMAT </w:instrText>
      </w:r>
      <w:r>
        <w:rPr>
          <w:rFonts w:cs="Arial"/>
          <w:vanish w:val="0"/>
          <w:color w:val="auto"/>
          <w:sz w:val="22"/>
        </w:rPr>
        <w:fldChar w:fldCharType="separate"/>
      </w:r>
      <w:r w:rsidR="00DF274E">
        <w:rPr>
          <w:rFonts w:cs="Arial"/>
          <w:b/>
          <w:bCs/>
          <w:noProof/>
          <w:vanish w:val="0"/>
          <w:color w:val="auto"/>
          <w:sz w:val="22"/>
          <w:lang w:val="en-US"/>
        </w:rPr>
        <w:t>No table of figures entries found.</w:t>
      </w:r>
      <w:r>
        <w:rPr>
          <w:b/>
          <w:bCs/>
          <w:noProof/>
          <w:lang w:val="en-US"/>
        </w:rPr>
        <w:fldChar w:fldCharType="end"/>
      </w:r>
      <w:r w:rsidR="00C17404">
        <w:fldChar w:fldCharType="begin"/>
      </w:r>
      <w:r w:rsidR="00C17404">
        <w:instrText xml:space="preserve"> TOC \h \c "Figure" \* MERGEFORMAT </w:instrText>
      </w:r>
      <w:r w:rsidR="00C17404">
        <w:fldChar w:fldCharType="separate"/>
      </w:r>
    </w:p>
    <w:p w14:paraId="7067CC9A" w14:textId="56804919" w:rsidR="00755AD3" w:rsidRDefault="008C3AD9">
      <w:pPr>
        <w:pStyle w:val="TableofFigures"/>
        <w:rPr>
          <w:rFonts w:asciiTheme="minorHAnsi" w:eastAsiaTheme="minorEastAsia" w:hAnsiTheme="minorHAnsi" w:cstheme="minorBidi"/>
          <w:noProof/>
          <w:lang w:eastAsia="en-AU"/>
        </w:rPr>
      </w:pPr>
      <w:hyperlink w:anchor="_Toc99543740" w:history="1">
        <w:r w:rsidR="00755AD3" w:rsidRPr="00C974E4">
          <w:rPr>
            <w:rStyle w:val="Hyperlink"/>
            <w:b/>
            <w:noProof/>
          </w:rPr>
          <w:t>Figure 1.1</w:t>
        </w:r>
        <w:r w:rsidR="00755AD3">
          <w:rPr>
            <w:rFonts w:asciiTheme="minorHAnsi" w:eastAsiaTheme="minorEastAsia" w:hAnsiTheme="minorHAnsi" w:cstheme="minorBidi"/>
            <w:noProof/>
            <w:lang w:eastAsia="en-AU"/>
          </w:rPr>
          <w:tab/>
        </w:r>
        <w:r w:rsidR="00755AD3" w:rsidRPr="00C974E4">
          <w:rPr>
            <w:rStyle w:val="Hyperlink"/>
            <w:noProof/>
            <w:lang w:val="en-US"/>
          </w:rPr>
          <w:t>Australian waters</w:t>
        </w:r>
        <w:r w:rsidR="00755AD3">
          <w:rPr>
            <w:noProof/>
          </w:rPr>
          <w:tab/>
        </w:r>
        <w:r w:rsidR="00755AD3">
          <w:rPr>
            <w:noProof/>
          </w:rPr>
          <w:fldChar w:fldCharType="begin"/>
        </w:r>
        <w:r w:rsidR="00755AD3">
          <w:rPr>
            <w:noProof/>
          </w:rPr>
          <w:instrText xml:space="preserve"> PAGEREF _Toc99543740 \h </w:instrText>
        </w:r>
        <w:r w:rsidR="00755AD3">
          <w:rPr>
            <w:noProof/>
          </w:rPr>
        </w:r>
        <w:r w:rsidR="00755AD3">
          <w:rPr>
            <w:noProof/>
          </w:rPr>
          <w:fldChar w:fldCharType="separate"/>
        </w:r>
        <w:r w:rsidR="00755AD3">
          <w:rPr>
            <w:noProof/>
          </w:rPr>
          <w:t>6</w:t>
        </w:r>
        <w:r w:rsidR="00755AD3">
          <w:rPr>
            <w:noProof/>
          </w:rPr>
          <w:fldChar w:fldCharType="end"/>
        </w:r>
      </w:hyperlink>
    </w:p>
    <w:p w14:paraId="59212522" w14:textId="00AE3787" w:rsidR="00755AD3" w:rsidRDefault="008C3AD9">
      <w:pPr>
        <w:pStyle w:val="TableofFigures"/>
        <w:rPr>
          <w:rFonts w:asciiTheme="minorHAnsi" w:eastAsiaTheme="minorEastAsia" w:hAnsiTheme="minorHAnsi" w:cstheme="minorBidi"/>
          <w:noProof/>
          <w:lang w:eastAsia="en-AU"/>
        </w:rPr>
      </w:pPr>
      <w:hyperlink w:anchor="_Toc99543741" w:history="1">
        <w:r w:rsidR="00755AD3" w:rsidRPr="00C974E4">
          <w:rPr>
            <w:rStyle w:val="Hyperlink"/>
            <w:b/>
            <w:noProof/>
          </w:rPr>
          <w:t>Figure 3.1</w:t>
        </w:r>
        <w:r w:rsidR="00755AD3">
          <w:rPr>
            <w:rFonts w:asciiTheme="minorHAnsi" w:eastAsiaTheme="minorEastAsia" w:hAnsiTheme="minorHAnsi" w:cstheme="minorBidi"/>
            <w:noProof/>
            <w:lang w:eastAsia="en-AU"/>
          </w:rPr>
          <w:tab/>
        </w:r>
        <w:r w:rsidR="00755AD3" w:rsidRPr="00C974E4">
          <w:rPr>
            <w:rStyle w:val="Hyperlink"/>
            <w:noProof/>
          </w:rPr>
          <w:t>Economic analysis framework</w:t>
        </w:r>
        <w:r w:rsidR="00755AD3">
          <w:rPr>
            <w:noProof/>
          </w:rPr>
          <w:tab/>
        </w:r>
        <w:r w:rsidR="00755AD3">
          <w:rPr>
            <w:noProof/>
          </w:rPr>
          <w:fldChar w:fldCharType="begin"/>
        </w:r>
        <w:r w:rsidR="00755AD3">
          <w:rPr>
            <w:noProof/>
          </w:rPr>
          <w:instrText xml:space="preserve"> PAGEREF _Toc99543741 \h </w:instrText>
        </w:r>
        <w:r w:rsidR="00755AD3">
          <w:rPr>
            <w:noProof/>
          </w:rPr>
        </w:r>
        <w:r w:rsidR="00755AD3">
          <w:rPr>
            <w:noProof/>
          </w:rPr>
          <w:fldChar w:fldCharType="separate"/>
        </w:r>
        <w:r w:rsidR="00755AD3">
          <w:rPr>
            <w:noProof/>
          </w:rPr>
          <w:t>16</w:t>
        </w:r>
        <w:r w:rsidR="00755AD3">
          <w:rPr>
            <w:noProof/>
          </w:rPr>
          <w:fldChar w:fldCharType="end"/>
        </w:r>
      </w:hyperlink>
    </w:p>
    <w:p w14:paraId="679A667C" w14:textId="4E6D5B19" w:rsidR="00755AD3" w:rsidRDefault="008C3AD9">
      <w:pPr>
        <w:pStyle w:val="TableofFigures"/>
        <w:rPr>
          <w:rFonts w:asciiTheme="minorHAnsi" w:eastAsiaTheme="minorEastAsia" w:hAnsiTheme="minorHAnsi" w:cstheme="minorBidi"/>
          <w:noProof/>
          <w:lang w:eastAsia="en-AU"/>
        </w:rPr>
      </w:pPr>
      <w:hyperlink w:anchor="_Toc99543742" w:history="1">
        <w:r w:rsidR="00755AD3" w:rsidRPr="00C974E4">
          <w:rPr>
            <w:rStyle w:val="Hyperlink"/>
            <w:b/>
            <w:noProof/>
          </w:rPr>
          <w:t>Figure 3.2</w:t>
        </w:r>
        <w:r w:rsidR="00755AD3">
          <w:rPr>
            <w:rFonts w:asciiTheme="minorHAnsi" w:eastAsiaTheme="minorEastAsia" w:hAnsiTheme="minorHAnsi" w:cstheme="minorBidi"/>
            <w:noProof/>
            <w:lang w:eastAsia="en-AU"/>
          </w:rPr>
          <w:tab/>
        </w:r>
        <w:r w:rsidR="00755AD3" w:rsidRPr="00C974E4">
          <w:rPr>
            <w:rStyle w:val="Hyperlink"/>
            <w:noProof/>
          </w:rPr>
          <w:t>Key steps in CBA</w:t>
        </w:r>
        <w:r w:rsidR="00755AD3">
          <w:rPr>
            <w:noProof/>
          </w:rPr>
          <w:tab/>
        </w:r>
        <w:r w:rsidR="00755AD3">
          <w:rPr>
            <w:noProof/>
          </w:rPr>
          <w:fldChar w:fldCharType="begin"/>
        </w:r>
        <w:r w:rsidR="00755AD3">
          <w:rPr>
            <w:noProof/>
          </w:rPr>
          <w:instrText xml:space="preserve"> PAGEREF _Toc99543742 \h </w:instrText>
        </w:r>
        <w:r w:rsidR="00755AD3">
          <w:rPr>
            <w:noProof/>
          </w:rPr>
        </w:r>
        <w:r w:rsidR="00755AD3">
          <w:rPr>
            <w:noProof/>
          </w:rPr>
          <w:fldChar w:fldCharType="separate"/>
        </w:r>
        <w:r w:rsidR="00755AD3">
          <w:rPr>
            <w:noProof/>
          </w:rPr>
          <w:t>17</w:t>
        </w:r>
        <w:r w:rsidR="00755AD3">
          <w:rPr>
            <w:noProof/>
          </w:rPr>
          <w:fldChar w:fldCharType="end"/>
        </w:r>
      </w:hyperlink>
    </w:p>
    <w:p w14:paraId="295A9AC9" w14:textId="2881D405" w:rsidR="00755AD3" w:rsidRDefault="008C3AD9">
      <w:pPr>
        <w:pStyle w:val="TableofFigures"/>
        <w:rPr>
          <w:rFonts w:asciiTheme="minorHAnsi" w:eastAsiaTheme="minorEastAsia" w:hAnsiTheme="minorHAnsi" w:cstheme="minorBidi"/>
          <w:noProof/>
          <w:lang w:eastAsia="en-AU"/>
        </w:rPr>
      </w:pPr>
      <w:hyperlink w:anchor="_Toc99543743" w:history="1">
        <w:r w:rsidR="00755AD3" w:rsidRPr="00C974E4">
          <w:rPr>
            <w:rStyle w:val="Hyperlink"/>
            <w:b/>
            <w:noProof/>
          </w:rPr>
          <w:t>Figure 3.3</w:t>
        </w:r>
        <w:r w:rsidR="00755AD3">
          <w:rPr>
            <w:rFonts w:asciiTheme="minorHAnsi" w:eastAsiaTheme="minorEastAsia" w:hAnsiTheme="minorHAnsi" w:cstheme="minorBidi"/>
            <w:noProof/>
            <w:lang w:eastAsia="en-AU"/>
          </w:rPr>
          <w:tab/>
        </w:r>
        <w:r w:rsidR="00755AD3" w:rsidRPr="00C974E4">
          <w:rPr>
            <w:rStyle w:val="Hyperlink"/>
            <w:noProof/>
          </w:rPr>
          <w:t>Annual average insurance premium, 2013-2019</w:t>
        </w:r>
        <w:r w:rsidR="00755AD3">
          <w:rPr>
            <w:noProof/>
          </w:rPr>
          <w:tab/>
        </w:r>
        <w:r w:rsidR="00755AD3">
          <w:rPr>
            <w:noProof/>
          </w:rPr>
          <w:fldChar w:fldCharType="begin"/>
        </w:r>
        <w:r w:rsidR="00755AD3">
          <w:rPr>
            <w:noProof/>
          </w:rPr>
          <w:instrText xml:space="preserve"> PAGEREF _Toc99543743 \h </w:instrText>
        </w:r>
        <w:r w:rsidR="00755AD3">
          <w:rPr>
            <w:noProof/>
          </w:rPr>
        </w:r>
        <w:r w:rsidR="00755AD3">
          <w:rPr>
            <w:noProof/>
          </w:rPr>
          <w:fldChar w:fldCharType="separate"/>
        </w:r>
        <w:r w:rsidR="00755AD3">
          <w:rPr>
            <w:noProof/>
          </w:rPr>
          <w:t>23</w:t>
        </w:r>
        <w:r w:rsidR="00755AD3">
          <w:rPr>
            <w:noProof/>
          </w:rPr>
          <w:fldChar w:fldCharType="end"/>
        </w:r>
      </w:hyperlink>
    </w:p>
    <w:p w14:paraId="13F0CE8A" w14:textId="575A92E7" w:rsidR="00755AD3" w:rsidRDefault="008C3AD9">
      <w:pPr>
        <w:pStyle w:val="TableofFigures"/>
        <w:rPr>
          <w:rFonts w:asciiTheme="minorHAnsi" w:eastAsiaTheme="minorEastAsia" w:hAnsiTheme="minorHAnsi" w:cstheme="minorBidi"/>
          <w:noProof/>
          <w:lang w:eastAsia="en-AU"/>
        </w:rPr>
      </w:pPr>
      <w:hyperlink w:anchor="_Toc99543744" w:history="1">
        <w:r w:rsidR="00755AD3" w:rsidRPr="00C974E4">
          <w:rPr>
            <w:rStyle w:val="Hyperlink"/>
            <w:b/>
            <w:noProof/>
          </w:rPr>
          <w:t>Figure 3.4</w:t>
        </w:r>
        <w:r w:rsidR="00755AD3">
          <w:rPr>
            <w:rFonts w:asciiTheme="minorHAnsi" w:eastAsiaTheme="minorEastAsia" w:hAnsiTheme="minorHAnsi" w:cstheme="minorBidi"/>
            <w:noProof/>
            <w:lang w:eastAsia="en-AU"/>
          </w:rPr>
          <w:tab/>
        </w:r>
        <w:r w:rsidR="00755AD3" w:rsidRPr="00C974E4">
          <w:rPr>
            <w:rStyle w:val="Hyperlink"/>
            <w:noProof/>
          </w:rPr>
          <w:t>Protection of the Sea levy, 2011-2020</w:t>
        </w:r>
        <w:r w:rsidR="00755AD3">
          <w:rPr>
            <w:noProof/>
          </w:rPr>
          <w:tab/>
        </w:r>
        <w:r w:rsidR="00755AD3">
          <w:rPr>
            <w:noProof/>
          </w:rPr>
          <w:fldChar w:fldCharType="begin"/>
        </w:r>
        <w:r w:rsidR="00755AD3">
          <w:rPr>
            <w:noProof/>
          </w:rPr>
          <w:instrText xml:space="preserve"> PAGEREF _Toc99543744 \h </w:instrText>
        </w:r>
        <w:r w:rsidR="00755AD3">
          <w:rPr>
            <w:noProof/>
          </w:rPr>
        </w:r>
        <w:r w:rsidR="00755AD3">
          <w:rPr>
            <w:noProof/>
          </w:rPr>
          <w:fldChar w:fldCharType="separate"/>
        </w:r>
        <w:r w:rsidR="00755AD3">
          <w:rPr>
            <w:noProof/>
          </w:rPr>
          <w:t>26</w:t>
        </w:r>
        <w:r w:rsidR="00755AD3">
          <w:rPr>
            <w:noProof/>
          </w:rPr>
          <w:fldChar w:fldCharType="end"/>
        </w:r>
      </w:hyperlink>
    </w:p>
    <w:p w14:paraId="18303C7B" w14:textId="2A97DA2B" w:rsidR="00755AD3" w:rsidRDefault="008C3AD9">
      <w:pPr>
        <w:pStyle w:val="TableofFigures"/>
        <w:rPr>
          <w:rFonts w:asciiTheme="minorHAnsi" w:eastAsiaTheme="minorEastAsia" w:hAnsiTheme="minorHAnsi" w:cstheme="minorBidi"/>
          <w:noProof/>
          <w:lang w:eastAsia="en-AU"/>
        </w:rPr>
      </w:pPr>
      <w:hyperlink w:anchor="_Toc99543745" w:history="1">
        <w:r w:rsidR="00755AD3" w:rsidRPr="00C974E4">
          <w:rPr>
            <w:rStyle w:val="Hyperlink"/>
            <w:b/>
            <w:noProof/>
          </w:rPr>
          <w:t>Figure 3.5</w:t>
        </w:r>
        <w:r w:rsidR="00755AD3">
          <w:rPr>
            <w:rFonts w:asciiTheme="minorHAnsi" w:eastAsiaTheme="minorEastAsia" w:hAnsiTheme="minorHAnsi" w:cstheme="minorBidi"/>
            <w:noProof/>
            <w:lang w:eastAsia="en-AU"/>
          </w:rPr>
          <w:tab/>
        </w:r>
        <w:r w:rsidR="00755AD3" w:rsidRPr="00C974E4">
          <w:rPr>
            <w:rStyle w:val="Hyperlink"/>
            <w:noProof/>
          </w:rPr>
          <w:t>Net tonnage and annual average Protection of the Sea levy, 2011-2020</w:t>
        </w:r>
        <w:r w:rsidR="00755AD3">
          <w:rPr>
            <w:noProof/>
          </w:rPr>
          <w:tab/>
        </w:r>
        <w:r w:rsidR="00755AD3">
          <w:rPr>
            <w:noProof/>
          </w:rPr>
          <w:fldChar w:fldCharType="begin"/>
        </w:r>
        <w:r w:rsidR="00755AD3">
          <w:rPr>
            <w:noProof/>
          </w:rPr>
          <w:instrText xml:space="preserve"> PAGEREF _Toc99543745 \h </w:instrText>
        </w:r>
        <w:r w:rsidR="00755AD3">
          <w:rPr>
            <w:noProof/>
          </w:rPr>
        </w:r>
        <w:r w:rsidR="00755AD3">
          <w:rPr>
            <w:noProof/>
          </w:rPr>
          <w:fldChar w:fldCharType="separate"/>
        </w:r>
        <w:r w:rsidR="00755AD3">
          <w:rPr>
            <w:noProof/>
          </w:rPr>
          <w:t>26</w:t>
        </w:r>
        <w:r w:rsidR="00755AD3">
          <w:rPr>
            <w:noProof/>
          </w:rPr>
          <w:fldChar w:fldCharType="end"/>
        </w:r>
      </w:hyperlink>
    </w:p>
    <w:p w14:paraId="0D8D04F1" w14:textId="61EECBA2" w:rsidR="00755AD3" w:rsidRDefault="008C3AD9">
      <w:pPr>
        <w:pStyle w:val="TableofFigures"/>
        <w:rPr>
          <w:rFonts w:asciiTheme="minorHAnsi" w:eastAsiaTheme="minorEastAsia" w:hAnsiTheme="minorHAnsi" w:cstheme="minorBidi"/>
          <w:noProof/>
          <w:lang w:eastAsia="en-AU"/>
        </w:rPr>
      </w:pPr>
      <w:hyperlink w:anchor="_Toc99543746" w:history="1">
        <w:r w:rsidR="00755AD3" w:rsidRPr="00C974E4">
          <w:rPr>
            <w:rStyle w:val="Hyperlink"/>
            <w:b/>
            <w:noProof/>
          </w:rPr>
          <w:t>Figure 4.1</w:t>
        </w:r>
        <w:r w:rsidR="00755AD3">
          <w:rPr>
            <w:rFonts w:asciiTheme="minorHAnsi" w:eastAsiaTheme="minorEastAsia" w:hAnsiTheme="minorHAnsi" w:cstheme="minorBidi"/>
            <w:noProof/>
            <w:lang w:eastAsia="en-AU"/>
          </w:rPr>
          <w:tab/>
        </w:r>
        <w:r w:rsidR="00755AD3" w:rsidRPr="00C974E4">
          <w:rPr>
            <w:rStyle w:val="Hyperlink"/>
            <w:noProof/>
          </w:rPr>
          <w:t>Analytical framework</w:t>
        </w:r>
        <w:r w:rsidR="00755AD3">
          <w:rPr>
            <w:noProof/>
          </w:rPr>
          <w:tab/>
        </w:r>
        <w:r w:rsidR="00755AD3">
          <w:rPr>
            <w:noProof/>
          </w:rPr>
          <w:fldChar w:fldCharType="begin"/>
        </w:r>
        <w:r w:rsidR="00755AD3">
          <w:rPr>
            <w:noProof/>
          </w:rPr>
          <w:instrText xml:space="preserve"> PAGEREF _Toc99543746 \h </w:instrText>
        </w:r>
        <w:r w:rsidR="00755AD3">
          <w:rPr>
            <w:noProof/>
          </w:rPr>
        </w:r>
        <w:r w:rsidR="00755AD3">
          <w:rPr>
            <w:noProof/>
          </w:rPr>
          <w:fldChar w:fldCharType="separate"/>
        </w:r>
        <w:r w:rsidR="00755AD3">
          <w:rPr>
            <w:noProof/>
          </w:rPr>
          <w:t>33</w:t>
        </w:r>
        <w:r w:rsidR="00755AD3">
          <w:rPr>
            <w:noProof/>
          </w:rPr>
          <w:fldChar w:fldCharType="end"/>
        </w:r>
      </w:hyperlink>
    </w:p>
    <w:p w14:paraId="76034540" w14:textId="27EF5E88" w:rsidR="00755AD3" w:rsidRDefault="008C3AD9">
      <w:pPr>
        <w:pStyle w:val="TableofFigures"/>
        <w:rPr>
          <w:rFonts w:asciiTheme="minorHAnsi" w:eastAsiaTheme="minorEastAsia" w:hAnsiTheme="minorHAnsi" w:cstheme="minorBidi"/>
          <w:noProof/>
          <w:lang w:eastAsia="en-AU"/>
        </w:rPr>
      </w:pPr>
      <w:hyperlink w:anchor="_Toc99543747" w:history="1">
        <w:r w:rsidR="00755AD3" w:rsidRPr="00C974E4">
          <w:rPr>
            <w:rStyle w:val="Hyperlink"/>
            <w:b/>
            <w:noProof/>
          </w:rPr>
          <w:t>Figure 4.2</w:t>
        </w:r>
        <w:r w:rsidR="00755AD3">
          <w:rPr>
            <w:rFonts w:asciiTheme="minorHAnsi" w:eastAsiaTheme="minorEastAsia" w:hAnsiTheme="minorHAnsi" w:cstheme="minorBidi"/>
            <w:noProof/>
            <w:lang w:eastAsia="en-AU"/>
          </w:rPr>
          <w:tab/>
        </w:r>
        <w:r w:rsidR="00755AD3" w:rsidRPr="00C974E4">
          <w:rPr>
            <w:rStyle w:val="Hyperlink"/>
            <w:noProof/>
          </w:rPr>
          <w:t>Net benefits of Option 3 relative to Option 1 over a ten-year period</w:t>
        </w:r>
        <w:r w:rsidR="00755AD3">
          <w:rPr>
            <w:noProof/>
          </w:rPr>
          <w:tab/>
        </w:r>
        <w:r w:rsidR="00755AD3">
          <w:rPr>
            <w:noProof/>
          </w:rPr>
          <w:fldChar w:fldCharType="begin"/>
        </w:r>
        <w:r w:rsidR="00755AD3">
          <w:rPr>
            <w:noProof/>
          </w:rPr>
          <w:instrText xml:space="preserve"> PAGEREF _Toc99543747 \h </w:instrText>
        </w:r>
        <w:r w:rsidR="00755AD3">
          <w:rPr>
            <w:noProof/>
          </w:rPr>
        </w:r>
        <w:r w:rsidR="00755AD3">
          <w:rPr>
            <w:noProof/>
          </w:rPr>
          <w:fldChar w:fldCharType="separate"/>
        </w:r>
        <w:r w:rsidR="00755AD3">
          <w:rPr>
            <w:noProof/>
          </w:rPr>
          <w:t>38</w:t>
        </w:r>
        <w:r w:rsidR="00755AD3">
          <w:rPr>
            <w:noProof/>
          </w:rPr>
          <w:fldChar w:fldCharType="end"/>
        </w:r>
      </w:hyperlink>
    </w:p>
    <w:p w14:paraId="76848ED3" w14:textId="646FF2B7" w:rsidR="00755AD3" w:rsidRDefault="008C3AD9">
      <w:pPr>
        <w:pStyle w:val="TableofFigures"/>
        <w:rPr>
          <w:rFonts w:asciiTheme="minorHAnsi" w:eastAsiaTheme="minorEastAsia" w:hAnsiTheme="minorHAnsi" w:cstheme="minorBidi"/>
          <w:noProof/>
          <w:lang w:eastAsia="en-AU"/>
        </w:rPr>
      </w:pPr>
      <w:hyperlink w:anchor="_Toc99543748" w:history="1">
        <w:r w:rsidR="00755AD3" w:rsidRPr="00C974E4">
          <w:rPr>
            <w:rStyle w:val="Hyperlink"/>
            <w:b/>
            <w:noProof/>
          </w:rPr>
          <w:t>Figure 4.3</w:t>
        </w:r>
        <w:r w:rsidR="00755AD3">
          <w:rPr>
            <w:rFonts w:asciiTheme="minorHAnsi" w:eastAsiaTheme="minorEastAsia" w:hAnsiTheme="minorHAnsi" w:cstheme="minorBidi"/>
            <w:noProof/>
            <w:lang w:eastAsia="en-AU"/>
          </w:rPr>
          <w:tab/>
        </w:r>
        <w:r w:rsidR="00755AD3" w:rsidRPr="00C974E4">
          <w:rPr>
            <w:rStyle w:val="Hyperlink"/>
            <w:noProof/>
          </w:rPr>
          <w:t>Net benefits of Option 4 relative to Option 1 over a ten-year period</w:t>
        </w:r>
        <w:r w:rsidR="00755AD3">
          <w:rPr>
            <w:noProof/>
          </w:rPr>
          <w:tab/>
        </w:r>
        <w:r w:rsidR="00755AD3">
          <w:rPr>
            <w:noProof/>
          </w:rPr>
          <w:fldChar w:fldCharType="begin"/>
        </w:r>
        <w:r w:rsidR="00755AD3">
          <w:rPr>
            <w:noProof/>
          </w:rPr>
          <w:instrText xml:space="preserve"> PAGEREF _Toc99543748 \h </w:instrText>
        </w:r>
        <w:r w:rsidR="00755AD3">
          <w:rPr>
            <w:noProof/>
          </w:rPr>
        </w:r>
        <w:r w:rsidR="00755AD3">
          <w:rPr>
            <w:noProof/>
          </w:rPr>
          <w:fldChar w:fldCharType="separate"/>
        </w:r>
        <w:r w:rsidR="00755AD3">
          <w:rPr>
            <w:noProof/>
          </w:rPr>
          <w:t>41</w:t>
        </w:r>
        <w:r w:rsidR="00755AD3">
          <w:rPr>
            <w:noProof/>
          </w:rPr>
          <w:fldChar w:fldCharType="end"/>
        </w:r>
      </w:hyperlink>
    </w:p>
    <w:p w14:paraId="0343C811" w14:textId="0A63AA04" w:rsidR="00C17404" w:rsidRDefault="00C17404" w:rsidP="00602E94">
      <w:pPr>
        <w:pStyle w:val="TOCGeneral"/>
      </w:pPr>
      <w:r>
        <w:fldChar w:fldCharType="end"/>
      </w:r>
    </w:p>
    <w:p w14:paraId="062340C2" w14:textId="77777777" w:rsidR="00C17404" w:rsidRDefault="00C17404" w:rsidP="00C17404">
      <w:pPr>
        <w:pStyle w:val="TOCTOFSubHeading"/>
      </w:pPr>
      <w:r>
        <w:t>Tables</w:t>
      </w:r>
    </w:p>
    <w:p w14:paraId="4C9FDD4B" w14:textId="3482E008" w:rsidR="00912BB1" w:rsidRDefault="00C17404">
      <w:pPr>
        <w:pStyle w:val="TableofFigures"/>
        <w:rPr>
          <w:rFonts w:asciiTheme="minorHAnsi" w:eastAsiaTheme="minorEastAsia" w:hAnsiTheme="minorHAnsi" w:cstheme="minorBidi"/>
          <w:noProof/>
          <w:lang w:eastAsia="en-AU"/>
        </w:rPr>
      </w:pPr>
      <w:r>
        <w:fldChar w:fldCharType="begin"/>
      </w:r>
      <w:r>
        <w:instrText xml:space="preserve"> TOC \h \c "Table" \* MERGEFORMAT </w:instrText>
      </w:r>
      <w:r>
        <w:fldChar w:fldCharType="separate"/>
      </w:r>
      <w:hyperlink w:anchor="_Toc99543751" w:history="1">
        <w:r w:rsidR="00912BB1" w:rsidRPr="00AB7F02">
          <w:rPr>
            <w:rStyle w:val="Hyperlink"/>
            <w:b/>
            <w:noProof/>
          </w:rPr>
          <w:t>Table 1.1</w:t>
        </w:r>
        <w:r w:rsidR="00912BB1">
          <w:rPr>
            <w:rFonts w:asciiTheme="minorHAnsi" w:eastAsiaTheme="minorEastAsia" w:hAnsiTheme="minorHAnsi" w:cstheme="minorBidi"/>
            <w:noProof/>
            <w:lang w:eastAsia="en-AU"/>
          </w:rPr>
          <w:tab/>
        </w:r>
        <w:r w:rsidR="00912BB1" w:rsidRPr="00AB7F02">
          <w:rPr>
            <w:rStyle w:val="Hyperlink"/>
            <w:iCs/>
            <w:noProof/>
          </w:rPr>
          <w:t>Ability for the Australian Government to recover costs associated with</w:t>
        </w:r>
        <w:r w:rsidR="00912BB1" w:rsidRPr="00AB7F02">
          <w:rPr>
            <w:rStyle w:val="Hyperlink"/>
            <w:b/>
            <w:iCs/>
            <w:noProof/>
          </w:rPr>
          <w:t xml:space="preserve"> </w:t>
        </w:r>
        <w:r w:rsidR="00912BB1" w:rsidRPr="00AB7F02">
          <w:rPr>
            <w:rStyle w:val="Hyperlink"/>
            <w:iCs/>
            <w:noProof/>
          </w:rPr>
          <w:t>wrecks?</w:t>
        </w:r>
        <w:r w:rsidR="00912BB1">
          <w:rPr>
            <w:noProof/>
          </w:rPr>
          <w:tab/>
        </w:r>
        <w:r w:rsidR="00912BB1">
          <w:rPr>
            <w:noProof/>
          </w:rPr>
          <w:fldChar w:fldCharType="begin"/>
        </w:r>
        <w:r w:rsidR="00912BB1">
          <w:rPr>
            <w:noProof/>
          </w:rPr>
          <w:instrText xml:space="preserve"> PAGEREF _Toc99543751 \h </w:instrText>
        </w:r>
        <w:r w:rsidR="00912BB1">
          <w:rPr>
            <w:noProof/>
          </w:rPr>
        </w:r>
        <w:r w:rsidR="00912BB1">
          <w:rPr>
            <w:noProof/>
          </w:rPr>
          <w:fldChar w:fldCharType="separate"/>
        </w:r>
        <w:r w:rsidR="00912BB1">
          <w:rPr>
            <w:noProof/>
          </w:rPr>
          <w:t>8</w:t>
        </w:r>
        <w:r w:rsidR="00912BB1">
          <w:rPr>
            <w:noProof/>
          </w:rPr>
          <w:fldChar w:fldCharType="end"/>
        </w:r>
      </w:hyperlink>
    </w:p>
    <w:p w14:paraId="2BF96E53" w14:textId="2107457C" w:rsidR="00912BB1" w:rsidRDefault="008C3AD9">
      <w:pPr>
        <w:pStyle w:val="TableofFigures"/>
        <w:rPr>
          <w:rFonts w:asciiTheme="minorHAnsi" w:eastAsiaTheme="minorEastAsia" w:hAnsiTheme="minorHAnsi" w:cstheme="minorBidi"/>
          <w:noProof/>
          <w:lang w:eastAsia="en-AU"/>
        </w:rPr>
      </w:pPr>
      <w:hyperlink w:anchor="_Toc99543752" w:history="1">
        <w:r w:rsidR="00912BB1" w:rsidRPr="00AB7F02">
          <w:rPr>
            <w:rStyle w:val="Hyperlink"/>
            <w:b/>
            <w:noProof/>
          </w:rPr>
          <w:t>Table 3.1</w:t>
        </w:r>
        <w:r w:rsidR="00912BB1">
          <w:rPr>
            <w:rFonts w:asciiTheme="minorHAnsi" w:eastAsiaTheme="minorEastAsia" w:hAnsiTheme="minorHAnsi" w:cstheme="minorBidi"/>
            <w:noProof/>
            <w:lang w:eastAsia="en-AU"/>
          </w:rPr>
          <w:tab/>
        </w:r>
        <w:r w:rsidR="00912BB1" w:rsidRPr="00AB7F02">
          <w:rPr>
            <w:rStyle w:val="Hyperlink"/>
            <w:noProof/>
          </w:rPr>
          <w:t>Advantages and disadvantages of proposed policy options</w:t>
        </w:r>
        <w:r w:rsidR="00912BB1">
          <w:rPr>
            <w:noProof/>
          </w:rPr>
          <w:tab/>
        </w:r>
        <w:r w:rsidR="00912BB1">
          <w:rPr>
            <w:noProof/>
          </w:rPr>
          <w:fldChar w:fldCharType="begin"/>
        </w:r>
        <w:r w:rsidR="00912BB1">
          <w:rPr>
            <w:noProof/>
          </w:rPr>
          <w:instrText xml:space="preserve"> PAGEREF _Toc99543752 \h </w:instrText>
        </w:r>
        <w:r w:rsidR="00912BB1">
          <w:rPr>
            <w:noProof/>
          </w:rPr>
        </w:r>
        <w:r w:rsidR="00912BB1">
          <w:rPr>
            <w:noProof/>
          </w:rPr>
          <w:fldChar w:fldCharType="separate"/>
        </w:r>
        <w:r w:rsidR="00912BB1">
          <w:rPr>
            <w:noProof/>
          </w:rPr>
          <w:t>18</w:t>
        </w:r>
        <w:r w:rsidR="00912BB1">
          <w:rPr>
            <w:noProof/>
          </w:rPr>
          <w:fldChar w:fldCharType="end"/>
        </w:r>
      </w:hyperlink>
    </w:p>
    <w:p w14:paraId="1B0A2518" w14:textId="2386A0AF" w:rsidR="00912BB1" w:rsidRDefault="008C3AD9">
      <w:pPr>
        <w:pStyle w:val="TableofFigures"/>
        <w:rPr>
          <w:rFonts w:asciiTheme="minorHAnsi" w:eastAsiaTheme="minorEastAsia" w:hAnsiTheme="minorHAnsi" w:cstheme="minorBidi"/>
          <w:noProof/>
          <w:lang w:eastAsia="en-AU"/>
        </w:rPr>
      </w:pPr>
      <w:hyperlink w:anchor="_Toc99543753" w:history="1">
        <w:r w:rsidR="00912BB1" w:rsidRPr="00AB7F02">
          <w:rPr>
            <w:rStyle w:val="Hyperlink"/>
            <w:b/>
            <w:noProof/>
          </w:rPr>
          <w:t>Table 3.2</w:t>
        </w:r>
        <w:r w:rsidR="00912BB1">
          <w:rPr>
            <w:rFonts w:asciiTheme="minorHAnsi" w:eastAsiaTheme="minorEastAsia" w:hAnsiTheme="minorHAnsi" w:cstheme="minorBidi"/>
            <w:noProof/>
            <w:lang w:eastAsia="en-AU"/>
          </w:rPr>
          <w:tab/>
        </w:r>
        <w:r w:rsidR="00912BB1" w:rsidRPr="00AB7F02">
          <w:rPr>
            <w:rStyle w:val="Hyperlink"/>
            <w:noProof/>
          </w:rPr>
          <w:t>Incidence of costs and benefits</w:t>
        </w:r>
        <w:r w:rsidR="00912BB1">
          <w:rPr>
            <w:noProof/>
          </w:rPr>
          <w:tab/>
        </w:r>
        <w:r w:rsidR="00912BB1">
          <w:rPr>
            <w:noProof/>
          </w:rPr>
          <w:fldChar w:fldCharType="begin"/>
        </w:r>
        <w:r w:rsidR="00912BB1">
          <w:rPr>
            <w:noProof/>
          </w:rPr>
          <w:instrText xml:space="preserve"> PAGEREF _Toc99543753 \h </w:instrText>
        </w:r>
        <w:r w:rsidR="00912BB1">
          <w:rPr>
            <w:noProof/>
          </w:rPr>
        </w:r>
        <w:r w:rsidR="00912BB1">
          <w:rPr>
            <w:noProof/>
          </w:rPr>
          <w:fldChar w:fldCharType="separate"/>
        </w:r>
        <w:r w:rsidR="00912BB1">
          <w:rPr>
            <w:noProof/>
          </w:rPr>
          <w:t>21</w:t>
        </w:r>
        <w:r w:rsidR="00912BB1">
          <w:rPr>
            <w:noProof/>
          </w:rPr>
          <w:fldChar w:fldCharType="end"/>
        </w:r>
      </w:hyperlink>
    </w:p>
    <w:p w14:paraId="6F3DD35F" w14:textId="043D00E8" w:rsidR="00912BB1" w:rsidRDefault="008C3AD9">
      <w:pPr>
        <w:pStyle w:val="TableofFigures"/>
        <w:rPr>
          <w:rFonts w:asciiTheme="minorHAnsi" w:eastAsiaTheme="minorEastAsia" w:hAnsiTheme="minorHAnsi" w:cstheme="minorBidi"/>
          <w:noProof/>
          <w:lang w:eastAsia="en-AU"/>
        </w:rPr>
      </w:pPr>
      <w:hyperlink w:anchor="_Toc99543754" w:history="1">
        <w:r w:rsidR="00912BB1" w:rsidRPr="00AB7F02">
          <w:rPr>
            <w:rStyle w:val="Hyperlink"/>
            <w:b/>
            <w:noProof/>
          </w:rPr>
          <w:t>Table 3.3</w:t>
        </w:r>
        <w:r w:rsidR="00912BB1">
          <w:rPr>
            <w:rFonts w:asciiTheme="minorHAnsi" w:eastAsiaTheme="minorEastAsia" w:hAnsiTheme="minorHAnsi" w:cstheme="minorBidi"/>
            <w:noProof/>
            <w:lang w:eastAsia="en-AU"/>
          </w:rPr>
          <w:tab/>
        </w:r>
        <w:r w:rsidR="00912BB1" w:rsidRPr="00AB7F02">
          <w:rPr>
            <w:rStyle w:val="Hyperlink"/>
            <w:noProof/>
          </w:rPr>
          <w:t>Costs related to a marine incident</w:t>
        </w:r>
        <w:r w:rsidR="00912BB1">
          <w:rPr>
            <w:noProof/>
          </w:rPr>
          <w:tab/>
        </w:r>
        <w:r w:rsidR="00912BB1">
          <w:rPr>
            <w:noProof/>
          </w:rPr>
          <w:fldChar w:fldCharType="begin"/>
        </w:r>
        <w:r w:rsidR="00912BB1">
          <w:rPr>
            <w:noProof/>
          </w:rPr>
          <w:instrText xml:space="preserve"> PAGEREF _Toc99543754 \h </w:instrText>
        </w:r>
        <w:r w:rsidR="00912BB1">
          <w:rPr>
            <w:noProof/>
          </w:rPr>
        </w:r>
        <w:r w:rsidR="00912BB1">
          <w:rPr>
            <w:noProof/>
          </w:rPr>
          <w:fldChar w:fldCharType="separate"/>
        </w:r>
        <w:r w:rsidR="00912BB1">
          <w:rPr>
            <w:noProof/>
          </w:rPr>
          <w:t>22</w:t>
        </w:r>
        <w:r w:rsidR="00912BB1">
          <w:rPr>
            <w:noProof/>
          </w:rPr>
          <w:fldChar w:fldCharType="end"/>
        </w:r>
      </w:hyperlink>
    </w:p>
    <w:p w14:paraId="31E2D28F" w14:textId="223C42BC" w:rsidR="00912BB1" w:rsidRDefault="008C3AD9">
      <w:pPr>
        <w:pStyle w:val="TableofFigures"/>
        <w:rPr>
          <w:rFonts w:asciiTheme="minorHAnsi" w:eastAsiaTheme="minorEastAsia" w:hAnsiTheme="minorHAnsi" w:cstheme="minorBidi"/>
          <w:noProof/>
          <w:lang w:eastAsia="en-AU"/>
        </w:rPr>
      </w:pPr>
      <w:hyperlink w:anchor="_Toc99543755" w:history="1">
        <w:r w:rsidR="00912BB1" w:rsidRPr="00AB7F02">
          <w:rPr>
            <w:rStyle w:val="Hyperlink"/>
            <w:b/>
            <w:noProof/>
          </w:rPr>
          <w:t>Table 3.4</w:t>
        </w:r>
        <w:r w:rsidR="00912BB1">
          <w:rPr>
            <w:rFonts w:asciiTheme="minorHAnsi" w:eastAsiaTheme="minorEastAsia" w:hAnsiTheme="minorHAnsi" w:cstheme="minorBidi"/>
            <w:noProof/>
            <w:lang w:eastAsia="en-AU"/>
          </w:rPr>
          <w:tab/>
        </w:r>
        <w:r w:rsidR="00912BB1" w:rsidRPr="00AB7F02">
          <w:rPr>
            <w:rStyle w:val="Hyperlink"/>
            <w:noProof/>
            <w:lang w:val="en-US"/>
          </w:rPr>
          <w:t>Number of cargo ships that called at Australian ports, by ship type</w:t>
        </w:r>
        <w:r w:rsidR="00912BB1">
          <w:rPr>
            <w:noProof/>
          </w:rPr>
          <w:tab/>
        </w:r>
        <w:r w:rsidR="00912BB1">
          <w:rPr>
            <w:noProof/>
          </w:rPr>
          <w:fldChar w:fldCharType="begin"/>
        </w:r>
        <w:r w:rsidR="00912BB1">
          <w:rPr>
            <w:noProof/>
          </w:rPr>
          <w:instrText xml:space="preserve"> PAGEREF _Toc99543755 \h </w:instrText>
        </w:r>
        <w:r w:rsidR="00912BB1">
          <w:rPr>
            <w:noProof/>
          </w:rPr>
        </w:r>
        <w:r w:rsidR="00912BB1">
          <w:rPr>
            <w:noProof/>
          </w:rPr>
          <w:fldChar w:fldCharType="separate"/>
        </w:r>
        <w:r w:rsidR="00912BB1">
          <w:rPr>
            <w:noProof/>
          </w:rPr>
          <w:t>27</w:t>
        </w:r>
        <w:r w:rsidR="00912BB1">
          <w:rPr>
            <w:noProof/>
          </w:rPr>
          <w:fldChar w:fldCharType="end"/>
        </w:r>
      </w:hyperlink>
    </w:p>
    <w:p w14:paraId="65B472EA" w14:textId="7B935FC5" w:rsidR="00912BB1" w:rsidRDefault="008C3AD9">
      <w:pPr>
        <w:pStyle w:val="TableofFigures"/>
        <w:rPr>
          <w:rFonts w:asciiTheme="minorHAnsi" w:eastAsiaTheme="minorEastAsia" w:hAnsiTheme="minorHAnsi" w:cstheme="minorBidi"/>
          <w:noProof/>
          <w:lang w:eastAsia="en-AU"/>
        </w:rPr>
      </w:pPr>
      <w:hyperlink w:anchor="_Toc99543756" w:history="1">
        <w:r w:rsidR="00912BB1" w:rsidRPr="00AB7F02">
          <w:rPr>
            <w:rStyle w:val="Hyperlink"/>
            <w:b/>
            <w:noProof/>
          </w:rPr>
          <w:t>Table 3.5</w:t>
        </w:r>
        <w:r w:rsidR="00912BB1">
          <w:rPr>
            <w:rFonts w:asciiTheme="minorHAnsi" w:eastAsiaTheme="minorEastAsia" w:hAnsiTheme="minorHAnsi" w:cstheme="minorBidi"/>
            <w:noProof/>
            <w:lang w:eastAsia="en-AU"/>
          </w:rPr>
          <w:tab/>
        </w:r>
        <w:r w:rsidR="00912BB1" w:rsidRPr="00AB7F02">
          <w:rPr>
            <w:rStyle w:val="Hyperlink"/>
            <w:noProof/>
          </w:rPr>
          <w:t>Some recent shipwreck incidents in Australian territorial waters and costs</w:t>
        </w:r>
        <w:r w:rsidR="00912BB1">
          <w:rPr>
            <w:noProof/>
          </w:rPr>
          <w:tab/>
        </w:r>
        <w:r w:rsidR="00912BB1">
          <w:rPr>
            <w:noProof/>
          </w:rPr>
          <w:fldChar w:fldCharType="begin"/>
        </w:r>
        <w:r w:rsidR="00912BB1">
          <w:rPr>
            <w:noProof/>
          </w:rPr>
          <w:instrText xml:space="preserve"> PAGEREF _Toc99543756 \h </w:instrText>
        </w:r>
        <w:r w:rsidR="00912BB1">
          <w:rPr>
            <w:noProof/>
          </w:rPr>
        </w:r>
        <w:r w:rsidR="00912BB1">
          <w:rPr>
            <w:noProof/>
          </w:rPr>
          <w:fldChar w:fldCharType="separate"/>
        </w:r>
        <w:r w:rsidR="00912BB1">
          <w:rPr>
            <w:noProof/>
          </w:rPr>
          <w:t>28</w:t>
        </w:r>
        <w:r w:rsidR="00912BB1">
          <w:rPr>
            <w:noProof/>
          </w:rPr>
          <w:fldChar w:fldCharType="end"/>
        </w:r>
      </w:hyperlink>
    </w:p>
    <w:p w14:paraId="56A97956" w14:textId="2A066E4E" w:rsidR="00912BB1" w:rsidRDefault="008C3AD9">
      <w:pPr>
        <w:pStyle w:val="TableofFigures"/>
        <w:rPr>
          <w:rFonts w:asciiTheme="minorHAnsi" w:eastAsiaTheme="minorEastAsia" w:hAnsiTheme="minorHAnsi" w:cstheme="minorBidi"/>
          <w:noProof/>
          <w:lang w:eastAsia="en-AU"/>
        </w:rPr>
      </w:pPr>
      <w:hyperlink w:anchor="_Toc99543757" w:history="1">
        <w:r w:rsidR="00912BB1" w:rsidRPr="00AB7F02">
          <w:rPr>
            <w:rStyle w:val="Hyperlink"/>
            <w:b/>
            <w:noProof/>
          </w:rPr>
          <w:t>Table 3.6</w:t>
        </w:r>
        <w:r w:rsidR="00912BB1">
          <w:rPr>
            <w:rFonts w:asciiTheme="minorHAnsi" w:eastAsiaTheme="minorEastAsia" w:hAnsiTheme="minorHAnsi" w:cstheme="minorBidi"/>
            <w:noProof/>
            <w:lang w:eastAsia="en-AU"/>
          </w:rPr>
          <w:tab/>
        </w:r>
        <w:r w:rsidR="00912BB1" w:rsidRPr="00AB7F02">
          <w:rPr>
            <w:rStyle w:val="Hyperlink"/>
            <w:noProof/>
          </w:rPr>
          <w:t>Key assumptions</w:t>
        </w:r>
        <w:r w:rsidR="00912BB1">
          <w:rPr>
            <w:noProof/>
          </w:rPr>
          <w:tab/>
        </w:r>
        <w:r w:rsidR="00912BB1">
          <w:rPr>
            <w:noProof/>
          </w:rPr>
          <w:fldChar w:fldCharType="begin"/>
        </w:r>
        <w:r w:rsidR="00912BB1">
          <w:rPr>
            <w:noProof/>
          </w:rPr>
          <w:instrText xml:space="preserve"> PAGEREF _Toc99543757 \h </w:instrText>
        </w:r>
        <w:r w:rsidR="00912BB1">
          <w:rPr>
            <w:noProof/>
          </w:rPr>
        </w:r>
        <w:r w:rsidR="00912BB1">
          <w:rPr>
            <w:noProof/>
          </w:rPr>
          <w:fldChar w:fldCharType="separate"/>
        </w:r>
        <w:r w:rsidR="00912BB1">
          <w:rPr>
            <w:noProof/>
          </w:rPr>
          <w:t>29</w:t>
        </w:r>
        <w:r w:rsidR="00912BB1">
          <w:rPr>
            <w:noProof/>
          </w:rPr>
          <w:fldChar w:fldCharType="end"/>
        </w:r>
      </w:hyperlink>
    </w:p>
    <w:p w14:paraId="3EA0BB86" w14:textId="0E3E9C6E" w:rsidR="00912BB1" w:rsidRDefault="008C3AD9">
      <w:pPr>
        <w:pStyle w:val="TableofFigures"/>
        <w:rPr>
          <w:rFonts w:asciiTheme="minorHAnsi" w:eastAsiaTheme="minorEastAsia" w:hAnsiTheme="minorHAnsi" w:cstheme="minorBidi"/>
          <w:noProof/>
          <w:lang w:eastAsia="en-AU"/>
        </w:rPr>
      </w:pPr>
      <w:hyperlink w:anchor="_Toc99543758" w:history="1">
        <w:r w:rsidR="00912BB1" w:rsidRPr="00AB7F02">
          <w:rPr>
            <w:rStyle w:val="Hyperlink"/>
            <w:b/>
            <w:noProof/>
          </w:rPr>
          <w:t>Table 3.7</w:t>
        </w:r>
        <w:r w:rsidR="00912BB1">
          <w:rPr>
            <w:rFonts w:asciiTheme="minorHAnsi" w:eastAsiaTheme="minorEastAsia" w:hAnsiTheme="minorHAnsi" w:cstheme="minorBidi"/>
            <w:noProof/>
            <w:lang w:eastAsia="en-AU"/>
          </w:rPr>
          <w:tab/>
        </w:r>
        <w:r w:rsidR="00912BB1" w:rsidRPr="00AB7F02">
          <w:rPr>
            <w:rStyle w:val="Hyperlink"/>
            <w:noProof/>
          </w:rPr>
          <w:t>Average wreck removal cost by type of vessel in Territorial Sea</w:t>
        </w:r>
        <w:r w:rsidR="00912BB1">
          <w:rPr>
            <w:noProof/>
          </w:rPr>
          <w:tab/>
        </w:r>
        <w:r w:rsidR="00912BB1">
          <w:rPr>
            <w:noProof/>
          </w:rPr>
          <w:fldChar w:fldCharType="begin"/>
        </w:r>
        <w:r w:rsidR="00912BB1">
          <w:rPr>
            <w:noProof/>
          </w:rPr>
          <w:instrText xml:space="preserve"> PAGEREF _Toc99543758 \h </w:instrText>
        </w:r>
        <w:r w:rsidR="00912BB1">
          <w:rPr>
            <w:noProof/>
          </w:rPr>
        </w:r>
        <w:r w:rsidR="00912BB1">
          <w:rPr>
            <w:noProof/>
          </w:rPr>
          <w:fldChar w:fldCharType="separate"/>
        </w:r>
        <w:r w:rsidR="00912BB1">
          <w:rPr>
            <w:noProof/>
          </w:rPr>
          <w:t>31</w:t>
        </w:r>
        <w:r w:rsidR="00912BB1">
          <w:rPr>
            <w:noProof/>
          </w:rPr>
          <w:fldChar w:fldCharType="end"/>
        </w:r>
      </w:hyperlink>
    </w:p>
    <w:p w14:paraId="3746D102" w14:textId="1629B93E" w:rsidR="00912BB1" w:rsidRDefault="008C3AD9">
      <w:pPr>
        <w:pStyle w:val="TableofFigures"/>
        <w:rPr>
          <w:rFonts w:asciiTheme="minorHAnsi" w:eastAsiaTheme="minorEastAsia" w:hAnsiTheme="minorHAnsi" w:cstheme="minorBidi"/>
          <w:noProof/>
          <w:lang w:eastAsia="en-AU"/>
        </w:rPr>
      </w:pPr>
      <w:hyperlink w:anchor="_Toc99543759" w:history="1">
        <w:r w:rsidR="00912BB1" w:rsidRPr="00AB7F02">
          <w:rPr>
            <w:rStyle w:val="Hyperlink"/>
            <w:b/>
            <w:noProof/>
          </w:rPr>
          <w:t>Table 4.1</w:t>
        </w:r>
        <w:r w:rsidR="00912BB1">
          <w:rPr>
            <w:rFonts w:asciiTheme="minorHAnsi" w:eastAsiaTheme="minorEastAsia" w:hAnsiTheme="minorHAnsi" w:cstheme="minorBidi"/>
            <w:noProof/>
            <w:lang w:eastAsia="en-AU"/>
          </w:rPr>
          <w:tab/>
        </w:r>
        <w:r w:rsidR="00912BB1" w:rsidRPr="00AB7F02">
          <w:rPr>
            <w:rStyle w:val="Hyperlink"/>
            <w:noProof/>
          </w:rPr>
          <w:t>Compliance costs under Options 3 and 4, relative to Option 1 over a ten-year period</w:t>
        </w:r>
        <w:r w:rsidR="00912BB1">
          <w:rPr>
            <w:noProof/>
          </w:rPr>
          <w:tab/>
        </w:r>
        <w:r w:rsidR="00912BB1">
          <w:rPr>
            <w:noProof/>
          </w:rPr>
          <w:fldChar w:fldCharType="begin"/>
        </w:r>
        <w:r w:rsidR="00912BB1">
          <w:rPr>
            <w:noProof/>
          </w:rPr>
          <w:instrText xml:space="preserve"> PAGEREF _Toc99543759 \h </w:instrText>
        </w:r>
        <w:r w:rsidR="00912BB1">
          <w:rPr>
            <w:noProof/>
          </w:rPr>
        </w:r>
        <w:r w:rsidR="00912BB1">
          <w:rPr>
            <w:noProof/>
          </w:rPr>
          <w:fldChar w:fldCharType="separate"/>
        </w:r>
        <w:r w:rsidR="00912BB1">
          <w:rPr>
            <w:noProof/>
          </w:rPr>
          <w:t>35</w:t>
        </w:r>
        <w:r w:rsidR="00912BB1">
          <w:rPr>
            <w:noProof/>
          </w:rPr>
          <w:fldChar w:fldCharType="end"/>
        </w:r>
      </w:hyperlink>
    </w:p>
    <w:p w14:paraId="32CCFE96" w14:textId="73C3BA20" w:rsidR="00912BB1" w:rsidRDefault="008C3AD9">
      <w:pPr>
        <w:pStyle w:val="TableofFigures"/>
        <w:rPr>
          <w:rFonts w:asciiTheme="minorHAnsi" w:eastAsiaTheme="minorEastAsia" w:hAnsiTheme="minorHAnsi" w:cstheme="minorBidi"/>
          <w:noProof/>
          <w:lang w:eastAsia="en-AU"/>
        </w:rPr>
      </w:pPr>
      <w:hyperlink w:anchor="_Toc99543760" w:history="1">
        <w:r w:rsidR="00912BB1" w:rsidRPr="00AB7F02">
          <w:rPr>
            <w:rStyle w:val="Hyperlink"/>
            <w:b/>
            <w:noProof/>
          </w:rPr>
          <w:t>Table 4.2</w:t>
        </w:r>
        <w:r w:rsidR="00912BB1">
          <w:rPr>
            <w:rFonts w:asciiTheme="minorHAnsi" w:eastAsiaTheme="minorEastAsia" w:hAnsiTheme="minorHAnsi" w:cstheme="minorBidi"/>
            <w:noProof/>
            <w:lang w:eastAsia="en-AU"/>
          </w:rPr>
          <w:tab/>
        </w:r>
        <w:r w:rsidR="00912BB1" w:rsidRPr="00AB7F02">
          <w:rPr>
            <w:rStyle w:val="Hyperlink"/>
            <w:noProof/>
          </w:rPr>
          <w:t>Costs and benefits under Option 3 relative to Option 1 over a ten-year period</w:t>
        </w:r>
        <w:r w:rsidR="00912BB1">
          <w:rPr>
            <w:noProof/>
          </w:rPr>
          <w:tab/>
        </w:r>
        <w:r w:rsidR="00912BB1">
          <w:rPr>
            <w:noProof/>
          </w:rPr>
          <w:fldChar w:fldCharType="begin"/>
        </w:r>
        <w:r w:rsidR="00912BB1">
          <w:rPr>
            <w:noProof/>
          </w:rPr>
          <w:instrText xml:space="preserve"> PAGEREF _Toc99543760 \h </w:instrText>
        </w:r>
        <w:r w:rsidR="00912BB1">
          <w:rPr>
            <w:noProof/>
          </w:rPr>
        </w:r>
        <w:r w:rsidR="00912BB1">
          <w:rPr>
            <w:noProof/>
          </w:rPr>
          <w:fldChar w:fldCharType="separate"/>
        </w:r>
        <w:r w:rsidR="00912BB1">
          <w:rPr>
            <w:noProof/>
          </w:rPr>
          <w:t>38</w:t>
        </w:r>
        <w:r w:rsidR="00912BB1">
          <w:rPr>
            <w:noProof/>
          </w:rPr>
          <w:fldChar w:fldCharType="end"/>
        </w:r>
      </w:hyperlink>
    </w:p>
    <w:p w14:paraId="7D4F978E" w14:textId="06D3FE23" w:rsidR="00912BB1" w:rsidRDefault="008C3AD9">
      <w:pPr>
        <w:pStyle w:val="TableofFigures"/>
        <w:rPr>
          <w:rFonts w:asciiTheme="minorHAnsi" w:eastAsiaTheme="minorEastAsia" w:hAnsiTheme="minorHAnsi" w:cstheme="minorBidi"/>
          <w:noProof/>
          <w:lang w:eastAsia="en-AU"/>
        </w:rPr>
      </w:pPr>
      <w:hyperlink w:anchor="_Toc99543761" w:history="1">
        <w:r w:rsidR="00912BB1" w:rsidRPr="00AB7F02">
          <w:rPr>
            <w:rStyle w:val="Hyperlink"/>
            <w:b/>
            <w:noProof/>
          </w:rPr>
          <w:t>Table 4.3</w:t>
        </w:r>
        <w:r w:rsidR="00912BB1">
          <w:rPr>
            <w:rFonts w:asciiTheme="minorHAnsi" w:eastAsiaTheme="minorEastAsia" w:hAnsiTheme="minorHAnsi" w:cstheme="minorBidi"/>
            <w:noProof/>
            <w:lang w:eastAsia="en-AU"/>
          </w:rPr>
          <w:tab/>
        </w:r>
        <w:r w:rsidR="00912BB1" w:rsidRPr="00AB7F02">
          <w:rPr>
            <w:rStyle w:val="Hyperlink"/>
            <w:noProof/>
          </w:rPr>
          <w:t>Costs and benefits under Option 4 relative to Option 1 over a ten-year period – sensitivity analysis</w:t>
        </w:r>
        <w:r w:rsidR="00912BB1">
          <w:rPr>
            <w:noProof/>
          </w:rPr>
          <w:tab/>
        </w:r>
        <w:r w:rsidR="00912BB1">
          <w:rPr>
            <w:noProof/>
          </w:rPr>
          <w:fldChar w:fldCharType="begin"/>
        </w:r>
        <w:r w:rsidR="00912BB1">
          <w:rPr>
            <w:noProof/>
          </w:rPr>
          <w:instrText xml:space="preserve"> PAGEREF _Toc99543761 \h </w:instrText>
        </w:r>
        <w:r w:rsidR="00912BB1">
          <w:rPr>
            <w:noProof/>
          </w:rPr>
        </w:r>
        <w:r w:rsidR="00912BB1">
          <w:rPr>
            <w:noProof/>
          </w:rPr>
          <w:fldChar w:fldCharType="separate"/>
        </w:r>
        <w:r w:rsidR="00912BB1">
          <w:rPr>
            <w:noProof/>
          </w:rPr>
          <w:t>40</w:t>
        </w:r>
        <w:r w:rsidR="00912BB1">
          <w:rPr>
            <w:noProof/>
          </w:rPr>
          <w:fldChar w:fldCharType="end"/>
        </w:r>
      </w:hyperlink>
    </w:p>
    <w:p w14:paraId="0215B60E" w14:textId="129DD923" w:rsidR="00C17404" w:rsidRDefault="00C17404" w:rsidP="00602E94">
      <w:pPr>
        <w:pStyle w:val="TOCGeneral"/>
        <w:sectPr w:rsidR="00C17404" w:rsidSect="00C17404">
          <w:headerReference w:type="even" r:id="rId20"/>
          <w:headerReference w:type="default" r:id="rId21"/>
          <w:footerReference w:type="even" r:id="rId22"/>
          <w:footerReference w:type="default" r:id="rId23"/>
          <w:headerReference w:type="first" r:id="rId24"/>
          <w:footerReference w:type="first" r:id="rId25"/>
          <w:pgSz w:w="11906" w:h="16838" w:code="9"/>
          <w:pgMar w:top="1134" w:right="851" w:bottom="1134" w:left="3119" w:header="454" w:footer="159" w:gutter="0"/>
          <w:cols w:space="708"/>
          <w:docGrid w:linePitch="360"/>
        </w:sectPr>
      </w:pPr>
      <w:r>
        <w:fldChar w:fldCharType="end"/>
      </w:r>
    </w:p>
    <w:tbl>
      <w:tblPr>
        <w:tblW w:w="0" w:type="auto"/>
        <w:tblLayout w:type="fixed"/>
        <w:tblCellMar>
          <w:left w:w="0" w:type="dxa"/>
          <w:right w:w="0" w:type="dxa"/>
        </w:tblCellMar>
        <w:tblLook w:val="0000" w:firstRow="0" w:lastRow="0" w:firstColumn="0" w:lastColumn="0" w:noHBand="0" w:noVBand="0"/>
      </w:tblPr>
      <w:tblGrid>
        <w:gridCol w:w="5570"/>
        <w:gridCol w:w="2366"/>
      </w:tblGrid>
      <w:tr w:rsidR="001E5CAD" w14:paraId="55CF3BF5" w14:textId="77777777" w:rsidTr="001E5CAD">
        <w:trPr>
          <w:trHeight w:hRule="exact" w:val="382"/>
        </w:trPr>
        <w:tc>
          <w:tcPr>
            <w:tcW w:w="5570" w:type="dxa"/>
          </w:tcPr>
          <w:p w14:paraId="222FDCA4" w14:textId="01421C21" w:rsidR="001E5CAD" w:rsidRDefault="001E5CAD" w:rsidP="001E5CAD">
            <w:pPr>
              <w:pStyle w:val="tagglossaryChpt"/>
              <w:pageBreakBefore/>
            </w:pPr>
            <w:r>
              <w:rPr>
                <w:noProof/>
                <w:lang w:eastAsia="en-AU"/>
              </w:rPr>
              <w:lastRenderedPageBreak/>
              <w:drawing>
                <wp:anchor distT="0" distB="0" distL="114300" distR="114300" simplePos="0" relativeHeight="251653120" behindDoc="1" locked="1" layoutInCell="1" allowOverlap="1" wp14:anchorId="603DD848" wp14:editId="0CE9C31C">
                  <wp:simplePos x="0" y="0"/>
                  <wp:positionH relativeFrom="page">
                    <wp:posOffset>0</wp:posOffset>
                  </wp:positionH>
                  <wp:positionV relativeFrom="page">
                    <wp:posOffset>0</wp:posOffset>
                  </wp:positionV>
                  <wp:extent cx="5039360" cy="1995170"/>
                  <wp:effectExtent l="0" t="0" r="8890" b="5080"/>
                  <wp:wrapNone/>
                  <wp:docPr id="39"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2130523A" w14:textId="77777777" w:rsidR="001E5CAD" w:rsidRDefault="001E5CAD" w:rsidP="001E5CAD">
            <w:pPr>
              <w:pStyle w:val="spacer"/>
            </w:pPr>
          </w:p>
        </w:tc>
      </w:tr>
      <w:tr w:rsidR="001E5CAD" w14:paraId="1B5698A2" w14:textId="77777777" w:rsidTr="001E5CAD">
        <w:trPr>
          <w:trHeight w:hRule="exact" w:val="2760"/>
        </w:trPr>
        <w:tc>
          <w:tcPr>
            <w:tcW w:w="5570" w:type="dxa"/>
            <w:vAlign w:val="bottom"/>
          </w:tcPr>
          <w:p w14:paraId="0A3C0B63" w14:textId="6F79EE72" w:rsidR="001E5CAD" w:rsidRDefault="001E5CAD" w:rsidP="001E5CAD">
            <w:pPr>
              <w:pStyle w:val="Headingglossary"/>
            </w:pPr>
            <w:bookmarkStart w:id="1" w:name="_Toc99543709"/>
            <w:r>
              <w:t>Glossary</w:t>
            </w:r>
            <w:bookmarkEnd w:id="1"/>
          </w:p>
        </w:tc>
        <w:tc>
          <w:tcPr>
            <w:tcW w:w="2366" w:type="dxa"/>
            <w:tcMar>
              <w:right w:w="224" w:type="dxa"/>
            </w:tcMar>
            <w:vAlign w:val="bottom"/>
          </w:tcPr>
          <w:p w14:paraId="3C8D7F3A" w14:textId="77777777" w:rsidR="001E5CAD" w:rsidRDefault="001E5CAD" w:rsidP="001E5CAD">
            <w:pPr>
              <w:pStyle w:val="spacer"/>
            </w:pPr>
          </w:p>
        </w:tc>
      </w:tr>
      <w:tr w:rsidR="001E5CAD" w14:paraId="311EAF91" w14:textId="77777777" w:rsidTr="001E5CAD">
        <w:trPr>
          <w:trHeight w:hRule="exact" w:val="228"/>
        </w:trPr>
        <w:tc>
          <w:tcPr>
            <w:tcW w:w="5570" w:type="dxa"/>
          </w:tcPr>
          <w:p w14:paraId="642A3A0B" w14:textId="77777777" w:rsidR="001E5CAD" w:rsidRDefault="001E5CAD" w:rsidP="001E5CAD">
            <w:pPr>
              <w:pStyle w:val="spacer"/>
            </w:pPr>
          </w:p>
        </w:tc>
        <w:tc>
          <w:tcPr>
            <w:tcW w:w="2366" w:type="dxa"/>
          </w:tcPr>
          <w:p w14:paraId="4301A4DE" w14:textId="77777777" w:rsidR="001E5CAD" w:rsidRDefault="001E5CAD" w:rsidP="001E5CAD">
            <w:pPr>
              <w:pStyle w:val="spacer"/>
            </w:pPr>
          </w:p>
        </w:tc>
      </w:tr>
    </w:tbl>
    <w:p w14:paraId="05B10B78" w14:textId="7411A24E" w:rsidR="001E5CAD" w:rsidRDefault="001E5CAD" w:rsidP="001E5CAD">
      <w:pPr>
        <w:pStyle w:val="BodyText"/>
      </w:pPr>
    </w:p>
    <w:tbl>
      <w:tblPr>
        <w:tblW w:w="7938" w:type="dxa"/>
        <w:tblLayout w:type="fixed"/>
        <w:tblCellMar>
          <w:left w:w="0" w:type="dxa"/>
          <w:right w:w="0" w:type="dxa"/>
        </w:tblCellMar>
        <w:tblLook w:val="0000" w:firstRow="0" w:lastRow="0" w:firstColumn="0" w:lastColumn="0" w:noHBand="0" w:noVBand="0"/>
      </w:tblPr>
      <w:tblGrid>
        <w:gridCol w:w="2835"/>
        <w:gridCol w:w="1134"/>
        <w:gridCol w:w="3969"/>
      </w:tblGrid>
      <w:tr w:rsidR="00575DE4" w14:paraId="17E2B57A" w14:textId="77777777" w:rsidTr="00602E94">
        <w:trPr>
          <w:trHeight w:val="497"/>
        </w:trPr>
        <w:tc>
          <w:tcPr>
            <w:tcW w:w="2835" w:type="dxa"/>
            <w:shd w:val="clear" w:color="auto" w:fill="auto"/>
          </w:tcPr>
          <w:p w14:paraId="1260D61F" w14:textId="110E4C1C" w:rsidR="00575DE4" w:rsidRDefault="00575DE4" w:rsidP="001E5CAD">
            <w:pPr>
              <w:pStyle w:val="BodyText"/>
            </w:pPr>
          </w:p>
        </w:tc>
        <w:tc>
          <w:tcPr>
            <w:tcW w:w="1134" w:type="dxa"/>
          </w:tcPr>
          <w:p w14:paraId="07890C3D" w14:textId="77777777" w:rsidR="00575DE4" w:rsidRDefault="00575DE4" w:rsidP="001E5CAD">
            <w:pPr>
              <w:pStyle w:val="BodyText"/>
            </w:pPr>
          </w:p>
        </w:tc>
        <w:tc>
          <w:tcPr>
            <w:tcW w:w="3969" w:type="dxa"/>
            <w:shd w:val="clear" w:color="auto" w:fill="auto"/>
          </w:tcPr>
          <w:p w14:paraId="28030BA6" w14:textId="01DFF365" w:rsidR="00575DE4" w:rsidRDefault="00575DE4" w:rsidP="001E5CAD">
            <w:pPr>
              <w:pStyle w:val="BodyText"/>
            </w:pPr>
          </w:p>
        </w:tc>
      </w:tr>
      <w:tr w:rsidR="00575DE4" w14:paraId="4D1AF1B6" w14:textId="77777777" w:rsidTr="00602E94">
        <w:trPr>
          <w:trHeight w:val="497"/>
        </w:trPr>
        <w:tc>
          <w:tcPr>
            <w:tcW w:w="2835" w:type="dxa"/>
            <w:shd w:val="clear" w:color="auto" w:fill="auto"/>
          </w:tcPr>
          <w:p w14:paraId="2E59B150" w14:textId="5C7EAAE7" w:rsidR="00575DE4" w:rsidRDefault="00575DE4" w:rsidP="00575DE4">
            <w:pPr>
              <w:pStyle w:val="BodyText"/>
            </w:pPr>
            <w:r w:rsidRPr="001D4270">
              <w:t>Australian Maritime Safety Authority</w:t>
            </w:r>
          </w:p>
        </w:tc>
        <w:tc>
          <w:tcPr>
            <w:tcW w:w="1134" w:type="dxa"/>
          </w:tcPr>
          <w:p w14:paraId="3AF0CE57" w14:textId="026F3BC9" w:rsidR="00575DE4" w:rsidRPr="0064427A" w:rsidRDefault="00575DE4" w:rsidP="00575DE4">
            <w:pPr>
              <w:pStyle w:val="BodyText"/>
            </w:pPr>
            <w:r w:rsidRPr="001D4270">
              <w:t xml:space="preserve">AMSA </w:t>
            </w:r>
          </w:p>
        </w:tc>
        <w:tc>
          <w:tcPr>
            <w:tcW w:w="3969" w:type="dxa"/>
            <w:shd w:val="clear" w:color="auto" w:fill="auto"/>
          </w:tcPr>
          <w:p w14:paraId="41F41D75" w14:textId="61B01775" w:rsidR="00575DE4" w:rsidRDefault="00575DE4" w:rsidP="00575DE4">
            <w:pPr>
              <w:pStyle w:val="BodyText"/>
            </w:pPr>
            <w:r w:rsidRPr="001D4270">
              <w:t>Australia's national agency responsible for maritime safety, protection of the marine environment, and maritime aviation search and rescue.</w:t>
            </w:r>
          </w:p>
        </w:tc>
      </w:tr>
      <w:tr w:rsidR="00575DE4" w14:paraId="1E9888E9" w14:textId="77777777" w:rsidTr="00602E94">
        <w:trPr>
          <w:trHeight w:val="497"/>
        </w:trPr>
        <w:tc>
          <w:tcPr>
            <w:tcW w:w="2835" w:type="dxa"/>
            <w:shd w:val="clear" w:color="auto" w:fill="auto"/>
          </w:tcPr>
          <w:p w14:paraId="7ED73921" w14:textId="55A46BBD" w:rsidR="00575DE4" w:rsidRPr="003618B5" w:rsidRDefault="00575DE4" w:rsidP="00575DE4">
            <w:pPr>
              <w:pStyle w:val="BodyText"/>
              <w:rPr>
                <w:lang w:val="en-US"/>
              </w:rPr>
            </w:pPr>
            <w:r w:rsidRPr="001D4270">
              <w:t>Convention on Limitation of Liability for Maritime Claims</w:t>
            </w:r>
          </w:p>
        </w:tc>
        <w:tc>
          <w:tcPr>
            <w:tcW w:w="1134" w:type="dxa"/>
          </w:tcPr>
          <w:p w14:paraId="0B8BD58F" w14:textId="1FC62640" w:rsidR="00575DE4" w:rsidRPr="00DF274E" w:rsidRDefault="00575DE4" w:rsidP="00575DE4">
            <w:pPr>
              <w:pStyle w:val="BodyText"/>
            </w:pPr>
            <w:r w:rsidRPr="001D4270">
              <w:t>LLMC Convention</w:t>
            </w:r>
          </w:p>
        </w:tc>
        <w:tc>
          <w:tcPr>
            <w:tcW w:w="3969" w:type="dxa"/>
            <w:shd w:val="clear" w:color="auto" w:fill="auto"/>
          </w:tcPr>
          <w:p w14:paraId="21B7ADF0" w14:textId="5B82BF57" w:rsidR="00575DE4" w:rsidRPr="00DF274E" w:rsidRDefault="00575DE4" w:rsidP="00575DE4">
            <w:pPr>
              <w:pStyle w:val="BodyText"/>
            </w:pPr>
            <w:r w:rsidRPr="001D4270">
              <w:t>A Convention relating to shipowners, allowing them to limit their liability to pay compensation for general ship-sourced damage.</w:t>
            </w:r>
          </w:p>
        </w:tc>
      </w:tr>
      <w:tr w:rsidR="00575DE4" w14:paraId="54E8BF2C" w14:textId="77777777" w:rsidTr="00602E94">
        <w:trPr>
          <w:trHeight w:val="497"/>
        </w:trPr>
        <w:tc>
          <w:tcPr>
            <w:tcW w:w="2835" w:type="dxa"/>
            <w:shd w:val="clear" w:color="auto" w:fill="auto"/>
          </w:tcPr>
          <w:p w14:paraId="5404CCD5" w14:textId="2DF088EE" w:rsidR="00575DE4" w:rsidRDefault="00575DE4" w:rsidP="00575DE4">
            <w:pPr>
              <w:pStyle w:val="BodyText"/>
            </w:pPr>
            <w:r w:rsidRPr="001D4270">
              <w:t>Coastal waters</w:t>
            </w:r>
          </w:p>
        </w:tc>
        <w:tc>
          <w:tcPr>
            <w:tcW w:w="1134" w:type="dxa"/>
          </w:tcPr>
          <w:p w14:paraId="3E43AEFA" w14:textId="77777777" w:rsidR="00575DE4" w:rsidRPr="00DF274E" w:rsidRDefault="00575DE4" w:rsidP="00575DE4">
            <w:pPr>
              <w:pStyle w:val="BodyText"/>
            </w:pPr>
          </w:p>
        </w:tc>
        <w:tc>
          <w:tcPr>
            <w:tcW w:w="3969" w:type="dxa"/>
            <w:shd w:val="clear" w:color="auto" w:fill="auto"/>
          </w:tcPr>
          <w:p w14:paraId="5732DA2C" w14:textId="4809F53A" w:rsidR="00575DE4" w:rsidRDefault="00575DE4" w:rsidP="00575DE4">
            <w:pPr>
              <w:pStyle w:val="BodyText"/>
            </w:pPr>
            <w:r w:rsidRPr="001D4270">
              <w:t>Coastal waters is a belt of water between the limits of the Australian States and the Northern Territory and a line 3 nautical miles seaward of the territorial sea baseline.</w:t>
            </w:r>
            <w:r>
              <w:t xml:space="preserve"> </w:t>
            </w:r>
            <w:r w:rsidRPr="001D4270">
              <w:t>Jurisdiction over the water column and the subjacent seabed is vested in the adjacent State or Territory as if the area formed part of that State or Territory.</w:t>
            </w:r>
          </w:p>
        </w:tc>
      </w:tr>
      <w:tr w:rsidR="00575DE4" w14:paraId="1A2507FF" w14:textId="77777777" w:rsidTr="00602E94">
        <w:trPr>
          <w:trHeight w:val="481"/>
        </w:trPr>
        <w:tc>
          <w:tcPr>
            <w:tcW w:w="2835" w:type="dxa"/>
            <w:shd w:val="clear" w:color="auto" w:fill="auto"/>
          </w:tcPr>
          <w:p w14:paraId="45F8107A" w14:textId="530A0581" w:rsidR="00575DE4" w:rsidRDefault="00575DE4" w:rsidP="00575DE4">
            <w:pPr>
              <w:pStyle w:val="BodyText"/>
            </w:pPr>
            <w:r w:rsidRPr="001D4270">
              <w:t>Domestic commercial vessels</w:t>
            </w:r>
          </w:p>
        </w:tc>
        <w:tc>
          <w:tcPr>
            <w:tcW w:w="1134" w:type="dxa"/>
          </w:tcPr>
          <w:p w14:paraId="5DF70BD5" w14:textId="42820F23" w:rsidR="00575DE4" w:rsidRDefault="00575DE4" w:rsidP="00575DE4">
            <w:pPr>
              <w:pStyle w:val="BodyText"/>
            </w:pPr>
            <w:r w:rsidRPr="001D4270">
              <w:t>DCVs</w:t>
            </w:r>
          </w:p>
        </w:tc>
        <w:tc>
          <w:tcPr>
            <w:tcW w:w="3969" w:type="dxa"/>
            <w:shd w:val="clear" w:color="auto" w:fill="auto"/>
          </w:tcPr>
          <w:p w14:paraId="589D0065" w14:textId="388793A0" w:rsidR="00575DE4" w:rsidRDefault="00575DE4" w:rsidP="00575DE4">
            <w:pPr>
              <w:pStyle w:val="BodyText"/>
            </w:pPr>
            <w:r w:rsidRPr="001D4270">
              <w:t>A DCV means a vessel that is for use in connection with a commercial, governmental or research activity and undertakes only domestic voyages around Australia.</w:t>
            </w:r>
            <w:r>
              <w:t xml:space="preserve"> </w:t>
            </w:r>
            <w:r w:rsidRPr="001D4270">
              <w:t xml:space="preserve">The full definition is provided in Schedule 1 of the </w:t>
            </w:r>
            <w:r w:rsidRPr="00602E94">
              <w:rPr>
                <w:i/>
              </w:rPr>
              <w:t>Marine Safety (Domestic Commercial Vessel) National Law Act 2012</w:t>
            </w:r>
            <w:r w:rsidRPr="001D4270">
              <w:t>.</w:t>
            </w:r>
          </w:p>
        </w:tc>
      </w:tr>
      <w:tr w:rsidR="00575DE4" w14:paraId="703F8B5D" w14:textId="77777777" w:rsidTr="00602E94">
        <w:trPr>
          <w:trHeight w:val="767"/>
        </w:trPr>
        <w:tc>
          <w:tcPr>
            <w:tcW w:w="2835" w:type="dxa"/>
            <w:shd w:val="clear" w:color="auto" w:fill="auto"/>
          </w:tcPr>
          <w:p w14:paraId="6A7A41A6" w14:textId="011FD956" w:rsidR="00575DE4" w:rsidRDefault="00575DE4" w:rsidP="00575DE4">
            <w:pPr>
              <w:pStyle w:val="BodyText"/>
            </w:pPr>
            <w:r w:rsidRPr="001D4270">
              <w:t>Exclusive Economic Zone</w:t>
            </w:r>
          </w:p>
        </w:tc>
        <w:tc>
          <w:tcPr>
            <w:tcW w:w="1134" w:type="dxa"/>
          </w:tcPr>
          <w:p w14:paraId="0E971195" w14:textId="3DE15EFB" w:rsidR="00575DE4" w:rsidRDefault="00575DE4" w:rsidP="00575DE4">
            <w:pPr>
              <w:pStyle w:val="BodyText"/>
            </w:pPr>
            <w:r w:rsidRPr="001D4270">
              <w:t xml:space="preserve">EEZ </w:t>
            </w:r>
          </w:p>
        </w:tc>
        <w:tc>
          <w:tcPr>
            <w:tcW w:w="3969" w:type="dxa"/>
            <w:shd w:val="clear" w:color="auto" w:fill="auto"/>
          </w:tcPr>
          <w:p w14:paraId="6F357111" w14:textId="13DEB266" w:rsidR="00575DE4" w:rsidRPr="007D3E73" w:rsidRDefault="00575DE4" w:rsidP="00575DE4">
            <w:pPr>
              <w:pStyle w:val="BodyText"/>
            </w:pPr>
            <w:r w:rsidRPr="001D4270">
              <w:t xml:space="preserve">The EEZ comprises the area 200 nautical miles outwards from the baseline of the territorial sea. </w:t>
            </w:r>
          </w:p>
        </w:tc>
      </w:tr>
      <w:tr w:rsidR="00575DE4" w14:paraId="40089744" w14:textId="77777777" w:rsidTr="00602E94">
        <w:trPr>
          <w:trHeight w:val="786"/>
        </w:trPr>
        <w:tc>
          <w:tcPr>
            <w:tcW w:w="2835" w:type="dxa"/>
            <w:shd w:val="clear" w:color="auto" w:fill="auto"/>
          </w:tcPr>
          <w:p w14:paraId="2DAA40FA" w14:textId="6BFA8C75" w:rsidR="00575DE4" w:rsidRDefault="00575DE4" w:rsidP="00575DE4">
            <w:pPr>
              <w:pStyle w:val="BodyText"/>
            </w:pPr>
            <w:r w:rsidRPr="001D4270">
              <w:t>Foreign Vessel</w:t>
            </w:r>
          </w:p>
        </w:tc>
        <w:tc>
          <w:tcPr>
            <w:tcW w:w="1134" w:type="dxa"/>
          </w:tcPr>
          <w:p w14:paraId="57A3325D" w14:textId="77777777" w:rsidR="00575DE4" w:rsidRPr="007D3E73" w:rsidRDefault="00575DE4" w:rsidP="00575DE4">
            <w:pPr>
              <w:pStyle w:val="BodyText"/>
            </w:pPr>
          </w:p>
        </w:tc>
        <w:tc>
          <w:tcPr>
            <w:tcW w:w="3969" w:type="dxa"/>
            <w:shd w:val="clear" w:color="auto" w:fill="auto"/>
          </w:tcPr>
          <w:p w14:paraId="778B8F62" w14:textId="15E4E32C" w:rsidR="00575DE4" w:rsidRDefault="00575DE4" w:rsidP="00575DE4">
            <w:pPr>
              <w:pStyle w:val="BodyText"/>
            </w:pPr>
            <w:r w:rsidRPr="001D4270">
              <w:t xml:space="preserve">A vessel that does not have Australian nationality; and is not a </w:t>
            </w:r>
            <w:r w:rsidR="000E5F3F">
              <w:t>DCV</w:t>
            </w:r>
            <w:r w:rsidRPr="001D4270">
              <w:t xml:space="preserve"> vessel The definition is contained in s14 of the </w:t>
            </w:r>
            <w:r w:rsidRPr="00602E94">
              <w:rPr>
                <w:i/>
              </w:rPr>
              <w:t>Navigation Act 2012</w:t>
            </w:r>
            <w:r w:rsidRPr="001D4270">
              <w:t>.</w:t>
            </w:r>
          </w:p>
        </w:tc>
      </w:tr>
      <w:tr w:rsidR="00575DE4" w14:paraId="1FB1844A" w14:textId="77777777" w:rsidTr="00602E94">
        <w:trPr>
          <w:trHeight w:val="770"/>
        </w:trPr>
        <w:tc>
          <w:tcPr>
            <w:tcW w:w="2835" w:type="dxa"/>
            <w:shd w:val="clear" w:color="auto" w:fill="auto"/>
          </w:tcPr>
          <w:p w14:paraId="249FDE80" w14:textId="42A534B3" w:rsidR="00575DE4" w:rsidRDefault="00575DE4" w:rsidP="00575DE4">
            <w:pPr>
              <w:pStyle w:val="BodyText"/>
            </w:pPr>
            <w:r w:rsidRPr="001D4270">
              <w:lastRenderedPageBreak/>
              <w:t>Gross Tonnage</w:t>
            </w:r>
          </w:p>
        </w:tc>
        <w:tc>
          <w:tcPr>
            <w:tcW w:w="1134" w:type="dxa"/>
          </w:tcPr>
          <w:p w14:paraId="7FC45612" w14:textId="56E384A7" w:rsidR="00575DE4" w:rsidRPr="007D3E73" w:rsidRDefault="00575DE4" w:rsidP="00575DE4">
            <w:pPr>
              <w:pStyle w:val="BodyText"/>
            </w:pPr>
            <w:r w:rsidRPr="001D4270">
              <w:t>GT</w:t>
            </w:r>
          </w:p>
        </w:tc>
        <w:tc>
          <w:tcPr>
            <w:tcW w:w="3969" w:type="dxa"/>
            <w:shd w:val="clear" w:color="auto" w:fill="auto"/>
          </w:tcPr>
          <w:p w14:paraId="2427A354" w14:textId="4541C500" w:rsidR="00575DE4" w:rsidRDefault="00575DE4" w:rsidP="00575DE4">
            <w:pPr>
              <w:pStyle w:val="BodyText"/>
            </w:pPr>
            <w:r w:rsidRPr="001D4270">
              <w:t>Gross tonnage is based on the moulded volume of all enclosed spaces of the ship.</w:t>
            </w:r>
          </w:p>
        </w:tc>
      </w:tr>
      <w:tr w:rsidR="00602E94" w14:paraId="516E84B0" w14:textId="77777777" w:rsidTr="00602E94">
        <w:trPr>
          <w:trHeight w:val="497"/>
        </w:trPr>
        <w:tc>
          <w:tcPr>
            <w:tcW w:w="2835" w:type="dxa"/>
            <w:shd w:val="clear" w:color="auto" w:fill="auto"/>
          </w:tcPr>
          <w:p w14:paraId="3203383F" w14:textId="29802F71" w:rsidR="00602E94" w:rsidRPr="001D4270" w:rsidRDefault="00602E94" w:rsidP="00575DE4">
            <w:pPr>
              <w:pStyle w:val="BodyText"/>
            </w:pPr>
            <w:r>
              <w:t>Net Tonnage</w:t>
            </w:r>
          </w:p>
        </w:tc>
        <w:tc>
          <w:tcPr>
            <w:tcW w:w="1134" w:type="dxa"/>
          </w:tcPr>
          <w:p w14:paraId="40919949" w14:textId="67659D47" w:rsidR="00602E94" w:rsidRPr="007D3E73" w:rsidRDefault="00602E94" w:rsidP="00575DE4">
            <w:pPr>
              <w:pStyle w:val="BodyText"/>
            </w:pPr>
            <w:r>
              <w:t>NT</w:t>
            </w:r>
          </w:p>
        </w:tc>
        <w:tc>
          <w:tcPr>
            <w:tcW w:w="3969" w:type="dxa"/>
            <w:shd w:val="clear" w:color="auto" w:fill="auto"/>
          </w:tcPr>
          <w:p w14:paraId="2CB25B8A" w14:textId="77777777" w:rsidR="00602E94" w:rsidRPr="001D4270" w:rsidRDefault="00602E94" w:rsidP="00575DE4">
            <w:pPr>
              <w:pStyle w:val="BodyText"/>
            </w:pPr>
          </w:p>
        </w:tc>
      </w:tr>
      <w:tr w:rsidR="00575DE4" w14:paraId="34DDD252" w14:textId="77777777" w:rsidTr="00602E94">
        <w:trPr>
          <w:trHeight w:val="497"/>
        </w:trPr>
        <w:tc>
          <w:tcPr>
            <w:tcW w:w="2835" w:type="dxa"/>
            <w:shd w:val="clear" w:color="auto" w:fill="auto"/>
          </w:tcPr>
          <w:p w14:paraId="2933C246" w14:textId="41C38489" w:rsidR="00575DE4" w:rsidRDefault="00575DE4" w:rsidP="00575DE4">
            <w:pPr>
              <w:pStyle w:val="BodyText"/>
            </w:pPr>
            <w:r w:rsidRPr="001D4270">
              <w:t>Internal waters</w:t>
            </w:r>
          </w:p>
        </w:tc>
        <w:tc>
          <w:tcPr>
            <w:tcW w:w="1134" w:type="dxa"/>
          </w:tcPr>
          <w:p w14:paraId="350802AA" w14:textId="77777777" w:rsidR="00575DE4" w:rsidRPr="007D3E73" w:rsidRDefault="00575DE4" w:rsidP="00575DE4">
            <w:pPr>
              <w:pStyle w:val="BodyText"/>
            </w:pPr>
          </w:p>
        </w:tc>
        <w:tc>
          <w:tcPr>
            <w:tcW w:w="3969" w:type="dxa"/>
            <w:shd w:val="clear" w:color="auto" w:fill="auto"/>
          </w:tcPr>
          <w:p w14:paraId="41B0C0B6" w14:textId="04C05490" w:rsidR="00575DE4" w:rsidRPr="007D3E73" w:rsidRDefault="00575DE4" w:rsidP="00575DE4">
            <w:pPr>
              <w:pStyle w:val="BodyText"/>
            </w:pPr>
            <w:r w:rsidRPr="001D4270">
              <w:t>Waters within the limits of a state or territory.</w:t>
            </w:r>
          </w:p>
        </w:tc>
      </w:tr>
      <w:tr w:rsidR="00575DE4" w14:paraId="6BE2F98E" w14:textId="77777777" w:rsidTr="00602E94">
        <w:trPr>
          <w:trHeight w:val="2439"/>
        </w:trPr>
        <w:tc>
          <w:tcPr>
            <w:tcW w:w="2835" w:type="dxa"/>
            <w:shd w:val="clear" w:color="auto" w:fill="auto"/>
          </w:tcPr>
          <w:p w14:paraId="782CDC40" w14:textId="739625E3" w:rsidR="00575DE4" w:rsidRDefault="00575DE4" w:rsidP="00575DE4">
            <w:pPr>
              <w:pStyle w:val="BodyText"/>
            </w:pPr>
            <w:r w:rsidRPr="001D4270">
              <w:t>The International Group Protection and Indemnity Insurance</w:t>
            </w:r>
          </w:p>
        </w:tc>
        <w:tc>
          <w:tcPr>
            <w:tcW w:w="1134" w:type="dxa"/>
          </w:tcPr>
          <w:p w14:paraId="2EE9C903" w14:textId="623864CE" w:rsidR="00575DE4" w:rsidRDefault="00575DE4" w:rsidP="00575DE4">
            <w:pPr>
              <w:pStyle w:val="BodyText"/>
            </w:pPr>
            <w:r w:rsidRPr="001D4270">
              <w:t>P&amp;I Clubs</w:t>
            </w:r>
          </w:p>
        </w:tc>
        <w:tc>
          <w:tcPr>
            <w:tcW w:w="3969" w:type="dxa"/>
            <w:shd w:val="clear" w:color="auto" w:fill="auto"/>
          </w:tcPr>
          <w:p w14:paraId="6C0A8D7E" w14:textId="58BFDD7A" w:rsidR="00575DE4" w:rsidRDefault="00575DE4" w:rsidP="00575DE4">
            <w:pPr>
              <w:pStyle w:val="BodyText"/>
            </w:pPr>
            <w:r w:rsidRPr="001D4270">
              <w:t>The International Group of P&amp;I Clubs comprises 13 clubs that provide marine liability cover (protection and indemnity) for approximately 90 per cent of global ocean-going tonnage. The clubs cover a wide range of liabilities, including wreck removal. Individual clubs are generally ‘mutuals’, owned and operated by their respective ship owners.</w:t>
            </w:r>
          </w:p>
        </w:tc>
      </w:tr>
      <w:tr w:rsidR="00575DE4" w14:paraId="0AB50366" w14:textId="77777777" w:rsidTr="00602E94">
        <w:trPr>
          <w:trHeight w:val="1161"/>
        </w:trPr>
        <w:tc>
          <w:tcPr>
            <w:tcW w:w="2835" w:type="dxa"/>
            <w:shd w:val="clear" w:color="auto" w:fill="auto"/>
          </w:tcPr>
          <w:p w14:paraId="00183E3C" w14:textId="53A07619" w:rsidR="00575DE4" w:rsidRPr="00602E94" w:rsidRDefault="00575DE4" w:rsidP="00575DE4">
            <w:pPr>
              <w:pStyle w:val="BodyText"/>
              <w:rPr>
                <w:i/>
              </w:rPr>
            </w:pPr>
            <w:r w:rsidRPr="00602E94">
              <w:rPr>
                <w:i/>
              </w:rPr>
              <w:t>Marine Safety (Domestic Commercial Vessel) National Law Act 2012</w:t>
            </w:r>
          </w:p>
        </w:tc>
        <w:tc>
          <w:tcPr>
            <w:tcW w:w="1134" w:type="dxa"/>
          </w:tcPr>
          <w:p w14:paraId="3D183D7E" w14:textId="4DDF82AF" w:rsidR="00575DE4" w:rsidRDefault="00575DE4" w:rsidP="00575DE4">
            <w:pPr>
              <w:pStyle w:val="BodyText"/>
            </w:pPr>
            <w:r w:rsidRPr="001D4270">
              <w:t>The National Law</w:t>
            </w:r>
          </w:p>
        </w:tc>
        <w:tc>
          <w:tcPr>
            <w:tcW w:w="3969" w:type="dxa"/>
            <w:shd w:val="clear" w:color="auto" w:fill="auto"/>
          </w:tcPr>
          <w:p w14:paraId="65FBDF5E" w14:textId="12A5591B" w:rsidR="00575DE4" w:rsidRDefault="00575DE4" w:rsidP="00575DE4">
            <w:pPr>
              <w:pStyle w:val="BodyText"/>
            </w:pPr>
            <w:r w:rsidRPr="001D4270">
              <w:t>An Act for the certification, construction, equipment, design and operation of domestic commercial vessels inside Australia’s exclusive economic zone.</w:t>
            </w:r>
          </w:p>
        </w:tc>
      </w:tr>
      <w:tr w:rsidR="00575DE4" w14:paraId="28257532" w14:textId="77777777" w:rsidTr="00602E94">
        <w:trPr>
          <w:trHeight w:val="1805"/>
        </w:trPr>
        <w:tc>
          <w:tcPr>
            <w:tcW w:w="2835" w:type="dxa"/>
            <w:shd w:val="clear" w:color="auto" w:fill="auto"/>
          </w:tcPr>
          <w:p w14:paraId="54F3E9BA" w14:textId="77777777" w:rsidR="00602E94" w:rsidRPr="00602E94" w:rsidRDefault="00575DE4" w:rsidP="00575DE4">
            <w:pPr>
              <w:pStyle w:val="BodyText"/>
              <w:contextualSpacing/>
              <w:rPr>
                <w:i/>
              </w:rPr>
            </w:pPr>
            <w:r w:rsidRPr="00602E94">
              <w:rPr>
                <w:i/>
              </w:rPr>
              <w:t xml:space="preserve">Nairobi International Convention </w:t>
            </w:r>
          </w:p>
          <w:p w14:paraId="77C9BB3E" w14:textId="70D27589" w:rsidR="00575DE4" w:rsidRDefault="00575DE4" w:rsidP="00575DE4">
            <w:pPr>
              <w:pStyle w:val="BodyText"/>
              <w:contextualSpacing/>
            </w:pPr>
            <w:r w:rsidRPr="00602E94">
              <w:rPr>
                <w:i/>
              </w:rPr>
              <w:t>on the Removal of Wrecks 2007</w:t>
            </w:r>
          </w:p>
        </w:tc>
        <w:tc>
          <w:tcPr>
            <w:tcW w:w="1134" w:type="dxa"/>
          </w:tcPr>
          <w:p w14:paraId="11212AF8" w14:textId="0AC41E0C" w:rsidR="00575DE4" w:rsidRDefault="00575DE4" w:rsidP="00575DE4">
            <w:pPr>
              <w:pStyle w:val="BodyText"/>
            </w:pPr>
            <w:r w:rsidRPr="001D4270">
              <w:t>Nairobi Convention</w:t>
            </w:r>
          </w:p>
        </w:tc>
        <w:tc>
          <w:tcPr>
            <w:tcW w:w="3969" w:type="dxa"/>
            <w:shd w:val="clear" w:color="auto" w:fill="auto"/>
          </w:tcPr>
          <w:p w14:paraId="407A1FDF" w14:textId="20C16E61" w:rsidR="00575DE4" w:rsidRDefault="00575DE4" w:rsidP="00575DE4">
            <w:pPr>
              <w:pStyle w:val="BodyText"/>
            </w:pPr>
            <w:r w:rsidRPr="001D4270">
              <w:t>The Convention provides the legal basis for State Parties to remove, or have removed, shipwrecks that may have the potential to affect adversely the safety of lives, goods and property at sea, as well as the marine environment.</w:t>
            </w:r>
          </w:p>
        </w:tc>
      </w:tr>
      <w:tr w:rsidR="00575DE4" w14:paraId="22587080" w14:textId="77777777" w:rsidTr="00602E94">
        <w:trPr>
          <w:trHeight w:val="1875"/>
        </w:trPr>
        <w:tc>
          <w:tcPr>
            <w:tcW w:w="2835" w:type="dxa"/>
            <w:shd w:val="clear" w:color="auto" w:fill="auto"/>
          </w:tcPr>
          <w:p w14:paraId="4413BF83" w14:textId="37B445AC" w:rsidR="00575DE4" w:rsidRDefault="00575DE4" w:rsidP="00575DE4">
            <w:pPr>
              <w:pStyle w:val="BodyText"/>
            </w:pPr>
            <w:r w:rsidRPr="001D4270">
              <w:t>Nautical mile</w:t>
            </w:r>
          </w:p>
        </w:tc>
        <w:tc>
          <w:tcPr>
            <w:tcW w:w="1134" w:type="dxa"/>
          </w:tcPr>
          <w:p w14:paraId="44A6EE04" w14:textId="7BA55A9E" w:rsidR="00575DE4" w:rsidRDefault="00E6185C" w:rsidP="00575DE4">
            <w:pPr>
              <w:pStyle w:val="BodyText"/>
            </w:pPr>
            <w:r>
              <w:t>nm</w:t>
            </w:r>
          </w:p>
        </w:tc>
        <w:tc>
          <w:tcPr>
            <w:tcW w:w="3969" w:type="dxa"/>
            <w:shd w:val="clear" w:color="auto" w:fill="auto"/>
          </w:tcPr>
          <w:p w14:paraId="5305D8BB" w14:textId="19E1A76F" w:rsidR="00575DE4" w:rsidRDefault="00575DE4" w:rsidP="00575DE4">
            <w:pPr>
              <w:pStyle w:val="BodyText"/>
            </w:pPr>
            <w:r w:rsidRPr="001D4270">
              <w:t>A nautical mile is a unit of distance equal to 1,852 metres. This value was adopted by the International Hydrographic Conference in 1929 and has subsequently been adopted by the International Bureau of Weights and Measures.</w:t>
            </w:r>
          </w:p>
        </w:tc>
      </w:tr>
      <w:tr w:rsidR="00575DE4" w14:paraId="5D429BD5" w14:textId="77777777" w:rsidTr="00602E94">
        <w:trPr>
          <w:trHeight w:val="1264"/>
        </w:trPr>
        <w:tc>
          <w:tcPr>
            <w:tcW w:w="2835" w:type="dxa"/>
            <w:shd w:val="clear" w:color="auto" w:fill="auto"/>
          </w:tcPr>
          <w:p w14:paraId="596CF463" w14:textId="00E11FE6" w:rsidR="00575DE4" w:rsidRPr="00602E94" w:rsidRDefault="00575DE4" w:rsidP="00575DE4">
            <w:pPr>
              <w:pStyle w:val="BodyText"/>
              <w:rPr>
                <w:i/>
              </w:rPr>
            </w:pPr>
            <w:r w:rsidRPr="00602E94">
              <w:rPr>
                <w:i/>
              </w:rPr>
              <w:t>Navigation Act 2012</w:t>
            </w:r>
          </w:p>
        </w:tc>
        <w:tc>
          <w:tcPr>
            <w:tcW w:w="1134" w:type="dxa"/>
          </w:tcPr>
          <w:p w14:paraId="43E853A7" w14:textId="57917479" w:rsidR="00575DE4" w:rsidRDefault="00575DE4" w:rsidP="00575DE4">
            <w:pPr>
              <w:pStyle w:val="BodyText"/>
            </w:pPr>
            <w:r w:rsidRPr="001D4270">
              <w:t>Navigation Act</w:t>
            </w:r>
          </w:p>
        </w:tc>
        <w:tc>
          <w:tcPr>
            <w:tcW w:w="3969" w:type="dxa"/>
            <w:shd w:val="clear" w:color="auto" w:fill="auto"/>
          </w:tcPr>
          <w:p w14:paraId="42DE17C4" w14:textId="022E2F76" w:rsidR="00575DE4" w:rsidRDefault="00575DE4" w:rsidP="00575DE4">
            <w:pPr>
              <w:pStyle w:val="BodyText"/>
            </w:pPr>
            <w:r w:rsidRPr="001D4270">
              <w:t>An Australian Act relating to maritime safety and the prevention of pollution of the marine environment, and for related purposes.</w:t>
            </w:r>
          </w:p>
        </w:tc>
      </w:tr>
      <w:tr w:rsidR="00575DE4" w14:paraId="7EC4307A" w14:textId="77777777" w:rsidTr="00602E94">
        <w:trPr>
          <w:trHeight w:val="1803"/>
        </w:trPr>
        <w:tc>
          <w:tcPr>
            <w:tcW w:w="2835" w:type="dxa"/>
            <w:shd w:val="clear" w:color="auto" w:fill="auto"/>
          </w:tcPr>
          <w:p w14:paraId="6CEE150A" w14:textId="40DF7737" w:rsidR="00575DE4" w:rsidRDefault="00575DE4" w:rsidP="00575DE4">
            <w:pPr>
              <w:pStyle w:val="BodyText"/>
            </w:pPr>
            <w:r w:rsidRPr="001D4270">
              <w:t>Regulated Australian vessels</w:t>
            </w:r>
          </w:p>
        </w:tc>
        <w:tc>
          <w:tcPr>
            <w:tcW w:w="1134" w:type="dxa"/>
          </w:tcPr>
          <w:p w14:paraId="04AA14B3" w14:textId="57ED5F69" w:rsidR="00575DE4" w:rsidRDefault="00575DE4" w:rsidP="00575DE4">
            <w:pPr>
              <w:pStyle w:val="BodyText"/>
            </w:pPr>
            <w:r w:rsidRPr="001D4270">
              <w:t>RAVs</w:t>
            </w:r>
          </w:p>
        </w:tc>
        <w:tc>
          <w:tcPr>
            <w:tcW w:w="3969" w:type="dxa"/>
            <w:shd w:val="clear" w:color="auto" w:fill="auto"/>
          </w:tcPr>
          <w:p w14:paraId="0BE8D871" w14:textId="328540FE" w:rsidR="00E6185C" w:rsidRDefault="00575DE4" w:rsidP="00602E94">
            <w:pPr>
              <w:pStyle w:val="BodyText"/>
            </w:pPr>
            <w:r w:rsidRPr="001D4270">
              <w:t>A vessel is a regulated Australian vessel if</w:t>
            </w:r>
            <w:r w:rsidR="00E6185C">
              <w:t xml:space="preserve"> </w:t>
            </w:r>
            <w:r w:rsidR="00E6185C" w:rsidRPr="001D4270">
              <w:t xml:space="preserve">under the </w:t>
            </w:r>
            <w:r w:rsidR="00E6185C" w:rsidRPr="00602E94">
              <w:rPr>
                <w:i/>
              </w:rPr>
              <w:t>Shipping Registration Act 1981</w:t>
            </w:r>
            <w:r w:rsidR="00E6185C" w:rsidRPr="001D4270">
              <w:t>, the vessel is registered, required to be registered or exempt under section 13 of that Act from that requirement; and</w:t>
            </w:r>
            <w:r w:rsidR="00E6185C">
              <w:t xml:space="preserve"> </w:t>
            </w:r>
            <w:r w:rsidR="00E6185C" w:rsidRPr="001D4270">
              <w:t>the vessel is not a recreational vessel</w:t>
            </w:r>
            <w:r w:rsidR="00602E94">
              <w:t>.</w:t>
            </w:r>
          </w:p>
        </w:tc>
      </w:tr>
      <w:tr w:rsidR="00C97FE7" w14:paraId="775EB161" w14:textId="77777777" w:rsidTr="00602E94">
        <w:trPr>
          <w:trHeight w:val="1036"/>
        </w:trPr>
        <w:tc>
          <w:tcPr>
            <w:tcW w:w="2835" w:type="dxa"/>
            <w:shd w:val="clear" w:color="auto" w:fill="auto"/>
          </w:tcPr>
          <w:p w14:paraId="78CD5569" w14:textId="4424FD45" w:rsidR="00C97FE7" w:rsidRDefault="00C97FE7" w:rsidP="00C97FE7">
            <w:pPr>
              <w:pStyle w:val="BodyText"/>
            </w:pPr>
            <w:r w:rsidRPr="00835C89">
              <w:t>Regulation impact statement</w:t>
            </w:r>
          </w:p>
        </w:tc>
        <w:tc>
          <w:tcPr>
            <w:tcW w:w="1134" w:type="dxa"/>
          </w:tcPr>
          <w:p w14:paraId="785294A7" w14:textId="5A1509B8" w:rsidR="00C97FE7" w:rsidRDefault="00C97FE7" w:rsidP="00C97FE7">
            <w:pPr>
              <w:pStyle w:val="BodyText"/>
            </w:pPr>
            <w:r w:rsidRPr="00835C89">
              <w:t>RIS</w:t>
            </w:r>
          </w:p>
        </w:tc>
        <w:tc>
          <w:tcPr>
            <w:tcW w:w="3969" w:type="dxa"/>
            <w:shd w:val="clear" w:color="auto" w:fill="auto"/>
          </w:tcPr>
          <w:p w14:paraId="131DC015" w14:textId="7422C6E2" w:rsidR="00C97FE7" w:rsidRDefault="00C97FE7" w:rsidP="00C97FE7">
            <w:pPr>
              <w:pStyle w:val="BodyText"/>
            </w:pPr>
            <w:r w:rsidRPr="00835C89">
              <w:t>An assessment seeking to assist government officials to move towards ‘best practice’ regulatory design and implementation.</w:t>
            </w:r>
          </w:p>
        </w:tc>
      </w:tr>
      <w:tr w:rsidR="00C97FE7" w14:paraId="2BA9F00A" w14:textId="77777777" w:rsidTr="00602E94">
        <w:trPr>
          <w:trHeight w:val="825"/>
        </w:trPr>
        <w:tc>
          <w:tcPr>
            <w:tcW w:w="2835" w:type="dxa"/>
            <w:shd w:val="clear" w:color="auto" w:fill="auto"/>
          </w:tcPr>
          <w:p w14:paraId="42AA3CE5" w14:textId="06A8516A" w:rsidR="00C97FE7" w:rsidRDefault="00C97FE7" w:rsidP="00C97FE7">
            <w:pPr>
              <w:pStyle w:val="BodyText"/>
            </w:pPr>
            <w:r w:rsidRPr="00835C89">
              <w:lastRenderedPageBreak/>
              <w:t>State Party</w:t>
            </w:r>
          </w:p>
        </w:tc>
        <w:tc>
          <w:tcPr>
            <w:tcW w:w="1134" w:type="dxa"/>
          </w:tcPr>
          <w:p w14:paraId="17EEE3ED" w14:textId="1DBE3F8E" w:rsidR="00C97FE7" w:rsidRDefault="00C97FE7" w:rsidP="00C97FE7">
            <w:pPr>
              <w:pStyle w:val="BodyText"/>
            </w:pPr>
          </w:p>
        </w:tc>
        <w:tc>
          <w:tcPr>
            <w:tcW w:w="3969" w:type="dxa"/>
            <w:shd w:val="clear" w:color="auto" w:fill="auto"/>
          </w:tcPr>
          <w:p w14:paraId="42AAC08E" w14:textId="0247F55A" w:rsidR="00C97FE7" w:rsidRDefault="00C97FE7" w:rsidP="00C97FE7">
            <w:pPr>
              <w:pStyle w:val="BodyText"/>
            </w:pPr>
            <w:r w:rsidRPr="00835C89">
              <w:t>A State which has consented to be bound by a treaty and for which the treaty is in force.</w:t>
            </w:r>
          </w:p>
        </w:tc>
      </w:tr>
      <w:tr w:rsidR="00C97FE7" w14:paraId="49FA90CF" w14:textId="77777777" w:rsidTr="00602E94">
        <w:trPr>
          <w:trHeight w:val="722"/>
        </w:trPr>
        <w:tc>
          <w:tcPr>
            <w:tcW w:w="2835" w:type="dxa"/>
            <w:shd w:val="clear" w:color="auto" w:fill="auto"/>
          </w:tcPr>
          <w:p w14:paraId="2D9BE940" w14:textId="0A87A8A3" w:rsidR="00C97FE7" w:rsidRDefault="00C97FE7" w:rsidP="00C97FE7">
            <w:pPr>
              <w:pStyle w:val="BodyText"/>
            </w:pPr>
            <w:r w:rsidRPr="00835C89">
              <w:t>Territorial sea</w:t>
            </w:r>
          </w:p>
        </w:tc>
        <w:tc>
          <w:tcPr>
            <w:tcW w:w="1134" w:type="dxa"/>
          </w:tcPr>
          <w:p w14:paraId="5150157D" w14:textId="2FA59C00" w:rsidR="00C97FE7" w:rsidRDefault="00C97FE7" w:rsidP="00C97FE7">
            <w:pPr>
              <w:pStyle w:val="BodyText"/>
            </w:pPr>
          </w:p>
        </w:tc>
        <w:tc>
          <w:tcPr>
            <w:tcW w:w="3969" w:type="dxa"/>
            <w:shd w:val="clear" w:color="auto" w:fill="auto"/>
          </w:tcPr>
          <w:p w14:paraId="08554311" w14:textId="115D3CA0" w:rsidR="00C97FE7" w:rsidRDefault="00C97FE7" w:rsidP="00C97FE7">
            <w:pPr>
              <w:pStyle w:val="BodyText"/>
            </w:pPr>
            <w:r w:rsidRPr="00835C89">
              <w:t xml:space="preserve">The territorial sea comprises the area 12 nautical miles outward from the territorial sea baseline. </w:t>
            </w:r>
          </w:p>
        </w:tc>
      </w:tr>
      <w:tr w:rsidR="00602E94" w14:paraId="0A45B7A0" w14:textId="77777777" w:rsidTr="00602E94">
        <w:trPr>
          <w:trHeight w:val="722"/>
        </w:trPr>
        <w:tc>
          <w:tcPr>
            <w:tcW w:w="2835" w:type="dxa"/>
            <w:shd w:val="clear" w:color="auto" w:fill="auto"/>
          </w:tcPr>
          <w:p w14:paraId="48730615" w14:textId="23D2372E" w:rsidR="00602E94" w:rsidRPr="00835C89" w:rsidRDefault="00602E94" w:rsidP="00C97FE7">
            <w:pPr>
              <w:pStyle w:val="BodyText"/>
            </w:pPr>
            <w:r>
              <w:t>Liquefied Petroleum Gas</w:t>
            </w:r>
          </w:p>
        </w:tc>
        <w:tc>
          <w:tcPr>
            <w:tcW w:w="1134" w:type="dxa"/>
          </w:tcPr>
          <w:p w14:paraId="7FBD38DA" w14:textId="112149CA" w:rsidR="00602E94" w:rsidRDefault="00602E94" w:rsidP="00C97FE7">
            <w:pPr>
              <w:pStyle w:val="BodyText"/>
            </w:pPr>
            <w:r>
              <w:t>LPG</w:t>
            </w:r>
          </w:p>
        </w:tc>
        <w:tc>
          <w:tcPr>
            <w:tcW w:w="3969" w:type="dxa"/>
            <w:shd w:val="clear" w:color="auto" w:fill="auto"/>
          </w:tcPr>
          <w:p w14:paraId="193B129C" w14:textId="77777777" w:rsidR="00602E94" w:rsidRPr="00835C89" w:rsidRDefault="00602E94" w:rsidP="00C97FE7">
            <w:pPr>
              <w:pStyle w:val="BodyText"/>
            </w:pPr>
          </w:p>
        </w:tc>
      </w:tr>
      <w:tr w:rsidR="00602E94" w14:paraId="065F4780" w14:textId="77777777" w:rsidTr="00602E94">
        <w:trPr>
          <w:trHeight w:val="722"/>
        </w:trPr>
        <w:tc>
          <w:tcPr>
            <w:tcW w:w="2835" w:type="dxa"/>
            <w:shd w:val="clear" w:color="auto" w:fill="auto"/>
          </w:tcPr>
          <w:p w14:paraId="1D30FC6F" w14:textId="2EA189D4" w:rsidR="00602E94" w:rsidRDefault="00602E94" w:rsidP="00C97FE7">
            <w:pPr>
              <w:pStyle w:val="BodyText"/>
            </w:pPr>
            <w:r>
              <w:t>Liquefied Natural Gas</w:t>
            </w:r>
          </w:p>
        </w:tc>
        <w:tc>
          <w:tcPr>
            <w:tcW w:w="1134" w:type="dxa"/>
          </w:tcPr>
          <w:p w14:paraId="7B50F14F" w14:textId="5E3115DA" w:rsidR="00602E94" w:rsidRDefault="00602E94" w:rsidP="00C97FE7">
            <w:pPr>
              <w:pStyle w:val="BodyText"/>
            </w:pPr>
            <w:r>
              <w:t>LNG</w:t>
            </w:r>
          </w:p>
        </w:tc>
        <w:tc>
          <w:tcPr>
            <w:tcW w:w="3969" w:type="dxa"/>
            <w:shd w:val="clear" w:color="auto" w:fill="auto"/>
          </w:tcPr>
          <w:p w14:paraId="6B466360" w14:textId="77777777" w:rsidR="00602E94" w:rsidRPr="00835C89" w:rsidRDefault="00602E94" w:rsidP="00C97FE7">
            <w:pPr>
              <w:pStyle w:val="BodyText"/>
            </w:pPr>
          </w:p>
        </w:tc>
      </w:tr>
      <w:tr w:rsidR="00602E94" w14:paraId="7CA31787" w14:textId="77777777" w:rsidTr="00602E94">
        <w:trPr>
          <w:trHeight w:val="722"/>
        </w:trPr>
        <w:tc>
          <w:tcPr>
            <w:tcW w:w="2835" w:type="dxa"/>
            <w:shd w:val="clear" w:color="auto" w:fill="auto"/>
          </w:tcPr>
          <w:p w14:paraId="36846AD0" w14:textId="179856D3" w:rsidR="00602E94" w:rsidRDefault="00602E94" w:rsidP="00C97FE7">
            <w:pPr>
              <w:pStyle w:val="BodyText"/>
            </w:pPr>
            <w:r>
              <w:t>The Office of Best Practice Regulation</w:t>
            </w:r>
          </w:p>
        </w:tc>
        <w:tc>
          <w:tcPr>
            <w:tcW w:w="1134" w:type="dxa"/>
          </w:tcPr>
          <w:p w14:paraId="11027040" w14:textId="36DEC66E" w:rsidR="00602E94" w:rsidRDefault="00602E94" w:rsidP="00C97FE7">
            <w:pPr>
              <w:pStyle w:val="BodyText"/>
            </w:pPr>
            <w:r>
              <w:t>OBPR</w:t>
            </w:r>
          </w:p>
        </w:tc>
        <w:tc>
          <w:tcPr>
            <w:tcW w:w="3969" w:type="dxa"/>
            <w:shd w:val="clear" w:color="auto" w:fill="auto"/>
          </w:tcPr>
          <w:p w14:paraId="2599140E" w14:textId="656CC93D" w:rsidR="00602E94" w:rsidRPr="00835C89" w:rsidRDefault="00602E94" w:rsidP="00C97FE7">
            <w:pPr>
              <w:pStyle w:val="BodyText"/>
            </w:pPr>
            <w:r>
              <w:t>It administers the Australian Government and intergovernmental RIS requirements</w:t>
            </w:r>
          </w:p>
        </w:tc>
      </w:tr>
      <w:tr w:rsidR="00602E94" w14:paraId="18821A71" w14:textId="77777777" w:rsidTr="00602E94">
        <w:trPr>
          <w:trHeight w:val="722"/>
        </w:trPr>
        <w:tc>
          <w:tcPr>
            <w:tcW w:w="2835" w:type="dxa"/>
            <w:shd w:val="clear" w:color="auto" w:fill="auto"/>
          </w:tcPr>
          <w:p w14:paraId="00DA5379" w14:textId="2A9FCC4B" w:rsidR="00602E94" w:rsidRDefault="00602E94" w:rsidP="00C97FE7">
            <w:pPr>
              <w:pStyle w:val="BodyText"/>
            </w:pPr>
            <w:r>
              <w:t>Benefit Cost Ratio</w:t>
            </w:r>
          </w:p>
        </w:tc>
        <w:tc>
          <w:tcPr>
            <w:tcW w:w="1134" w:type="dxa"/>
          </w:tcPr>
          <w:p w14:paraId="52C0F59D" w14:textId="38531098" w:rsidR="00602E94" w:rsidRDefault="00602E94" w:rsidP="00C97FE7">
            <w:pPr>
              <w:pStyle w:val="BodyText"/>
            </w:pPr>
            <w:r>
              <w:t>BCR</w:t>
            </w:r>
          </w:p>
        </w:tc>
        <w:tc>
          <w:tcPr>
            <w:tcW w:w="3969" w:type="dxa"/>
            <w:shd w:val="clear" w:color="auto" w:fill="auto"/>
          </w:tcPr>
          <w:p w14:paraId="4F9B6BC4" w14:textId="77777777" w:rsidR="00602E94" w:rsidRPr="00835C89" w:rsidRDefault="00602E94" w:rsidP="00C97FE7">
            <w:pPr>
              <w:pStyle w:val="BodyText"/>
            </w:pPr>
          </w:p>
        </w:tc>
      </w:tr>
      <w:tr w:rsidR="00602E94" w14:paraId="3D46E799" w14:textId="77777777" w:rsidTr="00602E94">
        <w:trPr>
          <w:trHeight w:val="722"/>
        </w:trPr>
        <w:tc>
          <w:tcPr>
            <w:tcW w:w="2835" w:type="dxa"/>
            <w:shd w:val="clear" w:color="auto" w:fill="auto"/>
          </w:tcPr>
          <w:p w14:paraId="6748D220" w14:textId="329081D0" w:rsidR="00602E94" w:rsidRDefault="00602E94" w:rsidP="00C97FE7">
            <w:pPr>
              <w:pStyle w:val="BodyText"/>
            </w:pPr>
            <w:r>
              <w:t>Net Present Value</w:t>
            </w:r>
          </w:p>
        </w:tc>
        <w:tc>
          <w:tcPr>
            <w:tcW w:w="1134" w:type="dxa"/>
          </w:tcPr>
          <w:p w14:paraId="6FB20065" w14:textId="7D36C94F" w:rsidR="00602E94" w:rsidRDefault="00602E94" w:rsidP="00C97FE7">
            <w:pPr>
              <w:pStyle w:val="BodyText"/>
            </w:pPr>
            <w:r>
              <w:t>NPV</w:t>
            </w:r>
          </w:p>
        </w:tc>
        <w:tc>
          <w:tcPr>
            <w:tcW w:w="3969" w:type="dxa"/>
            <w:shd w:val="clear" w:color="auto" w:fill="auto"/>
          </w:tcPr>
          <w:p w14:paraId="1AC61CAD" w14:textId="77777777" w:rsidR="00602E94" w:rsidRPr="00835C89" w:rsidRDefault="00602E94" w:rsidP="00C97FE7">
            <w:pPr>
              <w:pStyle w:val="BodyText"/>
            </w:pPr>
          </w:p>
        </w:tc>
      </w:tr>
      <w:tr w:rsidR="00602E94" w14:paraId="2AAD2821" w14:textId="77777777" w:rsidTr="00602E94">
        <w:trPr>
          <w:trHeight w:val="722"/>
        </w:trPr>
        <w:tc>
          <w:tcPr>
            <w:tcW w:w="2835" w:type="dxa"/>
            <w:shd w:val="clear" w:color="auto" w:fill="auto"/>
          </w:tcPr>
          <w:p w14:paraId="71264B72" w14:textId="0E40B87B" w:rsidR="00602E94" w:rsidRDefault="00602E94" w:rsidP="00C97FE7">
            <w:pPr>
              <w:pStyle w:val="BodyText"/>
            </w:pPr>
            <w:r>
              <w:t>International Maritime Organization</w:t>
            </w:r>
          </w:p>
        </w:tc>
        <w:tc>
          <w:tcPr>
            <w:tcW w:w="1134" w:type="dxa"/>
          </w:tcPr>
          <w:p w14:paraId="6529384B" w14:textId="58CE12D3" w:rsidR="00602E94" w:rsidRDefault="00602E94" w:rsidP="00C97FE7">
            <w:pPr>
              <w:pStyle w:val="BodyText"/>
            </w:pPr>
            <w:r>
              <w:t>IMO</w:t>
            </w:r>
          </w:p>
        </w:tc>
        <w:tc>
          <w:tcPr>
            <w:tcW w:w="3969" w:type="dxa"/>
            <w:shd w:val="clear" w:color="auto" w:fill="auto"/>
          </w:tcPr>
          <w:p w14:paraId="79617407" w14:textId="77777777" w:rsidR="00602E94" w:rsidRPr="00835C89" w:rsidRDefault="00602E94" w:rsidP="00C97FE7">
            <w:pPr>
              <w:pStyle w:val="BodyText"/>
            </w:pPr>
          </w:p>
        </w:tc>
      </w:tr>
      <w:tr w:rsidR="00602E94" w14:paraId="43C8B25D" w14:textId="77777777" w:rsidTr="00602E94">
        <w:trPr>
          <w:trHeight w:val="722"/>
        </w:trPr>
        <w:tc>
          <w:tcPr>
            <w:tcW w:w="2835" w:type="dxa"/>
            <w:shd w:val="clear" w:color="auto" w:fill="auto"/>
          </w:tcPr>
          <w:p w14:paraId="2652668D" w14:textId="1FABD476" w:rsidR="00602E94" w:rsidRDefault="00602E94" w:rsidP="00C97FE7">
            <w:pPr>
              <w:pStyle w:val="BodyText"/>
            </w:pPr>
            <w:r>
              <w:t>The Bureau of Infrastructure and Transport Research Economics</w:t>
            </w:r>
          </w:p>
        </w:tc>
        <w:tc>
          <w:tcPr>
            <w:tcW w:w="1134" w:type="dxa"/>
          </w:tcPr>
          <w:p w14:paraId="4234F32F" w14:textId="74310183" w:rsidR="00602E94" w:rsidRDefault="00602E94" w:rsidP="00C97FE7">
            <w:pPr>
              <w:pStyle w:val="BodyText"/>
            </w:pPr>
            <w:r>
              <w:t>BITRE</w:t>
            </w:r>
          </w:p>
        </w:tc>
        <w:tc>
          <w:tcPr>
            <w:tcW w:w="3969" w:type="dxa"/>
            <w:shd w:val="clear" w:color="auto" w:fill="auto"/>
          </w:tcPr>
          <w:p w14:paraId="04622240" w14:textId="77777777" w:rsidR="00602E94" w:rsidRPr="00835C89" w:rsidRDefault="00602E94" w:rsidP="00C97FE7">
            <w:pPr>
              <w:pStyle w:val="BodyText"/>
            </w:pPr>
          </w:p>
        </w:tc>
      </w:tr>
      <w:tr w:rsidR="00602E94" w14:paraId="17F8A09D" w14:textId="77777777" w:rsidTr="00602E94">
        <w:trPr>
          <w:trHeight w:val="722"/>
        </w:trPr>
        <w:tc>
          <w:tcPr>
            <w:tcW w:w="2835" w:type="dxa"/>
            <w:shd w:val="clear" w:color="auto" w:fill="auto"/>
          </w:tcPr>
          <w:p w14:paraId="522689CA" w14:textId="1B1E7581" w:rsidR="00602E94" w:rsidRDefault="00602E94" w:rsidP="00C97FE7">
            <w:pPr>
              <w:pStyle w:val="BodyText"/>
            </w:pPr>
            <w:r>
              <w:t>Maritime Safety Queensland</w:t>
            </w:r>
          </w:p>
        </w:tc>
        <w:tc>
          <w:tcPr>
            <w:tcW w:w="1134" w:type="dxa"/>
          </w:tcPr>
          <w:p w14:paraId="2B80DEC1" w14:textId="2CB46753" w:rsidR="00602E94" w:rsidRDefault="00602E94" w:rsidP="00C97FE7">
            <w:pPr>
              <w:pStyle w:val="BodyText"/>
            </w:pPr>
            <w:r>
              <w:t>MSQ</w:t>
            </w:r>
          </w:p>
        </w:tc>
        <w:tc>
          <w:tcPr>
            <w:tcW w:w="3969" w:type="dxa"/>
            <w:shd w:val="clear" w:color="auto" w:fill="auto"/>
          </w:tcPr>
          <w:p w14:paraId="09EE59D3" w14:textId="77777777" w:rsidR="00602E94" w:rsidRPr="00835C89" w:rsidRDefault="00602E94" w:rsidP="00C97FE7">
            <w:pPr>
              <w:pStyle w:val="BodyText"/>
            </w:pPr>
          </w:p>
        </w:tc>
      </w:tr>
      <w:tr w:rsidR="00602E94" w14:paraId="61271D7B" w14:textId="77777777" w:rsidTr="00602E94">
        <w:trPr>
          <w:trHeight w:val="722"/>
        </w:trPr>
        <w:tc>
          <w:tcPr>
            <w:tcW w:w="2835" w:type="dxa"/>
            <w:shd w:val="clear" w:color="auto" w:fill="auto"/>
          </w:tcPr>
          <w:p w14:paraId="3FD8979B" w14:textId="77777777" w:rsidR="00602E94" w:rsidRDefault="00602E94" w:rsidP="00C97FE7">
            <w:pPr>
              <w:pStyle w:val="BodyText"/>
            </w:pPr>
          </w:p>
        </w:tc>
        <w:tc>
          <w:tcPr>
            <w:tcW w:w="1134" w:type="dxa"/>
          </w:tcPr>
          <w:p w14:paraId="733CE721" w14:textId="77777777" w:rsidR="00602E94" w:rsidRDefault="00602E94" w:rsidP="00C97FE7">
            <w:pPr>
              <w:pStyle w:val="BodyText"/>
            </w:pPr>
          </w:p>
        </w:tc>
        <w:tc>
          <w:tcPr>
            <w:tcW w:w="3969" w:type="dxa"/>
            <w:shd w:val="clear" w:color="auto" w:fill="auto"/>
          </w:tcPr>
          <w:p w14:paraId="027BC452" w14:textId="77777777" w:rsidR="00602E94" w:rsidRPr="00835C89" w:rsidRDefault="00602E94" w:rsidP="00C97FE7">
            <w:pPr>
              <w:pStyle w:val="BodyText"/>
            </w:pPr>
          </w:p>
        </w:tc>
      </w:tr>
      <w:tr w:rsidR="00602E94" w14:paraId="6A1B35A3" w14:textId="77777777" w:rsidTr="00602E94">
        <w:trPr>
          <w:trHeight w:val="722"/>
        </w:trPr>
        <w:tc>
          <w:tcPr>
            <w:tcW w:w="2835" w:type="dxa"/>
            <w:shd w:val="clear" w:color="auto" w:fill="auto"/>
          </w:tcPr>
          <w:p w14:paraId="45D25E78" w14:textId="77777777" w:rsidR="00602E94" w:rsidRDefault="00602E94" w:rsidP="00C97FE7">
            <w:pPr>
              <w:pStyle w:val="BodyText"/>
            </w:pPr>
          </w:p>
        </w:tc>
        <w:tc>
          <w:tcPr>
            <w:tcW w:w="1134" w:type="dxa"/>
          </w:tcPr>
          <w:p w14:paraId="327F028D" w14:textId="77777777" w:rsidR="00602E94" w:rsidRDefault="00602E94" w:rsidP="00C97FE7">
            <w:pPr>
              <w:pStyle w:val="BodyText"/>
            </w:pPr>
          </w:p>
        </w:tc>
        <w:tc>
          <w:tcPr>
            <w:tcW w:w="3969" w:type="dxa"/>
            <w:shd w:val="clear" w:color="auto" w:fill="auto"/>
          </w:tcPr>
          <w:p w14:paraId="4D91B6B6" w14:textId="77777777" w:rsidR="00602E94" w:rsidRPr="00835C89" w:rsidRDefault="00602E94" w:rsidP="00C97FE7">
            <w:pPr>
              <w:pStyle w:val="BodyText"/>
            </w:pPr>
          </w:p>
        </w:tc>
      </w:tr>
      <w:tr w:rsidR="00602E94" w14:paraId="1B775847" w14:textId="77777777" w:rsidTr="00602E94">
        <w:trPr>
          <w:trHeight w:val="722"/>
        </w:trPr>
        <w:tc>
          <w:tcPr>
            <w:tcW w:w="2835" w:type="dxa"/>
            <w:shd w:val="clear" w:color="auto" w:fill="auto"/>
          </w:tcPr>
          <w:p w14:paraId="7D415228" w14:textId="77777777" w:rsidR="00602E94" w:rsidRDefault="00602E94" w:rsidP="00C97FE7">
            <w:pPr>
              <w:pStyle w:val="BodyText"/>
            </w:pPr>
          </w:p>
        </w:tc>
        <w:tc>
          <w:tcPr>
            <w:tcW w:w="1134" w:type="dxa"/>
          </w:tcPr>
          <w:p w14:paraId="4DF9CF8D" w14:textId="77777777" w:rsidR="00602E94" w:rsidRDefault="00602E94" w:rsidP="00C97FE7">
            <w:pPr>
              <w:pStyle w:val="BodyText"/>
            </w:pPr>
          </w:p>
        </w:tc>
        <w:tc>
          <w:tcPr>
            <w:tcW w:w="3969" w:type="dxa"/>
            <w:shd w:val="clear" w:color="auto" w:fill="auto"/>
          </w:tcPr>
          <w:p w14:paraId="039C3A5B" w14:textId="77777777" w:rsidR="00602E94" w:rsidRPr="00835C89" w:rsidRDefault="00602E94" w:rsidP="00C97FE7">
            <w:pPr>
              <w:pStyle w:val="BodyText"/>
            </w:pPr>
          </w:p>
        </w:tc>
      </w:tr>
    </w:tbl>
    <w:p w14:paraId="7EE438DC" w14:textId="14663FA5" w:rsidR="001E5CAD" w:rsidRDefault="001E5CAD" w:rsidP="001E5CAD">
      <w:pPr>
        <w:pStyle w:val="BodyText"/>
      </w:pPr>
    </w:p>
    <w:p w14:paraId="31A449D3" w14:textId="77777777" w:rsidR="001E5CAD" w:rsidRDefault="001E5CAD" w:rsidP="001E5CAD">
      <w:pPr>
        <w:pStyle w:val="BodyText"/>
      </w:pPr>
    </w:p>
    <w:p w14:paraId="45A168A7" w14:textId="77777777" w:rsidR="001E5CAD" w:rsidRDefault="001E5CAD" w:rsidP="001E5CAD">
      <w:pPr>
        <w:pStyle w:val="BodyText"/>
        <w:sectPr w:rsidR="001E5CAD" w:rsidSect="001E5CAD">
          <w:headerReference w:type="even" r:id="rId27"/>
          <w:headerReference w:type="default" r:id="rId28"/>
          <w:footerReference w:type="even" r:id="rId29"/>
          <w:footerReference w:type="default" r:id="rId30"/>
          <w:headerReference w:type="first" r:id="rId31"/>
          <w:footerReference w:type="first" r:id="rId32"/>
          <w:pgSz w:w="11906" w:h="16838" w:code="9"/>
          <w:pgMar w:top="1134" w:right="851" w:bottom="1134" w:left="3119" w:header="454" w:footer="159" w:gutter="0"/>
          <w:pgNumType w:fmt="lowerRoman" w:start="1"/>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1E5CAD" w14:paraId="1FE42EE2" w14:textId="77777777" w:rsidTr="001C47EB">
        <w:trPr>
          <w:trHeight w:hRule="exact" w:val="382"/>
        </w:trPr>
        <w:tc>
          <w:tcPr>
            <w:tcW w:w="5570" w:type="dxa"/>
          </w:tcPr>
          <w:p w14:paraId="51B99799" w14:textId="77777777" w:rsidR="001E5CAD" w:rsidRDefault="001E5CAD" w:rsidP="001C47EB">
            <w:pPr>
              <w:pStyle w:val="tagexecBanner"/>
            </w:pPr>
            <w:r>
              <w:rPr>
                <w:noProof/>
                <w:lang w:eastAsia="en-AU"/>
              </w:rPr>
              <w:lastRenderedPageBreak/>
              <w:drawing>
                <wp:anchor distT="0" distB="0" distL="114300" distR="114300" simplePos="0" relativeHeight="251650048" behindDoc="1" locked="1" layoutInCell="1" allowOverlap="1" wp14:anchorId="36A6EF70" wp14:editId="3D3C5BD4">
                  <wp:simplePos x="0" y="0"/>
                  <wp:positionH relativeFrom="page">
                    <wp:posOffset>0</wp:posOffset>
                  </wp:positionH>
                  <wp:positionV relativeFrom="page">
                    <wp:posOffset>0</wp:posOffset>
                  </wp:positionV>
                  <wp:extent cx="5039360" cy="1995170"/>
                  <wp:effectExtent l="0" t="0" r="8890" b="5080"/>
                  <wp:wrapNone/>
                  <wp:docPr id="572"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57F9A963" w14:textId="77777777" w:rsidR="001E5CAD" w:rsidRDefault="001E5CAD" w:rsidP="001C47EB">
            <w:pPr>
              <w:pStyle w:val="spacer"/>
            </w:pPr>
          </w:p>
        </w:tc>
      </w:tr>
      <w:tr w:rsidR="001E5CAD" w14:paraId="6F699A2F" w14:textId="77777777" w:rsidTr="001C47EB">
        <w:trPr>
          <w:trHeight w:hRule="exact" w:val="2760"/>
        </w:trPr>
        <w:tc>
          <w:tcPr>
            <w:tcW w:w="5570" w:type="dxa"/>
            <w:vAlign w:val="bottom"/>
          </w:tcPr>
          <w:p w14:paraId="0FE74781" w14:textId="77777777" w:rsidR="001E5CAD" w:rsidRDefault="001E5CAD" w:rsidP="001C47EB">
            <w:pPr>
              <w:pStyle w:val="Heading1ES"/>
            </w:pPr>
            <w:bookmarkStart w:id="2" w:name="_Toc99543710"/>
            <w:r>
              <w:t>Executive summary</w:t>
            </w:r>
            <w:bookmarkEnd w:id="2"/>
          </w:p>
        </w:tc>
        <w:tc>
          <w:tcPr>
            <w:tcW w:w="2366" w:type="dxa"/>
            <w:tcMar>
              <w:right w:w="224" w:type="dxa"/>
            </w:tcMar>
            <w:vAlign w:val="bottom"/>
          </w:tcPr>
          <w:p w14:paraId="36AEEA91" w14:textId="77777777" w:rsidR="001E5CAD" w:rsidRDefault="001E5CAD" w:rsidP="001C47EB">
            <w:pPr>
              <w:pStyle w:val="spacer"/>
            </w:pPr>
          </w:p>
        </w:tc>
      </w:tr>
      <w:tr w:rsidR="001E5CAD" w14:paraId="613E85FC" w14:textId="77777777" w:rsidTr="001C47EB">
        <w:trPr>
          <w:trHeight w:hRule="exact" w:val="228"/>
        </w:trPr>
        <w:tc>
          <w:tcPr>
            <w:tcW w:w="5570" w:type="dxa"/>
          </w:tcPr>
          <w:p w14:paraId="414CF14A" w14:textId="77777777" w:rsidR="001E5CAD" w:rsidRDefault="001E5CAD" w:rsidP="001C47EB">
            <w:pPr>
              <w:pStyle w:val="spacer"/>
            </w:pPr>
          </w:p>
        </w:tc>
        <w:tc>
          <w:tcPr>
            <w:tcW w:w="2366" w:type="dxa"/>
          </w:tcPr>
          <w:p w14:paraId="3FD1733B" w14:textId="77777777" w:rsidR="001E5CAD" w:rsidRDefault="001E5CAD" w:rsidP="001C47EB">
            <w:pPr>
              <w:pStyle w:val="spacer"/>
            </w:pPr>
          </w:p>
        </w:tc>
      </w:tr>
    </w:tbl>
    <w:p w14:paraId="7B93BD0B" w14:textId="0CCCF619" w:rsidR="00C17404" w:rsidRDefault="00123589" w:rsidP="00C17404">
      <w:pPr>
        <w:pStyle w:val="BodyText"/>
      </w:pPr>
      <w:r>
        <w:t xml:space="preserve">The Department of Infrastructure, Transport, Regional Development and Communications (the Department) commissioned ACIL Allen to provide an indicative cost benefit analysis on Australia’s possible accession to the </w:t>
      </w:r>
      <w:r w:rsidR="0082298D" w:rsidRPr="0082298D">
        <w:rPr>
          <w:lang w:val="en-US"/>
        </w:rPr>
        <w:t xml:space="preserve">Nairobi Wreck Removal Convention </w:t>
      </w:r>
      <w:r w:rsidR="0082298D">
        <w:rPr>
          <w:lang w:val="en-US"/>
        </w:rPr>
        <w:t>(</w:t>
      </w:r>
      <w:r>
        <w:t>Nairobi Convention</w:t>
      </w:r>
      <w:r w:rsidR="0082298D">
        <w:t>)</w:t>
      </w:r>
      <w:r>
        <w:t xml:space="preserve">. </w:t>
      </w:r>
    </w:p>
    <w:p w14:paraId="555FEE29" w14:textId="72B247EB" w:rsidR="002A392D" w:rsidRDefault="0082298D" w:rsidP="00C17404">
      <w:pPr>
        <w:pStyle w:val="BodyText"/>
      </w:pPr>
      <w:r w:rsidRPr="0082298D">
        <w:rPr>
          <w:lang w:val="en-US"/>
        </w:rPr>
        <w:t>The Nairobi Convention provides a uniform set of international rules for wreck removal. It also requires shipowners to hold insurance to cover the costs of wreck removal and provides countries with a right to claim costs directly from the ship insure</w:t>
      </w:r>
      <w:r w:rsidRPr="0082298D">
        <w:t>r</w:t>
      </w:r>
      <w:r w:rsidR="006376AA">
        <w:t>.</w:t>
      </w:r>
    </w:p>
    <w:p w14:paraId="4D7236AA" w14:textId="0ABB9A2D" w:rsidR="00990E3E" w:rsidRPr="00990E3E" w:rsidRDefault="00990E3E" w:rsidP="00990E3E">
      <w:pPr>
        <w:pStyle w:val="BodyText"/>
      </w:pPr>
      <w:r w:rsidRPr="00990E3E">
        <w:t xml:space="preserve">In August 2020, the Department released a discussion paper to inform an examination whether accession to the </w:t>
      </w:r>
      <w:r w:rsidR="006376AA">
        <w:t>Nairobi Convention</w:t>
      </w:r>
      <w:r w:rsidR="006376AA" w:rsidRPr="00990E3E">
        <w:t xml:space="preserve"> </w:t>
      </w:r>
      <w:r w:rsidRPr="00990E3E">
        <w:t xml:space="preserve">would benefit Australia. There are a number of submissions received in response to the Discussion Paper. In this context, the Department </w:t>
      </w:r>
      <w:r w:rsidR="006376AA">
        <w:t>require</w:t>
      </w:r>
      <w:r w:rsidRPr="00990E3E">
        <w:t xml:space="preserve"> a systematic quantification of </w:t>
      </w:r>
      <w:r w:rsidR="00B62744">
        <w:t xml:space="preserve">potential </w:t>
      </w:r>
      <w:r w:rsidR="0068076A">
        <w:t xml:space="preserve">net benefits related to the following </w:t>
      </w:r>
      <w:r w:rsidRPr="00990E3E">
        <w:t>policy options.</w:t>
      </w:r>
    </w:p>
    <w:p w14:paraId="31A80142" w14:textId="77777777" w:rsidR="00990E3E" w:rsidRPr="00990E3E" w:rsidRDefault="00990E3E" w:rsidP="00990E3E">
      <w:pPr>
        <w:pStyle w:val="ListBullet"/>
      </w:pPr>
      <w:r w:rsidRPr="00990E3E">
        <w:t xml:space="preserve">Option 1: Retaining the existing framework under the </w:t>
      </w:r>
      <w:r w:rsidRPr="006C22A1">
        <w:rPr>
          <w:i/>
        </w:rPr>
        <w:t>Navigation Act 2012</w:t>
      </w:r>
      <w:r w:rsidRPr="00990E3E">
        <w:t xml:space="preserve">. </w:t>
      </w:r>
    </w:p>
    <w:p w14:paraId="46925907" w14:textId="7BD10B93" w:rsidR="00990E3E" w:rsidRDefault="006C22A1" w:rsidP="006C22A1">
      <w:pPr>
        <w:pStyle w:val="ListBullet"/>
      </w:pPr>
      <w:r>
        <w:t>Option 3</w:t>
      </w:r>
      <w:r w:rsidR="00990E3E" w:rsidRPr="00990E3E">
        <w:t xml:space="preserve">: </w:t>
      </w:r>
      <w:r w:rsidRPr="006C22A1">
        <w:t>Acceding to the Nairobi Convention, applying it to RAVs and foreign vessels in the EEZ</w:t>
      </w:r>
      <w:r>
        <w:t>.</w:t>
      </w:r>
    </w:p>
    <w:p w14:paraId="1545113A" w14:textId="33B5BF49" w:rsidR="00990E3E" w:rsidRPr="00990E3E" w:rsidRDefault="0068076A" w:rsidP="006C22A1">
      <w:pPr>
        <w:pStyle w:val="ListBullet"/>
      </w:pPr>
      <w:r w:rsidRPr="00990E3E">
        <w:t>O</w:t>
      </w:r>
      <w:r w:rsidR="006C22A1">
        <w:t xml:space="preserve">ption 4: </w:t>
      </w:r>
      <w:r w:rsidR="006C22A1" w:rsidRPr="006C22A1">
        <w:t>Acceding to the Nairobi Convention, applying it RAVs and foreign vessels in the EEZ and territorial sea</w:t>
      </w:r>
      <w:r w:rsidR="006C22A1">
        <w:t>.</w:t>
      </w:r>
    </w:p>
    <w:p w14:paraId="15B2A627" w14:textId="14845953" w:rsidR="00990E3E" w:rsidRPr="00990E3E" w:rsidRDefault="006C22A1" w:rsidP="006C22A1">
      <w:pPr>
        <w:pStyle w:val="ListBullet"/>
      </w:pPr>
      <w:r>
        <w:t>Sub-option 1</w:t>
      </w:r>
      <w:r w:rsidR="00990E3E" w:rsidRPr="00990E3E">
        <w:t xml:space="preserve">: </w:t>
      </w:r>
      <w:r w:rsidRPr="006C22A1">
        <w:t>Applying the Nairobi Convention to Domestic Commercial Vessels</w:t>
      </w:r>
      <w:r>
        <w:t>.</w:t>
      </w:r>
    </w:p>
    <w:p w14:paraId="0F6D2DAF" w14:textId="0AE38991" w:rsidR="00C17404" w:rsidRDefault="00B62744" w:rsidP="00990E3E">
      <w:pPr>
        <w:pStyle w:val="BodyText"/>
      </w:pPr>
      <w:r>
        <w:t xml:space="preserve">The analysis reported in this report </w:t>
      </w:r>
      <w:r w:rsidR="00990E3E" w:rsidRPr="00990E3E">
        <w:t>will assist the Department in advising the Minister on whether Australia should accede to the Nairobi Convention.</w:t>
      </w:r>
    </w:p>
    <w:p w14:paraId="0871FC7C" w14:textId="49AEF148" w:rsidR="00C17404" w:rsidRDefault="00990E3E" w:rsidP="00C17404">
      <w:pPr>
        <w:pStyle w:val="BodyText"/>
      </w:pPr>
      <w:r>
        <w:t xml:space="preserve">This report provides an indicative economic analysis of </w:t>
      </w:r>
      <w:r w:rsidR="0068076A">
        <w:t>above options based on the available data</w:t>
      </w:r>
      <w:r w:rsidR="00DA2548">
        <w:t>, information</w:t>
      </w:r>
      <w:r w:rsidR="0082298D">
        <w:t>,</w:t>
      </w:r>
      <w:r w:rsidR="0068076A">
        <w:t xml:space="preserve"> </w:t>
      </w:r>
      <w:r w:rsidR="008C28BC">
        <w:t>assumptions</w:t>
      </w:r>
      <w:r w:rsidR="00BE749C">
        <w:t>,</w:t>
      </w:r>
      <w:r w:rsidR="008C28BC">
        <w:t xml:space="preserve"> </w:t>
      </w:r>
      <w:r w:rsidR="0068076A">
        <w:t>and discussions with key stakeholders.</w:t>
      </w:r>
    </w:p>
    <w:p w14:paraId="6104328D" w14:textId="77777777" w:rsidR="002F3400" w:rsidRPr="002F3400" w:rsidRDefault="002F3400" w:rsidP="002F3400">
      <w:pPr>
        <w:pStyle w:val="BodyText"/>
      </w:pPr>
      <w:r w:rsidRPr="002F3400">
        <w:t>The economic analysis provided in this report is consistent with the OBPR Guidelines on the Regulatory Burden Measurement Framework.</w:t>
      </w:r>
    </w:p>
    <w:p w14:paraId="7914311F" w14:textId="58FB802F" w:rsidR="002F3400" w:rsidRPr="002F3400" w:rsidRDefault="006C22A1" w:rsidP="002F3400">
      <w:pPr>
        <w:pStyle w:val="BodyText"/>
      </w:pPr>
      <w:r>
        <w:t>Option 4</w:t>
      </w:r>
      <w:r w:rsidR="002F3400" w:rsidRPr="002F3400">
        <w:t xml:space="preserve"> is acceding to the Nairobi Convention, and applying it to the EEZ and Territorial Sea replacing the current legislative framework provides relatively more net benefits compared with Option 1 where the existing</w:t>
      </w:r>
      <w:r>
        <w:t xml:space="preserve"> framework remains and Option 3</w:t>
      </w:r>
      <w:r w:rsidR="002F3400" w:rsidRPr="002F3400">
        <w:t xml:space="preserve"> where the existing framework remains in the Territorial Sea.</w:t>
      </w:r>
    </w:p>
    <w:p w14:paraId="20BAA2FD" w14:textId="4B744B9E" w:rsidR="0071694D" w:rsidRDefault="0071694D" w:rsidP="002F3400">
      <w:pPr>
        <w:pStyle w:val="BodyText"/>
      </w:pPr>
      <w:r>
        <w:t xml:space="preserve">The advantage of the Nairobi convention is that they provide the holy trinity provisions of </w:t>
      </w:r>
      <w:r w:rsidRPr="002F3670">
        <w:rPr>
          <w:b/>
          <w:bCs/>
        </w:rPr>
        <w:t>strict liability</w:t>
      </w:r>
      <w:r>
        <w:t xml:space="preserve"> (no need to prove fault or negligence), </w:t>
      </w:r>
      <w:r w:rsidRPr="002F3670">
        <w:rPr>
          <w:b/>
          <w:bCs/>
        </w:rPr>
        <w:t>mandatory insurance</w:t>
      </w:r>
      <w:r>
        <w:t xml:space="preserve"> as a matter of the treaty law and </w:t>
      </w:r>
      <w:r w:rsidRPr="002F3670">
        <w:rPr>
          <w:b/>
          <w:bCs/>
        </w:rPr>
        <w:t>a right of action</w:t>
      </w:r>
      <w:r>
        <w:t xml:space="preserve"> against the insurer. </w:t>
      </w:r>
    </w:p>
    <w:p w14:paraId="0D1FE63A" w14:textId="06D805C1" w:rsidR="002F3400" w:rsidRPr="002F3400" w:rsidRDefault="002F3400" w:rsidP="002F3400">
      <w:pPr>
        <w:pStyle w:val="BodyText"/>
      </w:pPr>
      <w:r w:rsidRPr="002F3400">
        <w:t>Due to the lack o</w:t>
      </w:r>
      <w:r w:rsidR="006C22A1">
        <w:t>f data, net benefits of Sub-option 1</w:t>
      </w:r>
      <w:r w:rsidRPr="002F3400">
        <w:t xml:space="preserve"> are not quantified. The regulatory and industry costs appear to outweigh the expected benefits from uniformity of laws for Domestic Commercial Vessels.</w:t>
      </w:r>
    </w:p>
    <w:p w14:paraId="47DD29EB" w14:textId="1BCFF3BF" w:rsidR="008C28BC" w:rsidRDefault="002F3400" w:rsidP="002F3400">
      <w:pPr>
        <w:pStyle w:val="BodyText"/>
      </w:pPr>
      <w:r>
        <w:t xml:space="preserve"> </w:t>
      </w:r>
      <w:r w:rsidR="008C28BC">
        <w:t xml:space="preserve">Summary results of </w:t>
      </w:r>
      <w:r w:rsidR="00BE749C">
        <w:t xml:space="preserve">the </w:t>
      </w:r>
      <w:r w:rsidR="008C28BC">
        <w:t>three policy options are provided below.</w:t>
      </w:r>
    </w:p>
    <w:p w14:paraId="0EEB8181" w14:textId="55A1AF2D" w:rsidR="008C28BC" w:rsidRDefault="006C22A1" w:rsidP="007F6B19">
      <w:pPr>
        <w:pStyle w:val="Heading2ES"/>
      </w:pPr>
      <w:r>
        <w:lastRenderedPageBreak/>
        <w:t>Option 3</w:t>
      </w:r>
    </w:p>
    <w:p w14:paraId="4EE5D8DA" w14:textId="30084601" w:rsidR="002F3400" w:rsidRDefault="00BE749C" w:rsidP="007F6B19">
      <w:pPr>
        <w:pStyle w:val="BodyText"/>
      </w:pPr>
      <w:r>
        <w:t>The</w:t>
      </w:r>
      <w:r w:rsidR="007F6B19">
        <w:t xml:space="preserve"> es</w:t>
      </w:r>
      <w:r w:rsidR="006C22A1">
        <w:t>timated net benefit of Option 3</w:t>
      </w:r>
      <w:r w:rsidR="007F6B19">
        <w:t xml:space="preserve"> relative to Option 1 is summarised in </w:t>
      </w:r>
      <w:r w:rsidR="007F6B19">
        <w:fldChar w:fldCharType="begin"/>
      </w:r>
      <w:r w:rsidR="007F6B19">
        <w:instrText xml:space="preserve"> REF _Ref75339874 \h </w:instrText>
      </w:r>
      <w:r w:rsidR="007F6B19">
        <w:fldChar w:fldCharType="separate"/>
      </w:r>
      <w:r w:rsidR="00966CD2" w:rsidRPr="007F6B19">
        <w:rPr>
          <w:rStyle w:val="CaptionLabel"/>
        </w:rPr>
        <w:t>Figure ES </w:t>
      </w:r>
      <w:r w:rsidR="00966CD2">
        <w:rPr>
          <w:rStyle w:val="CaptionLabel"/>
          <w:noProof/>
        </w:rPr>
        <w:t>1</w:t>
      </w:r>
      <w:r w:rsidR="007F6B19">
        <w:fldChar w:fldCharType="end"/>
      </w:r>
      <w:r w:rsidR="007F6B19">
        <w:t xml:space="preserve">. </w:t>
      </w:r>
    </w:p>
    <w:p w14:paraId="0506586A" w14:textId="66171415" w:rsidR="002F3400" w:rsidRPr="002F3400" w:rsidRDefault="002F3400" w:rsidP="002F3400">
      <w:pPr>
        <w:pStyle w:val="BodyText"/>
      </w:pPr>
      <w:r w:rsidRPr="002F3400">
        <w:t>The illustrative analysis indicates that if a wreck incident happens to a trading vessel in Year 1 in the EEZ, the estimated net benefits of accession to the Nairobi Convention under O</w:t>
      </w:r>
      <w:r w:rsidR="006C22A1">
        <w:t>ption 3</w:t>
      </w:r>
      <w:r w:rsidRPr="002F3400">
        <w:t xml:space="preserve"> relative to Option 1 over a ten-year period for:</w:t>
      </w:r>
    </w:p>
    <w:p w14:paraId="5F7A8F2E" w14:textId="57CF3390" w:rsidR="002F3400" w:rsidRPr="002F3400" w:rsidRDefault="002F3400" w:rsidP="002F3400">
      <w:pPr>
        <w:pStyle w:val="BodyText"/>
        <w:tabs>
          <w:tab w:val="left" w:pos="426"/>
        </w:tabs>
      </w:pPr>
      <w:r w:rsidRPr="002F3400">
        <w:t xml:space="preserve">— </w:t>
      </w:r>
      <w:r>
        <w:tab/>
      </w:r>
      <w:r w:rsidRPr="002F3400">
        <w:t>Bulk carriers would be around $33.4 million ($27.3 million at 7% discount rate).</w:t>
      </w:r>
    </w:p>
    <w:p w14:paraId="7BD3CC25" w14:textId="3BEF005E" w:rsidR="002F3400" w:rsidRPr="002F3400" w:rsidRDefault="002F3400" w:rsidP="002F3400">
      <w:pPr>
        <w:pStyle w:val="ListBullet"/>
      </w:pPr>
      <w:r w:rsidRPr="002F3400">
        <w:t>Container carriers would be around $4.6 million ($4 million at 7% discount rate).</w:t>
      </w:r>
    </w:p>
    <w:p w14:paraId="074BB1FD" w14:textId="269BB9FB" w:rsidR="002F3400" w:rsidRPr="002F3400" w:rsidRDefault="002F3400" w:rsidP="002F3400">
      <w:pPr>
        <w:pStyle w:val="ListBullet"/>
      </w:pPr>
      <w:r w:rsidRPr="002F3400">
        <w:t>LPG tankers would be around $1 million ($1.1 million at 7% discount rate).</w:t>
      </w:r>
    </w:p>
    <w:tbl>
      <w:tblPr>
        <w:tblW w:w="0" w:type="auto"/>
        <w:tblLayout w:type="fixed"/>
        <w:tblCellMar>
          <w:left w:w="0" w:type="dxa"/>
          <w:right w:w="0" w:type="dxa"/>
        </w:tblCellMar>
        <w:tblLook w:val="0000" w:firstRow="0" w:lastRow="0" w:firstColumn="0" w:lastColumn="0" w:noHBand="0" w:noVBand="0"/>
      </w:tblPr>
      <w:tblGrid>
        <w:gridCol w:w="7936"/>
      </w:tblGrid>
      <w:tr w:rsidR="007F6B19" w14:paraId="3D85CB77" w14:textId="77777777" w:rsidTr="00877BDF">
        <w:tc>
          <w:tcPr>
            <w:tcW w:w="7936" w:type="dxa"/>
            <w:tcBorders>
              <w:bottom w:val="single" w:sz="4" w:space="0" w:color="000100"/>
            </w:tcBorders>
            <w:shd w:val="clear" w:color="auto" w:fill="auto"/>
            <w:tcMar>
              <w:top w:w="160" w:type="dxa"/>
              <w:bottom w:w="8" w:type="dxa"/>
            </w:tcMar>
          </w:tcPr>
          <w:p w14:paraId="7720B9D3" w14:textId="0970FF74" w:rsidR="002F3400" w:rsidRPr="002F3400" w:rsidRDefault="007F6B19" w:rsidP="002F3400">
            <w:pPr>
              <w:pStyle w:val="Caption"/>
            </w:pPr>
            <w:bookmarkStart w:id="3" w:name="_Ref75339874"/>
            <w:r w:rsidRPr="007F6B19">
              <w:rPr>
                <w:rStyle w:val="CaptionLabel"/>
              </w:rPr>
              <w:t>Figure ES </w:t>
            </w:r>
            <w:r w:rsidRPr="007F6B19">
              <w:rPr>
                <w:rStyle w:val="CaptionLabel"/>
              </w:rPr>
              <w:fldChar w:fldCharType="begin"/>
            </w:r>
            <w:r w:rsidRPr="007F6B19">
              <w:rPr>
                <w:rStyle w:val="CaptionLabel"/>
              </w:rPr>
              <w:instrText xml:space="preserve"> SEQ Figure_ES \* ARABIC  \* MERGEFORMAT </w:instrText>
            </w:r>
            <w:r w:rsidRPr="007F6B19">
              <w:rPr>
                <w:rStyle w:val="CaptionLabel"/>
              </w:rPr>
              <w:fldChar w:fldCharType="separate"/>
            </w:r>
            <w:r w:rsidR="00966CD2">
              <w:rPr>
                <w:rStyle w:val="CaptionLabel"/>
                <w:noProof/>
              </w:rPr>
              <w:t>1</w:t>
            </w:r>
            <w:r w:rsidRPr="007F6B19">
              <w:rPr>
                <w:rStyle w:val="CaptionLabel"/>
              </w:rPr>
              <w:fldChar w:fldCharType="end"/>
            </w:r>
            <w:bookmarkEnd w:id="3"/>
            <w:r>
              <w:tab/>
              <w:t>Net benefits of Option</w:t>
            </w:r>
            <w:r w:rsidR="00F70985">
              <w:t xml:space="preserve"> </w:t>
            </w:r>
            <w:r w:rsidR="006C22A1">
              <w:t>3</w:t>
            </w:r>
            <w:r>
              <w:t xml:space="preserve"> relative to Option 1 over a ten-year period</w:t>
            </w:r>
          </w:p>
        </w:tc>
      </w:tr>
      <w:tr w:rsidR="002F3400" w14:paraId="744CD161" w14:textId="77777777" w:rsidTr="002F3400">
        <w:tc>
          <w:tcPr>
            <w:tcW w:w="7936" w:type="dxa"/>
            <w:shd w:val="clear" w:color="auto" w:fill="auto"/>
            <w:tcMar>
              <w:top w:w="160" w:type="dxa"/>
              <w:bottom w:w="8" w:type="dxa"/>
            </w:tcMar>
          </w:tcPr>
          <w:p w14:paraId="5330056C" w14:textId="2EF5A1AD" w:rsidR="002F3400" w:rsidRPr="007F6B19" w:rsidRDefault="002F3400" w:rsidP="007F6B19">
            <w:pPr>
              <w:pStyle w:val="Caption"/>
              <w:rPr>
                <w:rStyle w:val="CaptionLabel"/>
              </w:rPr>
            </w:pPr>
            <w:r>
              <w:rPr>
                <w:noProof/>
                <w:lang w:eastAsia="en-AU"/>
              </w:rPr>
              <w:drawing>
                <wp:inline distT="0" distB="0" distL="0" distR="0" wp14:anchorId="2048324E" wp14:editId="0CBEA69E">
                  <wp:extent cx="5039360" cy="19723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360" cy="1972310"/>
                          </a:xfrm>
                          <a:prstGeom prst="rect">
                            <a:avLst/>
                          </a:prstGeom>
                        </pic:spPr>
                      </pic:pic>
                    </a:graphicData>
                  </a:graphic>
                </wp:inline>
              </w:drawing>
            </w:r>
          </w:p>
        </w:tc>
      </w:tr>
      <w:tr w:rsidR="007F6B19" w14:paraId="40A1785E" w14:textId="77777777" w:rsidTr="002F3400">
        <w:trPr>
          <w:trHeight w:val="135"/>
        </w:trPr>
        <w:tc>
          <w:tcPr>
            <w:tcW w:w="7936" w:type="dxa"/>
            <w:tcBorders>
              <w:bottom w:val="single" w:sz="4" w:space="0" w:color="auto"/>
            </w:tcBorders>
            <w:shd w:val="clear" w:color="auto" w:fill="auto"/>
            <w:tcMar>
              <w:top w:w="12" w:type="dxa"/>
              <w:bottom w:w="113" w:type="dxa"/>
            </w:tcMar>
          </w:tcPr>
          <w:p w14:paraId="75B1CA0E" w14:textId="77777777" w:rsidR="007F6B19" w:rsidRDefault="007F6B19" w:rsidP="00877BDF">
            <w:pPr>
              <w:pStyle w:val="Source"/>
            </w:pPr>
            <w:r>
              <w:t>Source: ACIL Allen estimates from various assumptions</w:t>
            </w:r>
          </w:p>
        </w:tc>
      </w:tr>
      <w:tr w:rsidR="007F6B19" w14:paraId="6E1FDA3D" w14:textId="77777777" w:rsidTr="002F3400">
        <w:trPr>
          <w:trHeight w:hRule="exact" w:val="160"/>
        </w:trPr>
        <w:tc>
          <w:tcPr>
            <w:tcW w:w="7936" w:type="dxa"/>
            <w:tcBorders>
              <w:top w:val="single" w:sz="4" w:space="0" w:color="auto"/>
            </w:tcBorders>
            <w:shd w:val="clear" w:color="auto" w:fill="auto"/>
            <w:tcMar>
              <w:top w:w="0" w:type="dxa"/>
              <w:bottom w:w="40" w:type="dxa"/>
            </w:tcMar>
          </w:tcPr>
          <w:p w14:paraId="0D937C9A" w14:textId="77777777" w:rsidR="007F6B19" w:rsidRDefault="007F6B19" w:rsidP="00877BDF">
            <w:pPr>
              <w:pStyle w:val="spacer"/>
            </w:pPr>
          </w:p>
        </w:tc>
      </w:tr>
    </w:tbl>
    <w:p w14:paraId="5195F625" w14:textId="41649CB1" w:rsidR="007D7855" w:rsidRDefault="00D7378E" w:rsidP="00C17404">
      <w:pPr>
        <w:pStyle w:val="BodyText"/>
      </w:pPr>
      <w:r w:rsidRPr="0008756D">
        <w:t>The</w:t>
      </w:r>
      <w:r>
        <w:t xml:space="preserve"> estimated benef</w:t>
      </w:r>
      <w:r w:rsidR="006C22A1">
        <w:t>it cost ratio (BCR) of Option 3</w:t>
      </w:r>
      <w:r w:rsidR="007D7855">
        <w:t xml:space="preserve"> for each vessel type</w:t>
      </w:r>
      <w:r>
        <w:t xml:space="preserve"> is provided in </w:t>
      </w:r>
      <w:r w:rsidR="00EE4DA6">
        <w:fldChar w:fldCharType="begin"/>
      </w:r>
      <w:r w:rsidR="00EE4DA6">
        <w:instrText xml:space="preserve"> REF _Ref75340667 \h </w:instrText>
      </w:r>
      <w:r w:rsidR="00EE4DA6">
        <w:fldChar w:fldCharType="separate"/>
      </w:r>
      <w:r w:rsidR="00966CD2" w:rsidRPr="00D7378E">
        <w:rPr>
          <w:rStyle w:val="CaptionLabel"/>
        </w:rPr>
        <w:t>Figure ES </w:t>
      </w:r>
      <w:r w:rsidR="00966CD2">
        <w:rPr>
          <w:rStyle w:val="CaptionLabel"/>
          <w:noProof/>
        </w:rPr>
        <w:t>2</w:t>
      </w:r>
      <w:r w:rsidR="00EE4DA6">
        <w:fldChar w:fldCharType="end"/>
      </w:r>
      <w:r>
        <w:t xml:space="preserve">. </w:t>
      </w:r>
    </w:p>
    <w:p w14:paraId="7ACA6409" w14:textId="094AA1FA" w:rsidR="00D7378E" w:rsidRDefault="00D7378E" w:rsidP="00C17404">
      <w:pPr>
        <w:pStyle w:val="BodyText"/>
      </w:pPr>
      <w:r>
        <w:t xml:space="preserve">A BCR is an indicator showing the relationship between the relative costs and benefits of each </w:t>
      </w:r>
      <w:r w:rsidR="00EE4DA6">
        <w:t xml:space="preserve">policy </w:t>
      </w:r>
      <w:r>
        <w:t xml:space="preserve">option. </w:t>
      </w:r>
      <w:r w:rsidR="007D7855" w:rsidRPr="007D7855">
        <w:t>The est</w:t>
      </w:r>
      <w:r w:rsidR="006C22A1">
        <w:t>imated BCRs shows that Option 3</w:t>
      </w:r>
      <w:r w:rsidR="007D7855" w:rsidRPr="007D7855">
        <w:t xml:space="preserve"> has a BCR greater than one for all various vessel types considered. This indicates the estimated benefits outweigh the estimated regulatory and other costs of Australia’s accession to the Nairobi Convention in the EEZ.</w:t>
      </w:r>
    </w:p>
    <w:tbl>
      <w:tblPr>
        <w:tblW w:w="0" w:type="auto"/>
        <w:tblLayout w:type="fixed"/>
        <w:tblCellMar>
          <w:left w:w="0" w:type="dxa"/>
          <w:right w:w="0" w:type="dxa"/>
        </w:tblCellMar>
        <w:tblLook w:val="0000" w:firstRow="0" w:lastRow="0" w:firstColumn="0" w:lastColumn="0" w:noHBand="0" w:noVBand="0"/>
      </w:tblPr>
      <w:tblGrid>
        <w:gridCol w:w="7936"/>
      </w:tblGrid>
      <w:tr w:rsidR="00D7378E" w14:paraId="3C0B99B5" w14:textId="77777777" w:rsidTr="00D7378E">
        <w:tc>
          <w:tcPr>
            <w:tcW w:w="7936" w:type="dxa"/>
            <w:tcBorders>
              <w:bottom w:val="single" w:sz="4" w:space="0" w:color="000100"/>
            </w:tcBorders>
            <w:shd w:val="clear" w:color="auto" w:fill="auto"/>
            <w:tcMar>
              <w:top w:w="160" w:type="dxa"/>
              <w:bottom w:w="8" w:type="dxa"/>
            </w:tcMar>
          </w:tcPr>
          <w:p w14:paraId="402A910E" w14:textId="741CBA9F" w:rsidR="00D7378E" w:rsidRDefault="00D7378E" w:rsidP="007D7855">
            <w:pPr>
              <w:pStyle w:val="Caption"/>
            </w:pPr>
            <w:bookmarkStart w:id="4" w:name="_Ref75340667"/>
            <w:r w:rsidRPr="00D7378E">
              <w:rPr>
                <w:rStyle w:val="CaptionLabel"/>
              </w:rPr>
              <w:t>Figure ES </w:t>
            </w:r>
            <w:r w:rsidRPr="00D7378E">
              <w:rPr>
                <w:rStyle w:val="CaptionLabel"/>
              </w:rPr>
              <w:fldChar w:fldCharType="begin"/>
            </w:r>
            <w:r w:rsidRPr="00D7378E">
              <w:rPr>
                <w:rStyle w:val="CaptionLabel"/>
              </w:rPr>
              <w:instrText xml:space="preserve"> SEQ Figure_ES \* ARABIC  \* MERGEFORMAT </w:instrText>
            </w:r>
            <w:r w:rsidRPr="00D7378E">
              <w:rPr>
                <w:rStyle w:val="CaptionLabel"/>
              </w:rPr>
              <w:fldChar w:fldCharType="separate"/>
            </w:r>
            <w:r w:rsidR="00966CD2">
              <w:rPr>
                <w:rStyle w:val="CaptionLabel"/>
                <w:noProof/>
              </w:rPr>
              <w:t>2</w:t>
            </w:r>
            <w:r w:rsidRPr="00D7378E">
              <w:rPr>
                <w:rStyle w:val="CaptionLabel"/>
              </w:rPr>
              <w:fldChar w:fldCharType="end"/>
            </w:r>
            <w:bookmarkEnd w:id="4"/>
            <w:r w:rsidR="006C22A1">
              <w:tab/>
              <w:t>Benefit Cost Ratio of Option 3</w:t>
            </w:r>
            <w:r>
              <w:t xml:space="preserve"> </w:t>
            </w:r>
            <w:r w:rsidR="008E15D7">
              <w:t>by vessel types</w:t>
            </w:r>
          </w:p>
        </w:tc>
      </w:tr>
      <w:tr w:rsidR="00D7378E" w14:paraId="4205C208" w14:textId="77777777" w:rsidTr="00D7378E">
        <w:tblPrEx>
          <w:tblCellMar>
            <w:left w:w="108" w:type="dxa"/>
            <w:right w:w="108" w:type="dxa"/>
          </w:tblCellMar>
        </w:tblPrEx>
        <w:tc>
          <w:tcPr>
            <w:tcW w:w="7936" w:type="dxa"/>
            <w:tcBorders>
              <w:top w:val="single" w:sz="4" w:space="0" w:color="000100"/>
            </w:tcBorders>
            <w:shd w:val="clear" w:color="auto" w:fill="auto"/>
          </w:tcPr>
          <w:p w14:paraId="24148381" w14:textId="0A2806E2" w:rsidR="00D7378E" w:rsidRDefault="007D7855" w:rsidP="00D7378E">
            <w:pPr>
              <w:pStyle w:val="Figure"/>
            </w:pPr>
            <w:r>
              <w:rPr>
                <w:noProof/>
                <w:lang w:eastAsia="en-AU"/>
              </w:rPr>
              <w:drawing>
                <wp:inline distT="0" distB="0" distL="0" distR="0" wp14:anchorId="3C9CC4E6" wp14:editId="653A7941">
                  <wp:extent cx="4902200" cy="2011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2200" cy="2011680"/>
                          </a:xfrm>
                          <a:prstGeom prst="rect">
                            <a:avLst/>
                          </a:prstGeom>
                        </pic:spPr>
                      </pic:pic>
                    </a:graphicData>
                  </a:graphic>
                </wp:inline>
              </w:drawing>
            </w:r>
          </w:p>
        </w:tc>
      </w:tr>
      <w:tr w:rsidR="00D7378E" w14:paraId="5924668F" w14:textId="77777777" w:rsidTr="00D7378E">
        <w:trPr>
          <w:trHeight w:val="138"/>
        </w:trPr>
        <w:tc>
          <w:tcPr>
            <w:tcW w:w="7936" w:type="dxa"/>
            <w:tcBorders>
              <w:bottom w:val="single" w:sz="4" w:space="0" w:color="000100"/>
            </w:tcBorders>
            <w:shd w:val="clear" w:color="auto" w:fill="auto"/>
            <w:tcMar>
              <w:top w:w="12" w:type="dxa"/>
              <w:bottom w:w="113" w:type="dxa"/>
            </w:tcMar>
          </w:tcPr>
          <w:p w14:paraId="71F18266" w14:textId="71A5AFA4" w:rsidR="00D7378E" w:rsidRDefault="00D7378E" w:rsidP="00D7378E">
            <w:pPr>
              <w:pStyle w:val="Source"/>
            </w:pPr>
            <w:r>
              <w:t>Source: ACIL Allen estimates from various assumptions</w:t>
            </w:r>
          </w:p>
        </w:tc>
      </w:tr>
      <w:tr w:rsidR="00D7378E" w14:paraId="1E86FC4D" w14:textId="77777777" w:rsidTr="00D7378E">
        <w:trPr>
          <w:trHeight w:hRule="exact" w:val="160"/>
        </w:trPr>
        <w:tc>
          <w:tcPr>
            <w:tcW w:w="7936" w:type="dxa"/>
            <w:tcBorders>
              <w:top w:val="single" w:sz="4" w:space="0" w:color="000100"/>
            </w:tcBorders>
            <w:shd w:val="clear" w:color="auto" w:fill="auto"/>
            <w:tcMar>
              <w:top w:w="0" w:type="dxa"/>
              <w:bottom w:w="40" w:type="dxa"/>
            </w:tcMar>
          </w:tcPr>
          <w:p w14:paraId="33996366" w14:textId="77777777" w:rsidR="00D7378E" w:rsidRDefault="00D7378E" w:rsidP="00D7378E">
            <w:pPr>
              <w:pStyle w:val="spacer"/>
            </w:pPr>
          </w:p>
        </w:tc>
      </w:tr>
    </w:tbl>
    <w:p w14:paraId="7EC04B21" w14:textId="72415425" w:rsidR="008C28BC" w:rsidRDefault="008C28BC" w:rsidP="00C17404">
      <w:pPr>
        <w:pStyle w:val="BodyText"/>
      </w:pPr>
    </w:p>
    <w:p w14:paraId="4F2A181D" w14:textId="666D22E4" w:rsidR="00EE4DA6" w:rsidRDefault="006C22A1" w:rsidP="00EE4DA6">
      <w:pPr>
        <w:pStyle w:val="Heading2ES"/>
      </w:pPr>
      <w:r>
        <w:t>Option 4</w:t>
      </w:r>
    </w:p>
    <w:p w14:paraId="59C15069" w14:textId="184C61AE" w:rsidR="007D7855" w:rsidRDefault="00BE749C" w:rsidP="00EE4DA6">
      <w:pPr>
        <w:pStyle w:val="BodyText"/>
      </w:pPr>
      <w:r>
        <w:lastRenderedPageBreak/>
        <w:t>The</w:t>
      </w:r>
      <w:r w:rsidR="00EE4DA6">
        <w:t xml:space="preserve"> es</w:t>
      </w:r>
      <w:r w:rsidR="006C22A1">
        <w:t>timated net benefit of Option 4</w:t>
      </w:r>
      <w:r w:rsidR="00EE4DA6">
        <w:t xml:space="preserve"> relative to Option 1 is summarised in </w:t>
      </w:r>
      <w:r w:rsidR="00EE4DA6">
        <w:fldChar w:fldCharType="begin"/>
      </w:r>
      <w:r w:rsidR="00EE4DA6">
        <w:instrText xml:space="preserve"> REF _Ref75340739 \h </w:instrText>
      </w:r>
      <w:r w:rsidR="00EE4DA6">
        <w:fldChar w:fldCharType="separate"/>
      </w:r>
      <w:r w:rsidR="00966CD2" w:rsidRPr="007F6B19">
        <w:rPr>
          <w:rStyle w:val="CaptionLabel"/>
        </w:rPr>
        <w:t>Figure ES </w:t>
      </w:r>
      <w:r w:rsidR="00966CD2">
        <w:rPr>
          <w:rStyle w:val="CaptionLabel"/>
          <w:noProof/>
        </w:rPr>
        <w:t>3</w:t>
      </w:r>
      <w:r w:rsidR="00EE4DA6">
        <w:fldChar w:fldCharType="end"/>
      </w:r>
      <w:r w:rsidR="00EE4DA6">
        <w:t xml:space="preserve">. </w:t>
      </w:r>
    </w:p>
    <w:p w14:paraId="1CEBF265" w14:textId="758B937F" w:rsidR="00EE4DA6" w:rsidRDefault="00EE4DA6" w:rsidP="00EE4DA6">
      <w:pPr>
        <w:pStyle w:val="BodyText"/>
      </w:pPr>
      <w:r>
        <w:t xml:space="preserve">This indicates </w:t>
      </w:r>
      <w:r w:rsidR="007D7855" w:rsidRPr="007D7855">
        <w:t>if a wreck incident happens to a vessel in Year 1 in either the Territorial Sea or the EEZ, the estimated net benefits of accession to the N</w:t>
      </w:r>
      <w:r w:rsidR="006C22A1">
        <w:t>airobi Convention under Option 4</w:t>
      </w:r>
      <w:r w:rsidR="007D7855" w:rsidRPr="007D7855">
        <w:t xml:space="preserve"> relative to Option 1 for Bulk carriers would be around $48 million ($38.2 million at 7% discount rate) and for Container carriers would be around $7.2 million ($6 million at 7% discount rate) over a ten-year period.</w:t>
      </w:r>
    </w:p>
    <w:tbl>
      <w:tblPr>
        <w:tblW w:w="0" w:type="auto"/>
        <w:tblLayout w:type="fixed"/>
        <w:tblCellMar>
          <w:left w:w="0" w:type="dxa"/>
          <w:right w:w="0" w:type="dxa"/>
        </w:tblCellMar>
        <w:tblLook w:val="0000" w:firstRow="0" w:lastRow="0" w:firstColumn="0" w:lastColumn="0" w:noHBand="0" w:noVBand="0"/>
      </w:tblPr>
      <w:tblGrid>
        <w:gridCol w:w="7936"/>
      </w:tblGrid>
      <w:tr w:rsidR="00EE4DA6" w14:paraId="0C26B48E" w14:textId="77777777" w:rsidTr="00903872">
        <w:tc>
          <w:tcPr>
            <w:tcW w:w="7936" w:type="dxa"/>
            <w:shd w:val="clear" w:color="auto" w:fill="auto"/>
            <w:tcMar>
              <w:top w:w="160" w:type="dxa"/>
              <w:bottom w:w="8" w:type="dxa"/>
            </w:tcMar>
          </w:tcPr>
          <w:p w14:paraId="22BEC8B6" w14:textId="7F04AFD5" w:rsidR="00EE4DA6" w:rsidRDefault="00903872" w:rsidP="006C22A1">
            <w:pPr>
              <w:pStyle w:val="Caption"/>
            </w:pPr>
            <w:bookmarkStart w:id="5" w:name="_Ref75340739"/>
            <w:r>
              <w:rPr>
                <w:noProof/>
                <w:lang w:eastAsia="en-AU"/>
              </w:rPr>
              <w:drawing>
                <wp:anchor distT="0" distB="0" distL="114300" distR="114300" simplePos="0" relativeHeight="251666432" behindDoc="0" locked="0" layoutInCell="1" allowOverlap="1" wp14:anchorId="22A0EC8D" wp14:editId="6D45D8AA">
                  <wp:simplePos x="0" y="0"/>
                  <wp:positionH relativeFrom="margin">
                    <wp:posOffset>67945</wp:posOffset>
                  </wp:positionH>
                  <wp:positionV relativeFrom="margin">
                    <wp:posOffset>229870</wp:posOffset>
                  </wp:positionV>
                  <wp:extent cx="463169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31690" cy="1828800"/>
                          </a:xfrm>
                          <a:prstGeom prst="rect">
                            <a:avLst/>
                          </a:prstGeom>
                        </pic:spPr>
                      </pic:pic>
                    </a:graphicData>
                  </a:graphic>
                  <wp14:sizeRelH relativeFrom="margin">
                    <wp14:pctWidth>0</wp14:pctWidth>
                  </wp14:sizeRelH>
                  <wp14:sizeRelV relativeFrom="margin">
                    <wp14:pctHeight>0</wp14:pctHeight>
                  </wp14:sizeRelV>
                </wp:anchor>
              </w:drawing>
            </w:r>
            <w:r w:rsidR="00EE4DA6" w:rsidRPr="007F6B19">
              <w:rPr>
                <w:rStyle w:val="CaptionLabel"/>
              </w:rPr>
              <w:t>Figure ES </w:t>
            </w:r>
            <w:r w:rsidR="00EE4DA6" w:rsidRPr="007F6B19">
              <w:rPr>
                <w:rStyle w:val="CaptionLabel"/>
              </w:rPr>
              <w:fldChar w:fldCharType="begin"/>
            </w:r>
            <w:r w:rsidR="00EE4DA6" w:rsidRPr="007F6B19">
              <w:rPr>
                <w:rStyle w:val="CaptionLabel"/>
              </w:rPr>
              <w:instrText xml:space="preserve"> SEQ Figure_ES \* ARABIC  \* MERGEFORMAT </w:instrText>
            </w:r>
            <w:r w:rsidR="00EE4DA6" w:rsidRPr="007F6B19">
              <w:rPr>
                <w:rStyle w:val="CaptionLabel"/>
              </w:rPr>
              <w:fldChar w:fldCharType="separate"/>
            </w:r>
            <w:r w:rsidR="00966CD2">
              <w:rPr>
                <w:rStyle w:val="CaptionLabel"/>
                <w:noProof/>
              </w:rPr>
              <w:t>3</w:t>
            </w:r>
            <w:r w:rsidR="00EE4DA6" w:rsidRPr="007F6B19">
              <w:rPr>
                <w:rStyle w:val="CaptionLabel"/>
              </w:rPr>
              <w:fldChar w:fldCharType="end"/>
            </w:r>
            <w:bookmarkEnd w:id="5"/>
            <w:r w:rsidR="00EE4DA6">
              <w:tab/>
              <w:t>Net benefits of Option</w:t>
            </w:r>
            <w:r w:rsidR="00F70985">
              <w:t xml:space="preserve"> </w:t>
            </w:r>
            <w:r w:rsidR="006C22A1">
              <w:t>4</w:t>
            </w:r>
            <w:r w:rsidR="00EE4DA6">
              <w:t xml:space="preserve"> relative to Option 1 over a ten-year period</w:t>
            </w:r>
          </w:p>
        </w:tc>
      </w:tr>
      <w:tr w:rsidR="00EE4DA6" w14:paraId="62D73C25" w14:textId="77777777" w:rsidTr="00877BDF">
        <w:trPr>
          <w:trHeight w:val="135"/>
        </w:trPr>
        <w:tc>
          <w:tcPr>
            <w:tcW w:w="7936" w:type="dxa"/>
            <w:tcBorders>
              <w:bottom w:val="single" w:sz="4" w:space="0" w:color="000100"/>
            </w:tcBorders>
            <w:shd w:val="clear" w:color="auto" w:fill="auto"/>
            <w:tcMar>
              <w:top w:w="12" w:type="dxa"/>
              <w:bottom w:w="113" w:type="dxa"/>
            </w:tcMar>
          </w:tcPr>
          <w:p w14:paraId="53E066DE" w14:textId="77777777" w:rsidR="00EE4DA6" w:rsidRDefault="00EE4DA6" w:rsidP="00877BDF">
            <w:pPr>
              <w:pStyle w:val="Source"/>
            </w:pPr>
            <w:r>
              <w:t>Source: ACIL Allen estimates from various assumptions</w:t>
            </w:r>
          </w:p>
        </w:tc>
      </w:tr>
      <w:tr w:rsidR="00EE4DA6" w14:paraId="765E372A" w14:textId="77777777" w:rsidTr="00877BDF">
        <w:trPr>
          <w:trHeight w:hRule="exact" w:val="160"/>
        </w:trPr>
        <w:tc>
          <w:tcPr>
            <w:tcW w:w="7936" w:type="dxa"/>
            <w:tcBorders>
              <w:top w:val="single" w:sz="4" w:space="0" w:color="000100"/>
            </w:tcBorders>
            <w:shd w:val="clear" w:color="auto" w:fill="auto"/>
            <w:tcMar>
              <w:top w:w="0" w:type="dxa"/>
              <w:bottom w:w="40" w:type="dxa"/>
            </w:tcMar>
          </w:tcPr>
          <w:p w14:paraId="762B4E0D" w14:textId="77777777" w:rsidR="00EE4DA6" w:rsidRDefault="00EE4DA6" w:rsidP="00877BDF">
            <w:pPr>
              <w:pStyle w:val="spacer"/>
            </w:pPr>
          </w:p>
        </w:tc>
      </w:tr>
    </w:tbl>
    <w:p w14:paraId="7394CB3D" w14:textId="00423634" w:rsidR="007D7855" w:rsidRDefault="00EE4DA6" w:rsidP="00EE4DA6">
      <w:pPr>
        <w:pStyle w:val="BodyText"/>
      </w:pPr>
      <w:r>
        <w:t>The estimated BCR</w:t>
      </w:r>
      <w:r w:rsidR="007D7855">
        <w:t>s</w:t>
      </w:r>
      <w:r w:rsidR="006C22A1">
        <w:t xml:space="preserve"> of Option 4</w:t>
      </w:r>
      <w:r>
        <w:t xml:space="preserve"> is provided in </w:t>
      </w:r>
      <w:r w:rsidR="00F16603">
        <w:fldChar w:fldCharType="begin"/>
      </w:r>
      <w:r w:rsidR="00F16603">
        <w:instrText xml:space="preserve"> REF _Ref75340820 \h </w:instrText>
      </w:r>
      <w:r w:rsidR="00F16603">
        <w:fldChar w:fldCharType="separate"/>
      </w:r>
      <w:r w:rsidR="00966CD2" w:rsidRPr="00D7378E">
        <w:rPr>
          <w:rStyle w:val="CaptionLabel"/>
        </w:rPr>
        <w:t>Figure ES </w:t>
      </w:r>
      <w:r w:rsidR="00966CD2">
        <w:rPr>
          <w:rStyle w:val="CaptionLabel"/>
          <w:noProof/>
        </w:rPr>
        <w:t>4</w:t>
      </w:r>
      <w:r w:rsidR="00F16603">
        <w:fldChar w:fldCharType="end"/>
      </w:r>
      <w:r>
        <w:t xml:space="preserve">. </w:t>
      </w:r>
      <w:r w:rsidR="006C22A1">
        <w:t>As per Option 3</w:t>
      </w:r>
      <w:r w:rsidR="007D7855">
        <w:t>, t</w:t>
      </w:r>
      <w:r>
        <w:t>he estimated BCR</w:t>
      </w:r>
      <w:r w:rsidR="007D7855">
        <w:t>s are</w:t>
      </w:r>
      <w:r>
        <w:t xml:space="preserve"> greater than one</w:t>
      </w:r>
      <w:r w:rsidR="007D7855">
        <w:t xml:space="preserve"> for all vessel types considered. </w:t>
      </w:r>
      <w:r w:rsidR="007D7855" w:rsidRPr="007D7855">
        <w:t>This indicates the estimated benefits outweigh regulatory and other costs of possible Australia’s accession to Nairobi Convention in the Territorial Sea and in the EEZ. Further,</w:t>
      </w:r>
      <w:r w:rsidR="006C22A1">
        <w:t xml:space="preserve"> the estimated BCRs for Option 4</w:t>
      </w:r>
      <w:r w:rsidR="007D7855" w:rsidRPr="007D7855">
        <w:t xml:space="preserve"> are higher th</w:t>
      </w:r>
      <w:r w:rsidR="006C22A1">
        <w:t>an those estimated for Option 3</w:t>
      </w:r>
      <w:r w:rsidR="007D7855" w:rsidRPr="007D7855">
        <w:t>, which indicates that this is a more preferred option.</w:t>
      </w:r>
    </w:p>
    <w:tbl>
      <w:tblPr>
        <w:tblW w:w="0" w:type="auto"/>
        <w:tblLayout w:type="fixed"/>
        <w:tblCellMar>
          <w:left w:w="0" w:type="dxa"/>
          <w:right w:w="0" w:type="dxa"/>
        </w:tblCellMar>
        <w:tblLook w:val="0000" w:firstRow="0" w:lastRow="0" w:firstColumn="0" w:lastColumn="0" w:noHBand="0" w:noVBand="0"/>
      </w:tblPr>
      <w:tblGrid>
        <w:gridCol w:w="7936"/>
      </w:tblGrid>
      <w:tr w:rsidR="00EE4DA6" w14:paraId="553E43D3" w14:textId="77777777" w:rsidTr="00903872">
        <w:tc>
          <w:tcPr>
            <w:tcW w:w="7936" w:type="dxa"/>
            <w:shd w:val="clear" w:color="auto" w:fill="auto"/>
            <w:tcMar>
              <w:top w:w="160" w:type="dxa"/>
              <w:bottom w:w="8" w:type="dxa"/>
            </w:tcMar>
          </w:tcPr>
          <w:p w14:paraId="545B7FAF" w14:textId="358A504D" w:rsidR="00EE4DA6" w:rsidRDefault="00903872" w:rsidP="007D7855">
            <w:pPr>
              <w:pStyle w:val="Caption"/>
            </w:pPr>
            <w:bookmarkStart w:id="6" w:name="_Ref75340820"/>
            <w:r>
              <w:rPr>
                <w:noProof/>
                <w:lang w:eastAsia="en-AU"/>
              </w:rPr>
              <w:drawing>
                <wp:anchor distT="0" distB="0" distL="114300" distR="114300" simplePos="0" relativeHeight="251667456" behindDoc="0" locked="0" layoutInCell="1" allowOverlap="1" wp14:anchorId="5E06B53C" wp14:editId="6B629AAB">
                  <wp:simplePos x="0" y="0"/>
                  <wp:positionH relativeFrom="margin">
                    <wp:posOffset>67945</wp:posOffset>
                  </wp:positionH>
                  <wp:positionV relativeFrom="margin">
                    <wp:posOffset>227330</wp:posOffset>
                  </wp:positionV>
                  <wp:extent cx="4631690" cy="19443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31690" cy="1944370"/>
                          </a:xfrm>
                          <a:prstGeom prst="rect">
                            <a:avLst/>
                          </a:prstGeom>
                        </pic:spPr>
                      </pic:pic>
                    </a:graphicData>
                  </a:graphic>
                  <wp14:sizeRelH relativeFrom="margin">
                    <wp14:pctWidth>0</wp14:pctWidth>
                  </wp14:sizeRelH>
                  <wp14:sizeRelV relativeFrom="margin">
                    <wp14:pctHeight>0</wp14:pctHeight>
                  </wp14:sizeRelV>
                </wp:anchor>
              </w:drawing>
            </w:r>
            <w:r w:rsidR="00EE4DA6" w:rsidRPr="00D7378E">
              <w:rPr>
                <w:rStyle w:val="CaptionLabel"/>
              </w:rPr>
              <w:t>Figure ES </w:t>
            </w:r>
            <w:r w:rsidR="00EE4DA6" w:rsidRPr="00D7378E">
              <w:rPr>
                <w:rStyle w:val="CaptionLabel"/>
              </w:rPr>
              <w:fldChar w:fldCharType="begin"/>
            </w:r>
            <w:r w:rsidR="00EE4DA6" w:rsidRPr="00D7378E">
              <w:rPr>
                <w:rStyle w:val="CaptionLabel"/>
              </w:rPr>
              <w:instrText xml:space="preserve"> SEQ Figure_ES \* ARABIC  \* MERGEFORMAT </w:instrText>
            </w:r>
            <w:r w:rsidR="00EE4DA6" w:rsidRPr="00D7378E">
              <w:rPr>
                <w:rStyle w:val="CaptionLabel"/>
              </w:rPr>
              <w:fldChar w:fldCharType="separate"/>
            </w:r>
            <w:r w:rsidR="00966CD2">
              <w:rPr>
                <w:rStyle w:val="CaptionLabel"/>
                <w:noProof/>
              </w:rPr>
              <w:t>4</w:t>
            </w:r>
            <w:r w:rsidR="00EE4DA6" w:rsidRPr="00D7378E">
              <w:rPr>
                <w:rStyle w:val="CaptionLabel"/>
              </w:rPr>
              <w:fldChar w:fldCharType="end"/>
            </w:r>
            <w:bookmarkEnd w:id="6"/>
            <w:r w:rsidR="006C22A1">
              <w:tab/>
              <w:t>Benefit Cost Ratio of Option 4</w:t>
            </w:r>
            <w:r w:rsidR="00EE4DA6">
              <w:t xml:space="preserve"> </w:t>
            </w:r>
            <w:r w:rsidR="008E15D7">
              <w:t xml:space="preserve">by </w:t>
            </w:r>
            <w:r w:rsidR="00EE4DA6">
              <w:t xml:space="preserve">vessel types </w:t>
            </w:r>
          </w:p>
        </w:tc>
      </w:tr>
      <w:tr w:rsidR="00EE4DA6" w14:paraId="54B9F85C" w14:textId="77777777" w:rsidTr="00903872">
        <w:trPr>
          <w:trHeight w:val="138"/>
        </w:trPr>
        <w:tc>
          <w:tcPr>
            <w:tcW w:w="7936" w:type="dxa"/>
            <w:tcBorders>
              <w:bottom w:val="single" w:sz="4" w:space="0" w:color="000100"/>
            </w:tcBorders>
            <w:shd w:val="clear" w:color="auto" w:fill="auto"/>
            <w:tcMar>
              <w:top w:w="12" w:type="dxa"/>
              <w:bottom w:w="113" w:type="dxa"/>
            </w:tcMar>
          </w:tcPr>
          <w:p w14:paraId="3AA12FF7" w14:textId="77777777" w:rsidR="00EE4DA6" w:rsidRDefault="00EE4DA6" w:rsidP="00877BDF">
            <w:pPr>
              <w:pStyle w:val="Source"/>
            </w:pPr>
            <w:r>
              <w:t>Source: ACIL Allen estimates from various assumptions</w:t>
            </w:r>
          </w:p>
        </w:tc>
      </w:tr>
      <w:tr w:rsidR="00EE4DA6" w14:paraId="45F73E23" w14:textId="77777777" w:rsidTr="00877BDF">
        <w:trPr>
          <w:trHeight w:hRule="exact" w:val="160"/>
        </w:trPr>
        <w:tc>
          <w:tcPr>
            <w:tcW w:w="7936" w:type="dxa"/>
            <w:tcBorders>
              <w:top w:val="single" w:sz="4" w:space="0" w:color="000100"/>
            </w:tcBorders>
            <w:shd w:val="clear" w:color="auto" w:fill="auto"/>
            <w:tcMar>
              <w:top w:w="0" w:type="dxa"/>
              <w:bottom w:w="40" w:type="dxa"/>
            </w:tcMar>
          </w:tcPr>
          <w:p w14:paraId="7D79D542" w14:textId="77777777" w:rsidR="00EE4DA6" w:rsidRDefault="00EE4DA6" w:rsidP="00877BDF">
            <w:pPr>
              <w:pStyle w:val="spacer"/>
            </w:pPr>
          </w:p>
        </w:tc>
      </w:tr>
    </w:tbl>
    <w:p w14:paraId="2A5D36E9" w14:textId="34EA31FE" w:rsidR="00DA546E" w:rsidRDefault="006C22A1" w:rsidP="00DA546E">
      <w:pPr>
        <w:pStyle w:val="Heading2ES"/>
      </w:pPr>
      <w:r>
        <w:t>Sub-option1</w:t>
      </w:r>
    </w:p>
    <w:p w14:paraId="297BC94E" w14:textId="3874B0F3" w:rsidR="008D0CCB" w:rsidRDefault="008D0CCB" w:rsidP="00C17404">
      <w:pPr>
        <w:pStyle w:val="BodyText"/>
      </w:pPr>
      <w:r w:rsidRPr="008D0CCB">
        <w:t xml:space="preserve">There is no information available regarding the current extent of legal disputes and the potential reduction in legal disputes associated with moving from the current state-based regulatory regimes to a harmonised Commonwealth regime based on the Nairobi Convention. Similarly, it is uncertain whether there will be any additional cost recovery </w:t>
      </w:r>
      <w:r w:rsidR="006C22A1">
        <w:t>benefits associated with Sub-option 1</w:t>
      </w:r>
      <w:r w:rsidRPr="008D0CCB">
        <w:t xml:space="preserve"> compared to the current regulatory regimes.</w:t>
      </w:r>
    </w:p>
    <w:p w14:paraId="6067651C" w14:textId="4FFAB4F7" w:rsidR="008D0CCB" w:rsidRDefault="008D0CCB" w:rsidP="00C17404">
      <w:pPr>
        <w:pStyle w:val="BodyText"/>
      </w:pPr>
      <w:r w:rsidRPr="008D0CCB">
        <w:lastRenderedPageBreak/>
        <w:t xml:space="preserve">Further research may be warranted to determine whether this regulatory Option will provide economic benefits and whether any such benefits outweigh the estimated compliance costs estimated in this study. Until such research is completed, the annual regulation burden associated with </w:t>
      </w:r>
      <w:r w:rsidR="006C22A1">
        <w:t>Sub-option 1</w:t>
      </w:r>
      <w:r w:rsidR="006C22A1" w:rsidRPr="008D0CCB">
        <w:t xml:space="preserve"> </w:t>
      </w:r>
      <w:r w:rsidRPr="008D0CCB">
        <w:t>is deemed to outweigh any additional benefits associated with the uniformity of laws across Australian waters and vessels.</w:t>
      </w:r>
    </w:p>
    <w:p w14:paraId="256DE351" w14:textId="77777777" w:rsidR="00971BB5" w:rsidRDefault="00971BB5" w:rsidP="00971BB5">
      <w:pPr>
        <w:pStyle w:val="Heading2ES"/>
      </w:pPr>
      <w:r>
        <w:t>Environmental impacts</w:t>
      </w:r>
    </w:p>
    <w:p w14:paraId="5C255BB2" w14:textId="77777777" w:rsidR="008D0CCB" w:rsidRDefault="008D0CCB" w:rsidP="008D0CCB">
      <w:pPr>
        <w:pStyle w:val="BodyText"/>
      </w:pPr>
      <w:r>
        <w:t>Wrecks can cause massive environmental damages in terms of contamination of water and coastal amenity. The environmental costs and avoided benefits are difficult to quantity and they depend on the number of factors. However, AMSA is responsible for minimising any such environmental costs, and this responsibility will not change as a result of accession to the Nairobi Convention.</w:t>
      </w:r>
    </w:p>
    <w:p w14:paraId="203BA038" w14:textId="77777777" w:rsidR="008D0CCB" w:rsidRDefault="008D0CCB" w:rsidP="008D0CCB">
      <w:pPr>
        <w:pStyle w:val="BodyText"/>
      </w:pPr>
      <w:r>
        <w:t>Under the Nairobi Convention, a shipowner must remove the wreck and AMSA may act when a wreck constitutes a hazard which may reasonably be expected to result in major harmful consequences to the marine environmental damage to the coastal areas, port activities, fisheries, tourist activities and other economic interest of areas concerned, including conservation of marine living resources such as great barrier reef, offshore and under water infrastructure.</w:t>
      </w:r>
    </w:p>
    <w:p w14:paraId="2A7E550B" w14:textId="77777777" w:rsidR="008D0CCB" w:rsidRDefault="008D0CCB" w:rsidP="008D0CCB">
      <w:pPr>
        <w:pStyle w:val="BodyText"/>
      </w:pPr>
      <w:r>
        <w:t>This wider definition under the Nairobi Convention would allow the Australian Government to have clear powers to act upon any threat to the environment. It would also allow the Australian Government to respond quickly to lessen the impacts</w:t>
      </w:r>
    </w:p>
    <w:p w14:paraId="4B915286" w14:textId="77777777" w:rsidR="008D0CCB" w:rsidRDefault="008D0CCB" w:rsidP="008D0CCB">
      <w:pPr>
        <w:pStyle w:val="BodyText"/>
      </w:pPr>
      <w:r>
        <w:t>The Nairobi Convention would also provide an incentive for shipowners to maintain their ships as insurers would be likely to consider the quality of ship when calculating the insurance premiums.</w:t>
      </w:r>
    </w:p>
    <w:p w14:paraId="07B1AAF2" w14:textId="2117BC1E" w:rsidR="00DA546E" w:rsidRDefault="008D0CCB" w:rsidP="008D0CCB">
      <w:pPr>
        <w:pStyle w:val="BodyText"/>
      </w:pPr>
      <w:r>
        <w:t>Environmental impacts are assumed to be the same between all Options so have not been quantified in this study.</w:t>
      </w:r>
    </w:p>
    <w:p w14:paraId="1F7A7BA9" w14:textId="77777777" w:rsidR="00632FB3" w:rsidRDefault="00632FB3" w:rsidP="00C17404">
      <w:pPr>
        <w:pStyle w:val="BodyText"/>
      </w:pPr>
    </w:p>
    <w:p w14:paraId="5396E072" w14:textId="5AB91B87" w:rsidR="00C17404" w:rsidRDefault="00C17404" w:rsidP="00C17404">
      <w:pPr>
        <w:pStyle w:val="BodyText"/>
        <w:sectPr w:rsidR="00C17404" w:rsidSect="00C17404">
          <w:headerReference w:type="even" r:id="rId37"/>
          <w:headerReference w:type="default" r:id="rId38"/>
          <w:footerReference w:type="even" r:id="rId39"/>
          <w:footerReference w:type="default" r:id="rId40"/>
          <w:headerReference w:type="first" r:id="rId41"/>
          <w:footerReference w:type="first" r:id="rId42"/>
          <w:pgSz w:w="11906" w:h="16838" w:code="9"/>
          <w:pgMar w:top="1134" w:right="851" w:bottom="1134" w:left="3119" w:header="454" w:footer="159" w:gutter="0"/>
          <w:pgNumType w:fmt="lowerRoman" w:start="1"/>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1E5CAD" w14:paraId="64B606B2" w14:textId="77777777" w:rsidTr="001E5CAD">
        <w:trPr>
          <w:trHeight w:hRule="exact" w:val="382"/>
        </w:trPr>
        <w:tc>
          <w:tcPr>
            <w:tcW w:w="5570" w:type="dxa"/>
          </w:tcPr>
          <w:p w14:paraId="7F261077" w14:textId="0BFC80E1" w:rsidR="001E5CAD" w:rsidRDefault="001E5CAD" w:rsidP="001E5CAD">
            <w:pPr>
              <w:pStyle w:val="tagchapterBanner"/>
            </w:pPr>
            <w:r>
              <w:rPr>
                <w:noProof/>
                <w:lang w:eastAsia="en-AU"/>
              </w:rPr>
              <w:lastRenderedPageBreak/>
              <w:drawing>
                <wp:anchor distT="0" distB="0" distL="114300" distR="114300" simplePos="0" relativeHeight="251656192" behindDoc="1" locked="1" layoutInCell="1" allowOverlap="1" wp14:anchorId="70E8EAFD" wp14:editId="60AA770D">
                  <wp:simplePos x="0" y="0"/>
                  <wp:positionH relativeFrom="page">
                    <wp:posOffset>0</wp:posOffset>
                  </wp:positionH>
                  <wp:positionV relativeFrom="page">
                    <wp:posOffset>0</wp:posOffset>
                  </wp:positionV>
                  <wp:extent cx="5039360" cy="1995170"/>
                  <wp:effectExtent l="0" t="0" r="8890" b="5080"/>
                  <wp:wrapNone/>
                  <wp:docPr id="50"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725291F3" w14:textId="77777777" w:rsidR="001E5CAD" w:rsidRDefault="001E5CAD" w:rsidP="001E5CAD">
            <w:pPr>
              <w:pStyle w:val="spacer"/>
            </w:pPr>
          </w:p>
        </w:tc>
      </w:tr>
      <w:tr w:rsidR="001E5CAD" w14:paraId="39F50579" w14:textId="77777777" w:rsidTr="001E5CAD">
        <w:trPr>
          <w:trHeight w:hRule="exact" w:val="2760"/>
        </w:trPr>
        <w:tc>
          <w:tcPr>
            <w:tcW w:w="5570" w:type="dxa"/>
            <w:vAlign w:val="bottom"/>
          </w:tcPr>
          <w:p w14:paraId="362BB866" w14:textId="76D30ECC" w:rsidR="001E5CAD" w:rsidRDefault="005F1831" w:rsidP="001E5CAD">
            <w:pPr>
              <w:pStyle w:val="Heading1"/>
            </w:pPr>
            <w:bookmarkStart w:id="7" w:name="_Toc99543711"/>
            <w:r>
              <w:t>Introduction</w:t>
            </w:r>
            <w:bookmarkEnd w:id="7"/>
          </w:p>
        </w:tc>
        <w:tc>
          <w:tcPr>
            <w:tcW w:w="2366" w:type="dxa"/>
            <w:tcMar>
              <w:right w:w="224" w:type="dxa"/>
            </w:tcMar>
            <w:vAlign w:val="bottom"/>
          </w:tcPr>
          <w:p w14:paraId="464E03CF" w14:textId="63D43F7B" w:rsidR="001E5CAD" w:rsidRDefault="008C3AD9" w:rsidP="001E5CAD">
            <w:pPr>
              <w:pStyle w:val="HeadingChapter"/>
            </w:pPr>
            <w:r>
              <w:fldChar w:fldCharType="begin"/>
            </w:r>
            <w:r>
              <w:instrText xml:space="preserve"> SEQ ChptNum \* ARABIC </w:instrText>
            </w:r>
            <w:r>
              <w:fldChar w:fldCharType="separate"/>
            </w:r>
            <w:r w:rsidR="00966CD2">
              <w:rPr>
                <w:noProof/>
              </w:rPr>
              <w:t>1</w:t>
            </w:r>
            <w:r>
              <w:rPr>
                <w:noProof/>
              </w:rPr>
              <w:fldChar w:fldCharType="end"/>
            </w:r>
          </w:p>
        </w:tc>
      </w:tr>
      <w:tr w:rsidR="001E5CAD" w14:paraId="41D46391" w14:textId="77777777" w:rsidTr="001E5CAD">
        <w:trPr>
          <w:trHeight w:hRule="exact" w:val="228"/>
        </w:trPr>
        <w:tc>
          <w:tcPr>
            <w:tcW w:w="5570" w:type="dxa"/>
          </w:tcPr>
          <w:p w14:paraId="07DFD4AB" w14:textId="77777777" w:rsidR="001E5CAD" w:rsidRDefault="001E5CAD" w:rsidP="001E5CAD">
            <w:pPr>
              <w:pStyle w:val="spacer"/>
            </w:pPr>
          </w:p>
        </w:tc>
        <w:tc>
          <w:tcPr>
            <w:tcW w:w="2366" w:type="dxa"/>
          </w:tcPr>
          <w:p w14:paraId="30EE5234" w14:textId="77777777" w:rsidR="001E5CAD" w:rsidRDefault="001E5CAD" w:rsidP="001E5CAD">
            <w:pPr>
              <w:pStyle w:val="spacer"/>
            </w:pPr>
          </w:p>
        </w:tc>
      </w:tr>
    </w:tbl>
    <w:p w14:paraId="61D9AAEF" w14:textId="5D2A3346" w:rsidR="00564328" w:rsidRDefault="00564328" w:rsidP="00564328">
      <w:pPr>
        <w:pStyle w:val="Heading2"/>
        <w:rPr>
          <w:lang w:val="en-US"/>
        </w:rPr>
      </w:pPr>
      <w:bookmarkStart w:id="8" w:name="_Toc99543712"/>
      <w:r w:rsidRPr="001C47EB">
        <w:rPr>
          <w:lang w:val="en-US"/>
        </w:rPr>
        <w:t>The Nairobi Convention</w:t>
      </w:r>
      <w:bookmarkEnd w:id="8"/>
    </w:p>
    <w:p w14:paraId="464CACCC" w14:textId="77777777" w:rsidR="008D0CCB" w:rsidRPr="008D0CCB" w:rsidRDefault="008D0CCB" w:rsidP="008D0CCB">
      <w:pPr>
        <w:pStyle w:val="BodyText"/>
        <w:rPr>
          <w:lang w:val="en-US"/>
        </w:rPr>
      </w:pPr>
      <w:r w:rsidRPr="008D0CCB">
        <w:rPr>
          <w:lang w:val="en-US"/>
        </w:rPr>
        <w:t>The Nairobi International Convention on the Removal of Wrecks 2007 (Nairobi Convention) seeks to support existing legal frameworks governing the removal of wrecks in waters of a State Party. It provides an internationally agreed legal basis for an affected State Party to remove a wreck where it poses a hazard. These provisions can be extended to apply within the Territorial Sea, providing an alternative framework to any domestic legislation that currently operates. The Nairobi Convention’s removal powers extend to hazards created by an object lost at sea from a ship, including lost containers. It also creates a legal regime that holds shipowners financially accountable for wrecks, mandates wreck insurance for vessels 300 Gross Tonnes (GT) and above, and allows the affected State Party to claim wreck removal and other related costs (such as locating, marking, removing, destroying or sinking) directly from the ship’s insurer.</w:t>
      </w:r>
    </w:p>
    <w:p w14:paraId="068DEE2C" w14:textId="77777777" w:rsidR="008D0CCB" w:rsidRPr="008D0CCB" w:rsidRDefault="008D0CCB" w:rsidP="008D0CCB">
      <w:pPr>
        <w:pStyle w:val="BodyText"/>
        <w:rPr>
          <w:lang w:val="en-US"/>
        </w:rPr>
      </w:pPr>
      <w:r w:rsidRPr="008D0CCB">
        <w:rPr>
          <w:lang w:val="en-US"/>
        </w:rPr>
        <w:t>Currently 77% of global shipping tonnage is flagged in countries that are a State Party to the Nairobi Convention, including some of Australia’s top trading partners such as China, South Korea, India, and the United Kingdom.</w:t>
      </w:r>
    </w:p>
    <w:p w14:paraId="0DF6BC38" w14:textId="77777777" w:rsidR="008D0CCB" w:rsidRPr="008D0CCB" w:rsidRDefault="008D0CCB" w:rsidP="008D0CCB">
      <w:pPr>
        <w:pStyle w:val="BodyText"/>
        <w:rPr>
          <w:lang w:val="en-US"/>
        </w:rPr>
      </w:pPr>
      <w:r w:rsidRPr="008D0CCB">
        <w:rPr>
          <w:lang w:val="en-US"/>
        </w:rPr>
        <w:t>Australia's current laws on wreck removal and cost recovery vary depending on type and location of ship involved.</w:t>
      </w:r>
    </w:p>
    <w:p w14:paraId="2E3E642B" w14:textId="4D9F6697" w:rsidR="008D0CCB" w:rsidRDefault="008D0CCB" w:rsidP="008D0CCB">
      <w:pPr>
        <w:pStyle w:val="BodyText"/>
        <w:rPr>
          <w:lang w:val="en-US"/>
        </w:rPr>
      </w:pPr>
      <w:r w:rsidRPr="008D0CCB">
        <w:rPr>
          <w:lang w:val="en-US"/>
        </w:rPr>
        <w:t>At the Commonwealth level, the Navigation Act gives the Australian Maritime Safety Authority (AMSA) power to engage with the removal of wrecks from regulated Australian vessels (RAVs) and foreign vessels.</w:t>
      </w:r>
    </w:p>
    <w:p w14:paraId="39960DDA" w14:textId="77777777" w:rsidR="00C40D2B" w:rsidRDefault="001C47EB" w:rsidP="00C40D2B">
      <w:pPr>
        <w:pStyle w:val="ListBullet"/>
        <w:rPr>
          <w:lang w:val="en-US"/>
        </w:rPr>
      </w:pPr>
      <w:r w:rsidRPr="001C47EB">
        <w:rPr>
          <w:lang w:val="en-US"/>
        </w:rPr>
        <w:t xml:space="preserve">For RAVs, AMSA's powers apply when the wreck is in Australia's </w:t>
      </w:r>
      <w:r w:rsidR="004E315D">
        <w:rPr>
          <w:lang w:val="en-US"/>
        </w:rPr>
        <w:t>T</w:t>
      </w:r>
      <w:r w:rsidRPr="001C47EB">
        <w:rPr>
          <w:lang w:val="en-US"/>
        </w:rPr>
        <w:t xml:space="preserve">erritorial </w:t>
      </w:r>
      <w:r w:rsidR="004E315D">
        <w:rPr>
          <w:lang w:val="en-US"/>
        </w:rPr>
        <w:t>S</w:t>
      </w:r>
      <w:r w:rsidRPr="001C47EB">
        <w:rPr>
          <w:lang w:val="en-US"/>
        </w:rPr>
        <w:t xml:space="preserve">ea or </w:t>
      </w:r>
      <w:r w:rsidR="00C40D2B">
        <w:rPr>
          <w:lang w:val="en-US"/>
        </w:rPr>
        <w:t>E</w:t>
      </w:r>
      <w:r w:rsidRPr="001C47EB">
        <w:rPr>
          <w:lang w:val="en-US"/>
        </w:rPr>
        <w:t xml:space="preserve">xclusive </w:t>
      </w:r>
      <w:r w:rsidR="00C40D2B">
        <w:rPr>
          <w:lang w:val="en-US"/>
        </w:rPr>
        <w:t>E</w:t>
      </w:r>
      <w:r w:rsidRPr="001C47EB">
        <w:rPr>
          <w:lang w:val="en-US"/>
        </w:rPr>
        <w:t xml:space="preserve">conomic </w:t>
      </w:r>
      <w:r w:rsidR="00C40D2B">
        <w:rPr>
          <w:lang w:val="en-US"/>
        </w:rPr>
        <w:t>Z</w:t>
      </w:r>
      <w:r w:rsidRPr="001C47EB">
        <w:rPr>
          <w:lang w:val="en-US"/>
        </w:rPr>
        <w:t xml:space="preserve">one (EEZ). </w:t>
      </w:r>
    </w:p>
    <w:p w14:paraId="68FEEF3D" w14:textId="77777777" w:rsidR="00C40D2B" w:rsidRDefault="001C47EB" w:rsidP="00C40D2B">
      <w:pPr>
        <w:pStyle w:val="ListBullet"/>
        <w:rPr>
          <w:lang w:val="en-US"/>
        </w:rPr>
      </w:pPr>
      <w:r w:rsidRPr="001C47EB">
        <w:rPr>
          <w:lang w:val="en-US"/>
        </w:rPr>
        <w:t xml:space="preserve">For foreign vessels, AMSA's powers apply to those in Australia's </w:t>
      </w:r>
      <w:r w:rsidR="008C44F5">
        <w:rPr>
          <w:lang w:val="en-US"/>
        </w:rPr>
        <w:t>T</w:t>
      </w:r>
      <w:r w:rsidRPr="001C47EB">
        <w:rPr>
          <w:lang w:val="en-US"/>
        </w:rPr>
        <w:t xml:space="preserve">erritorial </w:t>
      </w:r>
      <w:r w:rsidR="008C44F5">
        <w:rPr>
          <w:lang w:val="en-US"/>
        </w:rPr>
        <w:t>S</w:t>
      </w:r>
      <w:r w:rsidRPr="001C47EB">
        <w:rPr>
          <w:lang w:val="en-US"/>
        </w:rPr>
        <w:t xml:space="preserve">ea. </w:t>
      </w:r>
    </w:p>
    <w:p w14:paraId="64EFADB0" w14:textId="77777777" w:rsidR="00C40D2B" w:rsidRDefault="001C47EB" w:rsidP="00C40D2B">
      <w:pPr>
        <w:pStyle w:val="BodyText"/>
        <w:rPr>
          <w:lang w:val="en-US"/>
        </w:rPr>
      </w:pPr>
      <w:r w:rsidRPr="001C47EB">
        <w:rPr>
          <w:lang w:val="en-US"/>
        </w:rPr>
        <w:t xml:space="preserve">If the wreck is considered </w:t>
      </w:r>
      <w:r w:rsidR="00C40D2B">
        <w:rPr>
          <w:lang w:val="en-US"/>
        </w:rPr>
        <w:t>‘</w:t>
      </w:r>
      <w:r w:rsidRPr="001C47EB">
        <w:rPr>
          <w:lang w:val="en-US"/>
        </w:rPr>
        <w:t>marine pollution</w:t>
      </w:r>
      <w:r w:rsidR="00C40D2B">
        <w:rPr>
          <w:lang w:val="en-US"/>
        </w:rPr>
        <w:t>’</w:t>
      </w:r>
      <w:r w:rsidRPr="001C47EB">
        <w:rPr>
          <w:lang w:val="en-US"/>
        </w:rPr>
        <w:t xml:space="preserve">, AMSA can also recover costs linked to foreign vessels in the EEZ under the Protection of the Sea (Civil Liability) Act 1981. </w:t>
      </w:r>
    </w:p>
    <w:p w14:paraId="5976F554" w14:textId="510FC46F" w:rsidR="001C47EB" w:rsidRDefault="001C47EB" w:rsidP="00C40D2B">
      <w:pPr>
        <w:pStyle w:val="BodyText"/>
        <w:rPr>
          <w:lang w:val="en-US"/>
        </w:rPr>
      </w:pPr>
      <w:r w:rsidRPr="001C47EB">
        <w:rPr>
          <w:lang w:val="en-US"/>
        </w:rPr>
        <w:t xml:space="preserve">Australian state and territory laws also give relevant authorities powers of removal and cost recovery against domestic commercial vessels (DCVs) and recreational vessels that travel in State waters or share a </w:t>
      </w:r>
      <w:r w:rsidR="00D7619D" w:rsidRPr="001C47EB">
        <w:rPr>
          <w:lang w:val="en-US"/>
        </w:rPr>
        <w:t>state</w:t>
      </w:r>
      <w:r w:rsidRPr="001C47EB">
        <w:rPr>
          <w:lang w:val="en-US"/>
        </w:rPr>
        <w:t xml:space="preserve"> connection.</w:t>
      </w:r>
    </w:p>
    <w:p w14:paraId="3A844214" w14:textId="2C036D88" w:rsidR="00F717A7" w:rsidRDefault="00F717A7" w:rsidP="001C47EB">
      <w:pPr>
        <w:pStyle w:val="BodyText"/>
        <w:rPr>
          <w:lang w:val="en-US"/>
        </w:rPr>
      </w:pPr>
      <w:r>
        <w:rPr>
          <w:lang w:val="en-US"/>
        </w:rPr>
        <w:t xml:space="preserve">Australian water boundaries </w:t>
      </w:r>
      <w:r w:rsidR="00C40D2B">
        <w:rPr>
          <w:lang w:val="en-US"/>
        </w:rPr>
        <w:t xml:space="preserve">in relation shipwreck removal powers </w:t>
      </w:r>
      <w:r>
        <w:rPr>
          <w:lang w:val="en-US"/>
        </w:rPr>
        <w:t xml:space="preserve">are shown in </w:t>
      </w:r>
      <w:r w:rsidR="00E158A2">
        <w:rPr>
          <w:lang w:val="en-US"/>
        </w:rPr>
        <w:fldChar w:fldCharType="begin"/>
      </w:r>
      <w:r w:rsidR="00E158A2">
        <w:rPr>
          <w:lang w:val="en-US"/>
        </w:rPr>
        <w:instrText xml:space="preserve"> REF _Ref74132534 \h </w:instrText>
      </w:r>
      <w:r w:rsidR="00E158A2">
        <w:rPr>
          <w:lang w:val="en-US"/>
        </w:rPr>
      </w:r>
      <w:r w:rsidR="00E158A2">
        <w:rPr>
          <w:lang w:val="en-US"/>
        </w:rPr>
        <w:fldChar w:fldCharType="separate"/>
      </w:r>
      <w:r w:rsidR="00966CD2" w:rsidRPr="00F717A7">
        <w:rPr>
          <w:rStyle w:val="CaptionLabel"/>
        </w:rPr>
        <w:t>Figure </w:t>
      </w:r>
      <w:r w:rsidR="00966CD2">
        <w:rPr>
          <w:rStyle w:val="CaptionLabel"/>
          <w:noProof/>
        </w:rPr>
        <w:t>1</w:t>
      </w:r>
      <w:r w:rsidR="00966CD2" w:rsidRPr="00F717A7">
        <w:rPr>
          <w:rStyle w:val="CaptionLabel"/>
        </w:rPr>
        <w:t>.</w:t>
      </w:r>
      <w:r w:rsidR="00966CD2">
        <w:rPr>
          <w:rStyle w:val="CaptionLabel"/>
          <w:noProof/>
        </w:rPr>
        <w:t>1</w:t>
      </w:r>
      <w:r w:rsidR="00E158A2">
        <w:rPr>
          <w:lang w:val="en-US"/>
        </w:rPr>
        <w:fldChar w:fldCharType="end"/>
      </w:r>
      <w:r>
        <w:rPr>
          <w:lang w:val="en-US"/>
        </w:rPr>
        <w:t>.</w:t>
      </w:r>
    </w:p>
    <w:p w14:paraId="53C51058" w14:textId="77777777" w:rsidR="00F717A7" w:rsidRDefault="00F717A7" w:rsidP="001C47EB">
      <w:pPr>
        <w:pStyle w:val="BodyText"/>
        <w:rPr>
          <w:lang w:val="en-US"/>
        </w:rPr>
      </w:pPr>
    </w:p>
    <w:tbl>
      <w:tblPr>
        <w:tblW w:w="0" w:type="auto"/>
        <w:tblLayout w:type="fixed"/>
        <w:tblCellMar>
          <w:left w:w="0" w:type="dxa"/>
          <w:right w:w="0" w:type="dxa"/>
        </w:tblCellMar>
        <w:tblLook w:val="0000" w:firstRow="0" w:lastRow="0" w:firstColumn="0" w:lastColumn="0" w:noHBand="0" w:noVBand="0"/>
      </w:tblPr>
      <w:tblGrid>
        <w:gridCol w:w="7936"/>
      </w:tblGrid>
      <w:tr w:rsidR="00F717A7" w14:paraId="5DB4D64F" w14:textId="77777777" w:rsidTr="00F717A7">
        <w:tc>
          <w:tcPr>
            <w:tcW w:w="7936" w:type="dxa"/>
            <w:tcBorders>
              <w:bottom w:val="single" w:sz="4" w:space="0" w:color="000100"/>
            </w:tcBorders>
            <w:shd w:val="clear" w:color="auto" w:fill="auto"/>
            <w:tcMar>
              <w:top w:w="160" w:type="dxa"/>
              <w:bottom w:w="8" w:type="dxa"/>
            </w:tcMar>
          </w:tcPr>
          <w:p w14:paraId="2580EA9A" w14:textId="04F3A6CC" w:rsidR="00F717A7" w:rsidRDefault="00F717A7" w:rsidP="00F717A7">
            <w:pPr>
              <w:pStyle w:val="Caption"/>
              <w:rPr>
                <w:lang w:val="en-US"/>
              </w:rPr>
            </w:pPr>
            <w:bookmarkStart w:id="9" w:name="_Ref74132534"/>
            <w:bookmarkStart w:id="10" w:name="_Toc99543740"/>
            <w:r w:rsidRPr="00F717A7">
              <w:rPr>
                <w:rStyle w:val="CaptionLabel"/>
              </w:rPr>
              <w:lastRenderedPageBreak/>
              <w:t>Figure </w:t>
            </w:r>
            <w:r w:rsidRPr="00F717A7">
              <w:rPr>
                <w:rStyle w:val="CaptionLabel"/>
              </w:rPr>
              <w:fldChar w:fldCharType="begin"/>
            </w:r>
            <w:r w:rsidRPr="00F717A7">
              <w:rPr>
                <w:rStyle w:val="CaptionLabel"/>
              </w:rPr>
              <w:instrText xml:space="preserve"> STYLEREF 1 \S \* MERGEFORMAT </w:instrText>
            </w:r>
            <w:r w:rsidRPr="00F717A7">
              <w:rPr>
                <w:rStyle w:val="CaptionLabel"/>
              </w:rPr>
              <w:fldChar w:fldCharType="separate"/>
            </w:r>
            <w:r w:rsidR="00966CD2">
              <w:rPr>
                <w:rStyle w:val="CaptionLabel"/>
                <w:noProof/>
              </w:rPr>
              <w:t>1</w:t>
            </w:r>
            <w:r w:rsidRPr="00F717A7">
              <w:rPr>
                <w:rStyle w:val="CaptionLabel"/>
              </w:rPr>
              <w:fldChar w:fldCharType="end"/>
            </w:r>
            <w:r w:rsidRPr="00F717A7">
              <w:rPr>
                <w:rStyle w:val="CaptionLabel"/>
              </w:rPr>
              <w:t>.</w:t>
            </w:r>
            <w:r w:rsidRPr="00F717A7">
              <w:rPr>
                <w:rStyle w:val="CaptionLabel"/>
              </w:rPr>
              <w:fldChar w:fldCharType="begin"/>
            </w:r>
            <w:r w:rsidRPr="00F717A7">
              <w:rPr>
                <w:rStyle w:val="CaptionLabel"/>
              </w:rPr>
              <w:instrText xml:space="preserve"> SEQ Figure \* ARABIC \S 1 \* MERGEFORMAT </w:instrText>
            </w:r>
            <w:r w:rsidRPr="00F717A7">
              <w:rPr>
                <w:rStyle w:val="CaptionLabel"/>
              </w:rPr>
              <w:fldChar w:fldCharType="separate"/>
            </w:r>
            <w:r w:rsidR="00966CD2">
              <w:rPr>
                <w:rStyle w:val="CaptionLabel"/>
                <w:noProof/>
              </w:rPr>
              <w:t>1</w:t>
            </w:r>
            <w:r w:rsidRPr="00F717A7">
              <w:rPr>
                <w:rStyle w:val="CaptionLabel"/>
              </w:rPr>
              <w:fldChar w:fldCharType="end"/>
            </w:r>
            <w:bookmarkEnd w:id="9"/>
            <w:r>
              <w:rPr>
                <w:lang w:val="en-US"/>
              </w:rPr>
              <w:tab/>
              <w:t>Australian waters</w:t>
            </w:r>
            <w:bookmarkEnd w:id="10"/>
          </w:p>
        </w:tc>
      </w:tr>
      <w:tr w:rsidR="00F717A7" w14:paraId="5C5E93DD" w14:textId="77777777" w:rsidTr="00F717A7">
        <w:tc>
          <w:tcPr>
            <w:tcW w:w="7936" w:type="dxa"/>
            <w:tcBorders>
              <w:top w:val="single" w:sz="4" w:space="0" w:color="000100"/>
            </w:tcBorders>
            <w:shd w:val="clear" w:color="auto" w:fill="auto"/>
            <w:tcMar>
              <w:top w:w="0" w:type="dxa"/>
              <w:bottom w:w="0" w:type="dxa"/>
              <w:right w:w="0" w:type="dxa"/>
            </w:tcMar>
          </w:tcPr>
          <w:p w14:paraId="7D8E6FA9" w14:textId="67CE7CDE" w:rsidR="00F717A7" w:rsidRDefault="00F717A7" w:rsidP="00F717A7">
            <w:pPr>
              <w:pStyle w:val="Figure"/>
              <w:jc w:val="center"/>
              <w:rPr>
                <w:lang w:val="en-US"/>
              </w:rPr>
            </w:pPr>
            <w:r>
              <w:rPr>
                <w:noProof/>
                <w:lang w:eastAsia="en-AU"/>
              </w:rPr>
              <w:drawing>
                <wp:inline distT="0" distB="0" distL="0" distR="0" wp14:anchorId="63977BF8" wp14:editId="5EDD9D0A">
                  <wp:extent cx="4981575" cy="4572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3964" cy="4574193"/>
                          </a:xfrm>
                          <a:prstGeom prst="rect">
                            <a:avLst/>
                          </a:prstGeom>
                          <a:noFill/>
                          <a:ln>
                            <a:noFill/>
                          </a:ln>
                        </pic:spPr>
                      </pic:pic>
                    </a:graphicData>
                  </a:graphic>
                </wp:inline>
              </w:drawing>
            </w:r>
          </w:p>
        </w:tc>
      </w:tr>
      <w:tr w:rsidR="00F717A7" w14:paraId="558AC735" w14:textId="77777777" w:rsidTr="00F717A7">
        <w:trPr>
          <w:trHeight w:val="135"/>
        </w:trPr>
        <w:tc>
          <w:tcPr>
            <w:tcW w:w="7936" w:type="dxa"/>
            <w:tcBorders>
              <w:bottom w:val="single" w:sz="4" w:space="0" w:color="000100"/>
            </w:tcBorders>
            <w:shd w:val="clear" w:color="auto" w:fill="auto"/>
            <w:tcMar>
              <w:top w:w="12" w:type="dxa"/>
              <w:bottom w:w="113" w:type="dxa"/>
            </w:tcMar>
          </w:tcPr>
          <w:p w14:paraId="335B6DA9" w14:textId="15B1CCB9" w:rsidR="00F717A7" w:rsidRDefault="00F717A7" w:rsidP="00F717A7">
            <w:pPr>
              <w:pStyle w:val="Source"/>
              <w:rPr>
                <w:lang w:val="en-US"/>
              </w:rPr>
            </w:pPr>
            <w:r>
              <w:rPr>
                <w:lang w:val="en-US"/>
              </w:rPr>
              <w:t>Source: DISER</w:t>
            </w:r>
          </w:p>
        </w:tc>
      </w:tr>
      <w:tr w:rsidR="00F717A7" w14:paraId="5CF57B09" w14:textId="77777777" w:rsidTr="00F717A7">
        <w:trPr>
          <w:trHeight w:hRule="exact" w:val="160"/>
        </w:trPr>
        <w:tc>
          <w:tcPr>
            <w:tcW w:w="7936" w:type="dxa"/>
            <w:tcBorders>
              <w:top w:val="single" w:sz="4" w:space="0" w:color="000100"/>
            </w:tcBorders>
            <w:shd w:val="clear" w:color="auto" w:fill="auto"/>
            <w:tcMar>
              <w:top w:w="0" w:type="dxa"/>
              <w:bottom w:w="40" w:type="dxa"/>
            </w:tcMar>
          </w:tcPr>
          <w:p w14:paraId="12C64FF1" w14:textId="77777777" w:rsidR="00F717A7" w:rsidRDefault="00F717A7" w:rsidP="00F717A7">
            <w:pPr>
              <w:pStyle w:val="spacer"/>
              <w:rPr>
                <w:lang w:val="en-US"/>
              </w:rPr>
            </w:pPr>
          </w:p>
        </w:tc>
      </w:tr>
    </w:tbl>
    <w:p w14:paraId="3E4E7566" w14:textId="77777777" w:rsidR="00B953EE" w:rsidRDefault="00B953EE" w:rsidP="00B953EE">
      <w:pPr>
        <w:pStyle w:val="Heading2"/>
      </w:pPr>
      <w:bookmarkStart w:id="11" w:name="_Toc99543713"/>
      <w:r>
        <w:rPr>
          <w:lang w:val="en-US"/>
        </w:rPr>
        <w:t>Problem under consideration</w:t>
      </w:r>
      <w:bookmarkEnd w:id="11"/>
    </w:p>
    <w:p w14:paraId="369AE3E8" w14:textId="77777777" w:rsidR="008D0CCB" w:rsidRPr="008D0CCB" w:rsidRDefault="008D0CCB" w:rsidP="008D0CCB">
      <w:pPr>
        <w:pStyle w:val="BodyText"/>
        <w:rPr>
          <w:lang w:val="en-US"/>
        </w:rPr>
      </w:pPr>
      <w:r w:rsidRPr="008D0CCB">
        <w:rPr>
          <w:lang w:val="en-US"/>
        </w:rPr>
        <w:t>Recent incidents in Australia have highlighted the importance of having strong and clear laws for wrecks and debris falling from operating ships.</w:t>
      </w:r>
    </w:p>
    <w:p w14:paraId="6F25F9C5" w14:textId="77777777" w:rsidR="008D0CCB" w:rsidRPr="008D0CCB" w:rsidRDefault="008D0CCB" w:rsidP="008D0CCB">
      <w:pPr>
        <w:pStyle w:val="BodyText"/>
        <w:rPr>
          <w:lang w:val="en-US"/>
        </w:rPr>
      </w:pPr>
      <w:r w:rsidRPr="008D0CCB">
        <w:rPr>
          <w:lang w:val="en-US"/>
        </w:rPr>
        <w:t>For example, on 1 June 2018 the container ship YM Efficiency lost 81 containers overboard east of Newcastle. AMSA worked together with NSW Road and Maritime Services to find the lost containers and their contents and contracted Ardent Oceania for their removal and disposal. The recovery operation of 63 containers was successfully completed on 8 May 2020, at a total cost of about $17 million. The owner, Yang Ming, has refused to take responsibility for the containers and their removal costs and disputes AMSA’s powers in directing them to do so. AMSA has since started legal action against the owner Yang Ming.</w:t>
      </w:r>
    </w:p>
    <w:p w14:paraId="1EEBE724" w14:textId="77777777" w:rsidR="008D0CCB" w:rsidRPr="008D0CCB" w:rsidRDefault="008D0CCB" w:rsidP="008D0CCB">
      <w:pPr>
        <w:pStyle w:val="BodyText"/>
        <w:rPr>
          <w:lang w:val="en-US"/>
        </w:rPr>
      </w:pPr>
      <w:r w:rsidRPr="008D0CCB">
        <w:rPr>
          <w:lang w:val="en-US"/>
        </w:rPr>
        <w:t>There was a similar incident on the 24 May 2020, when 50 containers fell overboard southeast of Sydney. AMSA has pressed charges against the ship's master and is seeking security from the insurers to cover clean-up and removal costs, estimated at $22 million.</w:t>
      </w:r>
    </w:p>
    <w:p w14:paraId="58F311EE" w14:textId="2EF7A085" w:rsidR="00EA43A0" w:rsidRDefault="008D0CCB" w:rsidP="008D0CCB">
      <w:pPr>
        <w:pStyle w:val="BodyText"/>
        <w:rPr>
          <w:lang w:val="en-US"/>
        </w:rPr>
      </w:pPr>
      <w:r w:rsidRPr="008D0CCB">
        <w:rPr>
          <w:lang w:val="en-US"/>
        </w:rPr>
        <w:t>The Nairobi Convention offers an alternative to the current fragmented framework in Australian waters. An International Maritime Organization (IMO) treaty, the Nairobi Convention provides a set of uniform international rules to ensure prompt and effective wreck removal, including for objects lost at sea, such as shipping containers. It also sets up a compulsory insurance scheme, which allows State Parties to more easily recover costs. Australia's accession to the Nairobi Convention</w:t>
      </w:r>
      <w:r>
        <w:rPr>
          <w:lang w:val="en-US"/>
        </w:rPr>
        <w:t xml:space="preserve"> </w:t>
      </w:r>
      <w:r w:rsidR="00EA43A0" w:rsidRPr="00EA43A0">
        <w:rPr>
          <w:lang w:val="en-US"/>
        </w:rPr>
        <w:lastRenderedPageBreak/>
        <w:t xml:space="preserve">could create a single framework for all the ship types located in the EEZ, with Australia able to extend its application to wrecks located in the </w:t>
      </w:r>
      <w:r w:rsidR="00501D0C">
        <w:rPr>
          <w:lang w:val="en-US"/>
        </w:rPr>
        <w:t>T</w:t>
      </w:r>
      <w:r w:rsidR="00EA43A0" w:rsidRPr="00EA43A0">
        <w:rPr>
          <w:lang w:val="en-US"/>
        </w:rPr>
        <w:t xml:space="preserve">erritorial </w:t>
      </w:r>
      <w:r w:rsidR="00501D0C">
        <w:rPr>
          <w:lang w:val="en-US"/>
        </w:rPr>
        <w:t>S</w:t>
      </w:r>
      <w:r w:rsidR="00EA43A0" w:rsidRPr="00EA43A0">
        <w:rPr>
          <w:lang w:val="en-US"/>
        </w:rPr>
        <w:t>ea</w:t>
      </w:r>
      <w:r w:rsidR="00447D08">
        <w:rPr>
          <w:lang w:val="en-US"/>
        </w:rPr>
        <w:t>.</w:t>
      </w:r>
    </w:p>
    <w:p w14:paraId="5FDDCDBC" w14:textId="583F6354" w:rsidR="00447D08" w:rsidRPr="001C47EB" w:rsidRDefault="00447D08" w:rsidP="00EA43A0">
      <w:pPr>
        <w:pStyle w:val="BodyText"/>
      </w:pPr>
      <w:r>
        <w:rPr>
          <w:lang w:val="en-US"/>
        </w:rPr>
        <w:t xml:space="preserve">Had the </w:t>
      </w:r>
      <w:r w:rsidR="00C06190">
        <w:rPr>
          <w:lang w:val="en-US"/>
        </w:rPr>
        <w:t>Nairobi Convention</w:t>
      </w:r>
      <w:r>
        <w:rPr>
          <w:lang w:val="en-US"/>
        </w:rPr>
        <w:t xml:space="preserve"> been in force at the time of</w:t>
      </w:r>
      <w:r w:rsidR="00B9596D">
        <w:rPr>
          <w:lang w:val="en-US"/>
        </w:rPr>
        <w:t xml:space="preserve"> the</w:t>
      </w:r>
      <w:r>
        <w:rPr>
          <w:lang w:val="en-US"/>
        </w:rPr>
        <w:t xml:space="preserve"> </w:t>
      </w:r>
      <w:r w:rsidRPr="00EA43A0">
        <w:rPr>
          <w:i/>
          <w:iCs/>
          <w:lang w:val="en-US"/>
        </w:rPr>
        <w:t>YM Efficiency</w:t>
      </w:r>
      <w:r>
        <w:rPr>
          <w:lang w:val="en-US"/>
        </w:rPr>
        <w:t xml:space="preserve"> incident</w:t>
      </w:r>
      <w:r w:rsidR="00BC029C">
        <w:rPr>
          <w:lang w:val="en-US"/>
        </w:rPr>
        <w:t>, the incident</w:t>
      </w:r>
      <w:r>
        <w:rPr>
          <w:lang w:val="en-US"/>
        </w:rPr>
        <w:t xml:space="preserve"> would have been covered by the </w:t>
      </w:r>
      <w:r w:rsidR="00C06190">
        <w:rPr>
          <w:lang w:val="en-US"/>
        </w:rPr>
        <w:t>Nairobi Convention</w:t>
      </w:r>
      <w:r w:rsidR="00BC029C">
        <w:rPr>
          <w:lang w:val="en-US"/>
        </w:rPr>
        <w:t xml:space="preserve"> and </w:t>
      </w:r>
      <w:r>
        <w:rPr>
          <w:lang w:val="en-US"/>
        </w:rPr>
        <w:t xml:space="preserve">there would have been </w:t>
      </w:r>
      <w:r w:rsidR="00710AE0">
        <w:rPr>
          <w:lang w:val="en-US"/>
        </w:rPr>
        <w:t xml:space="preserve">clear </w:t>
      </w:r>
      <w:r>
        <w:rPr>
          <w:lang w:val="en-US"/>
        </w:rPr>
        <w:t xml:space="preserve">liability on the owner to remove the wrecks through </w:t>
      </w:r>
      <w:r w:rsidR="001A697D">
        <w:rPr>
          <w:lang w:val="en-US"/>
        </w:rPr>
        <w:t xml:space="preserve">the </w:t>
      </w:r>
      <w:r>
        <w:rPr>
          <w:lang w:val="en-US"/>
        </w:rPr>
        <w:t xml:space="preserve">shipowner’s insurer. </w:t>
      </w:r>
      <w:r w:rsidR="00710AE0">
        <w:rPr>
          <w:lang w:val="en-US"/>
        </w:rPr>
        <w:t xml:space="preserve">Consequently, the </w:t>
      </w:r>
      <w:r>
        <w:rPr>
          <w:lang w:val="en-US"/>
        </w:rPr>
        <w:t xml:space="preserve">Australian Government would have stood a better chance of being able to recover all costs associated </w:t>
      </w:r>
      <w:r w:rsidR="00710AE0">
        <w:rPr>
          <w:lang w:val="en-US"/>
        </w:rPr>
        <w:t xml:space="preserve">with </w:t>
      </w:r>
      <w:r>
        <w:rPr>
          <w:lang w:val="en-US"/>
        </w:rPr>
        <w:t xml:space="preserve">the wreck </w:t>
      </w:r>
      <w:r w:rsidR="0094539D">
        <w:rPr>
          <w:lang w:val="en-US"/>
        </w:rPr>
        <w:t xml:space="preserve">location and </w:t>
      </w:r>
      <w:r>
        <w:rPr>
          <w:lang w:val="en-US"/>
        </w:rPr>
        <w:t>removal</w:t>
      </w:r>
      <w:r w:rsidR="0094539D">
        <w:rPr>
          <w:lang w:val="en-US"/>
        </w:rPr>
        <w:t xml:space="preserve"> operations</w:t>
      </w:r>
      <w:r>
        <w:rPr>
          <w:lang w:val="en-US"/>
        </w:rPr>
        <w:t>.</w:t>
      </w:r>
    </w:p>
    <w:p w14:paraId="088273EC" w14:textId="00E13B99" w:rsidR="00447D08" w:rsidRDefault="00EA43A0" w:rsidP="00EA43A0">
      <w:pPr>
        <w:pStyle w:val="BodyText"/>
        <w:rPr>
          <w:lang w:val="en-US"/>
        </w:rPr>
      </w:pPr>
      <w:r w:rsidRPr="00EA43A0">
        <w:rPr>
          <w:lang w:val="en-US"/>
        </w:rPr>
        <w:t xml:space="preserve">In August 2020, the Department released a </w:t>
      </w:r>
      <w:r w:rsidR="00541487">
        <w:rPr>
          <w:lang w:val="en-US"/>
        </w:rPr>
        <w:t>D</w:t>
      </w:r>
      <w:r w:rsidRPr="00EA43A0">
        <w:rPr>
          <w:lang w:val="en-US"/>
        </w:rPr>
        <w:t xml:space="preserve">iscussion </w:t>
      </w:r>
      <w:r w:rsidR="00541487">
        <w:rPr>
          <w:lang w:val="en-US"/>
        </w:rPr>
        <w:t>P</w:t>
      </w:r>
      <w:r w:rsidRPr="00EA43A0">
        <w:rPr>
          <w:lang w:val="en-US"/>
        </w:rPr>
        <w:t xml:space="preserve">aper to inform an examination whether accession to the Nairobi Convention would benefit Australia. </w:t>
      </w:r>
      <w:r w:rsidR="00400D3A">
        <w:rPr>
          <w:lang w:val="en-US"/>
        </w:rPr>
        <w:t>A</w:t>
      </w:r>
      <w:r w:rsidR="00D0702F">
        <w:rPr>
          <w:lang w:val="en-US"/>
        </w:rPr>
        <w:t xml:space="preserve"> </w:t>
      </w:r>
      <w:r w:rsidRPr="00EA43A0">
        <w:rPr>
          <w:lang w:val="en-US"/>
        </w:rPr>
        <w:t xml:space="preserve">number of submissions </w:t>
      </w:r>
      <w:r w:rsidR="00400D3A">
        <w:rPr>
          <w:lang w:val="en-US"/>
        </w:rPr>
        <w:t xml:space="preserve">were </w:t>
      </w:r>
      <w:r w:rsidRPr="00EA43A0">
        <w:rPr>
          <w:lang w:val="en-US"/>
        </w:rPr>
        <w:t>received in response to the Discussion Paper</w:t>
      </w:r>
      <w:r w:rsidR="00D0702F">
        <w:rPr>
          <w:lang w:val="en-US"/>
        </w:rPr>
        <w:t>, with the</w:t>
      </w:r>
      <w:r w:rsidR="00D0702F" w:rsidRPr="00EA43A0">
        <w:rPr>
          <w:lang w:val="en-US"/>
        </w:rPr>
        <w:t xml:space="preserve"> </w:t>
      </w:r>
      <w:r w:rsidR="00D0702F">
        <w:rPr>
          <w:lang w:val="en-US"/>
        </w:rPr>
        <w:t>o</w:t>
      </w:r>
      <w:r w:rsidR="00541487">
        <w:rPr>
          <w:lang w:val="en-US"/>
        </w:rPr>
        <w:t>verwhelming majority of submissions support</w:t>
      </w:r>
      <w:r w:rsidR="00D0702F">
        <w:rPr>
          <w:lang w:val="en-US"/>
        </w:rPr>
        <w:t>ing</w:t>
      </w:r>
      <w:r w:rsidR="00541487">
        <w:rPr>
          <w:lang w:val="en-US"/>
        </w:rPr>
        <w:t xml:space="preserve"> the accession to the Nairobi Convention.</w:t>
      </w:r>
    </w:p>
    <w:p w14:paraId="73324B6D" w14:textId="48F1BC14" w:rsidR="00447D08" w:rsidRDefault="00447D08" w:rsidP="00447D08">
      <w:pPr>
        <w:pStyle w:val="Heading2"/>
        <w:rPr>
          <w:lang w:val="en-US"/>
        </w:rPr>
      </w:pPr>
      <w:bookmarkStart w:id="12" w:name="_Toc99543714"/>
      <w:r>
        <w:rPr>
          <w:lang w:val="en-US"/>
        </w:rPr>
        <w:t xml:space="preserve">Rationale of </w:t>
      </w:r>
      <w:r w:rsidR="007D42F6">
        <w:rPr>
          <w:lang w:val="en-US"/>
        </w:rPr>
        <w:t>g</w:t>
      </w:r>
      <w:r>
        <w:rPr>
          <w:lang w:val="en-US"/>
        </w:rPr>
        <w:t>overnment intervention</w:t>
      </w:r>
      <w:bookmarkEnd w:id="12"/>
    </w:p>
    <w:p w14:paraId="5B33496F" w14:textId="236BD04F" w:rsidR="008D0CCB" w:rsidRPr="008D0CCB" w:rsidRDefault="008D0CCB" w:rsidP="008D0CCB">
      <w:pPr>
        <w:rPr>
          <w:lang w:val="en-US"/>
        </w:rPr>
      </w:pPr>
      <w:r w:rsidRPr="008D0CCB">
        <w:rPr>
          <w:lang w:val="en-US"/>
        </w:rPr>
        <w:t>Australia depends on access to competitive, efficient and effective shipping, which carries over 98% (by mass) of our international trade. Much of Australia’s maritime trade is dominated by export of bulk commodities that compete in highly competitive, globalised markets (BITRE 2019)</w:t>
      </w:r>
      <w:r>
        <w:rPr>
          <w:lang w:val="en-US"/>
        </w:rPr>
        <w:t>.</w:t>
      </w:r>
      <w:r>
        <w:rPr>
          <w:rStyle w:val="FootnoteReference"/>
          <w:lang w:val="en-US"/>
        </w:rPr>
        <w:footnoteReference w:id="1"/>
      </w:r>
      <w:r w:rsidRPr="008D0CCB">
        <w:rPr>
          <w:lang w:val="en-US"/>
        </w:rPr>
        <w:t xml:space="preserve"> The reliability and efficiency of maritime transport directly impacts Australia’s major commodity exports and, by extension, the Australian economy and standards of living.</w:t>
      </w:r>
    </w:p>
    <w:p w14:paraId="7CA40166" w14:textId="60C96706" w:rsidR="008D0CCB" w:rsidRDefault="008D0CCB" w:rsidP="008D0CCB">
      <w:pPr>
        <w:rPr>
          <w:lang w:val="en-US"/>
        </w:rPr>
      </w:pPr>
      <w:r w:rsidRPr="008D0CCB">
        <w:rPr>
          <w:lang w:val="en-US"/>
        </w:rPr>
        <w:t xml:space="preserve">Recent incidents illustrate two gaps in the Australian </w:t>
      </w:r>
      <w:r>
        <w:rPr>
          <w:lang w:val="en-US"/>
        </w:rPr>
        <w:t>Navigation Act, which currently</w:t>
      </w:r>
      <w:r>
        <w:rPr>
          <w:rStyle w:val="FootnoteReference"/>
          <w:lang w:val="en-US"/>
        </w:rPr>
        <w:footnoteReference w:id="2"/>
      </w:r>
      <w:r w:rsidRPr="008D0CCB">
        <w:rPr>
          <w:lang w:val="en-US"/>
        </w:rPr>
        <w:t xml:space="preserve"> hamper the Australian Government’s ability to recover costs where:</w:t>
      </w:r>
    </w:p>
    <w:p w14:paraId="364584F9" w14:textId="77777777" w:rsidR="003E300A" w:rsidRPr="00A834AD" w:rsidRDefault="003E300A" w:rsidP="003E300A">
      <w:pPr>
        <w:pStyle w:val="ListBullet"/>
      </w:pPr>
      <w:r>
        <w:t>a</w:t>
      </w:r>
      <w:r w:rsidRPr="00A834AD">
        <w:t xml:space="preserve"> foreign vessel creates a wreck within Australia’s EEZ. </w:t>
      </w:r>
    </w:p>
    <w:p w14:paraId="240B18FA" w14:textId="0863F9A3" w:rsidR="003E300A" w:rsidRPr="00A834AD" w:rsidRDefault="003E300A" w:rsidP="003E300A">
      <w:pPr>
        <w:pStyle w:val="ListBullet"/>
      </w:pPr>
      <w:r>
        <w:t>a</w:t>
      </w:r>
      <w:r w:rsidRPr="00A834AD">
        <w:t xml:space="preserve">n object is sunken, stranded or adrift at sea from any foreign or regulated Australian vessel, including shipping containers </w:t>
      </w:r>
      <w:r>
        <w:rPr>
          <w:lang w:val="en-US"/>
        </w:rPr>
        <w:t>(</w:t>
      </w:r>
      <w:r w:rsidRPr="00A834AD">
        <w:t>the most common form of wreck</w:t>
      </w:r>
      <w:r>
        <w:rPr>
          <w:lang w:val="en-US"/>
        </w:rPr>
        <w:t>)</w:t>
      </w:r>
      <w:r w:rsidRPr="00A834AD">
        <w:t xml:space="preserve">. </w:t>
      </w:r>
    </w:p>
    <w:p w14:paraId="60AE6019" w14:textId="1F38566A" w:rsidR="00EA3C69" w:rsidRDefault="003E300A" w:rsidP="003E300A">
      <w:pPr>
        <w:pStyle w:val="BodyText"/>
        <w:rPr>
          <w:lang w:val="en-US"/>
        </w:rPr>
      </w:pPr>
      <w:r>
        <w:t xml:space="preserve">These two gaps pose a significant problem for the Australian Government as most wreck incidents involve lost shipping containers from foreign-flagged vessels in the EEZ and </w:t>
      </w:r>
      <w:r w:rsidR="00501D0C">
        <w:t>T</w:t>
      </w:r>
      <w:r>
        <w:t xml:space="preserve">erritorial </w:t>
      </w:r>
      <w:r w:rsidR="00501D0C">
        <w:t>S</w:t>
      </w:r>
      <w:r>
        <w:t xml:space="preserve">ea. As with the </w:t>
      </w:r>
      <w:r w:rsidRPr="00D77AB6">
        <w:rPr>
          <w:i/>
        </w:rPr>
        <w:t>YM Efficiency</w:t>
      </w:r>
      <w:r>
        <w:t xml:space="preserve">, AMSA must then attempt to recover wreck removal costs through </w:t>
      </w:r>
      <w:r w:rsidR="005D7AF9">
        <w:t xml:space="preserve">potentially </w:t>
      </w:r>
      <w:r>
        <w:t>lengthy and expensive court actions under the current</w:t>
      </w:r>
      <w:r w:rsidRPr="004A1DE4">
        <w:t xml:space="preserve"> ma</w:t>
      </w:r>
      <w:r>
        <w:t>ritime pollution framework.</w:t>
      </w:r>
    </w:p>
    <w:p w14:paraId="0D466767" w14:textId="0CCAB267" w:rsidR="00ED20E1" w:rsidRDefault="00425BAC" w:rsidP="00425BAC">
      <w:pPr>
        <w:pStyle w:val="BodyText"/>
      </w:pPr>
      <w:r>
        <w:t xml:space="preserve">The </w:t>
      </w:r>
      <w:r w:rsidR="001A697D">
        <w:rPr>
          <w:lang w:val="en-US"/>
        </w:rPr>
        <w:t>Nairobi</w:t>
      </w:r>
      <w:r w:rsidRPr="00EA43A0">
        <w:rPr>
          <w:lang w:val="en-US"/>
        </w:rPr>
        <w:t xml:space="preserve"> Convention</w:t>
      </w:r>
      <w:r>
        <w:t xml:space="preserve"> will provide a set of uniform international rules to </w:t>
      </w:r>
      <w:r w:rsidR="00ED20E1">
        <w:t>remove or</w:t>
      </w:r>
      <w:r>
        <w:t xml:space="preserve"> have removed wrecks that may have the potential to adversely affect the safety of lives, goods and property at sea, as well as the marine environment. It </w:t>
      </w:r>
      <w:r w:rsidR="0012442B">
        <w:t>expands the defi</w:t>
      </w:r>
      <w:r w:rsidR="005D7AF9">
        <w:t>ni</w:t>
      </w:r>
      <w:r w:rsidR="0012442B">
        <w:t>tion of wrecks to include objects lost at sea</w:t>
      </w:r>
      <w:r w:rsidR="005D7AF9">
        <w:t xml:space="preserve">, and </w:t>
      </w:r>
      <w:r>
        <w:t xml:space="preserve">provides criteria for determining the hazard posed by wrecks including proximity to shipping routes, vulnerability of port facilities, and potential for damage to the marine environment. The </w:t>
      </w:r>
      <w:r w:rsidRPr="00EA43A0">
        <w:rPr>
          <w:lang w:val="en-US"/>
        </w:rPr>
        <w:t>Convention</w:t>
      </w:r>
      <w:r>
        <w:t xml:space="preserve"> will also clarify the rights and obligations regarding the identification, reporting, locating and removal of wrecks, and impose liability on the registered owner of the vessel for the costs of locating, marking and removing the wreck. </w:t>
      </w:r>
    </w:p>
    <w:p w14:paraId="7E656A0F" w14:textId="3C17EA8A" w:rsidR="00EB79E5" w:rsidRDefault="00ED20E1" w:rsidP="00EB79E5">
      <w:pPr>
        <w:pStyle w:val="BodyText"/>
      </w:pPr>
      <w:r>
        <w:t xml:space="preserve">A number of countries have already ratified </w:t>
      </w:r>
      <w:r w:rsidR="00B400A1">
        <w:t xml:space="preserve">the </w:t>
      </w:r>
      <w:r>
        <w:t xml:space="preserve">Nairobi framework. </w:t>
      </w:r>
      <w:r w:rsidR="00EB79E5">
        <w:t xml:space="preserve">The </w:t>
      </w:r>
      <w:r w:rsidR="001A697D">
        <w:t>Convention</w:t>
      </w:r>
      <w:r w:rsidR="00EB79E5">
        <w:t xml:space="preserve"> provides an internationally recognised framework of rights, duties and obligations on States, shipowners, insurers and other parties regarding the removal of wrecks deemed to be a hazard by an affected State.</w:t>
      </w:r>
    </w:p>
    <w:p w14:paraId="3859F601" w14:textId="77777777" w:rsidR="008D0CCB" w:rsidRPr="008D0CCB" w:rsidRDefault="008D0CCB" w:rsidP="008D0CCB">
      <w:pPr>
        <w:pStyle w:val="BodyText"/>
      </w:pPr>
      <w:r w:rsidRPr="008D0CCB">
        <w:lastRenderedPageBreak/>
        <w:t>Incidents involving shipping have the potential to interrupt trade, threaten other vessels, incur significant loss of life and property, and damage the marine environment. Further, the Australian Government holds a polluter financially responsible for their actions when they threaten navigational safety, Australia’s unique marine environment or maritime businesses, including wrecks.</w:t>
      </w:r>
    </w:p>
    <w:p w14:paraId="6E3F6757" w14:textId="77777777" w:rsidR="008D0CCB" w:rsidRPr="008D0CCB" w:rsidRDefault="008D0CCB" w:rsidP="008D0CCB">
      <w:pPr>
        <w:pStyle w:val="BodyText"/>
      </w:pPr>
      <w:r w:rsidRPr="008D0CCB">
        <w:t>To recover costs from shipowners and ensure the taxpayer is not the insurer of last resort, a clear and firm legal framework is needed. Accession to Nairobi Convention would provide the Australian Government through AMSA with a clear avenue to the shipowner and the insurer to pursue location, marking and removal of wrecks and objects lost at sea.</w:t>
      </w:r>
    </w:p>
    <w:p w14:paraId="5CC34DBA" w14:textId="0A29A2F0" w:rsidR="00921204" w:rsidRDefault="008D0CCB" w:rsidP="008D0CCB">
      <w:pPr>
        <w:pStyle w:val="BodyText"/>
      </w:pPr>
      <w:r w:rsidRPr="008D0CCB">
        <w:rPr>
          <w:b/>
        </w:rPr>
        <w:t>Table 1.1</w:t>
      </w:r>
      <w:r w:rsidRPr="008D0CCB">
        <w:t xml:space="preserve"> provides a summary of the circumstances where the Australian Government has clear powers under existing Acts, and if Australia accedes to the Nairobi Convention.</w:t>
      </w:r>
    </w:p>
    <w:p w14:paraId="22A9068B" w14:textId="7695694F" w:rsidR="008D0CCB" w:rsidRDefault="00921204" w:rsidP="00903872">
      <w:pPr>
        <w:autoSpaceDE w:val="0"/>
        <w:autoSpaceDN w:val="0"/>
        <w:adjustRightInd w:val="0"/>
        <w:snapToGrid w:val="0"/>
        <w:spacing w:before="0" w:after="0" w:line="240" w:lineRule="auto"/>
        <w:ind w:left="-426"/>
        <w:rPr>
          <w:rFonts w:ascii="ArialNarrow" w:eastAsia="Times New Roman" w:hAnsi="ArialNarrow" w:cs="ArialNarrow"/>
          <w:color w:val="000100"/>
          <w:szCs w:val="24"/>
          <w:lang w:val="x-none"/>
        </w:rPr>
      </w:pPr>
      <w:bookmarkStart w:id="13" w:name="_Toc99543751"/>
      <w:r w:rsidRPr="00541487">
        <w:rPr>
          <w:rStyle w:val="CaptionLabel"/>
        </w:rPr>
        <w:t>Table </w:t>
      </w:r>
      <w:r w:rsidRPr="00541487">
        <w:rPr>
          <w:rStyle w:val="CaptionLabel"/>
        </w:rPr>
        <w:fldChar w:fldCharType="begin"/>
      </w:r>
      <w:r w:rsidRPr="00541487">
        <w:rPr>
          <w:rStyle w:val="CaptionLabel"/>
        </w:rPr>
        <w:instrText xml:space="preserve"> STYLEREF 1 \S \* MERGEFORMAT </w:instrText>
      </w:r>
      <w:r w:rsidRPr="00541487">
        <w:rPr>
          <w:rStyle w:val="CaptionLabel"/>
        </w:rPr>
        <w:fldChar w:fldCharType="separate"/>
      </w:r>
      <w:r w:rsidR="00966CD2">
        <w:rPr>
          <w:rStyle w:val="CaptionLabel"/>
          <w:noProof/>
        </w:rPr>
        <w:t>1</w:t>
      </w:r>
      <w:r w:rsidRPr="00541487">
        <w:rPr>
          <w:rStyle w:val="CaptionLabel"/>
        </w:rPr>
        <w:fldChar w:fldCharType="end"/>
      </w:r>
      <w:r w:rsidRPr="00541487">
        <w:rPr>
          <w:rStyle w:val="CaptionLabel"/>
        </w:rPr>
        <w:t>.</w:t>
      </w:r>
      <w:r w:rsidRPr="00541487">
        <w:rPr>
          <w:rStyle w:val="CaptionLabel"/>
        </w:rPr>
        <w:fldChar w:fldCharType="begin"/>
      </w:r>
      <w:r w:rsidRPr="00541487">
        <w:rPr>
          <w:rStyle w:val="CaptionLabel"/>
        </w:rPr>
        <w:instrText xml:space="preserve"> SEQ Table \* ARABIC \S 1 \* MERGEFORMAT </w:instrText>
      </w:r>
      <w:r w:rsidRPr="00541487">
        <w:rPr>
          <w:rStyle w:val="CaptionLabel"/>
        </w:rPr>
        <w:fldChar w:fldCharType="separate"/>
      </w:r>
      <w:r w:rsidR="00966CD2">
        <w:rPr>
          <w:rStyle w:val="CaptionLabel"/>
          <w:noProof/>
        </w:rPr>
        <w:t>1</w:t>
      </w:r>
      <w:r w:rsidRPr="00541487">
        <w:rPr>
          <w:rStyle w:val="CaptionLabel"/>
        </w:rPr>
        <w:fldChar w:fldCharType="end"/>
      </w:r>
      <w:r>
        <w:rPr>
          <w:rStyle w:val="CaptionLabel"/>
        </w:rPr>
        <w:tab/>
      </w:r>
      <w:r w:rsidR="008D0CCB" w:rsidRPr="00015212">
        <w:rPr>
          <w:rStyle w:val="CaptionLabel"/>
          <w:b w:val="0"/>
          <w:iCs/>
          <w:szCs w:val="18"/>
        </w:rPr>
        <w:t>Ability for the Australian Government to recover costs associated with</w:t>
      </w:r>
      <w:r w:rsidR="00E71427" w:rsidRPr="00015212">
        <w:rPr>
          <w:rStyle w:val="CaptionLabel"/>
          <w:iCs/>
          <w:szCs w:val="18"/>
        </w:rPr>
        <w:t xml:space="preserve"> </w:t>
      </w:r>
      <w:r w:rsidR="00E71427" w:rsidRPr="00015212">
        <w:rPr>
          <w:rStyle w:val="CaptionLabel"/>
          <w:b w:val="0"/>
          <w:iCs/>
          <w:szCs w:val="18"/>
        </w:rPr>
        <w:t>wrecks</w:t>
      </w:r>
      <w:r w:rsidR="00903872">
        <w:rPr>
          <w:rStyle w:val="CaptionLabel"/>
          <w:b w:val="0"/>
          <w:iCs/>
          <w:szCs w:val="18"/>
        </w:rPr>
        <w:t>?</w:t>
      </w:r>
      <w:bookmarkEnd w:id="13"/>
    </w:p>
    <w:p w14:paraId="0BC8977B" w14:textId="4C8ED140" w:rsidR="008D0CCB" w:rsidRPr="008D0CCB" w:rsidRDefault="00383D74" w:rsidP="00921204">
      <w:pPr>
        <w:pStyle w:val="BodyText"/>
        <w:ind w:left="-993"/>
      </w:pPr>
      <w:r>
        <w:rPr>
          <w:noProof/>
          <w:lang w:eastAsia="en-AU"/>
        </w:rPr>
        <mc:AlternateContent>
          <mc:Choice Requires="wps">
            <w:drawing>
              <wp:anchor distT="0" distB="0" distL="114300" distR="114300" simplePos="0" relativeHeight="251679744" behindDoc="0" locked="0" layoutInCell="1" allowOverlap="1" wp14:anchorId="5EA397DF" wp14:editId="52E0E304">
                <wp:simplePos x="0" y="0"/>
                <wp:positionH relativeFrom="column">
                  <wp:posOffset>3786241</wp:posOffset>
                </wp:positionH>
                <wp:positionV relativeFrom="paragraph">
                  <wp:posOffset>3190875</wp:posOffset>
                </wp:positionV>
                <wp:extent cx="311042" cy="215661"/>
                <wp:effectExtent l="0" t="0" r="0" b="0"/>
                <wp:wrapNone/>
                <wp:docPr id="28" name="Text Box 28"/>
                <wp:cNvGraphicFramePr/>
                <a:graphic xmlns:a="http://schemas.openxmlformats.org/drawingml/2006/main">
                  <a:graphicData uri="http://schemas.microsoft.com/office/word/2010/wordprocessingShape">
                    <wps:wsp>
                      <wps:cNvSpPr txBox="1"/>
                      <wps:spPr>
                        <a:xfrm flipH="1">
                          <a:off x="0" y="0"/>
                          <a:ext cx="311042" cy="215661"/>
                        </a:xfrm>
                        <a:prstGeom prst="rect">
                          <a:avLst/>
                        </a:prstGeom>
                        <a:noFill/>
                        <a:ln w="6350">
                          <a:noFill/>
                        </a:ln>
                      </wps:spPr>
                      <wps:txbx>
                        <w:txbxContent>
                          <w:p w14:paraId="60317F72" w14:textId="0205869B" w:rsidR="002178E9" w:rsidRPr="00511CB2" w:rsidRDefault="002178E9" w:rsidP="00511CB2">
                            <w:pPr>
                              <w:spacing w:before="0" w:after="0" w:line="240" w:lineRule="auto"/>
                              <w:rPr>
                                <w:rFonts w:ascii="Calibri" w:hAnsi="Calibri" w:cs="Calibri"/>
                                <w:sz w:val="12"/>
                                <w:lang w:val="en-US"/>
                              </w:rPr>
                            </w:pPr>
                            <w:r w:rsidRPr="00511CB2">
                              <w:rPr>
                                <w:rFonts w:ascii="Calibri" w:hAnsi="Calibri" w:cs="Calibri"/>
                                <w:sz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97DF" id="_x0000_t202" coordsize="21600,21600" o:spt="202" path="m,l,21600r21600,l21600,xe">
                <v:stroke joinstyle="miter"/>
                <v:path gradientshapeok="t" o:connecttype="rect"/>
              </v:shapetype>
              <v:shape id="Text Box 28" o:spid="_x0000_s1026" type="#_x0000_t202" style="position:absolute;left:0;text-align:left;margin-left:298.15pt;margin-top:251.25pt;width:24.5pt;height:1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" filled="f" stroked="f" strokeweight=".5pt">
                <v:textbox>
                  <w:txbxContent>
                    <w:p w14:paraId="60317F72" w14:textId="0205869B" w:rsidR="002178E9" w:rsidRPr="00511CB2" w:rsidRDefault="002178E9" w:rsidP="00511CB2">
                      <w:pPr>
                        <w:spacing w:before="0" w:after="0" w:line="240" w:lineRule="auto"/>
                        <w:rPr>
                          <w:rFonts w:ascii="Calibri" w:hAnsi="Calibri" w:cs="Calibri"/>
                          <w:sz w:val="12"/>
                          <w:lang w:val="en-US"/>
                        </w:rPr>
                      </w:pPr>
                      <w:r w:rsidRPr="00511CB2">
                        <w:rPr>
                          <w:rFonts w:ascii="Calibri" w:hAnsi="Calibri" w:cs="Calibri"/>
                          <w:sz w:val="16"/>
                          <w:lang w:val="en-US"/>
                        </w:rPr>
                        <w:t>4</w:t>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5B7CB22F" wp14:editId="1E452224">
                <wp:simplePos x="0" y="0"/>
                <wp:positionH relativeFrom="column">
                  <wp:posOffset>3859518</wp:posOffset>
                </wp:positionH>
                <wp:positionV relativeFrom="paragraph">
                  <wp:posOffset>3239602</wp:posOffset>
                </wp:positionV>
                <wp:extent cx="111365" cy="163507"/>
                <wp:effectExtent l="0" t="0" r="3175" b="8255"/>
                <wp:wrapNone/>
                <wp:docPr id="40" name="Rectangle 40"/>
                <wp:cNvGraphicFramePr/>
                <a:graphic xmlns:a="http://schemas.openxmlformats.org/drawingml/2006/main">
                  <a:graphicData uri="http://schemas.microsoft.com/office/word/2010/wordprocessingShape">
                    <wps:wsp>
                      <wps:cNvSpPr/>
                      <wps:spPr>
                        <a:xfrm>
                          <a:off x="0" y="0"/>
                          <a:ext cx="111365" cy="163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6D4A6" id="Rectangle 40" o:spid="_x0000_s1026" style="position:absolute;margin-left:303.9pt;margin-top:255.1pt;width:8.75pt;height:12.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" fillcolor="white [3212]" stroked="f" strokeweight="1pt"/>
            </w:pict>
          </mc:Fallback>
        </mc:AlternateContent>
      </w:r>
      <w:r w:rsidR="00511CB2">
        <w:rPr>
          <w:noProof/>
          <w:lang w:eastAsia="en-AU"/>
        </w:rPr>
        <mc:AlternateContent>
          <mc:Choice Requires="wps">
            <w:drawing>
              <wp:anchor distT="0" distB="0" distL="114300" distR="114300" simplePos="0" relativeHeight="251677696" behindDoc="0" locked="0" layoutInCell="1" allowOverlap="1" wp14:anchorId="1F04F0BA" wp14:editId="3A63C23A">
                <wp:simplePos x="0" y="0"/>
                <wp:positionH relativeFrom="column">
                  <wp:posOffset>1356096</wp:posOffset>
                </wp:positionH>
                <wp:positionV relativeFrom="paragraph">
                  <wp:posOffset>3186430</wp:posOffset>
                </wp:positionV>
                <wp:extent cx="311042" cy="215661"/>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311042" cy="215661"/>
                        </a:xfrm>
                        <a:prstGeom prst="rect">
                          <a:avLst/>
                        </a:prstGeom>
                        <a:noFill/>
                        <a:ln w="6350">
                          <a:noFill/>
                        </a:ln>
                      </wps:spPr>
                      <wps:txbx>
                        <w:txbxContent>
                          <w:p w14:paraId="0AF5F61E" w14:textId="0FBD99C6" w:rsidR="002178E9" w:rsidRPr="00511CB2" w:rsidRDefault="002178E9" w:rsidP="00511CB2">
                            <w:pPr>
                              <w:spacing w:before="0" w:after="0" w:line="240" w:lineRule="auto"/>
                              <w:rPr>
                                <w:rFonts w:ascii="Calibri" w:hAnsi="Calibri" w:cs="Calibri"/>
                                <w:sz w:val="16"/>
                                <w:lang w:val="en-US"/>
                              </w:rPr>
                            </w:pPr>
                            <w:r w:rsidRPr="00511CB2">
                              <w:rPr>
                                <w:rFonts w:ascii="Calibri" w:hAnsi="Calibri" w:cs="Calibri"/>
                                <w:sz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F0BA" id="Text Box 26" o:spid="_x0000_s1027" type="#_x0000_t202" style="position:absolute;left:0;text-align:left;margin-left:106.8pt;margin-top:250.9pt;width:24.5pt;height:1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" filled="f" stroked="f" strokeweight=".5pt">
                <v:textbox>
                  <w:txbxContent>
                    <w:p w14:paraId="0AF5F61E" w14:textId="0FBD99C6" w:rsidR="002178E9" w:rsidRPr="00511CB2" w:rsidRDefault="002178E9" w:rsidP="00511CB2">
                      <w:pPr>
                        <w:spacing w:before="0" w:after="0" w:line="240" w:lineRule="auto"/>
                        <w:rPr>
                          <w:rFonts w:ascii="Calibri" w:hAnsi="Calibri" w:cs="Calibri"/>
                          <w:sz w:val="16"/>
                          <w:lang w:val="en-US"/>
                        </w:rPr>
                      </w:pPr>
                      <w:r w:rsidRPr="00511CB2">
                        <w:rPr>
                          <w:rFonts w:ascii="Calibri" w:hAnsi="Calibri" w:cs="Calibri"/>
                          <w:sz w:val="16"/>
                          <w:lang w:val="en-US"/>
                        </w:rPr>
                        <w:t>3</w:t>
                      </w:r>
                    </w:p>
                  </w:txbxContent>
                </v:textbox>
              </v:shape>
            </w:pict>
          </mc:Fallback>
        </mc:AlternateContent>
      </w:r>
      <w:r w:rsidR="00511CB2">
        <w:rPr>
          <w:noProof/>
          <w:lang w:eastAsia="en-AU"/>
        </w:rPr>
        <mc:AlternateContent>
          <mc:Choice Requires="wps">
            <w:drawing>
              <wp:anchor distT="0" distB="0" distL="114300" distR="114300" simplePos="0" relativeHeight="251674624" behindDoc="0" locked="0" layoutInCell="1" allowOverlap="1" wp14:anchorId="44711537" wp14:editId="09AE5270">
                <wp:simplePos x="0" y="0"/>
                <wp:positionH relativeFrom="column">
                  <wp:posOffset>1434729</wp:posOffset>
                </wp:positionH>
                <wp:positionV relativeFrom="paragraph">
                  <wp:posOffset>3239135</wp:posOffset>
                </wp:positionV>
                <wp:extent cx="111808" cy="163902"/>
                <wp:effectExtent l="0" t="0" r="2540" b="7620"/>
                <wp:wrapNone/>
                <wp:docPr id="27" name="Rectangle 27"/>
                <wp:cNvGraphicFramePr/>
                <a:graphic xmlns:a="http://schemas.openxmlformats.org/drawingml/2006/main">
                  <a:graphicData uri="http://schemas.microsoft.com/office/word/2010/wordprocessingShape">
                    <wps:wsp>
                      <wps:cNvSpPr/>
                      <wps:spPr>
                        <a:xfrm>
                          <a:off x="0" y="0"/>
                          <a:ext cx="111808"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71737" id="Rectangle 27" o:spid="_x0000_s1026" style="position:absolute;margin-left:112.95pt;margin-top:255.05pt;width:8.8pt;height:12.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" fillcolor="white [3212]" stroked="f" strokeweight="1pt"/>
            </w:pict>
          </mc:Fallback>
        </mc:AlternateContent>
      </w:r>
      <w:r w:rsidR="00511CB2">
        <w:rPr>
          <w:noProof/>
          <w:lang w:eastAsia="en-AU"/>
        </w:rPr>
        <mc:AlternateContent>
          <mc:Choice Requires="wps">
            <w:drawing>
              <wp:anchor distT="0" distB="0" distL="114300" distR="114300" simplePos="0" relativeHeight="251672576" behindDoc="0" locked="0" layoutInCell="1" allowOverlap="1" wp14:anchorId="2F185D5B" wp14:editId="3058AB21">
                <wp:simplePos x="0" y="0"/>
                <wp:positionH relativeFrom="column">
                  <wp:posOffset>4510776</wp:posOffset>
                </wp:positionH>
                <wp:positionV relativeFrom="paragraph">
                  <wp:posOffset>397510</wp:posOffset>
                </wp:positionV>
                <wp:extent cx="327193" cy="413325"/>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27193" cy="413325"/>
                        </a:xfrm>
                        <a:prstGeom prst="rect">
                          <a:avLst/>
                        </a:prstGeom>
                        <a:noFill/>
                        <a:ln w="6350">
                          <a:noFill/>
                        </a:ln>
                      </wps:spPr>
                      <wps:txbx>
                        <w:txbxContent>
                          <w:p w14:paraId="5E4BE398" w14:textId="37C18F18" w:rsidR="002178E9" w:rsidRPr="00511CB2" w:rsidRDefault="002178E9" w:rsidP="00511CB2">
                            <w:pPr>
                              <w:spacing w:before="0" w:after="0" w:line="240" w:lineRule="auto"/>
                              <w:rPr>
                                <w:b/>
                                <w:color w:val="FFFFFF" w:themeColor="background1"/>
                                <w:lang w:val="en-US"/>
                              </w:rPr>
                            </w:pPr>
                            <w:r>
                              <w:rPr>
                                <w:b/>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5D5B" id="Text Box 25" o:spid="_x0000_s1028" type="#_x0000_t202" style="position:absolute;left:0;text-align:left;margin-left:355.2pt;margin-top:31.3pt;width:25.75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" filled="f" stroked="f" strokeweight=".5pt">
                <v:textbox>
                  <w:txbxContent>
                    <w:p w14:paraId="5E4BE398" w14:textId="37C18F18" w:rsidR="002178E9" w:rsidRPr="00511CB2" w:rsidRDefault="002178E9" w:rsidP="00511CB2">
                      <w:pPr>
                        <w:spacing w:before="0" w:after="0" w:line="240" w:lineRule="auto"/>
                        <w:rPr>
                          <w:b/>
                          <w:color w:val="FFFFFF" w:themeColor="background1"/>
                          <w:lang w:val="en-US"/>
                        </w:rPr>
                      </w:pPr>
                      <w:r>
                        <w:rPr>
                          <w:b/>
                          <w:color w:val="FFFFFF" w:themeColor="background1"/>
                          <w:lang w:val="en-US"/>
                        </w:rPr>
                        <w:t>4</w:t>
                      </w:r>
                    </w:p>
                  </w:txbxContent>
                </v:textbox>
              </v:shape>
            </w:pict>
          </mc:Fallback>
        </mc:AlternateContent>
      </w:r>
      <w:r w:rsidR="00511CB2">
        <w:rPr>
          <w:noProof/>
          <w:lang w:eastAsia="en-AU"/>
        </w:rPr>
        <mc:AlternateContent>
          <mc:Choice Requires="wps">
            <w:drawing>
              <wp:anchor distT="0" distB="0" distL="114300" distR="114300" simplePos="0" relativeHeight="251670528" behindDoc="0" locked="0" layoutInCell="1" allowOverlap="1" wp14:anchorId="2EA2437F" wp14:editId="5FF34DD1">
                <wp:simplePos x="0" y="0"/>
                <wp:positionH relativeFrom="column">
                  <wp:posOffset>3643366</wp:posOffset>
                </wp:positionH>
                <wp:positionV relativeFrom="paragraph">
                  <wp:posOffset>391795</wp:posOffset>
                </wp:positionV>
                <wp:extent cx="327193" cy="413325"/>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27193" cy="413325"/>
                        </a:xfrm>
                        <a:prstGeom prst="rect">
                          <a:avLst/>
                        </a:prstGeom>
                        <a:noFill/>
                        <a:ln w="6350">
                          <a:noFill/>
                        </a:ln>
                      </wps:spPr>
                      <wps:txbx>
                        <w:txbxContent>
                          <w:p w14:paraId="0CC9850E" w14:textId="52C315BD" w:rsidR="002178E9" w:rsidRPr="00511CB2" w:rsidRDefault="002178E9" w:rsidP="00511CB2">
                            <w:pPr>
                              <w:spacing w:before="0" w:after="0" w:line="240" w:lineRule="auto"/>
                              <w:rPr>
                                <w:b/>
                                <w:color w:val="FFFFFF" w:themeColor="background1"/>
                                <w:lang w:val="en-US"/>
                              </w:rPr>
                            </w:pPr>
                            <w:r w:rsidRPr="00511CB2">
                              <w:rPr>
                                <w:b/>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437F" id="Text Box 21" o:spid="_x0000_s1029" type="#_x0000_t202" style="position:absolute;left:0;text-align:left;margin-left:286.9pt;margin-top:30.85pt;width:25.75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" filled="f" stroked="f" strokeweight=".5pt">
                <v:textbox>
                  <w:txbxContent>
                    <w:p w14:paraId="0CC9850E" w14:textId="52C315BD" w:rsidR="002178E9" w:rsidRPr="00511CB2" w:rsidRDefault="002178E9" w:rsidP="00511CB2">
                      <w:pPr>
                        <w:spacing w:before="0" w:after="0" w:line="240" w:lineRule="auto"/>
                        <w:rPr>
                          <w:b/>
                          <w:color w:val="FFFFFF" w:themeColor="background1"/>
                          <w:lang w:val="en-US"/>
                        </w:rPr>
                      </w:pPr>
                      <w:r w:rsidRPr="00511CB2">
                        <w:rPr>
                          <w:b/>
                          <w:color w:val="FFFFFF" w:themeColor="background1"/>
                          <w:lang w:val="en-US"/>
                        </w:rPr>
                        <w:t>3</w:t>
                      </w:r>
                    </w:p>
                  </w:txbxContent>
                </v:textbox>
              </v:shape>
            </w:pict>
          </mc:Fallback>
        </mc:AlternateContent>
      </w:r>
      <w:r w:rsidR="00511CB2">
        <w:rPr>
          <w:noProof/>
          <w:lang w:eastAsia="en-AU"/>
        </w:rPr>
        <w:drawing>
          <wp:anchor distT="0" distB="0" distL="114300" distR="114300" simplePos="0" relativeHeight="251669504" behindDoc="0" locked="0" layoutInCell="1" allowOverlap="1" wp14:anchorId="28E64F76" wp14:editId="7854F1E2">
            <wp:simplePos x="0" y="0"/>
            <wp:positionH relativeFrom="column">
              <wp:posOffset>4549260</wp:posOffset>
            </wp:positionH>
            <wp:positionV relativeFrom="paragraph">
              <wp:posOffset>444069</wp:posOffset>
            </wp:positionV>
            <wp:extent cx="247650" cy="247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anchor>
        </w:drawing>
      </w:r>
      <w:r w:rsidR="00511CB2">
        <w:rPr>
          <w:noProof/>
          <w:lang w:eastAsia="en-AU"/>
        </w:rPr>
        <w:drawing>
          <wp:anchor distT="0" distB="0" distL="114300" distR="114300" simplePos="0" relativeHeight="251668480" behindDoc="0" locked="0" layoutInCell="1" allowOverlap="1" wp14:anchorId="69305DEE" wp14:editId="63EB344D">
            <wp:simplePos x="0" y="0"/>
            <wp:positionH relativeFrom="column">
              <wp:posOffset>3687469</wp:posOffset>
            </wp:positionH>
            <wp:positionV relativeFrom="paragraph">
              <wp:posOffset>444069</wp:posOffset>
            </wp:positionV>
            <wp:extent cx="247650" cy="247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anchor>
        </w:drawing>
      </w:r>
      <w:r w:rsidR="00511CB2" w:rsidRPr="00511CB2">
        <w:rPr>
          <w:noProof/>
          <w:lang w:eastAsia="en-AU"/>
        </w:rPr>
        <w:t xml:space="preserve"> </w:t>
      </w:r>
      <w:r w:rsidR="008D0CCB">
        <w:rPr>
          <w:noProof/>
          <w:lang w:eastAsia="en-AU"/>
        </w:rPr>
        <w:drawing>
          <wp:inline distT="0" distB="0" distL="0" distR="0" wp14:anchorId="2056865A" wp14:editId="5B3D512C">
            <wp:extent cx="5608664" cy="36093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1553" cy="3617598"/>
                    </a:xfrm>
                    <a:prstGeom prst="rect">
                      <a:avLst/>
                    </a:prstGeom>
                  </pic:spPr>
                </pic:pic>
              </a:graphicData>
            </a:graphic>
          </wp:inline>
        </w:drawing>
      </w:r>
    </w:p>
    <w:p w14:paraId="140927D1" w14:textId="7B47E8BE" w:rsidR="00EA43A0" w:rsidRPr="00EA43A0" w:rsidRDefault="00EA43A0" w:rsidP="00EA43A0">
      <w:pPr>
        <w:pStyle w:val="Heading2"/>
      </w:pPr>
      <w:bookmarkStart w:id="14" w:name="_Toc99543715"/>
      <w:r>
        <w:rPr>
          <w:lang w:val="en-US"/>
        </w:rPr>
        <w:t>Policy options</w:t>
      </w:r>
      <w:bookmarkEnd w:id="14"/>
    </w:p>
    <w:p w14:paraId="1FC1D449" w14:textId="0167B05D" w:rsidR="00EA43A0" w:rsidRDefault="00EA43A0" w:rsidP="00EA43A0">
      <w:pPr>
        <w:pStyle w:val="BodyText"/>
      </w:pPr>
      <w:r>
        <w:t>The Department request</w:t>
      </w:r>
      <w:r w:rsidR="00A8753C">
        <w:t>ed</w:t>
      </w:r>
      <w:r>
        <w:t xml:space="preserve"> the following policy options to be </w:t>
      </w:r>
      <w:r w:rsidR="00EA3C69">
        <w:t>analysed which considers</w:t>
      </w:r>
      <w:r w:rsidR="00EA3C69" w:rsidRPr="00A21688">
        <w:t xml:space="preserve"> the </w:t>
      </w:r>
      <w:r w:rsidR="00EA3C69" w:rsidRPr="00EA3C69">
        <w:t>financial and regulatory impacts of the options on the shipping and insurance industry stakeholders, other related maritime and coastal stakeholders, and the Australian community</w:t>
      </w:r>
      <w:r w:rsidR="00F63294">
        <w:t>:</w:t>
      </w:r>
    </w:p>
    <w:p w14:paraId="389766D4" w14:textId="77777777" w:rsidR="00383D74" w:rsidRPr="00990E3E" w:rsidRDefault="00383D74" w:rsidP="00383D74">
      <w:pPr>
        <w:pStyle w:val="ListBullet"/>
      </w:pPr>
      <w:r w:rsidRPr="00383D74">
        <w:rPr>
          <w:b/>
        </w:rPr>
        <w:t>Option 1</w:t>
      </w:r>
      <w:r w:rsidRPr="00990E3E">
        <w:t xml:space="preserve">: Retaining the existing framework under the </w:t>
      </w:r>
      <w:r w:rsidRPr="006C22A1">
        <w:rPr>
          <w:i/>
        </w:rPr>
        <w:t>Navigation Act 2012</w:t>
      </w:r>
      <w:r w:rsidRPr="00990E3E">
        <w:t xml:space="preserve">. </w:t>
      </w:r>
    </w:p>
    <w:p w14:paraId="2350B1BA" w14:textId="77777777" w:rsidR="00383D74" w:rsidRDefault="00383D74" w:rsidP="00383D74">
      <w:pPr>
        <w:pStyle w:val="ListBullet"/>
      </w:pPr>
      <w:r w:rsidRPr="00383D74">
        <w:rPr>
          <w:b/>
        </w:rPr>
        <w:t>Option 3</w:t>
      </w:r>
      <w:r w:rsidRPr="00990E3E">
        <w:t xml:space="preserve">: </w:t>
      </w:r>
      <w:r w:rsidRPr="006C22A1">
        <w:t>Acceding to the Nairobi Convention, applying it to RAVs and foreign vessels in the EEZ</w:t>
      </w:r>
      <w:r>
        <w:t>.</w:t>
      </w:r>
    </w:p>
    <w:p w14:paraId="69BEF6D2" w14:textId="77777777" w:rsidR="00383D74" w:rsidRPr="00990E3E" w:rsidRDefault="00383D74" w:rsidP="00383D74">
      <w:pPr>
        <w:pStyle w:val="ListBullet"/>
      </w:pPr>
      <w:r w:rsidRPr="00383D74">
        <w:rPr>
          <w:b/>
        </w:rPr>
        <w:t>Option 4</w:t>
      </w:r>
      <w:r>
        <w:t xml:space="preserve">: </w:t>
      </w:r>
      <w:r w:rsidRPr="006C22A1">
        <w:t>Acceding to the Nairobi Convention, applying it RAVs and foreign vessels in the EEZ and territorial sea</w:t>
      </w:r>
      <w:r>
        <w:t>.</w:t>
      </w:r>
    </w:p>
    <w:p w14:paraId="5E0FD6B7" w14:textId="77777777" w:rsidR="00383D74" w:rsidRPr="00990E3E" w:rsidRDefault="00383D74" w:rsidP="00383D74">
      <w:pPr>
        <w:pStyle w:val="ListBullet"/>
      </w:pPr>
      <w:r w:rsidRPr="00383D74">
        <w:rPr>
          <w:b/>
        </w:rPr>
        <w:t>Sub-option 1</w:t>
      </w:r>
      <w:r w:rsidRPr="00990E3E">
        <w:t xml:space="preserve">: </w:t>
      </w:r>
      <w:r w:rsidRPr="006C22A1">
        <w:t>Applying the Nairobi Convention to Domestic Commercial Vessels</w:t>
      </w:r>
      <w:r>
        <w:t>.</w:t>
      </w:r>
    </w:p>
    <w:p w14:paraId="036308D8" w14:textId="2572695C" w:rsidR="00EA43A0" w:rsidRDefault="00EA43A0" w:rsidP="00EA43A0">
      <w:pPr>
        <w:pStyle w:val="BodyText"/>
      </w:pPr>
      <w:r>
        <w:rPr>
          <w:lang w:val="en-US"/>
        </w:rPr>
        <w:t>The analysis in this report will inform a Regulatory Impact Statement (RIS) on Australia’s accession to the Nairobi Convention</w:t>
      </w:r>
      <w:r w:rsidRPr="00EA43A0">
        <w:t>.</w:t>
      </w:r>
    </w:p>
    <w:p w14:paraId="40266F21" w14:textId="611D1B4D" w:rsidR="001E5CAD" w:rsidRDefault="00EA43A0" w:rsidP="00EA43A0">
      <w:pPr>
        <w:pStyle w:val="Heading2"/>
      </w:pPr>
      <w:bookmarkStart w:id="15" w:name="_Toc99543716"/>
      <w:r>
        <w:lastRenderedPageBreak/>
        <w:t>Report structure</w:t>
      </w:r>
      <w:bookmarkEnd w:id="15"/>
    </w:p>
    <w:p w14:paraId="20E3B5DC" w14:textId="77777777" w:rsidR="002B2199" w:rsidRDefault="002B2199" w:rsidP="002B2199">
      <w:pPr>
        <w:pStyle w:val="BodyText"/>
      </w:pPr>
      <w:r>
        <w:t>The remaining sections of this report are as follows:</w:t>
      </w:r>
    </w:p>
    <w:p w14:paraId="5AC48DE4" w14:textId="1A0D8941" w:rsidR="002B2199" w:rsidRPr="00D53645" w:rsidRDefault="002B2199" w:rsidP="002B2199">
      <w:pPr>
        <w:pStyle w:val="ListBullet"/>
      </w:pPr>
      <w:r w:rsidRPr="000077A8">
        <w:rPr>
          <w:i/>
          <w:iCs/>
        </w:rPr>
        <w:t>Chapter</w:t>
      </w:r>
      <w:r>
        <w:rPr>
          <w:i/>
          <w:iCs/>
        </w:rPr>
        <w:t xml:space="preserve"> </w:t>
      </w:r>
      <w:r>
        <w:t xml:space="preserve">2 provides the high-level </w:t>
      </w:r>
      <w:r w:rsidR="001C777C">
        <w:t xml:space="preserve">views </w:t>
      </w:r>
      <w:r>
        <w:t xml:space="preserve">of </w:t>
      </w:r>
      <w:r w:rsidR="00541487">
        <w:t xml:space="preserve">selected </w:t>
      </w:r>
      <w:r>
        <w:t>stakeholder</w:t>
      </w:r>
      <w:r w:rsidR="001C777C">
        <w:t>s consulted for this study</w:t>
      </w:r>
      <w:r>
        <w:t>.</w:t>
      </w:r>
    </w:p>
    <w:p w14:paraId="41843CEB" w14:textId="1EB2B5DE" w:rsidR="002B2199" w:rsidRDefault="002B2199" w:rsidP="002B2199">
      <w:pPr>
        <w:pStyle w:val="ListBullet"/>
      </w:pPr>
      <w:r w:rsidRPr="000077A8">
        <w:rPr>
          <w:i/>
          <w:iCs/>
        </w:rPr>
        <w:t>Chapter</w:t>
      </w:r>
      <w:r>
        <w:rPr>
          <w:i/>
          <w:iCs/>
        </w:rPr>
        <w:t xml:space="preserve"> 3 </w:t>
      </w:r>
      <w:r>
        <w:t xml:space="preserve">outlines </w:t>
      </w:r>
      <w:r w:rsidR="004D140F">
        <w:t xml:space="preserve">advantages and disadvantages of policy options, </w:t>
      </w:r>
      <w:r>
        <w:t>key data</w:t>
      </w:r>
      <w:r w:rsidR="004D140F">
        <w:t xml:space="preserve"> sources</w:t>
      </w:r>
      <w:r>
        <w:t xml:space="preserve"> and assumptions </w:t>
      </w:r>
      <w:r w:rsidR="009A7908">
        <w:t>for options analysed.</w:t>
      </w:r>
    </w:p>
    <w:p w14:paraId="237281DD" w14:textId="6649ACC9" w:rsidR="001E5CAD" w:rsidRDefault="002B2199" w:rsidP="002B2199">
      <w:pPr>
        <w:pStyle w:val="ListBullet"/>
      </w:pPr>
      <w:r w:rsidRPr="000077A8">
        <w:rPr>
          <w:i/>
          <w:iCs/>
        </w:rPr>
        <w:t>Chapter</w:t>
      </w:r>
      <w:r>
        <w:rPr>
          <w:i/>
          <w:iCs/>
        </w:rPr>
        <w:t xml:space="preserve"> 4 </w:t>
      </w:r>
      <w:r>
        <w:t>provides the estimates of costs and benefits, including sensitivity testing and distribution analysis</w:t>
      </w:r>
      <w:r w:rsidR="009A7908">
        <w:t>.</w:t>
      </w:r>
    </w:p>
    <w:p w14:paraId="669CEDA1" w14:textId="2D551F05" w:rsidR="001E5CAD" w:rsidRDefault="001E5CAD" w:rsidP="001E5CAD">
      <w:pPr>
        <w:pStyle w:val="BodyText"/>
      </w:pPr>
    </w:p>
    <w:p w14:paraId="3593BB03" w14:textId="7F7A44C4" w:rsidR="001E5CAD" w:rsidRDefault="001E5CAD" w:rsidP="001E5CAD">
      <w:pPr>
        <w:pStyle w:val="BodyText"/>
      </w:pPr>
    </w:p>
    <w:p w14:paraId="10AD1BE0" w14:textId="77777777" w:rsidR="001E5CAD" w:rsidRDefault="001E5CAD" w:rsidP="001E5CAD">
      <w:pPr>
        <w:pStyle w:val="BodyText"/>
      </w:pPr>
    </w:p>
    <w:p w14:paraId="15DB28D7" w14:textId="77777777" w:rsidR="001E5CAD" w:rsidRDefault="001E5CAD" w:rsidP="001E5CAD">
      <w:pPr>
        <w:pStyle w:val="BodyText"/>
        <w:sectPr w:rsidR="001E5CAD" w:rsidSect="00DB3235">
          <w:headerReference w:type="even" r:id="rId46"/>
          <w:headerReference w:type="default" r:id="rId47"/>
          <w:footerReference w:type="even" r:id="rId48"/>
          <w:footerReference w:type="default" r:id="rId49"/>
          <w:headerReference w:type="first" r:id="rId50"/>
          <w:footerReference w:type="first" r:id="rId51"/>
          <w:pgSz w:w="11906" w:h="16838" w:code="9"/>
          <w:pgMar w:top="1134" w:right="851" w:bottom="1134" w:left="3119" w:header="454" w:footer="15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9A7908" w14:paraId="2F110C99" w14:textId="77777777" w:rsidTr="009A7908">
        <w:trPr>
          <w:trHeight w:hRule="exact" w:val="382"/>
        </w:trPr>
        <w:tc>
          <w:tcPr>
            <w:tcW w:w="5570" w:type="dxa"/>
          </w:tcPr>
          <w:p w14:paraId="7A063FC4" w14:textId="345ABEC1" w:rsidR="009A7908" w:rsidRDefault="009A7908" w:rsidP="009A7908">
            <w:pPr>
              <w:pStyle w:val="tagchapterBanner"/>
            </w:pPr>
            <w:r>
              <w:rPr>
                <w:noProof/>
                <w:lang w:eastAsia="en-AU"/>
              </w:rPr>
              <w:lastRenderedPageBreak/>
              <w:drawing>
                <wp:anchor distT="0" distB="0" distL="114300" distR="114300" simplePos="0" relativeHeight="251665408" behindDoc="1" locked="1" layoutInCell="1" allowOverlap="1" wp14:anchorId="1854B8EC" wp14:editId="107AE612">
                  <wp:simplePos x="0" y="0"/>
                  <wp:positionH relativeFrom="page">
                    <wp:posOffset>0</wp:posOffset>
                  </wp:positionH>
                  <wp:positionV relativeFrom="page">
                    <wp:posOffset>0</wp:posOffset>
                  </wp:positionV>
                  <wp:extent cx="5039360" cy="1995170"/>
                  <wp:effectExtent l="0" t="0" r="8890" b="5080"/>
                  <wp:wrapNone/>
                  <wp:docPr id="61"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5CC93C09" w14:textId="77777777" w:rsidR="009A7908" w:rsidRDefault="009A7908" w:rsidP="009A7908">
            <w:pPr>
              <w:pStyle w:val="spacer"/>
            </w:pPr>
          </w:p>
        </w:tc>
      </w:tr>
      <w:tr w:rsidR="009A7908" w14:paraId="6E8C7BA4" w14:textId="77777777" w:rsidTr="009A7908">
        <w:trPr>
          <w:trHeight w:hRule="exact" w:val="2760"/>
        </w:trPr>
        <w:tc>
          <w:tcPr>
            <w:tcW w:w="5570" w:type="dxa"/>
            <w:vAlign w:val="bottom"/>
          </w:tcPr>
          <w:p w14:paraId="3C1D0F91" w14:textId="29DE2598" w:rsidR="009A7908" w:rsidRDefault="009D5C62" w:rsidP="009A7908">
            <w:pPr>
              <w:pStyle w:val="Heading1"/>
            </w:pPr>
            <w:bookmarkStart w:id="16" w:name="_Toc99543717"/>
            <w:r>
              <w:t>Stakeholder consultation</w:t>
            </w:r>
            <w:bookmarkEnd w:id="16"/>
          </w:p>
        </w:tc>
        <w:tc>
          <w:tcPr>
            <w:tcW w:w="2366" w:type="dxa"/>
            <w:tcMar>
              <w:right w:w="224" w:type="dxa"/>
            </w:tcMar>
            <w:vAlign w:val="bottom"/>
          </w:tcPr>
          <w:p w14:paraId="41EAFA2E" w14:textId="265AD8D4" w:rsidR="009A7908" w:rsidRDefault="008C3AD9" w:rsidP="009A7908">
            <w:pPr>
              <w:pStyle w:val="HeadingChapter"/>
            </w:pPr>
            <w:r>
              <w:fldChar w:fldCharType="begin"/>
            </w:r>
            <w:r>
              <w:instrText xml:space="preserve"> SEQ ChptNum \* ARABIC </w:instrText>
            </w:r>
            <w:r>
              <w:fldChar w:fldCharType="separate"/>
            </w:r>
            <w:r w:rsidR="00966CD2">
              <w:rPr>
                <w:noProof/>
              </w:rPr>
              <w:t>2</w:t>
            </w:r>
            <w:r>
              <w:rPr>
                <w:noProof/>
              </w:rPr>
              <w:fldChar w:fldCharType="end"/>
            </w:r>
          </w:p>
        </w:tc>
      </w:tr>
      <w:tr w:rsidR="009A7908" w14:paraId="77E8ADA6" w14:textId="77777777" w:rsidTr="009A7908">
        <w:trPr>
          <w:trHeight w:hRule="exact" w:val="228"/>
        </w:trPr>
        <w:tc>
          <w:tcPr>
            <w:tcW w:w="5570" w:type="dxa"/>
          </w:tcPr>
          <w:p w14:paraId="1E7046FB" w14:textId="77777777" w:rsidR="009A7908" w:rsidRDefault="009A7908" w:rsidP="009A7908">
            <w:pPr>
              <w:pStyle w:val="spacer"/>
            </w:pPr>
          </w:p>
        </w:tc>
        <w:tc>
          <w:tcPr>
            <w:tcW w:w="2366" w:type="dxa"/>
          </w:tcPr>
          <w:p w14:paraId="545FBD29" w14:textId="77777777" w:rsidR="009A7908" w:rsidRDefault="009A7908" w:rsidP="009A7908">
            <w:pPr>
              <w:pStyle w:val="spacer"/>
            </w:pPr>
          </w:p>
        </w:tc>
      </w:tr>
    </w:tbl>
    <w:p w14:paraId="3D836FF7" w14:textId="78D93927" w:rsidR="009A7908" w:rsidRDefault="009A7908" w:rsidP="009A7908">
      <w:pPr>
        <w:pStyle w:val="BodyText"/>
      </w:pPr>
      <w:r>
        <w:t>A key element of ACIL Allen’s approach to provid</w:t>
      </w:r>
      <w:r w:rsidR="00F82BFB">
        <w:t>ing</w:t>
      </w:r>
      <w:r>
        <w:t xml:space="preserve"> economic analysis of Australia’s possible accession to the Nairobi Convention is to discuss the implication of costs and benefits with the key industry stakeholders. A summary of </w:t>
      </w:r>
      <w:r w:rsidR="001D468F">
        <w:t xml:space="preserve">the </w:t>
      </w:r>
      <w:r>
        <w:t>discussion</w:t>
      </w:r>
      <w:r w:rsidR="001D468F">
        <w:t>s</w:t>
      </w:r>
      <w:r>
        <w:t xml:space="preserve"> is provided in this chapter.</w:t>
      </w:r>
    </w:p>
    <w:p w14:paraId="023B87A0" w14:textId="62B555FA" w:rsidR="009A7908" w:rsidRDefault="009D5C62" w:rsidP="009D5C62">
      <w:pPr>
        <w:pStyle w:val="Heading2"/>
      </w:pPr>
      <w:bookmarkStart w:id="17" w:name="_Toc99543718"/>
      <w:r>
        <w:t>Shipping Australia</w:t>
      </w:r>
      <w:bookmarkEnd w:id="17"/>
    </w:p>
    <w:p w14:paraId="0EA19F1E" w14:textId="76C45EA8" w:rsidR="009D5C62" w:rsidRPr="00C515F7" w:rsidRDefault="009D5C62" w:rsidP="00C515F7">
      <w:pPr>
        <w:pStyle w:val="BodyText"/>
        <w:rPr>
          <w:b/>
          <w:bCs/>
          <w:i/>
          <w:iCs/>
        </w:rPr>
      </w:pPr>
      <w:r w:rsidRPr="00C515F7">
        <w:rPr>
          <w:b/>
          <w:bCs/>
          <w:i/>
          <w:iCs/>
        </w:rPr>
        <w:t>Shipping Australia</w:t>
      </w:r>
      <w:r w:rsidR="00C515F7" w:rsidRPr="00C515F7">
        <w:rPr>
          <w:b/>
          <w:bCs/>
          <w:i/>
          <w:iCs/>
        </w:rPr>
        <w:t xml:space="preserve"> is</w:t>
      </w:r>
      <w:r w:rsidRPr="00C515F7">
        <w:rPr>
          <w:b/>
          <w:bCs/>
          <w:i/>
          <w:iCs/>
        </w:rPr>
        <w:t xml:space="preserve"> a peak industry body representing the interests of shipowners and shipping agents on shipping policy and safe environmentally sustainable ship operations</w:t>
      </w:r>
    </w:p>
    <w:p w14:paraId="6961FE5D" w14:textId="77777777" w:rsidR="009D5C62" w:rsidRDefault="009D5C62" w:rsidP="009D5C62">
      <w:pPr>
        <w:pStyle w:val="BodyText"/>
      </w:pPr>
      <w:r>
        <w:t>Shipping Australia supports Australia’s ratification of the Nairobi Convention in the EEZ and the Territorial Sea.</w:t>
      </w:r>
    </w:p>
    <w:p w14:paraId="6F682606" w14:textId="77777777" w:rsidR="009D5C62" w:rsidRDefault="009D5C62" w:rsidP="009D5C62">
      <w:pPr>
        <w:pStyle w:val="BodyText"/>
      </w:pPr>
      <w:r>
        <w:t>There is stringent Port State Control in Australia. However, having a uniform regime in the EEZ and the Territorial Sea is important for the shipping industry and for the efficiency of sea going trade.</w:t>
      </w:r>
    </w:p>
    <w:p w14:paraId="0987B822" w14:textId="1D5C5213" w:rsidR="009D5C62" w:rsidRDefault="009D5C62" w:rsidP="009D5C62">
      <w:pPr>
        <w:pStyle w:val="BodyText"/>
      </w:pPr>
      <w:r>
        <w:t>The issue with the current situation is the uncertainty over whether AMSA has the power to recover costs of location, marking and salvage of events such as the grounding of the</w:t>
      </w:r>
      <w:r w:rsidR="0069604D">
        <w:t xml:space="preserve"> </w:t>
      </w:r>
      <w:r w:rsidR="0069604D" w:rsidRPr="005220AB">
        <w:rPr>
          <w:i/>
          <w:iCs/>
        </w:rPr>
        <w:t>YM</w:t>
      </w:r>
      <w:r w:rsidRPr="005220AB">
        <w:rPr>
          <w:i/>
          <w:iCs/>
        </w:rPr>
        <w:t xml:space="preserve"> Efficiency</w:t>
      </w:r>
      <w:r>
        <w:t xml:space="preserve"> in Newcastle Harbour in 2019. AMSA encountered delays as it pursued the Yang Ming owners over the cost of recovery of containers and debris washed ashore or floating below the surface of the ocean.</w:t>
      </w:r>
    </w:p>
    <w:p w14:paraId="36AF9EE2" w14:textId="62FE10E9" w:rsidR="009D5C62" w:rsidRDefault="009D5C62" w:rsidP="009D5C62">
      <w:pPr>
        <w:pStyle w:val="BodyText"/>
      </w:pPr>
      <w:r>
        <w:t>The Nairobi Convention provides a broader</w:t>
      </w:r>
      <w:r w:rsidR="00B8381D">
        <w:t xml:space="preserve"> definition</w:t>
      </w:r>
      <w:r>
        <w:t xml:space="preserve"> of a wreck to include cargo removal and objects lost at sea that are not currently covered under the Navigation Act.</w:t>
      </w:r>
    </w:p>
    <w:p w14:paraId="0A6F163A" w14:textId="3DB9CC1B" w:rsidR="009D5C62" w:rsidRDefault="009D5C62" w:rsidP="009D5C62">
      <w:pPr>
        <w:pStyle w:val="BodyText"/>
      </w:pPr>
      <w:r>
        <w:t xml:space="preserve">The Nairobi Convention would </w:t>
      </w:r>
      <w:r w:rsidR="00AE53D4">
        <w:t xml:space="preserve">also </w:t>
      </w:r>
      <w:r>
        <w:t>extend the power of AMSA to recover from the ‘legal owner’ any expenses incurred by AMSA in connection with locating, marking</w:t>
      </w:r>
      <w:r w:rsidR="003A0AAF">
        <w:t>,</w:t>
      </w:r>
      <w:r>
        <w:t xml:space="preserve"> removing</w:t>
      </w:r>
      <w:r w:rsidR="003A0AAF">
        <w:t>, destroying</w:t>
      </w:r>
      <w:r w:rsidR="009E321A">
        <w:t xml:space="preserve"> or sinking</w:t>
      </w:r>
      <w:r>
        <w:t xml:space="preserve"> a wreck to the EEZ.</w:t>
      </w:r>
    </w:p>
    <w:p w14:paraId="62B4658B" w14:textId="6DCCEC60" w:rsidR="009D5C62" w:rsidRDefault="009D5C62" w:rsidP="009D5C62">
      <w:pPr>
        <w:pStyle w:val="BodyText"/>
      </w:pPr>
      <w:r>
        <w:t>The definition of owner is important. The Nairobi Convention defines ‘the owner as the person or persons registered as the owner of the ship or, in the absence of registration, the person or persons owning the ship at the time of the maritime casualty’. However, in the case of a ship owned by a State and operated by a company which in that State is registered as the operator of the ship, “registered owner” shall mean such company.</w:t>
      </w:r>
    </w:p>
    <w:p w14:paraId="3DA8615C" w14:textId="514D44C6" w:rsidR="009D5C62" w:rsidRDefault="009D5C62" w:rsidP="009D5C62">
      <w:pPr>
        <w:pStyle w:val="BodyText"/>
      </w:pPr>
      <w:r>
        <w:t xml:space="preserve">Australia’s ratification of </w:t>
      </w:r>
      <w:r w:rsidR="00C06190">
        <w:t>the Nairobi Convention</w:t>
      </w:r>
      <w:r>
        <w:t xml:space="preserve"> is not likely to have an impact on the likelihood of future groundings, wrecks or objects lost at sea. Australia already has a strict regulatory regime for international shipping operations and port state control. The main benefit would be to provide a clearer power for AMSA to approach the shipping owner and the insurance companies and greater certainty of recovery of costs from the insurance industry.</w:t>
      </w:r>
    </w:p>
    <w:p w14:paraId="37900D4D" w14:textId="592987D0" w:rsidR="00921204" w:rsidRDefault="00921204" w:rsidP="009D5C62">
      <w:pPr>
        <w:pStyle w:val="BodyText"/>
      </w:pPr>
      <w:r w:rsidRPr="00921204">
        <w:t xml:space="preserve">Greater consistency both internationally and in Australia’s EEZ and Territorial Sea was important for regulation of wrecks globally and in Australian waters. All international vessels over 500 GT must maintain a continuous synopsis record under the International Convention for the Safety of Life at Sea (SOLAS) of the history of the ship covering identity and certification and performance </w:t>
      </w:r>
      <w:r w:rsidRPr="00921204">
        <w:lastRenderedPageBreak/>
        <w:t>details. Accordingly, consistency between jurisdictions and regions is important for efficiency and safety overall.</w:t>
      </w:r>
    </w:p>
    <w:p w14:paraId="7E011071" w14:textId="216194A4" w:rsidR="009D5C62" w:rsidRDefault="009D5C62" w:rsidP="009D5C62">
      <w:pPr>
        <w:pStyle w:val="BodyText"/>
      </w:pPr>
      <w:r>
        <w:t xml:space="preserve">For that reason, among others, Shipping Australia supports ratification of the </w:t>
      </w:r>
      <w:r w:rsidR="00F84ED0">
        <w:t>Nairobi Convention</w:t>
      </w:r>
      <w:r>
        <w:t xml:space="preserve"> in both the EEZ and Territorial Waters.</w:t>
      </w:r>
    </w:p>
    <w:p w14:paraId="09E0BDC2" w14:textId="729F7FF9" w:rsidR="009D5C62" w:rsidRDefault="009D5C62" w:rsidP="00F84ED0">
      <w:pPr>
        <w:pStyle w:val="Heading3"/>
      </w:pPr>
      <w:r>
        <w:t>Benefits and costs</w:t>
      </w:r>
    </w:p>
    <w:p w14:paraId="0DDC74F3" w14:textId="7C9B7C7C" w:rsidR="009D5C62" w:rsidRDefault="009D5C62" w:rsidP="009D5C62">
      <w:pPr>
        <w:pStyle w:val="BodyText"/>
      </w:pPr>
      <w:r>
        <w:t xml:space="preserve">Accession to </w:t>
      </w:r>
      <w:r w:rsidR="00C06190">
        <w:t>the Nairobi Convention</w:t>
      </w:r>
      <w:r>
        <w:t xml:space="preserve"> is not likely to change the overall likelihood of groundings and wreck events in the future. As mentioned earlier Australia has a robust regulatory regime and strong port state control.</w:t>
      </w:r>
    </w:p>
    <w:p w14:paraId="5D7F4DF7" w14:textId="2C063746" w:rsidR="009D5C62" w:rsidRDefault="009D5C62" w:rsidP="009D5C62">
      <w:pPr>
        <w:pStyle w:val="BodyText"/>
      </w:pPr>
      <w:r>
        <w:t>The main benefit would be to give AMSA a direct line to the shipowner and insurance compan</w:t>
      </w:r>
      <w:r w:rsidR="00454192">
        <w:t>y</w:t>
      </w:r>
      <w:r w:rsidR="00C112E8">
        <w:t xml:space="preserve"> in the event that</w:t>
      </w:r>
      <w:r>
        <w:t xml:space="preserve"> a grounding or capsize occurred and allow it to approach the insurers directly to recover the costs of locating, marking and removal of wrecks and objects lost at sea.</w:t>
      </w:r>
    </w:p>
    <w:p w14:paraId="77DEE5B4" w14:textId="0EBE0618" w:rsidR="009D5C62" w:rsidRDefault="009D5C62" w:rsidP="009D5C62">
      <w:pPr>
        <w:pStyle w:val="BodyText"/>
      </w:pPr>
      <w:r>
        <w:t xml:space="preserve">As set out in AMSA’s Cost Recovery Statement, AMSA can recover the cost </w:t>
      </w:r>
      <w:r w:rsidR="00347F1D">
        <w:t xml:space="preserve">of </w:t>
      </w:r>
      <w:r>
        <w:t xml:space="preserve">locating, marking and removal of wrecks in the Territorial Sea under the Navigation Act. If this cost cannot be recovered from the owner or insurer, AMSA would have to recover </w:t>
      </w:r>
      <w:r w:rsidR="00DC774B">
        <w:t>cost it incurred</w:t>
      </w:r>
      <w:r>
        <w:t xml:space="preserve"> through the </w:t>
      </w:r>
      <w:r w:rsidR="00EE20E3">
        <w:t>P</w:t>
      </w:r>
      <w:r w:rsidR="00275F5F">
        <w:t xml:space="preserve">rotection of the </w:t>
      </w:r>
      <w:r w:rsidR="00EE20E3">
        <w:t>S</w:t>
      </w:r>
      <w:r w:rsidR="00275F5F">
        <w:t xml:space="preserve">ea </w:t>
      </w:r>
      <w:r>
        <w:t xml:space="preserve">levy. The implications of this arrangement for the levy and the fund would be major if a significant grounding or capsize event occurred. The </w:t>
      </w:r>
      <w:r w:rsidR="00F84ED0">
        <w:t>Nairobi Convention</w:t>
      </w:r>
      <w:r>
        <w:t xml:space="preserve"> provides a cleaner, simpler and more certain approach to recovering costs.</w:t>
      </w:r>
    </w:p>
    <w:p w14:paraId="3D1F1696" w14:textId="77777777" w:rsidR="009D5C62" w:rsidRDefault="009D5C62" w:rsidP="009D5C62">
      <w:pPr>
        <w:pStyle w:val="BodyText"/>
      </w:pPr>
      <w:r>
        <w:t>There are unlikely to be any significant transition costs for the international shipping industry as majority of ships entering Australian Waters will be insured anyway.</w:t>
      </w:r>
    </w:p>
    <w:p w14:paraId="55FA5BA6" w14:textId="22FA6F3F" w:rsidR="009A7908" w:rsidRDefault="009D5C62" w:rsidP="009D5C62">
      <w:pPr>
        <w:pStyle w:val="BodyText"/>
      </w:pPr>
      <w:r>
        <w:t xml:space="preserve">Shipping Australia has no data that would enable it to quantify the likely costs and benefits of Australia ratifying </w:t>
      </w:r>
      <w:r w:rsidR="00C06190">
        <w:t>the Nairobi Convention</w:t>
      </w:r>
      <w:r>
        <w:t>.</w:t>
      </w:r>
    </w:p>
    <w:p w14:paraId="16A53DD6" w14:textId="0AE96292" w:rsidR="00A030B4" w:rsidRPr="00A030B4" w:rsidRDefault="00A030B4" w:rsidP="00A030B4">
      <w:pPr>
        <w:pStyle w:val="Heading2"/>
        <w:rPr>
          <w:rFonts w:eastAsiaTheme="minorHAnsi"/>
        </w:rPr>
      </w:pPr>
      <w:bookmarkStart w:id="18" w:name="_Toc99543719"/>
      <w:r w:rsidRPr="00A030B4">
        <w:rPr>
          <w:rFonts w:eastAsiaTheme="minorHAnsi"/>
        </w:rPr>
        <w:t xml:space="preserve">The </w:t>
      </w:r>
      <w:r w:rsidR="004C20D3">
        <w:rPr>
          <w:rFonts w:eastAsiaTheme="minorHAnsi"/>
        </w:rPr>
        <w:t>IG</w:t>
      </w:r>
      <w:r w:rsidRPr="00A030B4">
        <w:rPr>
          <w:rFonts w:eastAsiaTheme="minorHAnsi"/>
        </w:rPr>
        <w:t>P&amp;I Clubs</w:t>
      </w:r>
      <w:r>
        <w:rPr>
          <w:rFonts w:eastAsiaTheme="minorHAnsi"/>
        </w:rPr>
        <w:t xml:space="preserve">, and </w:t>
      </w:r>
      <w:r>
        <w:t xml:space="preserve">the </w:t>
      </w:r>
      <w:r w:rsidR="004C20D3">
        <w:t>IC</w:t>
      </w:r>
      <w:r w:rsidR="00BD4454">
        <w:t>S</w:t>
      </w:r>
      <w:bookmarkEnd w:id="18"/>
    </w:p>
    <w:p w14:paraId="1FB932D5" w14:textId="04A974ED" w:rsidR="00A030B4" w:rsidRPr="00C515F7" w:rsidRDefault="00A030B4" w:rsidP="00C515F7">
      <w:pPr>
        <w:pStyle w:val="BodyText"/>
        <w:rPr>
          <w:b/>
          <w:bCs/>
          <w:i/>
          <w:iCs/>
        </w:rPr>
      </w:pPr>
      <w:r w:rsidRPr="00C515F7">
        <w:rPr>
          <w:b/>
          <w:bCs/>
          <w:i/>
          <w:iCs/>
        </w:rPr>
        <w:t>The International Group of Protection and Indemnity Clubs</w:t>
      </w:r>
      <w:r w:rsidR="0017471B" w:rsidRPr="00C515F7">
        <w:rPr>
          <w:b/>
          <w:bCs/>
          <w:i/>
          <w:iCs/>
        </w:rPr>
        <w:t xml:space="preserve">: </w:t>
      </w:r>
      <w:r w:rsidRPr="00C515F7">
        <w:rPr>
          <w:b/>
          <w:bCs/>
          <w:i/>
          <w:iCs/>
        </w:rPr>
        <w:t>The IGP&amp;I comprises 13 Protection &amp;</w:t>
      </w:r>
      <w:r w:rsidR="00EB7B7F" w:rsidRPr="00C515F7">
        <w:rPr>
          <w:b/>
          <w:bCs/>
          <w:i/>
          <w:iCs/>
        </w:rPr>
        <w:t xml:space="preserve"> </w:t>
      </w:r>
      <w:r w:rsidRPr="00C515F7">
        <w:rPr>
          <w:b/>
          <w:bCs/>
          <w:i/>
          <w:iCs/>
        </w:rPr>
        <w:t>Indemnity Clubs which between them provide marine liability for around 90</w:t>
      </w:r>
      <w:r w:rsidR="00903872">
        <w:rPr>
          <w:b/>
          <w:bCs/>
          <w:i/>
          <w:iCs/>
        </w:rPr>
        <w:t xml:space="preserve">% </w:t>
      </w:r>
      <w:r w:rsidRPr="00C515F7">
        <w:rPr>
          <w:b/>
          <w:bCs/>
          <w:i/>
          <w:iCs/>
        </w:rPr>
        <w:t xml:space="preserve">of the world’s ocean-going vessels </w:t>
      </w:r>
    </w:p>
    <w:p w14:paraId="0173025B" w14:textId="77777777" w:rsidR="00921204" w:rsidRDefault="00921204" w:rsidP="00A030B4">
      <w:pPr>
        <w:pStyle w:val="BodyText"/>
        <w:rPr>
          <w:b/>
          <w:bCs/>
          <w:i/>
          <w:iCs/>
        </w:rPr>
      </w:pPr>
      <w:r w:rsidRPr="00921204">
        <w:rPr>
          <w:b/>
          <w:bCs/>
          <w:i/>
          <w:iCs/>
        </w:rPr>
        <w:t>The International Chamber of Shipping (ICS) is the global trade association for the shipping industry with membership comprising national shipowner’s associations whose members operating around 80% of the World’s merchant tonnage. It represents national shipowners, Maritime industry Associations (including Shipping Australia) and all sectors and all trades.</w:t>
      </w:r>
    </w:p>
    <w:p w14:paraId="0816A2EF" w14:textId="06C65336" w:rsidR="00A030B4" w:rsidRDefault="00A030B4" w:rsidP="00A030B4">
      <w:pPr>
        <w:pStyle w:val="BodyText"/>
      </w:pPr>
      <w:r>
        <w:t xml:space="preserve">Under the </w:t>
      </w:r>
      <w:r w:rsidR="00C06190">
        <w:t>Nairobi Convention</w:t>
      </w:r>
      <w:r>
        <w:t xml:space="preserve">, the Clubs pick up the cost of wreck removal in countries that have ratified the Convention. The Convention allows for the right of direct action by the State in relation to recovery of costs for wreck removal. It simplifies the process and avoids court action. The members of the Club pay for the costs of third-party damage and removal. </w:t>
      </w:r>
    </w:p>
    <w:p w14:paraId="67756BB6" w14:textId="15B296E3" w:rsidR="00A030B4" w:rsidRDefault="00A030B4" w:rsidP="00A030B4">
      <w:pPr>
        <w:pStyle w:val="BodyText"/>
      </w:pPr>
      <w:r>
        <w:t xml:space="preserve">Under the </w:t>
      </w:r>
      <w:r w:rsidR="00C06190">
        <w:t>Nairobi C</w:t>
      </w:r>
      <w:r>
        <w:t xml:space="preserve">onvention owners of ships above 300 </w:t>
      </w:r>
      <w:r w:rsidR="003F1FF3">
        <w:t xml:space="preserve">GT </w:t>
      </w:r>
      <w:r>
        <w:t xml:space="preserve">are required to maintain insurance or financial security to cover wreck removal costs up to the limits of liability under </w:t>
      </w:r>
      <w:r w:rsidR="00C06190">
        <w:t>the Nairobi Convention</w:t>
      </w:r>
      <w:r>
        <w:t xml:space="preserve"> of Limitation of Liability for Maritime Claims 1976 (LLMC Convention). Under this arrangement Club members issue Certificates of financial security (the Blue Card) that is held by the Flag State that ships are required to carry to confirm these insurance arrangements.</w:t>
      </w:r>
    </w:p>
    <w:p w14:paraId="1EB20A7F" w14:textId="409C2362" w:rsidR="00A030B4" w:rsidRDefault="00A030B4" w:rsidP="00A030B4">
      <w:pPr>
        <w:pStyle w:val="BodyText"/>
      </w:pPr>
      <w:r>
        <w:t xml:space="preserve">The IGP&amp;I clubs and the ICS support Australia’s accession to the </w:t>
      </w:r>
      <w:r w:rsidR="00C06190">
        <w:t>Nairobi Convention</w:t>
      </w:r>
      <w:r>
        <w:t xml:space="preserve"> in the EEZ and the Territorial Sea. However, the ICS does not support the decision by Australia to exclude the limitation of liability that is provided under the LLMC Convention.</w:t>
      </w:r>
    </w:p>
    <w:p w14:paraId="2F497AC3" w14:textId="77777777" w:rsidR="00A030B4" w:rsidRDefault="00A030B4" w:rsidP="00A030B4">
      <w:pPr>
        <w:pStyle w:val="Heading3"/>
      </w:pPr>
      <w:r>
        <w:lastRenderedPageBreak/>
        <w:t>General arrangements</w:t>
      </w:r>
    </w:p>
    <w:p w14:paraId="30F74F67" w14:textId="616C91D5" w:rsidR="00A030B4" w:rsidRDefault="00A030B4" w:rsidP="00A030B4">
      <w:pPr>
        <w:pStyle w:val="BodyText"/>
      </w:pPr>
      <w:r>
        <w:t xml:space="preserve">The IGP&amp;I and the ICS noted the following in relation to the argument for Australia’s ratification of the </w:t>
      </w:r>
      <w:r w:rsidR="00C06190">
        <w:t>Nairobi Convention</w:t>
      </w:r>
      <w:r>
        <w:t xml:space="preserve"> in the EEZ and the Territorial Sea.</w:t>
      </w:r>
    </w:p>
    <w:p w14:paraId="1AADDD9D" w14:textId="7FB34E37" w:rsidR="00A030B4" w:rsidRDefault="00A030B4" w:rsidP="00A030B4">
      <w:pPr>
        <w:pStyle w:val="ListBullet"/>
      </w:pPr>
      <w:r>
        <w:t xml:space="preserve">The </w:t>
      </w:r>
      <w:r w:rsidR="00C06190">
        <w:t>Nairobi Convention</w:t>
      </w:r>
      <w:r>
        <w:t xml:space="preserve"> provides a framework for uniformity of wreck recovery law worldwide which in turn would contribute to the efficiency of sea going world trade.</w:t>
      </w:r>
    </w:p>
    <w:p w14:paraId="428D2D41" w14:textId="4D55B669" w:rsidR="00921204" w:rsidRPr="00921204" w:rsidRDefault="00921204" w:rsidP="00A030B4">
      <w:pPr>
        <w:pStyle w:val="ListBullet"/>
      </w:pPr>
      <w:r w:rsidRPr="00921204">
        <w:t>From the insurer’s perspective, 90% of third-party insurance is covered by the IGP&amp;I groups. They look to the Club to provide the Blue Card that confirms certified insurance for ships</w:t>
      </w:r>
    </w:p>
    <w:p w14:paraId="0C6B296B" w14:textId="48E98B2E" w:rsidR="00A030B4" w:rsidRDefault="00A030B4" w:rsidP="00A030B4">
      <w:pPr>
        <w:pStyle w:val="ListBullet"/>
      </w:pPr>
      <w:r>
        <w:t>From the government’s perspective the arrangement provides certainty for recovery of reasonable and proportionate costs of removal of wrecks. The mandatory insurance requirement gives some assurance to Governments of recovery of costs and gives a right of direct action against the insurer.</w:t>
      </w:r>
    </w:p>
    <w:p w14:paraId="062095F6" w14:textId="0F10E983" w:rsidR="00A030B4" w:rsidRDefault="00A030B4" w:rsidP="00A030B4">
      <w:pPr>
        <w:pStyle w:val="ListBullet"/>
      </w:pPr>
      <w:r>
        <w:t>Under the arrangement</w:t>
      </w:r>
      <w:r w:rsidR="00CA2C73">
        <w:t>,</w:t>
      </w:r>
      <w:r>
        <w:t xml:space="preserve"> governments can check through a vessel search that the vessel is insured through a reputable insurer.</w:t>
      </w:r>
    </w:p>
    <w:p w14:paraId="2B25B8AA" w14:textId="77777777" w:rsidR="00A030B4" w:rsidRDefault="00A030B4" w:rsidP="00A030B4">
      <w:pPr>
        <w:pStyle w:val="ListBullet"/>
      </w:pPr>
      <w:r>
        <w:t>The wider definition of a wreck would also address the problem of recovery of locating, marking and removal of objects lost at sea in addition to removal of wrecks.</w:t>
      </w:r>
    </w:p>
    <w:p w14:paraId="612A115F" w14:textId="77777777" w:rsidR="00A030B4" w:rsidRDefault="00A030B4" w:rsidP="00A030B4">
      <w:pPr>
        <w:pStyle w:val="Heading3"/>
      </w:pPr>
      <w:r>
        <w:t>Benefits</w:t>
      </w:r>
    </w:p>
    <w:p w14:paraId="25E94B85" w14:textId="6ABA3F50" w:rsidR="00A030B4" w:rsidRDefault="00A030B4" w:rsidP="00A030B4">
      <w:pPr>
        <w:pStyle w:val="ListBullet"/>
      </w:pPr>
      <w:r>
        <w:t>Benefits were ha</w:t>
      </w:r>
      <w:r w:rsidR="00546E9F">
        <w:t>r</w:t>
      </w:r>
      <w:r>
        <w:t xml:space="preserve">d to quantify. There would be administrative efficiencies from every jurisdiction having the same regulations in place for wreck removal. Applying </w:t>
      </w:r>
      <w:r w:rsidR="00C06190">
        <w:t>the Nairobi Convention</w:t>
      </w:r>
      <w:r>
        <w:t xml:space="preserve"> to the Territorial Sea would increase this efficiency gain.</w:t>
      </w:r>
    </w:p>
    <w:p w14:paraId="0202F746" w14:textId="77777777" w:rsidR="00A030B4" w:rsidRDefault="00A030B4" w:rsidP="00A030B4">
      <w:pPr>
        <w:pStyle w:val="ListBullet"/>
      </w:pPr>
      <w:r>
        <w:t>There would also be efficiency gains for shipowners. The Convention requires shipowners to maintain insurance through a simple single certificate leading to certainty for governments and businesses alike.</w:t>
      </w:r>
    </w:p>
    <w:p w14:paraId="46D4F69F" w14:textId="0A08BB80" w:rsidR="00A030B4" w:rsidRDefault="00A030B4" w:rsidP="00A030B4">
      <w:pPr>
        <w:pStyle w:val="ListBullet"/>
      </w:pPr>
      <w:r>
        <w:t xml:space="preserve">Ratification of the </w:t>
      </w:r>
      <w:r w:rsidR="00C06190">
        <w:t>Nairobi Convention</w:t>
      </w:r>
      <w:r>
        <w:t xml:space="preserve"> was not likely to result in significant change in shipping behaviour or reduce the incidence </w:t>
      </w:r>
      <w:r w:rsidR="00546E9F">
        <w:t xml:space="preserve">and frequency </w:t>
      </w:r>
      <w:r>
        <w:t>of groundings or the future likelihood of wreck events or objects lost at sea.</w:t>
      </w:r>
    </w:p>
    <w:p w14:paraId="73060276" w14:textId="570305E3" w:rsidR="00A030B4" w:rsidRDefault="00A030B4" w:rsidP="00A030B4">
      <w:pPr>
        <w:pStyle w:val="ListBullet"/>
      </w:pPr>
      <w:r>
        <w:t>The ultimate impact is that for the most part Government, in this case AMSA, would not incur any costs from such actions up to the limits of the LLMC. In this case</w:t>
      </w:r>
      <w:r w:rsidR="005A72BB">
        <w:t>,</w:t>
      </w:r>
      <w:r>
        <w:t xml:space="preserve"> however</w:t>
      </w:r>
      <w:r w:rsidR="005A72BB">
        <w:t>,</w:t>
      </w:r>
      <w:r>
        <w:t xml:space="preserve"> Australia has opted out of the liability limits under the LLMC.</w:t>
      </w:r>
    </w:p>
    <w:p w14:paraId="48994B66" w14:textId="77777777" w:rsidR="00A030B4" w:rsidRDefault="00A030B4" w:rsidP="00A030B4">
      <w:pPr>
        <w:pStyle w:val="Heading3"/>
      </w:pPr>
      <w:r>
        <w:t>Costs</w:t>
      </w:r>
    </w:p>
    <w:p w14:paraId="3BEE5C80" w14:textId="77777777" w:rsidR="00A030B4" w:rsidRDefault="00A030B4" w:rsidP="00A030B4">
      <w:pPr>
        <w:pStyle w:val="ListBullet"/>
      </w:pPr>
      <w:r>
        <w:t>The arrangement would not involve significant additional administrative burden for the shipowners.</w:t>
      </w:r>
    </w:p>
    <w:p w14:paraId="4014F327" w14:textId="62242EDE" w:rsidR="00F32B27" w:rsidRDefault="00A030B4" w:rsidP="00A030B4">
      <w:pPr>
        <w:pStyle w:val="ListBullet"/>
      </w:pPr>
      <w:r>
        <w:t xml:space="preserve">The arrangement, if applied in Australia, </w:t>
      </w:r>
      <w:r w:rsidR="00D9707D">
        <w:t xml:space="preserve">is unlikely to </w:t>
      </w:r>
      <w:r>
        <w:t>result in an increase in the cost of insurance</w:t>
      </w:r>
      <w:r w:rsidR="00697BAC">
        <w:t xml:space="preserve"> for international vessels</w:t>
      </w:r>
      <w:r w:rsidR="001D492B">
        <w:t xml:space="preserve"> that are already required to carry insurance for entry to Australian ports.</w:t>
      </w:r>
    </w:p>
    <w:p w14:paraId="3C987E79" w14:textId="7BECC91E" w:rsidR="00A030B4" w:rsidRDefault="00A030B4" w:rsidP="00A030B4">
      <w:pPr>
        <w:pStyle w:val="BodyText"/>
      </w:pPr>
      <w:r>
        <w:t xml:space="preserve">In summary the benefits of Australia ratifying </w:t>
      </w:r>
      <w:r w:rsidR="00C06190">
        <w:t>the Nairobi Convention</w:t>
      </w:r>
      <w:r>
        <w:t xml:space="preserve"> would be:</w:t>
      </w:r>
    </w:p>
    <w:p w14:paraId="4138CB16" w14:textId="77777777" w:rsidR="00A030B4" w:rsidRDefault="00A030B4" w:rsidP="00A030B4">
      <w:pPr>
        <w:pStyle w:val="ListBullet"/>
      </w:pPr>
      <w:r>
        <w:t>strict liability arrangements for ships sailing in Australian waters</w:t>
      </w:r>
    </w:p>
    <w:p w14:paraId="3AD3F0BF" w14:textId="77777777" w:rsidR="00A030B4" w:rsidRDefault="00A030B4" w:rsidP="00A030B4">
      <w:pPr>
        <w:pStyle w:val="ListBullet"/>
      </w:pPr>
      <w:r>
        <w:t>compulsory insurance for these vessels</w:t>
      </w:r>
    </w:p>
    <w:p w14:paraId="6FC79C7C" w14:textId="77777777" w:rsidR="00A030B4" w:rsidRDefault="00A030B4" w:rsidP="00A030B4">
      <w:pPr>
        <w:pStyle w:val="ListBullet"/>
      </w:pPr>
      <w:r>
        <w:t>rights of direct action from shipowners and insurers.</w:t>
      </w:r>
    </w:p>
    <w:p w14:paraId="57CB3DBA" w14:textId="77777777" w:rsidR="00A030B4" w:rsidRDefault="00A030B4" w:rsidP="00A030B4">
      <w:pPr>
        <w:pStyle w:val="ListBullet"/>
      </w:pPr>
      <w:r>
        <w:t>if enforced the State should never have to carry the costs of a wreck event.</w:t>
      </w:r>
    </w:p>
    <w:p w14:paraId="2B0BEC00" w14:textId="33D261C0" w:rsidR="00A030B4" w:rsidRDefault="00A030B4" w:rsidP="00A030B4">
      <w:pPr>
        <w:pStyle w:val="BodyText"/>
      </w:pPr>
      <w:r>
        <w:t xml:space="preserve">While it was difficult to quantify average annual benefits, the costs of </w:t>
      </w:r>
      <w:r w:rsidR="00A92847">
        <w:t xml:space="preserve">a </w:t>
      </w:r>
      <w:r>
        <w:t>major wreck events could be extremely high. To get an idea of these costs it would be useful to examine the costs of such events in recent years.</w:t>
      </w:r>
    </w:p>
    <w:p w14:paraId="03699744" w14:textId="16F9C60E" w:rsidR="00A030B4" w:rsidRDefault="00A030B4" w:rsidP="00A030B4">
      <w:pPr>
        <w:pStyle w:val="Heading2"/>
      </w:pPr>
      <w:bookmarkStart w:id="19" w:name="_Toc99543720"/>
      <w:r>
        <w:lastRenderedPageBreak/>
        <w:t>Some examples of shipwrecks</w:t>
      </w:r>
      <w:bookmarkEnd w:id="19"/>
    </w:p>
    <w:p w14:paraId="0B32AFED" w14:textId="3E94B510" w:rsidR="00921204" w:rsidRDefault="00921204" w:rsidP="00A030B4">
      <w:pPr>
        <w:pStyle w:val="BodyText"/>
      </w:pPr>
      <w:r w:rsidRPr="00921204">
        <w:t>Some of the examples provided during the stakeholder discussion are summarised below. While these examples are not necessarily good examples of wrecks that would have been impacted by accession of the relevant state to the Nairobi Convention, they do provide good examples of very high cost wrecks.</w:t>
      </w:r>
    </w:p>
    <w:p w14:paraId="24FDC99B" w14:textId="4F4EF3B4" w:rsidR="00A030B4" w:rsidRDefault="00A030B4" w:rsidP="00A030B4">
      <w:pPr>
        <w:pStyle w:val="Heading3"/>
      </w:pPr>
      <w:r>
        <w:t>The Golden Ray capsize</w:t>
      </w:r>
    </w:p>
    <w:p w14:paraId="372C14A7" w14:textId="77777777" w:rsidR="00A030B4" w:rsidRPr="00481536" w:rsidRDefault="00A030B4" w:rsidP="00A030B4">
      <w:pPr>
        <w:pStyle w:val="ListBullet2"/>
      </w:pPr>
      <w:r>
        <w:rPr>
          <w:shd w:val="clear" w:color="auto" w:fill="FFFFFF"/>
        </w:rPr>
        <w:t>The MV Golden Ray was a 200-metre-long car carrier that capsized on 8 September 2019 in St. Simons Sound near the Port of Brunswick in Georgia, United States. The vessel was eventually declared a total loss and is being removed as scrap. </w:t>
      </w:r>
    </w:p>
    <w:p w14:paraId="3121203D" w14:textId="77777777" w:rsidR="00A030B4" w:rsidRPr="004A0848" w:rsidRDefault="00A030B4" w:rsidP="00A030B4">
      <w:pPr>
        <w:pStyle w:val="ListBullet2"/>
      </w:pPr>
      <w:r>
        <w:rPr>
          <w:shd w:val="clear" w:color="auto" w:fill="FFFFFF"/>
        </w:rPr>
        <w:t>The vessel capsized in coastal waters.</w:t>
      </w:r>
    </w:p>
    <w:p w14:paraId="5EDE8845" w14:textId="77777777" w:rsidR="00A030B4" w:rsidRPr="00E93CE7" w:rsidRDefault="00A030B4" w:rsidP="00A030B4">
      <w:pPr>
        <w:pStyle w:val="ListBullet2"/>
      </w:pPr>
      <w:r>
        <w:rPr>
          <w:shd w:val="clear" w:color="auto" w:fill="FFFFFF"/>
        </w:rPr>
        <w:t>The insurer was North of the England P&amp;I club</w:t>
      </w:r>
    </w:p>
    <w:p w14:paraId="1A1E9D2E" w14:textId="6E877019" w:rsidR="00A030B4" w:rsidRDefault="00A030B4" w:rsidP="00A030B4">
      <w:pPr>
        <w:pStyle w:val="ListBullet2"/>
      </w:pPr>
      <w:r>
        <w:t>The total cost of salvage is expected to be of the order of US$400 million</w:t>
      </w:r>
    </w:p>
    <w:p w14:paraId="2380A695" w14:textId="53DB4DD8" w:rsidR="00A030B4" w:rsidRPr="00C04ED1" w:rsidRDefault="009701F6" w:rsidP="00A030B4">
      <w:pPr>
        <w:pStyle w:val="ListBullet2"/>
      </w:pPr>
      <w:r>
        <w:t xml:space="preserve">Fire </w:t>
      </w:r>
      <w:r w:rsidR="00A030B4">
        <w:t>cost</w:t>
      </w:r>
      <w:r w:rsidR="009E04EA">
        <w:t xml:space="preserve"> recovery could increase </w:t>
      </w:r>
      <w:r w:rsidR="00A030B4">
        <w:t>this by around US$100 million.</w:t>
      </w:r>
    </w:p>
    <w:p w14:paraId="198376CD" w14:textId="3F9A98A6" w:rsidR="00A030B4" w:rsidRDefault="00A030B4" w:rsidP="00A030B4">
      <w:pPr>
        <w:pStyle w:val="Heading3"/>
      </w:pPr>
      <w:r>
        <w:t>Napoli salvage</w:t>
      </w:r>
      <w:r w:rsidR="00DE4A4F">
        <w:rPr>
          <w:rStyle w:val="FootnoteReference"/>
        </w:rPr>
        <w:footnoteReference w:id="3"/>
      </w:r>
    </w:p>
    <w:p w14:paraId="637153B0" w14:textId="77777777" w:rsidR="00A030B4" w:rsidRPr="00337413" w:rsidRDefault="00A030B4" w:rsidP="00A030B4">
      <w:pPr>
        <w:pStyle w:val="ListBullet2"/>
      </w:pPr>
      <w:r>
        <w:rPr>
          <w:shd w:val="clear" w:color="auto" w:fill="FFFFFF"/>
        </w:rPr>
        <w:t>The Napoli, a 62,000 tonne container ship enroute from Antwerp to Durban, South Africa, ran into a violent storm off Brittany in 2007.</w:t>
      </w:r>
    </w:p>
    <w:p w14:paraId="0DA47024" w14:textId="1F464AC9" w:rsidR="00A030B4" w:rsidRDefault="007575AF" w:rsidP="00A030B4">
      <w:pPr>
        <w:pStyle w:val="ListBullet2"/>
      </w:pPr>
      <w:r>
        <w:t>T</w:t>
      </w:r>
      <w:r w:rsidR="00A030B4">
        <w:t>he vessel was deliberately beached of East Devon UK.</w:t>
      </w:r>
    </w:p>
    <w:p w14:paraId="786EC973" w14:textId="77777777" w:rsidR="00A030B4" w:rsidRPr="00224411" w:rsidRDefault="00A030B4" w:rsidP="00A030B4">
      <w:pPr>
        <w:pStyle w:val="ListBullet2"/>
      </w:pPr>
      <w:r>
        <w:rPr>
          <w:shd w:val="clear" w:color="auto" w:fill="FFFFFF"/>
        </w:rPr>
        <w:t>A total of 114 containers were lost from the deck of the ship. Eighty were washed ashore. Most were later recovered.</w:t>
      </w:r>
    </w:p>
    <w:p w14:paraId="226DFD47" w14:textId="02896F16" w:rsidR="00DE4A4F" w:rsidRDefault="007575AF" w:rsidP="00DE4A4F">
      <w:pPr>
        <w:pStyle w:val="ListBullet2"/>
      </w:pPr>
      <w:r>
        <w:t>t</w:t>
      </w:r>
      <w:r w:rsidR="00DE4A4F">
        <w:t>otal oil spilled: 302 tonnes (estimated)</w:t>
      </w:r>
    </w:p>
    <w:p w14:paraId="77E93FB9" w14:textId="04DD5BE7" w:rsidR="00DE4A4F" w:rsidRDefault="007575AF" w:rsidP="00B61411">
      <w:pPr>
        <w:pStyle w:val="ListBullet2"/>
      </w:pPr>
      <w:r>
        <w:t>d</w:t>
      </w:r>
      <w:r w:rsidR="00DE4A4F">
        <w:t>uration of incident: 924 days (2 years, 6 Months and 12 days)</w:t>
      </w:r>
    </w:p>
    <w:p w14:paraId="517EF44A" w14:textId="5E394D60" w:rsidR="00E97979" w:rsidRPr="00756D31" w:rsidRDefault="00E97979" w:rsidP="0016510E">
      <w:pPr>
        <w:pStyle w:val="ListBullet2"/>
      </w:pPr>
      <w:r w:rsidRPr="0044260B">
        <w:rPr>
          <w:shd w:val="clear" w:color="auto" w:fill="FFFFFF"/>
        </w:rPr>
        <w:t xml:space="preserve">Under UK law at the time, which predates the entry into force of the </w:t>
      </w:r>
      <w:r w:rsidR="00C06190">
        <w:rPr>
          <w:shd w:val="clear" w:color="auto" w:fill="FFFFFF"/>
        </w:rPr>
        <w:t>Nairobi Convention</w:t>
      </w:r>
      <w:r w:rsidRPr="0044260B">
        <w:rPr>
          <w:shd w:val="clear" w:color="auto" w:fill="FFFFFF"/>
        </w:rPr>
        <w:t xml:space="preserve">, the owner could have limited liability to appx £14 million GBP. The vessel was eventually dismantled in situ scrapped at an estimated cost of around $240 million USD </w:t>
      </w:r>
      <w:r>
        <w:rPr>
          <w:shd w:val="clear" w:color="auto" w:fill="FFFFFF"/>
        </w:rPr>
        <w:t>to the owners/London P&amp;I Club</w:t>
      </w:r>
      <w:r w:rsidR="007575AF">
        <w:rPr>
          <w:shd w:val="clear" w:color="auto" w:fill="FFFFFF"/>
        </w:rPr>
        <w:t>.</w:t>
      </w:r>
    </w:p>
    <w:p w14:paraId="421FD134" w14:textId="77777777" w:rsidR="00A030B4" w:rsidRDefault="00A030B4" w:rsidP="00A030B4">
      <w:pPr>
        <w:pStyle w:val="Heading3"/>
      </w:pPr>
      <w:r>
        <w:t>Concordia</w:t>
      </w:r>
    </w:p>
    <w:p w14:paraId="59A9988C" w14:textId="056DB5C8" w:rsidR="00A030B4" w:rsidRDefault="00A030B4" w:rsidP="00A030B4">
      <w:pPr>
        <w:pStyle w:val="ListBullet2"/>
      </w:pPr>
      <w:r>
        <w:t>The Concordia ran aground and capsized the cost of Tuscany.</w:t>
      </w:r>
    </w:p>
    <w:p w14:paraId="5A4E18D6" w14:textId="1428957C" w:rsidR="00A030B4" w:rsidRDefault="00DE4A4F" w:rsidP="00A030B4">
      <w:pPr>
        <w:pStyle w:val="ListBullet2"/>
      </w:pPr>
      <w:r w:rsidRPr="00DE4A4F">
        <w:t xml:space="preserve">The cost of the salvage bill for Carnival Cruise, the British-American company that owns </w:t>
      </w:r>
      <w:r w:rsidR="002159DA">
        <w:t xml:space="preserve">the operator, </w:t>
      </w:r>
      <w:r w:rsidRPr="00DE4A4F">
        <w:t>Costa Crociere, will be about €1.5 billion (</w:t>
      </w:r>
      <w:r>
        <w:t>US</w:t>
      </w:r>
      <w:r w:rsidRPr="00DE4A4F">
        <w:t>$2 billion).</w:t>
      </w:r>
    </w:p>
    <w:p w14:paraId="4DE3C370" w14:textId="77777777" w:rsidR="00C31B2A" w:rsidRDefault="00C31B2A" w:rsidP="005220AB">
      <w:pPr>
        <w:pStyle w:val="Heading3"/>
      </w:pPr>
      <w:r>
        <w:t>Rena</w:t>
      </w:r>
    </w:p>
    <w:p w14:paraId="35CD73AF" w14:textId="77777777" w:rsidR="00C31B2A" w:rsidRDefault="00C31B2A" w:rsidP="00C31B2A">
      <w:pPr>
        <w:pStyle w:val="ListBullet2"/>
      </w:pPr>
      <w:r>
        <w:t>The Rena container ship grounded on the Astrolabe Reef in the Bay of Plenty while approaching Tauranga Harbour, NZ in 2011.</w:t>
      </w:r>
    </w:p>
    <w:p w14:paraId="17A4AB15" w14:textId="25DBCBCE" w:rsidR="00C31B2A" w:rsidRPr="00C86EF2" w:rsidRDefault="00C31B2A" w:rsidP="00C31B2A">
      <w:pPr>
        <w:pStyle w:val="ListBullet2"/>
      </w:pPr>
      <w:r>
        <w:t>The salvage operation cost NZ $700 million.</w:t>
      </w:r>
    </w:p>
    <w:p w14:paraId="3251022A" w14:textId="6F6AD835" w:rsidR="00C67555" w:rsidRPr="00BE7421" w:rsidRDefault="00C67555" w:rsidP="00C67555">
      <w:pPr>
        <w:pStyle w:val="Heading3"/>
      </w:pPr>
      <w:r w:rsidRPr="00BE7421">
        <w:t>Tricolor</w:t>
      </w:r>
      <w:r w:rsidR="00C373BF">
        <w:rPr>
          <w:rStyle w:val="FootnoteReference"/>
        </w:rPr>
        <w:footnoteReference w:id="4"/>
      </w:r>
    </w:p>
    <w:p w14:paraId="68CCCEAF" w14:textId="21B5D23D" w:rsidR="00C67555" w:rsidRDefault="00C67555" w:rsidP="00C67555">
      <w:pPr>
        <w:pStyle w:val="BodyText"/>
      </w:pPr>
      <w:r>
        <w:rPr>
          <w:shd w:val="clear" w:color="auto" w:fill="FFFFFF"/>
        </w:rPr>
        <w:t>Cargo ship accident of the MV Tricolor, the 50,000 tonne, £25.1 million ($39.9m) worth Norwegian-flagged vehicle carrier</w:t>
      </w:r>
      <w:r w:rsidR="00E50366">
        <w:rPr>
          <w:shd w:val="clear" w:color="auto" w:fill="FFFFFF"/>
        </w:rPr>
        <w:t xml:space="preserve"> was </w:t>
      </w:r>
      <w:r>
        <w:rPr>
          <w:shd w:val="clear" w:color="auto" w:fill="FFFFFF"/>
        </w:rPr>
        <w:t>involved in three English Channel collisions within a fortnight</w:t>
      </w:r>
      <w:r w:rsidR="00E50366">
        <w:rPr>
          <w:shd w:val="clear" w:color="auto" w:fill="FFFFFF"/>
        </w:rPr>
        <w:t xml:space="preserve"> in 2002</w:t>
      </w:r>
      <w:r>
        <w:rPr>
          <w:shd w:val="clear" w:color="auto" w:fill="FFFFFF"/>
        </w:rPr>
        <w:t>, resulting in massive damage, marine pollution and probably the biggest loss in auto exporting industry.</w:t>
      </w:r>
    </w:p>
    <w:p w14:paraId="14221014" w14:textId="21744DEB" w:rsidR="00C67555" w:rsidRDefault="00C67555" w:rsidP="00C67555">
      <w:pPr>
        <w:pStyle w:val="BodyText"/>
      </w:pPr>
      <w:r>
        <w:rPr>
          <w:shd w:val="clear" w:color="auto" w:fill="FFFFFF"/>
        </w:rPr>
        <w:t xml:space="preserve">On Dec 14, 2002, in the early morning’s thick fog, on its way from Zeebrugge to Southampton, the MV Tricolor, with a load of almost 3,000 </w:t>
      </w:r>
      <w:r w:rsidR="0039579A">
        <w:rPr>
          <w:shd w:val="clear" w:color="auto" w:fill="FFFFFF"/>
        </w:rPr>
        <w:t>vehicles</w:t>
      </w:r>
      <w:r>
        <w:rPr>
          <w:shd w:val="clear" w:color="auto" w:fill="FFFFFF"/>
        </w:rPr>
        <w:t xml:space="preserve">, collided with a 1982 Bahamian-flagged container </w:t>
      </w:r>
      <w:r>
        <w:rPr>
          <w:shd w:val="clear" w:color="auto" w:fill="FFFFFF"/>
        </w:rPr>
        <w:lastRenderedPageBreak/>
        <w:t xml:space="preserve">ship named Kariba, about 20 miles north of the French coast in the English Channel. Albeit scathed enormously above the water line, the Kariba </w:t>
      </w:r>
      <w:r w:rsidR="00FA4ED2">
        <w:rPr>
          <w:shd w:val="clear" w:color="auto" w:fill="FFFFFF"/>
        </w:rPr>
        <w:t>continued on its way</w:t>
      </w:r>
      <w:r>
        <w:rPr>
          <w:shd w:val="clear" w:color="auto" w:fill="FFFFFF"/>
        </w:rPr>
        <w:t xml:space="preserve"> on while the MV Tricolor remained wedged on her side in 30 metres of deep waterway.</w:t>
      </w:r>
    </w:p>
    <w:p w14:paraId="79CF9672" w14:textId="05DDFF20" w:rsidR="00C67555" w:rsidRDefault="00FA4ED2" w:rsidP="00C67555">
      <w:pPr>
        <w:pStyle w:val="BodyText"/>
      </w:pPr>
      <w:r>
        <w:t>No</w:t>
      </w:r>
      <w:r w:rsidR="00C67555">
        <w:t xml:space="preserve"> lives were lost as the crew 24 persons onboard were rescued unharmed by the Kariba. But approximately 2,862 cars and 77 units of RORO cargo, consisting mainly tractors and crane parts, could not be salvaged.</w:t>
      </w:r>
    </w:p>
    <w:p w14:paraId="2BCB82AF" w14:textId="30911E6E" w:rsidR="00C67555" w:rsidRDefault="00C67555" w:rsidP="00C67555">
      <w:pPr>
        <w:pStyle w:val="BodyText"/>
      </w:pPr>
      <w:r>
        <w:t>The shipping lane, being one of the busiest ones, had been buoyed off and guarded by the French police vessels Glaive and HMS Anglesey, in order to alert other ships to the MV Tricolor’s presence. Despite that, only two days later a cargo ship, Nicola, followed by another vessel, Vicky, carrying 70,000 tonnes of highly flammable gas oil, crashed into the wreck of the MV Tricolor on Jan 1, 2003, after failing to heed to several French naval warnings. On Jan 22 the third unfortunate accident succeeded when</w:t>
      </w:r>
      <w:r w:rsidR="00C373BF">
        <w:t xml:space="preserve"> a salvage </w:t>
      </w:r>
      <w:r>
        <w:t>tug knocked a safety valve off the Tricolor, resulting in massive oil spill.</w:t>
      </w:r>
    </w:p>
    <w:p w14:paraId="63627E82" w14:textId="2BAC3292" w:rsidR="00C67555" w:rsidRDefault="00C373BF" w:rsidP="00C67555">
      <w:pPr>
        <w:pStyle w:val="BodyText"/>
        <w:rPr>
          <w:shd w:val="clear" w:color="auto" w:fill="FFFFFF"/>
        </w:rPr>
      </w:pPr>
      <w:r>
        <w:rPr>
          <w:shd w:val="clear" w:color="auto" w:fill="FFFFFF"/>
        </w:rPr>
        <w:t>B</w:t>
      </w:r>
      <w:r w:rsidR="00C67555">
        <w:rPr>
          <w:shd w:val="clear" w:color="auto" w:fill="FFFFFF"/>
        </w:rPr>
        <w:t xml:space="preserve">esides the heavy loss on </w:t>
      </w:r>
      <w:r w:rsidR="00750314">
        <w:rPr>
          <w:shd w:val="clear" w:color="auto" w:fill="FFFFFF"/>
        </w:rPr>
        <w:t xml:space="preserve">the </w:t>
      </w:r>
      <w:r w:rsidR="00C67555">
        <w:rPr>
          <w:shd w:val="clear" w:color="auto" w:fill="FFFFFF"/>
        </w:rPr>
        <w:t>economy</w:t>
      </w:r>
      <w:r w:rsidR="009F6F4F">
        <w:rPr>
          <w:shd w:val="clear" w:color="auto" w:fill="FFFFFF"/>
        </w:rPr>
        <w:t>,</w:t>
      </w:r>
      <w:r w:rsidR="00C67555">
        <w:rPr>
          <w:shd w:val="clear" w:color="auto" w:fill="FFFFFF"/>
        </w:rPr>
        <w:t xml:space="preserve"> including the estimated operation cost of around £25m,</w:t>
      </w:r>
      <w:r w:rsidR="00F67E17">
        <w:rPr>
          <w:shd w:val="clear" w:color="auto" w:fill="FFFFFF"/>
        </w:rPr>
        <w:t>this event</w:t>
      </w:r>
      <w:r w:rsidR="00C67555">
        <w:rPr>
          <w:shd w:val="clear" w:color="auto" w:fill="FFFFFF"/>
        </w:rPr>
        <w:t xml:space="preserve"> contributed to marine pollution and environmental contamination by spilling </w:t>
      </w:r>
      <w:r w:rsidR="002538F7">
        <w:rPr>
          <w:shd w:val="clear" w:color="auto" w:fill="FFFFFF"/>
        </w:rPr>
        <w:t xml:space="preserve">a </w:t>
      </w:r>
      <w:r w:rsidR="00C67555">
        <w:rPr>
          <w:shd w:val="clear" w:color="auto" w:fill="FFFFFF"/>
        </w:rPr>
        <w:t>large quantity of oil</w:t>
      </w:r>
      <w:r w:rsidR="002538F7">
        <w:rPr>
          <w:shd w:val="clear" w:color="auto" w:fill="FFFFFF"/>
        </w:rPr>
        <w:t xml:space="preserve"> which </w:t>
      </w:r>
      <w:r w:rsidR="00C67555">
        <w:rPr>
          <w:shd w:val="clear" w:color="auto" w:fill="FFFFFF"/>
        </w:rPr>
        <w:t xml:space="preserve">affected seabirds. The Royal Society for the Protection of Birds estimated more than 1,000 birds </w:t>
      </w:r>
      <w:r w:rsidR="00031849">
        <w:rPr>
          <w:shd w:val="clear" w:color="auto" w:fill="FFFFFF"/>
        </w:rPr>
        <w:t>were</w:t>
      </w:r>
      <w:r w:rsidR="00C67555">
        <w:rPr>
          <w:shd w:val="clear" w:color="auto" w:fill="FFFFFF"/>
        </w:rPr>
        <w:t xml:space="preserve"> found dead or damaged by the oil of MV Tricolor</w:t>
      </w:r>
      <w:r>
        <w:rPr>
          <w:shd w:val="clear" w:color="auto" w:fill="FFFFFF"/>
        </w:rPr>
        <w:t>.</w:t>
      </w:r>
    </w:p>
    <w:p w14:paraId="4E6D088E" w14:textId="0CB0F63F" w:rsidR="00C67555" w:rsidRDefault="00C67555" w:rsidP="00C67555">
      <w:pPr>
        <w:pStyle w:val="Heading2"/>
      </w:pPr>
      <w:bookmarkStart w:id="20" w:name="_Toc99543721"/>
      <w:r>
        <w:t>Summary</w:t>
      </w:r>
      <w:bookmarkEnd w:id="20"/>
    </w:p>
    <w:p w14:paraId="011BABC1" w14:textId="3011D014" w:rsidR="00A030B4" w:rsidRDefault="00DD6B03" w:rsidP="00A030B4">
      <w:pPr>
        <w:pStyle w:val="BodyText"/>
      </w:pPr>
      <w:r>
        <w:t xml:space="preserve">The </w:t>
      </w:r>
      <w:r w:rsidR="001B4E2F">
        <w:t>above-mentioned</w:t>
      </w:r>
      <w:r w:rsidR="00C373BF">
        <w:t xml:space="preserve"> events</w:t>
      </w:r>
      <w:r w:rsidR="00A030B4">
        <w:t xml:space="preserve"> provide an indication of the possible costs of a major event if it occurred in Australian waters particularly in environmentally sensitive areas.</w:t>
      </w:r>
    </w:p>
    <w:p w14:paraId="1D98AEB5" w14:textId="5B3C8C39" w:rsidR="00A030B4" w:rsidRDefault="00A030B4" w:rsidP="00A030B4">
      <w:pPr>
        <w:pStyle w:val="BodyText"/>
      </w:pPr>
      <w:r>
        <w:t>The additional administrative costs for the IGP&amp;I members would not be significant</w:t>
      </w:r>
      <w:r w:rsidR="005C1EC1">
        <w:t xml:space="preserve"> and it is unlikely to increase the cost of insurance for international vessels operating in Australian waters. </w:t>
      </w:r>
    </w:p>
    <w:p w14:paraId="1FB76E84" w14:textId="36095FDA" w:rsidR="00832B96" w:rsidRDefault="00832B96" w:rsidP="00832B96">
      <w:pPr>
        <w:pStyle w:val="BodyText"/>
      </w:pPr>
      <w:r>
        <w:t xml:space="preserve">Large casualty events including major pollution incidents, groundings and other events can lead to increases in the cost of insurance and reinsurance, but this is not directly attributable to the IMO liability conventions. The IG representatives were not able to estimate the fluctuation in these costs.  Marine insurance claims are long-tail </w:t>
      </w:r>
      <w:r w:rsidR="001B4E2F">
        <w:t>events,</w:t>
      </w:r>
      <w:r>
        <w:t xml:space="preserve"> and it can take many years before the full quantum of claims is established. </w:t>
      </w:r>
    </w:p>
    <w:p w14:paraId="5301C1E3" w14:textId="77777777" w:rsidR="00FA5E0C" w:rsidRDefault="00FA5E0C" w:rsidP="00A030B4">
      <w:pPr>
        <w:pStyle w:val="BodyText"/>
      </w:pPr>
    </w:p>
    <w:p w14:paraId="45FCF4B6" w14:textId="77777777" w:rsidR="00A030B4" w:rsidRDefault="00A030B4" w:rsidP="009A7908">
      <w:pPr>
        <w:pStyle w:val="BodyText"/>
      </w:pPr>
    </w:p>
    <w:p w14:paraId="491024BA" w14:textId="0B5DDB0D" w:rsidR="009A7908" w:rsidRDefault="009A7908" w:rsidP="009A7908">
      <w:pPr>
        <w:pStyle w:val="BodyText"/>
      </w:pPr>
    </w:p>
    <w:p w14:paraId="2AA92F48" w14:textId="77777777" w:rsidR="009A7908" w:rsidRDefault="009A7908" w:rsidP="009A7908">
      <w:pPr>
        <w:pStyle w:val="BodyText"/>
      </w:pPr>
    </w:p>
    <w:p w14:paraId="766B2BEC" w14:textId="77777777" w:rsidR="009A7908" w:rsidRDefault="009A7908" w:rsidP="009A7908">
      <w:pPr>
        <w:pStyle w:val="BodyText"/>
        <w:sectPr w:rsidR="009A7908" w:rsidSect="00DB3235">
          <w:headerReference w:type="even" r:id="rId52"/>
          <w:headerReference w:type="default" r:id="rId53"/>
          <w:footerReference w:type="even" r:id="rId54"/>
          <w:footerReference w:type="default" r:id="rId55"/>
          <w:headerReference w:type="first" r:id="rId56"/>
          <w:footerReference w:type="first" r:id="rId57"/>
          <w:pgSz w:w="11906" w:h="16838" w:code="9"/>
          <w:pgMar w:top="1134" w:right="851" w:bottom="1134" w:left="3119" w:header="454" w:footer="159" w:gutter="0"/>
          <w:cols w:space="708"/>
          <w:docGrid w:linePitch="360"/>
        </w:sectPr>
      </w:pPr>
    </w:p>
    <w:tbl>
      <w:tblPr>
        <w:tblW w:w="7973" w:type="dxa"/>
        <w:tblLayout w:type="fixed"/>
        <w:tblCellMar>
          <w:left w:w="0" w:type="dxa"/>
          <w:right w:w="0" w:type="dxa"/>
        </w:tblCellMar>
        <w:tblLook w:val="0000" w:firstRow="0" w:lastRow="0" w:firstColumn="0" w:lastColumn="0" w:noHBand="0" w:noVBand="0"/>
      </w:tblPr>
      <w:tblGrid>
        <w:gridCol w:w="5596"/>
        <w:gridCol w:w="2377"/>
      </w:tblGrid>
      <w:tr w:rsidR="009A7908" w14:paraId="2986A8DF" w14:textId="77777777" w:rsidTr="00E71427">
        <w:trPr>
          <w:trHeight w:hRule="exact" w:val="364"/>
        </w:trPr>
        <w:tc>
          <w:tcPr>
            <w:tcW w:w="5596" w:type="dxa"/>
          </w:tcPr>
          <w:p w14:paraId="05E092F5" w14:textId="77777777" w:rsidR="009A7908" w:rsidRDefault="009A7908" w:rsidP="00877BDF">
            <w:pPr>
              <w:pStyle w:val="tagchapterBanner"/>
            </w:pPr>
            <w:r>
              <w:rPr>
                <w:noProof/>
                <w:lang w:eastAsia="en-AU"/>
              </w:rPr>
              <w:lastRenderedPageBreak/>
              <w:drawing>
                <wp:anchor distT="0" distB="0" distL="114300" distR="114300" simplePos="0" relativeHeight="251662336" behindDoc="1" locked="1" layoutInCell="1" allowOverlap="1" wp14:anchorId="41A95890" wp14:editId="18B764BB">
                  <wp:simplePos x="0" y="0"/>
                  <wp:positionH relativeFrom="page">
                    <wp:posOffset>0</wp:posOffset>
                  </wp:positionH>
                  <wp:positionV relativeFrom="page">
                    <wp:posOffset>0</wp:posOffset>
                  </wp:positionV>
                  <wp:extent cx="5039360" cy="1995170"/>
                  <wp:effectExtent l="0" t="0" r="8890" b="5080"/>
                  <wp:wrapNone/>
                  <wp:docPr id="19"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77" w:type="dxa"/>
          </w:tcPr>
          <w:p w14:paraId="13727888" w14:textId="77777777" w:rsidR="009A7908" w:rsidRDefault="009A7908" w:rsidP="00877BDF">
            <w:pPr>
              <w:pStyle w:val="spacer"/>
            </w:pPr>
          </w:p>
        </w:tc>
      </w:tr>
      <w:tr w:rsidR="009A7908" w14:paraId="2162C2BE" w14:textId="77777777" w:rsidTr="00E71427">
        <w:trPr>
          <w:trHeight w:hRule="exact" w:val="2637"/>
        </w:trPr>
        <w:tc>
          <w:tcPr>
            <w:tcW w:w="5596" w:type="dxa"/>
            <w:vAlign w:val="bottom"/>
          </w:tcPr>
          <w:p w14:paraId="2E0934B5" w14:textId="45C25A9E" w:rsidR="009A7908" w:rsidRDefault="0083497D" w:rsidP="00877BDF">
            <w:pPr>
              <w:pStyle w:val="Heading1"/>
            </w:pPr>
            <w:bookmarkStart w:id="21" w:name="_Toc99543722"/>
            <w:r>
              <w:t>Data and assumptions</w:t>
            </w:r>
            <w:bookmarkEnd w:id="21"/>
            <w:r w:rsidR="009A7908">
              <w:t xml:space="preserve"> </w:t>
            </w:r>
          </w:p>
        </w:tc>
        <w:tc>
          <w:tcPr>
            <w:tcW w:w="2377" w:type="dxa"/>
            <w:tcMar>
              <w:right w:w="224" w:type="dxa"/>
            </w:tcMar>
            <w:vAlign w:val="bottom"/>
          </w:tcPr>
          <w:p w14:paraId="3237CA90" w14:textId="3FD5D56B" w:rsidR="009A7908" w:rsidRDefault="008C3AD9" w:rsidP="00877BDF">
            <w:pPr>
              <w:pStyle w:val="HeadingChapter"/>
            </w:pPr>
            <w:r>
              <w:fldChar w:fldCharType="begin"/>
            </w:r>
            <w:r>
              <w:instrText xml:space="preserve"> SEQ ChptNum \* ARABIC </w:instrText>
            </w:r>
            <w:r>
              <w:fldChar w:fldCharType="separate"/>
            </w:r>
            <w:r w:rsidR="00966CD2">
              <w:rPr>
                <w:noProof/>
              </w:rPr>
              <w:t>3</w:t>
            </w:r>
            <w:r>
              <w:rPr>
                <w:noProof/>
              </w:rPr>
              <w:fldChar w:fldCharType="end"/>
            </w:r>
          </w:p>
        </w:tc>
      </w:tr>
      <w:tr w:rsidR="009A7908" w14:paraId="4582B011" w14:textId="77777777" w:rsidTr="00E71427">
        <w:trPr>
          <w:trHeight w:hRule="exact" w:val="217"/>
        </w:trPr>
        <w:tc>
          <w:tcPr>
            <w:tcW w:w="5596" w:type="dxa"/>
          </w:tcPr>
          <w:p w14:paraId="64D5B0FD" w14:textId="77777777" w:rsidR="009A7908" w:rsidRDefault="009A7908" w:rsidP="00877BDF">
            <w:pPr>
              <w:pStyle w:val="spacer"/>
            </w:pPr>
          </w:p>
        </w:tc>
        <w:tc>
          <w:tcPr>
            <w:tcW w:w="2377" w:type="dxa"/>
          </w:tcPr>
          <w:p w14:paraId="74F3BC10" w14:textId="77777777" w:rsidR="009A7908" w:rsidRDefault="009A7908" w:rsidP="00877BDF">
            <w:pPr>
              <w:pStyle w:val="spacer"/>
            </w:pPr>
          </w:p>
        </w:tc>
      </w:tr>
    </w:tbl>
    <w:p w14:paraId="4CCE09B4" w14:textId="04675F75" w:rsidR="007A6927" w:rsidRDefault="007A6927" w:rsidP="007A6927">
      <w:pPr>
        <w:pStyle w:val="Heading2"/>
      </w:pPr>
      <w:bookmarkStart w:id="22" w:name="_Toc99543723"/>
      <w:r>
        <w:t>Approach</w:t>
      </w:r>
      <w:bookmarkEnd w:id="22"/>
    </w:p>
    <w:p w14:paraId="0B77D288" w14:textId="60FFDE17" w:rsidR="00E9354D" w:rsidRDefault="00D71210" w:rsidP="007A6927">
      <w:pPr>
        <w:pStyle w:val="BodyText"/>
      </w:pPr>
      <w:r>
        <w:t>ACIL Allen</w:t>
      </w:r>
      <w:r w:rsidR="00E9354D">
        <w:t>’s</w:t>
      </w:r>
      <w:r>
        <w:t xml:space="preserve"> approach to </w:t>
      </w:r>
      <w:r w:rsidR="00E50AD3">
        <w:t>analysing</w:t>
      </w:r>
      <w:r>
        <w:t xml:space="preserve"> the costs and benefits of Australia’s accession to Nairobi Convention under various policy options </w:t>
      </w:r>
      <w:r w:rsidR="00E9354D">
        <w:t xml:space="preserve">is consistent </w:t>
      </w:r>
      <w:r w:rsidR="00E9354D" w:rsidRPr="00D71210">
        <w:t>with the requirements set out in the Department of Prime Minster and Cabinet’s Office of Best Practice Regulation</w:t>
      </w:r>
      <w:r w:rsidR="00E9354D">
        <w:t xml:space="preserve"> (OBPR)</w:t>
      </w:r>
      <w:r w:rsidR="00E9354D" w:rsidRPr="00D71210">
        <w:t>.</w:t>
      </w:r>
      <w:r w:rsidR="00E9354D">
        <w:rPr>
          <w:rStyle w:val="FootnoteReference"/>
        </w:rPr>
        <w:footnoteReference w:id="5"/>
      </w:r>
      <w:r w:rsidR="00E9354D" w:rsidRPr="00D71210">
        <w:t xml:space="preserve"> </w:t>
      </w:r>
    </w:p>
    <w:p w14:paraId="2CC9A1D5" w14:textId="2C5A75ED" w:rsidR="00D71210" w:rsidRDefault="00D71210" w:rsidP="00D71210">
      <w:pPr>
        <w:pStyle w:val="Heading3"/>
      </w:pPr>
      <w:r>
        <w:t xml:space="preserve">Data and information </w:t>
      </w:r>
    </w:p>
    <w:p w14:paraId="4321D6A8" w14:textId="5367EF23" w:rsidR="00D71210" w:rsidRDefault="00D71210" w:rsidP="00D71210">
      <w:pPr>
        <w:pStyle w:val="BodyText"/>
      </w:pPr>
      <w:r w:rsidRPr="00D71210">
        <w:t xml:space="preserve">Basic maritime transport data </w:t>
      </w:r>
      <w:r w:rsidR="00E50AD3">
        <w:t>has been</w:t>
      </w:r>
      <w:r>
        <w:t xml:space="preserve"> assembled</w:t>
      </w:r>
      <w:r w:rsidRPr="00D71210">
        <w:t xml:space="preserve"> from publicly available data sources – BITRE, AMSA, IMO, UNCTAD, ABS and </w:t>
      </w:r>
      <w:r w:rsidR="00E71427" w:rsidRPr="00D71210">
        <w:t xml:space="preserve">others </w:t>
      </w:r>
      <w:r w:rsidR="00E71427">
        <w:t>as</w:t>
      </w:r>
      <w:r w:rsidR="00E50AD3">
        <w:t xml:space="preserve"> inputs to</w:t>
      </w:r>
      <w:r w:rsidRPr="00D71210">
        <w:t xml:space="preserve"> the CBA. </w:t>
      </w:r>
    </w:p>
    <w:p w14:paraId="70F81245" w14:textId="5E0146BD" w:rsidR="00D71210" w:rsidRPr="00D71210" w:rsidRDefault="00D71210" w:rsidP="00D71210">
      <w:pPr>
        <w:pStyle w:val="ListBullet"/>
      </w:pPr>
      <w:r w:rsidRPr="00D71210">
        <w:t>The data include the number of principal vessel types (oil tankers, bulk carriers, general cargo, containerships and others), ownership, flags of registration, annual throughput, historical wrecks data, and maritime insurance.</w:t>
      </w:r>
    </w:p>
    <w:p w14:paraId="77E1E34A" w14:textId="0F105192" w:rsidR="00D71210" w:rsidRPr="00D71210" w:rsidRDefault="00D71210" w:rsidP="00D71210">
      <w:pPr>
        <w:pStyle w:val="ListBullet"/>
      </w:pPr>
      <w:r w:rsidRPr="00D71210">
        <w:t xml:space="preserve">An in-depth review of the documents </w:t>
      </w:r>
      <w:r>
        <w:t>provided</w:t>
      </w:r>
      <w:r w:rsidRPr="00D71210">
        <w:t xml:space="preserve"> by the Department, recent </w:t>
      </w:r>
      <w:r>
        <w:t>D</w:t>
      </w:r>
      <w:r w:rsidRPr="00D71210">
        <w:t xml:space="preserve">iscussion </w:t>
      </w:r>
      <w:r>
        <w:t>P</w:t>
      </w:r>
      <w:r w:rsidRPr="00D71210">
        <w:t xml:space="preserve">aper </w:t>
      </w:r>
      <w:r>
        <w:t xml:space="preserve">Draft RIS, </w:t>
      </w:r>
      <w:r w:rsidRPr="00D71210">
        <w:t>and submissions to the discussion paper and other international literature</w:t>
      </w:r>
    </w:p>
    <w:p w14:paraId="2FD98266" w14:textId="77777777" w:rsidR="00D71210" w:rsidRPr="00D71210" w:rsidRDefault="00D71210" w:rsidP="00D71210">
      <w:pPr>
        <w:pStyle w:val="ListBullet"/>
      </w:pPr>
      <w:r w:rsidRPr="00D71210">
        <w:t xml:space="preserve">Desktop research and analysis on the costs and benefits of accession to the Nairobi Convention by other State Parties. These include: </w:t>
      </w:r>
    </w:p>
    <w:p w14:paraId="2DA82DEB" w14:textId="436F0658" w:rsidR="00D71210" w:rsidRDefault="00D71210" w:rsidP="00D71210">
      <w:pPr>
        <w:pStyle w:val="ListBullet2"/>
      </w:pPr>
      <w:r w:rsidRPr="00D71210">
        <w:t>A duty on the ship’s master or operator to report to the “Affected State” a maritime casualty resulting in a wreck and a duty on the Affected State to warn mariners and the States concerned of the nature and location of the wreck, as well as a duty on the Affected State that all practicable steps are taken to locate the wreck.</w:t>
      </w:r>
      <w:r>
        <w:t xml:space="preserve"> AMSA has provided key steps and costs involved in shipwreck removals in Australian waters.</w:t>
      </w:r>
    </w:p>
    <w:p w14:paraId="2E69AF26" w14:textId="71F4CB43" w:rsidR="00D71210" w:rsidRPr="00D71210" w:rsidRDefault="00D71210" w:rsidP="00D71210">
      <w:pPr>
        <w:pStyle w:val="ListBullet2"/>
      </w:pPr>
      <w:r w:rsidRPr="00D71210">
        <w:t>Criteria for determining the hazard posed by wrecks, including depth of water above the wreck, proximity of shipping routes, traffic density and frequency, type of traffic and vulnerability of port facilities. Environmental criteria such as damage likely to result from the release into the marine environment of cargo also included.</w:t>
      </w:r>
    </w:p>
    <w:p w14:paraId="2771205E" w14:textId="77777777" w:rsidR="00D71210" w:rsidRPr="00D71210" w:rsidRDefault="00D71210" w:rsidP="00D71210">
      <w:pPr>
        <w:pStyle w:val="ListBullet2"/>
      </w:pPr>
      <w:r w:rsidRPr="00D71210">
        <w:t>Measures to facilitate the removal of wrecks, including rights and obligations to remove hazardous wrecks, which set out when the shipowner is responsible for removing the wreck and when the Affected State may intervene.</w:t>
      </w:r>
    </w:p>
    <w:p w14:paraId="39F38EA4" w14:textId="122B4AE4" w:rsidR="00D71210" w:rsidRPr="00D71210" w:rsidRDefault="00D71210" w:rsidP="00D71210">
      <w:pPr>
        <w:pStyle w:val="ListBullet2"/>
      </w:pPr>
      <w:r w:rsidRPr="00D71210">
        <w:t xml:space="preserve">Liability of the owner for the costs of locating, marking and removing wrecks - the registered shipowner is required to maintain compulsory insurance or other financial security to cover liability under </w:t>
      </w:r>
      <w:r w:rsidR="00C06190">
        <w:t>the Nairobi Convention</w:t>
      </w:r>
      <w:r w:rsidRPr="00D71210">
        <w:t>.</w:t>
      </w:r>
    </w:p>
    <w:p w14:paraId="6AC5B22D" w14:textId="4FB3F0E9" w:rsidR="00D71210" w:rsidRDefault="00D71210" w:rsidP="00D71210">
      <w:pPr>
        <w:pStyle w:val="ListBullet2"/>
      </w:pPr>
      <w:r w:rsidRPr="00D71210">
        <w:t>Settlement of disputes.</w:t>
      </w:r>
    </w:p>
    <w:p w14:paraId="7D1D3FCF" w14:textId="64B874AF" w:rsidR="00D71210" w:rsidRDefault="00D71210" w:rsidP="00D71210">
      <w:pPr>
        <w:pStyle w:val="Heading3"/>
      </w:pPr>
      <w:r>
        <w:t>Stakeholder consultations</w:t>
      </w:r>
    </w:p>
    <w:p w14:paraId="13614BDF" w14:textId="64C0EF42" w:rsidR="00D71210" w:rsidRDefault="00D71210" w:rsidP="007A6927">
      <w:pPr>
        <w:pStyle w:val="BodyText"/>
      </w:pPr>
      <w:r>
        <w:t>See Chapter 2 for stakeholder consultations.</w:t>
      </w:r>
    </w:p>
    <w:p w14:paraId="58A79C64" w14:textId="67F95AA1" w:rsidR="00D71210" w:rsidRDefault="00D71210" w:rsidP="00D71210">
      <w:pPr>
        <w:pStyle w:val="Heading3"/>
      </w:pPr>
      <w:r>
        <w:lastRenderedPageBreak/>
        <w:t>Undertaking cost benefit analysis</w:t>
      </w:r>
    </w:p>
    <w:p w14:paraId="3B7AADD7" w14:textId="739F3C87" w:rsidR="00D71210" w:rsidRPr="00D71210" w:rsidRDefault="00D71210" w:rsidP="00D71210">
      <w:pPr>
        <w:pStyle w:val="BodyText"/>
      </w:pPr>
      <w:r w:rsidRPr="00D71210">
        <w:t xml:space="preserve">The Australian Government is committed to the use of cost–benefit analysis </w:t>
      </w:r>
      <w:r>
        <w:t xml:space="preserve">(CBA) </w:t>
      </w:r>
      <w:r w:rsidRPr="00D71210">
        <w:t>to assess regulatory proposals and encourage better decision making. A CBA involves a systematic evaluation of the impacts of a regulatory change, accounting for all the effects on the community and economy—not just the immediate or direct effects, financial effects or effects on one group. It emphasises valuing the gains and losses from a regulatory proposal in monetary terms as far as possible. The methodology framework identif</w:t>
      </w:r>
      <w:r>
        <w:t>ies</w:t>
      </w:r>
      <w:r w:rsidRPr="00D71210">
        <w:t xml:space="preserve"> all the elements that </w:t>
      </w:r>
      <w:r w:rsidR="00035C3E">
        <w:t>could be</w:t>
      </w:r>
      <w:r w:rsidRPr="00D71210">
        <w:t xml:space="preserve"> included/considered when analysing the</w:t>
      </w:r>
      <w:r>
        <w:t xml:space="preserve"> four policy</w:t>
      </w:r>
      <w:r w:rsidRPr="00D71210">
        <w:t xml:space="preserve"> options. </w:t>
      </w:r>
      <w:r>
        <w:t xml:space="preserve">This framework is summarised in </w:t>
      </w:r>
      <w:r w:rsidR="00E50AD3">
        <w:fldChar w:fldCharType="begin"/>
      </w:r>
      <w:r w:rsidR="00E50AD3">
        <w:instrText xml:space="preserve"> REF _Ref75429196 \h </w:instrText>
      </w:r>
      <w:r w:rsidR="00E50AD3">
        <w:fldChar w:fldCharType="separate"/>
      </w:r>
      <w:r w:rsidR="00966CD2" w:rsidRPr="00D71210">
        <w:rPr>
          <w:rStyle w:val="CaptionLabel"/>
        </w:rPr>
        <w:t>Figure </w:t>
      </w:r>
      <w:r w:rsidR="00966CD2">
        <w:rPr>
          <w:rStyle w:val="CaptionLabel"/>
          <w:noProof/>
        </w:rPr>
        <w:t>3</w:t>
      </w:r>
      <w:r w:rsidR="00966CD2" w:rsidRPr="00D71210">
        <w:rPr>
          <w:rStyle w:val="CaptionLabel"/>
        </w:rPr>
        <w:t>.</w:t>
      </w:r>
      <w:r w:rsidR="00966CD2">
        <w:rPr>
          <w:rStyle w:val="CaptionLabel"/>
          <w:noProof/>
        </w:rPr>
        <w:t>1</w:t>
      </w:r>
      <w:r w:rsidR="00E50AD3">
        <w:fldChar w:fldCharType="end"/>
      </w:r>
      <w:r>
        <w:t>. With t</w:t>
      </w:r>
      <w:r w:rsidRPr="00D71210">
        <w:t>his framework</w:t>
      </w:r>
      <w:r>
        <w:t xml:space="preserve">, </w:t>
      </w:r>
      <w:r w:rsidR="00035C3E">
        <w:t>this study</w:t>
      </w:r>
      <w:r>
        <w:t xml:space="preserve"> </w:t>
      </w:r>
      <w:r w:rsidR="00035C3E">
        <w:t>aims</w:t>
      </w:r>
      <w:r>
        <w:t xml:space="preserve"> to </w:t>
      </w:r>
      <w:r w:rsidRPr="00D71210">
        <w:t>capture all the analytical elements pertinent to the policy options being considered</w:t>
      </w:r>
      <w:r>
        <w:t xml:space="preserve"> </w:t>
      </w:r>
      <w:r w:rsidR="00035C3E">
        <w:t>in Australia’s possible accession to Nairobi</w:t>
      </w:r>
      <w:r w:rsidRPr="00D71210">
        <w:t>.</w:t>
      </w:r>
    </w:p>
    <w:tbl>
      <w:tblPr>
        <w:tblW w:w="0" w:type="auto"/>
        <w:tblLayout w:type="fixed"/>
        <w:tblCellMar>
          <w:left w:w="0" w:type="dxa"/>
          <w:right w:w="0" w:type="dxa"/>
        </w:tblCellMar>
        <w:tblLook w:val="0000" w:firstRow="0" w:lastRow="0" w:firstColumn="0" w:lastColumn="0" w:noHBand="0" w:noVBand="0"/>
      </w:tblPr>
      <w:tblGrid>
        <w:gridCol w:w="7936"/>
      </w:tblGrid>
      <w:tr w:rsidR="00D71210" w14:paraId="29B4B49E" w14:textId="77777777" w:rsidTr="00D71210">
        <w:tc>
          <w:tcPr>
            <w:tcW w:w="7936" w:type="dxa"/>
            <w:tcBorders>
              <w:bottom w:val="single" w:sz="4" w:space="0" w:color="000100"/>
            </w:tcBorders>
            <w:shd w:val="clear" w:color="auto" w:fill="auto"/>
            <w:tcMar>
              <w:top w:w="160" w:type="dxa"/>
              <w:bottom w:w="8" w:type="dxa"/>
            </w:tcMar>
          </w:tcPr>
          <w:p w14:paraId="4AB1FFF2" w14:textId="6CC3A07D" w:rsidR="00D71210" w:rsidRDefault="00D71210" w:rsidP="00D71210">
            <w:pPr>
              <w:pStyle w:val="Caption"/>
            </w:pPr>
            <w:bookmarkStart w:id="23" w:name="_Ref75429196"/>
            <w:bookmarkStart w:id="24" w:name="_Toc99543741"/>
            <w:r w:rsidRPr="00D71210">
              <w:rPr>
                <w:rStyle w:val="CaptionLabel"/>
              </w:rPr>
              <w:t>Figure </w:t>
            </w:r>
            <w:r w:rsidRPr="00D71210">
              <w:rPr>
                <w:rStyle w:val="CaptionLabel"/>
              </w:rPr>
              <w:fldChar w:fldCharType="begin"/>
            </w:r>
            <w:r w:rsidRPr="00D71210">
              <w:rPr>
                <w:rStyle w:val="CaptionLabel"/>
              </w:rPr>
              <w:instrText xml:space="preserve"> STYLEREF 1 \S \* MERGEFORMAT </w:instrText>
            </w:r>
            <w:r w:rsidRPr="00D71210">
              <w:rPr>
                <w:rStyle w:val="CaptionLabel"/>
              </w:rPr>
              <w:fldChar w:fldCharType="separate"/>
            </w:r>
            <w:r w:rsidR="00966CD2">
              <w:rPr>
                <w:rStyle w:val="CaptionLabel"/>
                <w:noProof/>
              </w:rPr>
              <w:t>3</w:t>
            </w:r>
            <w:r w:rsidRPr="00D71210">
              <w:rPr>
                <w:rStyle w:val="CaptionLabel"/>
              </w:rPr>
              <w:fldChar w:fldCharType="end"/>
            </w:r>
            <w:r w:rsidRPr="00D71210">
              <w:rPr>
                <w:rStyle w:val="CaptionLabel"/>
              </w:rPr>
              <w:t>.</w:t>
            </w:r>
            <w:r w:rsidRPr="00D71210">
              <w:rPr>
                <w:rStyle w:val="CaptionLabel"/>
              </w:rPr>
              <w:fldChar w:fldCharType="begin"/>
            </w:r>
            <w:r w:rsidRPr="00D71210">
              <w:rPr>
                <w:rStyle w:val="CaptionLabel"/>
              </w:rPr>
              <w:instrText xml:space="preserve"> SEQ Figure \* ARABIC \S 1 \* MERGEFORMAT </w:instrText>
            </w:r>
            <w:r w:rsidRPr="00D71210">
              <w:rPr>
                <w:rStyle w:val="CaptionLabel"/>
              </w:rPr>
              <w:fldChar w:fldCharType="separate"/>
            </w:r>
            <w:r w:rsidR="00966CD2">
              <w:rPr>
                <w:rStyle w:val="CaptionLabel"/>
                <w:noProof/>
              </w:rPr>
              <w:t>1</w:t>
            </w:r>
            <w:r w:rsidRPr="00D71210">
              <w:rPr>
                <w:rStyle w:val="CaptionLabel"/>
              </w:rPr>
              <w:fldChar w:fldCharType="end"/>
            </w:r>
            <w:bookmarkEnd w:id="23"/>
            <w:r>
              <w:tab/>
              <w:t>Economic analysis framework</w:t>
            </w:r>
            <w:bookmarkEnd w:id="24"/>
          </w:p>
        </w:tc>
      </w:tr>
      <w:tr w:rsidR="00D71210" w14:paraId="537E5F1F" w14:textId="77777777" w:rsidTr="00D71210">
        <w:tc>
          <w:tcPr>
            <w:tcW w:w="7936" w:type="dxa"/>
            <w:tcBorders>
              <w:top w:val="single" w:sz="4" w:space="0" w:color="000100"/>
            </w:tcBorders>
            <w:shd w:val="clear" w:color="auto" w:fill="auto"/>
            <w:tcMar>
              <w:top w:w="0" w:type="dxa"/>
              <w:bottom w:w="0" w:type="dxa"/>
              <w:right w:w="0" w:type="dxa"/>
            </w:tcMar>
          </w:tcPr>
          <w:p w14:paraId="1481D2BD" w14:textId="2DA9CB40" w:rsidR="00D71210" w:rsidRDefault="00D71210" w:rsidP="00D71210">
            <w:pPr>
              <w:pStyle w:val="Figure"/>
              <w:jc w:val="center"/>
            </w:pPr>
            <w:r>
              <w:rPr>
                <w:noProof/>
                <w:lang w:eastAsia="en-AU"/>
              </w:rPr>
              <w:drawing>
                <wp:inline distT="0" distB="0" distL="0" distR="0" wp14:anchorId="75E0326A" wp14:editId="006C4E73">
                  <wp:extent cx="3039745" cy="4068566"/>
                  <wp:effectExtent l="0" t="0" r="8255"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6417" cy="4104265"/>
                          </a:xfrm>
                          <a:prstGeom prst="rect">
                            <a:avLst/>
                          </a:prstGeom>
                          <a:noFill/>
                        </pic:spPr>
                      </pic:pic>
                    </a:graphicData>
                  </a:graphic>
                </wp:inline>
              </w:drawing>
            </w:r>
          </w:p>
        </w:tc>
      </w:tr>
      <w:tr w:rsidR="00D71210" w14:paraId="454B097D" w14:textId="77777777" w:rsidTr="00D71210">
        <w:trPr>
          <w:trHeight w:val="138"/>
        </w:trPr>
        <w:tc>
          <w:tcPr>
            <w:tcW w:w="7936" w:type="dxa"/>
            <w:tcBorders>
              <w:bottom w:val="single" w:sz="4" w:space="0" w:color="000100"/>
            </w:tcBorders>
            <w:shd w:val="clear" w:color="auto" w:fill="auto"/>
            <w:tcMar>
              <w:top w:w="12" w:type="dxa"/>
              <w:bottom w:w="113" w:type="dxa"/>
            </w:tcMar>
          </w:tcPr>
          <w:p w14:paraId="32140686" w14:textId="238B6ECD" w:rsidR="00D71210" w:rsidRDefault="00D71210" w:rsidP="00D71210">
            <w:pPr>
              <w:pStyle w:val="Source"/>
            </w:pPr>
            <w:r>
              <w:t>Source: ACIL Allen</w:t>
            </w:r>
          </w:p>
        </w:tc>
      </w:tr>
      <w:tr w:rsidR="00D71210" w14:paraId="64FDE8CE" w14:textId="77777777" w:rsidTr="00D71210">
        <w:trPr>
          <w:trHeight w:hRule="exact" w:val="160"/>
        </w:trPr>
        <w:tc>
          <w:tcPr>
            <w:tcW w:w="7936" w:type="dxa"/>
            <w:tcBorders>
              <w:top w:val="single" w:sz="4" w:space="0" w:color="000100"/>
            </w:tcBorders>
            <w:shd w:val="clear" w:color="auto" w:fill="auto"/>
            <w:tcMar>
              <w:top w:w="0" w:type="dxa"/>
              <w:bottom w:w="40" w:type="dxa"/>
            </w:tcMar>
          </w:tcPr>
          <w:p w14:paraId="4A561F5C" w14:textId="77777777" w:rsidR="00D71210" w:rsidRDefault="00D71210" w:rsidP="00D71210">
            <w:pPr>
              <w:pStyle w:val="spacer"/>
            </w:pPr>
          </w:p>
        </w:tc>
      </w:tr>
    </w:tbl>
    <w:p w14:paraId="69EE160F" w14:textId="3C53283F" w:rsidR="00D71210" w:rsidRDefault="00E9354D" w:rsidP="00D71210">
      <w:pPr>
        <w:pStyle w:val="BodyText"/>
      </w:pPr>
      <w:r>
        <w:t xml:space="preserve">This study followed </w:t>
      </w:r>
      <w:r w:rsidRPr="00D71210">
        <w:t>key steps</w:t>
      </w:r>
      <w:r>
        <w:t xml:space="preserve"> (see </w:t>
      </w:r>
      <w:r w:rsidR="00A95A93">
        <w:fldChar w:fldCharType="begin"/>
      </w:r>
      <w:r w:rsidR="00A95A93">
        <w:instrText xml:space="preserve"> REF _Ref75070849 \h </w:instrText>
      </w:r>
      <w:r w:rsidR="00A95A93">
        <w:fldChar w:fldCharType="separate"/>
      </w:r>
      <w:r w:rsidR="00966CD2" w:rsidRPr="00035C3E">
        <w:rPr>
          <w:rStyle w:val="CaptionLabel"/>
        </w:rPr>
        <w:t>Figure </w:t>
      </w:r>
      <w:r w:rsidR="00966CD2">
        <w:rPr>
          <w:rStyle w:val="CaptionLabel"/>
          <w:noProof/>
        </w:rPr>
        <w:t>3</w:t>
      </w:r>
      <w:r w:rsidR="00966CD2" w:rsidRPr="00035C3E">
        <w:rPr>
          <w:rStyle w:val="CaptionLabel"/>
        </w:rPr>
        <w:t>.</w:t>
      </w:r>
      <w:r w:rsidR="00966CD2">
        <w:rPr>
          <w:rStyle w:val="CaptionLabel"/>
          <w:noProof/>
        </w:rPr>
        <w:t>2</w:t>
      </w:r>
      <w:r w:rsidR="00A95A93">
        <w:fldChar w:fldCharType="end"/>
      </w:r>
      <w:r>
        <w:t>)</w:t>
      </w:r>
      <w:r w:rsidRPr="00D71210">
        <w:t xml:space="preserve"> outlined in the </w:t>
      </w:r>
      <w:r>
        <w:t xml:space="preserve">OBPR’s </w:t>
      </w:r>
      <w:r w:rsidRPr="00D71210">
        <w:t>CBA notes</w:t>
      </w:r>
      <w:r>
        <w:t>.</w:t>
      </w:r>
      <w:r>
        <w:rPr>
          <w:rStyle w:val="FootnoteReference"/>
        </w:rPr>
        <w:footnoteReference w:id="6"/>
      </w:r>
      <w:r w:rsidRPr="00D71210">
        <w:t xml:space="preserve"> </w:t>
      </w:r>
    </w:p>
    <w:tbl>
      <w:tblPr>
        <w:tblW w:w="0" w:type="auto"/>
        <w:tblLayout w:type="fixed"/>
        <w:tblCellMar>
          <w:left w:w="0" w:type="dxa"/>
          <w:right w:w="0" w:type="dxa"/>
        </w:tblCellMar>
        <w:tblLook w:val="0000" w:firstRow="0" w:lastRow="0" w:firstColumn="0" w:lastColumn="0" w:noHBand="0" w:noVBand="0"/>
      </w:tblPr>
      <w:tblGrid>
        <w:gridCol w:w="7936"/>
      </w:tblGrid>
      <w:tr w:rsidR="00035C3E" w14:paraId="7CF325BF" w14:textId="77777777" w:rsidTr="00035C3E">
        <w:tc>
          <w:tcPr>
            <w:tcW w:w="7936" w:type="dxa"/>
            <w:tcBorders>
              <w:bottom w:val="single" w:sz="4" w:space="0" w:color="000100"/>
            </w:tcBorders>
            <w:shd w:val="clear" w:color="auto" w:fill="auto"/>
            <w:tcMar>
              <w:top w:w="160" w:type="dxa"/>
              <w:bottom w:w="8" w:type="dxa"/>
            </w:tcMar>
          </w:tcPr>
          <w:p w14:paraId="5CEFF768" w14:textId="5786719F" w:rsidR="00035C3E" w:rsidRDefault="00035C3E" w:rsidP="00035C3E">
            <w:pPr>
              <w:pStyle w:val="Caption"/>
            </w:pPr>
            <w:bookmarkStart w:id="25" w:name="_Ref75070849"/>
            <w:bookmarkStart w:id="26" w:name="_Toc99543742"/>
            <w:r w:rsidRPr="00035C3E">
              <w:rPr>
                <w:rStyle w:val="CaptionLabel"/>
              </w:rPr>
              <w:lastRenderedPageBreak/>
              <w:t>Figure </w:t>
            </w:r>
            <w:r w:rsidRPr="00035C3E">
              <w:rPr>
                <w:rStyle w:val="CaptionLabel"/>
              </w:rPr>
              <w:fldChar w:fldCharType="begin"/>
            </w:r>
            <w:r w:rsidRPr="00035C3E">
              <w:rPr>
                <w:rStyle w:val="CaptionLabel"/>
              </w:rPr>
              <w:instrText xml:space="preserve"> STYLEREF 1 \S \* MERGEFORMAT </w:instrText>
            </w:r>
            <w:r w:rsidRPr="00035C3E">
              <w:rPr>
                <w:rStyle w:val="CaptionLabel"/>
              </w:rPr>
              <w:fldChar w:fldCharType="separate"/>
            </w:r>
            <w:r w:rsidR="00966CD2">
              <w:rPr>
                <w:rStyle w:val="CaptionLabel"/>
                <w:noProof/>
              </w:rPr>
              <w:t>3</w:t>
            </w:r>
            <w:r w:rsidRPr="00035C3E">
              <w:rPr>
                <w:rStyle w:val="CaptionLabel"/>
              </w:rPr>
              <w:fldChar w:fldCharType="end"/>
            </w:r>
            <w:r w:rsidRPr="00035C3E">
              <w:rPr>
                <w:rStyle w:val="CaptionLabel"/>
              </w:rPr>
              <w:t>.</w:t>
            </w:r>
            <w:r w:rsidRPr="00035C3E">
              <w:rPr>
                <w:rStyle w:val="CaptionLabel"/>
              </w:rPr>
              <w:fldChar w:fldCharType="begin"/>
            </w:r>
            <w:r w:rsidRPr="00035C3E">
              <w:rPr>
                <w:rStyle w:val="CaptionLabel"/>
              </w:rPr>
              <w:instrText xml:space="preserve"> SEQ Figure \* ARABIC \S 1 \* MERGEFORMAT </w:instrText>
            </w:r>
            <w:r w:rsidRPr="00035C3E">
              <w:rPr>
                <w:rStyle w:val="CaptionLabel"/>
              </w:rPr>
              <w:fldChar w:fldCharType="separate"/>
            </w:r>
            <w:r w:rsidR="00966CD2">
              <w:rPr>
                <w:rStyle w:val="CaptionLabel"/>
                <w:noProof/>
              </w:rPr>
              <w:t>2</w:t>
            </w:r>
            <w:r w:rsidRPr="00035C3E">
              <w:rPr>
                <w:rStyle w:val="CaptionLabel"/>
              </w:rPr>
              <w:fldChar w:fldCharType="end"/>
            </w:r>
            <w:bookmarkEnd w:id="25"/>
            <w:r>
              <w:tab/>
              <w:t>Key steps in CBA</w:t>
            </w:r>
            <w:bookmarkEnd w:id="26"/>
          </w:p>
        </w:tc>
      </w:tr>
      <w:tr w:rsidR="00035C3E" w14:paraId="5EF883E5" w14:textId="77777777" w:rsidTr="00035C3E">
        <w:tc>
          <w:tcPr>
            <w:tcW w:w="7936" w:type="dxa"/>
            <w:tcBorders>
              <w:top w:val="single" w:sz="4" w:space="0" w:color="000100"/>
            </w:tcBorders>
            <w:shd w:val="clear" w:color="auto" w:fill="auto"/>
            <w:tcMar>
              <w:top w:w="0" w:type="dxa"/>
              <w:bottom w:w="0" w:type="dxa"/>
              <w:right w:w="0" w:type="dxa"/>
            </w:tcMar>
          </w:tcPr>
          <w:p w14:paraId="16FC0FD8" w14:textId="4BA69CCB" w:rsidR="00035C3E" w:rsidRDefault="00035C3E" w:rsidP="00035C3E">
            <w:pPr>
              <w:pStyle w:val="Figure"/>
              <w:jc w:val="center"/>
            </w:pPr>
            <w:r>
              <w:rPr>
                <w:noProof/>
                <w:lang w:eastAsia="en-AU"/>
              </w:rPr>
              <w:drawing>
                <wp:inline distT="0" distB="0" distL="0" distR="0" wp14:anchorId="67C8A39C" wp14:editId="512AA081">
                  <wp:extent cx="2640330" cy="2938409"/>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4573" cy="2943131"/>
                          </a:xfrm>
                          <a:prstGeom prst="rect">
                            <a:avLst/>
                          </a:prstGeom>
                          <a:noFill/>
                        </pic:spPr>
                      </pic:pic>
                    </a:graphicData>
                  </a:graphic>
                </wp:inline>
              </w:drawing>
            </w:r>
          </w:p>
        </w:tc>
      </w:tr>
      <w:tr w:rsidR="00035C3E" w:rsidRPr="00E6265E" w14:paraId="43CFCE6A" w14:textId="77777777" w:rsidTr="00035C3E">
        <w:trPr>
          <w:trHeight w:val="138"/>
        </w:trPr>
        <w:tc>
          <w:tcPr>
            <w:tcW w:w="7936" w:type="dxa"/>
            <w:tcBorders>
              <w:bottom w:val="single" w:sz="4" w:space="0" w:color="000100"/>
            </w:tcBorders>
            <w:shd w:val="clear" w:color="auto" w:fill="auto"/>
            <w:tcMar>
              <w:top w:w="12" w:type="dxa"/>
              <w:bottom w:w="113" w:type="dxa"/>
            </w:tcMar>
          </w:tcPr>
          <w:p w14:paraId="7EE8CB65" w14:textId="217F42F6" w:rsidR="00035C3E" w:rsidRPr="00AD0771" w:rsidRDefault="00035C3E" w:rsidP="00035C3E">
            <w:pPr>
              <w:pStyle w:val="Source"/>
              <w:rPr>
                <w:lang w:val="fr-FR"/>
              </w:rPr>
            </w:pPr>
            <w:r w:rsidRPr="00AD0771">
              <w:rPr>
                <w:lang w:val="fr-FR"/>
              </w:rPr>
              <w:t xml:space="preserve">Source: , </w:t>
            </w:r>
            <w:hyperlink r:id="rId60" w:history="1">
              <w:r w:rsidRPr="00AD0771">
                <w:rPr>
                  <w:rStyle w:val="Hyperlink"/>
                  <w:lang w:val="fr-FR"/>
                </w:rPr>
                <w:t>https://pmc.gov.au/resource-centre/regulation/cost-benefit-analysis-guidance-note</w:t>
              </w:r>
            </w:hyperlink>
            <w:r w:rsidRPr="00AD0771">
              <w:rPr>
                <w:lang w:val="fr-FR"/>
              </w:rPr>
              <w:t xml:space="preserve">.  </w:t>
            </w:r>
          </w:p>
        </w:tc>
      </w:tr>
      <w:tr w:rsidR="00035C3E" w:rsidRPr="00E6265E" w14:paraId="08836083" w14:textId="77777777" w:rsidTr="00035C3E">
        <w:trPr>
          <w:trHeight w:hRule="exact" w:val="160"/>
        </w:trPr>
        <w:tc>
          <w:tcPr>
            <w:tcW w:w="7936" w:type="dxa"/>
            <w:tcBorders>
              <w:top w:val="single" w:sz="4" w:space="0" w:color="000100"/>
            </w:tcBorders>
            <w:shd w:val="clear" w:color="auto" w:fill="auto"/>
            <w:tcMar>
              <w:top w:w="0" w:type="dxa"/>
              <w:bottom w:w="40" w:type="dxa"/>
            </w:tcMar>
          </w:tcPr>
          <w:p w14:paraId="443D8E28" w14:textId="77777777" w:rsidR="00035C3E" w:rsidRPr="00AD0771" w:rsidRDefault="00035C3E" w:rsidP="00035C3E">
            <w:pPr>
              <w:pStyle w:val="spacer"/>
              <w:rPr>
                <w:lang w:val="fr-FR"/>
              </w:rPr>
            </w:pPr>
          </w:p>
        </w:tc>
      </w:tr>
    </w:tbl>
    <w:p w14:paraId="327A7ABA" w14:textId="0D594600" w:rsidR="00F86B71" w:rsidRDefault="00D71210" w:rsidP="00D71210">
      <w:pPr>
        <w:pStyle w:val="BodyText"/>
      </w:pPr>
      <w:r w:rsidRPr="00D71210">
        <w:t>Th</w:t>
      </w:r>
      <w:r w:rsidR="00035C3E">
        <w:t xml:space="preserve">e CBA </w:t>
      </w:r>
      <w:r w:rsidRPr="00D71210">
        <w:t xml:space="preserve">involve analysing the costs, </w:t>
      </w:r>
      <w:r w:rsidR="00F86B71" w:rsidRPr="00D71210">
        <w:t>benefits,</w:t>
      </w:r>
      <w:r w:rsidRPr="00D71210">
        <w:t xml:space="preserve"> and other impacts of the proposed policy options on shipowners</w:t>
      </w:r>
      <w:r w:rsidR="00F86B71">
        <w:t xml:space="preserve"> and operators, marine </w:t>
      </w:r>
      <w:r w:rsidRPr="00D71210">
        <w:t xml:space="preserve">business, government, the environment and the community as a result of accession to </w:t>
      </w:r>
      <w:r w:rsidR="00A95A93">
        <w:t xml:space="preserve">the </w:t>
      </w:r>
      <w:r w:rsidRPr="00D71210">
        <w:t xml:space="preserve">Nairobi Convention. </w:t>
      </w:r>
    </w:p>
    <w:p w14:paraId="0F763E7F" w14:textId="13F89100" w:rsidR="00D71210" w:rsidRPr="00D71210" w:rsidRDefault="00D71210" w:rsidP="00D71210">
      <w:pPr>
        <w:pStyle w:val="BodyText"/>
      </w:pPr>
      <w:r w:rsidRPr="00D71210">
        <w:t xml:space="preserve">Costs and benefits </w:t>
      </w:r>
      <w:r w:rsidR="00F86B71">
        <w:t>are</w:t>
      </w:r>
      <w:r w:rsidRPr="00D71210">
        <w:t xml:space="preserve"> examined from the perspective of the Australian community as a whole to help identify the policy option with the highest net benefit</w:t>
      </w:r>
      <w:r w:rsidR="00035C3E">
        <w:t>.</w:t>
      </w:r>
      <w:r w:rsidR="00F86B71">
        <w:t xml:space="preserve"> </w:t>
      </w:r>
      <w:r w:rsidR="00035C3E">
        <w:t>This study</w:t>
      </w:r>
      <w:r w:rsidRPr="00D71210">
        <w:t xml:space="preserve"> recognises that regulatory impact statements address the wellbeing of Australian society as a whole, and not on the welfare of any one singular group. However, </w:t>
      </w:r>
      <w:r w:rsidR="00035C3E">
        <w:t>it</w:t>
      </w:r>
      <w:r w:rsidRPr="00D71210">
        <w:t xml:space="preserve"> also recognise that accurately reflecting how changes will impact singular groups is an important part of evidence-based decision making.</w:t>
      </w:r>
    </w:p>
    <w:p w14:paraId="77A76ECA" w14:textId="7B95ADD3" w:rsidR="00035C3E" w:rsidRPr="00035C3E" w:rsidRDefault="00035C3E" w:rsidP="00035C3E">
      <w:pPr>
        <w:pStyle w:val="BodyText"/>
      </w:pPr>
      <w:r w:rsidRPr="00035C3E">
        <w:t xml:space="preserve">Notably, the analysis focus </w:t>
      </w:r>
      <w:r>
        <w:t xml:space="preserve">is </w:t>
      </w:r>
      <w:r w:rsidRPr="00035C3E">
        <w:t xml:space="preserve">on the incremental (or marginal) benefits and costs incurred as a result of </w:t>
      </w:r>
      <w:r w:rsidR="00A95A93">
        <w:t>accession</w:t>
      </w:r>
      <w:r w:rsidRPr="00035C3E">
        <w:t xml:space="preserve"> to</w:t>
      </w:r>
      <w:r w:rsidR="00A95A93">
        <w:t xml:space="preserve"> the</w:t>
      </w:r>
      <w:r w:rsidRPr="00035C3E">
        <w:t xml:space="preserve"> Nairobi Convention, not the total costs and benefits</w:t>
      </w:r>
      <w:r>
        <w:t xml:space="preserve"> under each option</w:t>
      </w:r>
      <w:r w:rsidRPr="00035C3E">
        <w:t>.</w:t>
      </w:r>
    </w:p>
    <w:p w14:paraId="249A0A85" w14:textId="77777777" w:rsidR="00E71427" w:rsidRDefault="00E71427" w:rsidP="00E71427">
      <w:pPr>
        <w:pStyle w:val="ListBullet"/>
      </w:pPr>
      <w:r w:rsidRPr="00E71427">
        <w:t>Analysis of benefits: The proposed alternatives to the Navigation Act could involve a range of benefits. Some of these benefits will be attributable to the Australian Government (strict liability arrangements for ships sailing in Australian waters, compulsory insurance for these vessels, rights of direct action from shipowners and insurers, if enforced the State should never have to carry the costs of a wreck event), while others will be attributable to shipowners (such as less complexity, less judicial costs).</w:t>
      </w:r>
    </w:p>
    <w:p w14:paraId="084BA9A8" w14:textId="1B95C87B" w:rsidR="00035C3E" w:rsidRPr="00035C3E" w:rsidRDefault="00035C3E" w:rsidP="00E71427">
      <w:pPr>
        <w:pStyle w:val="ListBullet"/>
      </w:pPr>
      <w:r w:rsidRPr="00035C3E">
        <w:t xml:space="preserve">Analysis of costs: Similar to the benefits, the proposed regulatory changes will impose some costs </w:t>
      </w:r>
      <w:r w:rsidR="00A95A93">
        <w:t>on</w:t>
      </w:r>
      <w:r w:rsidRPr="00035C3E">
        <w:t xml:space="preserve"> </w:t>
      </w:r>
      <w:r w:rsidR="00A95A93">
        <w:t>industry</w:t>
      </w:r>
      <w:r w:rsidRPr="00035C3E">
        <w:t>.</w:t>
      </w:r>
      <w:r w:rsidR="00F86B71">
        <w:t xml:space="preserve"> These include regulatory costs on the shipowners in relation to </w:t>
      </w:r>
      <w:r w:rsidR="00625E61">
        <w:t xml:space="preserve">the </w:t>
      </w:r>
      <w:r w:rsidR="00625E61" w:rsidRPr="00B703F0">
        <w:t xml:space="preserve">annual </w:t>
      </w:r>
      <w:r w:rsidR="00625E61">
        <w:t xml:space="preserve">insurance certificate from a Member State, </w:t>
      </w:r>
      <w:r w:rsidR="00F86B71">
        <w:t>additional compliance and additional premiums.</w:t>
      </w:r>
    </w:p>
    <w:p w14:paraId="5C245E63" w14:textId="77777777" w:rsidR="00E71427" w:rsidRDefault="00E71427" w:rsidP="00E71427">
      <w:pPr>
        <w:pStyle w:val="ListBullet"/>
      </w:pPr>
      <w:r w:rsidRPr="00E71427">
        <w:t>Net impact assessment: The results of a cost-benefit analysis presented in the next chapter facilitate the identification of the preferred option. The following metrics for each policy option are presented in the next chapter to evaluate the proposed policy options of potential accession of Australia to the Nairobi Convention.</w:t>
      </w:r>
    </w:p>
    <w:p w14:paraId="0ACB7ADF" w14:textId="1943E13B" w:rsidR="00035C3E" w:rsidRPr="00035C3E" w:rsidRDefault="00035C3E" w:rsidP="00E71427">
      <w:pPr>
        <w:pStyle w:val="ListBullet2"/>
      </w:pPr>
      <w:r w:rsidRPr="00035C3E">
        <w:t xml:space="preserve">Net Present Value (NPV) — the NPV is the sum of the discounted stream of costs and benefits. </w:t>
      </w:r>
    </w:p>
    <w:p w14:paraId="6C425F06" w14:textId="3B357270" w:rsidR="00D71210" w:rsidRDefault="00035C3E" w:rsidP="00D4656C">
      <w:pPr>
        <w:pStyle w:val="ListBullet2"/>
      </w:pPr>
      <w:r w:rsidRPr="00035C3E">
        <w:t>Benefit-Cost Ratio (BCR) — the BCR is calculated by dividing the present value of benefits by the present value of costs and can be interpreted as every dollar of costs delivers ‘X’ dollars of benefits.</w:t>
      </w:r>
    </w:p>
    <w:p w14:paraId="416D01B3" w14:textId="664994B2" w:rsidR="00D71210" w:rsidRDefault="00E71427" w:rsidP="007A6927">
      <w:pPr>
        <w:pStyle w:val="BodyText"/>
      </w:pPr>
      <w:r w:rsidRPr="00E71427">
        <w:lastRenderedPageBreak/>
        <w:t>Following the OBPR guidelines, the costs and benefits are calculated using a central discount rate of 7% real. Further, to assess the sensitivity of the results to the discount rate, this study also conducts a sensitivity analysis of the results using a lower bound discount rate of 3% and an upper bound discount rate of 10%</w:t>
      </w:r>
      <w:r w:rsidR="00402CAC" w:rsidRPr="00402CAC">
        <w:t>.</w:t>
      </w:r>
    </w:p>
    <w:p w14:paraId="432BD320" w14:textId="77777777" w:rsidR="00E9354D" w:rsidRDefault="00E9354D" w:rsidP="00E9354D">
      <w:pPr>
        <w:pStyle w:val="Heading2"/>
      </w:pPr>
      <w:bookmarkStart w:id="27" w:name="_Toc99543724"/>
      <w:r>
        <w:t>An assessment of policy options</w:t>
      </w:r>
      <w:bookmarkEnd w:id="27"/>
    </w:p>
    <w:p w14:paraId="034F4B1F" w14:textId="463D01DB" w:rsidR="00E9354D" w:rsidRDefault="00E71427" w:rsidP="00E9354D">
      <w:pPr>
        <w:pStyle w:val="BodyText"/>
      </w:pPr>
      <w:r w:rsidRPr="00E71427">
        <w:t>Based on the Department’s 2020 Discussion Paper</w:t>
      </w:r>
      <w:r w:rsidR="0070035D">
        <w:rPr>
          <w:rStyle w:val="FootnoteReference"/>
        </w:rPr>
        <w:footnoteReference w:id="7"/>
      </w:r>
      <w:r w:rsidRPr="00E71427">
        <w:t xml:space="preserve"> and industry stakeholder responses the DITRDC prepared a DRAFT RIS. A summary of advantages and disadvantages of each option for quantifi</w:t>
      </w:r>
      <w:r>
        <w:t xml:space="preserve">cation purposes are summarised </w:t>
      </w:r>
      <w:r w:rsidR="00E9354D">
        <w:t xml:space="preserve">in </w:t>
      </w:r>
      <w:r w:rsidR="00E9354D">
        <w:fldChar w:fldCharType="begin"/>
      </w:r>
      <w:r w:rsidR="00E9354D">
        <w:instrText xml:space="preserve"> REF _Ref73958596 \h </w:instrText>
      </w:r>
      <w:r w:rsidR="00E9354D">
        <w:fldChar w:fldCharType="separate"/>
      </w:r>
      <w:r w:rsidR="00966CD2" w:rsidRPr="00541487">
        <w:rPr>
          <w:rStyle w:val="CaptionLabel"/>
        </w:rPr>
        <w:t>Table </w:t>
      </w:r>
      <w:r w:rsidR="00966CD2">
        <w:rPr>
          <w:rStyle w:val="CaptionLabel"/>
          <w:noProof/>
        </w:rPr>
        <w:t>3</w:t>
      </w:r>
      <w:r w:rsidR="00966CD2" w:rsidRPr="00541487">
        <w:rPr>
          <w:rStyle w:val="CaptionLabel"/>
        </w:rPr>
        <w:t>.</w:t>
      </w:r>
      <w:r w:rsidR="00966CD2">
        <w:rPr>
          <w:rStyle w:val="CaptionLabel"/>
          <w:noProof/>
        </w:rPr>
        <w:t>1</w:t>
      </w:r>
      <w:r w:rsidR="00E9354D">
        <w:fldChar w:fldCharType="end"/>
      </w:r>
      <w:r w:rsidR="00E9354D">
        <w:t>.</w:t>
      </w:r>
    </w:p>
    <w:p w14:paraId="1401853C" w14:textId="020A02D3" w:rsidR="00E9354D" w:rsidRDefault="00E9354D" w:rsidP="00E9354D">
      <w:pPr>
        <w:pStyle w:val="Caption"/>
        <w:ind w:left="-784"/>
      </w:pPr>
      <w:bookmarkStart w:id="28" w:name="_Ref73958596"/>
      <w:bookmarkStart w:id="29" w:name="_Toc99543752"/>
      <w:r w:rsidRPr="00541487">
        <w:rPr>
          <w:rStyle w:val="CaptionLabel"/>
        </w:rPr>
        <w:t>Table </w:t>
      </w:r>
      <w:r w:rsidRPr="00541487">
        <w:rPr>
          <w:rStyle w:val="CaptionLabel"/>
        </w:rPr>
        <w:fldChar w:fldCharType="begin"/>
      </w:r>
      <w:r w:rsidRPr="00541487">
        <w:rPr>
          <w:rStyle w:val="CaptionLabel"/>
        </w:rPr>
        <w:instrText xml:space="preserve"> STYLEREF 1 \S \* MERGEFORMAT </w:instrText>
      </w:r>
      <w:r w:rsidRPr="00541487">
        <w:rPr>
          <w:rStyle w:val="CaptionLabel"/>
        </w:rPr>
        <w:fldChar w:fldCharType="separate"/>
      </w:r>
      <w:r w:rsidR="00966CD2">
        <w:rPr>
          <w:rStyle w:val="CaptionLabel"/>
          <w:noProof/>
        </w:rPr>
        <w:t>3</w:t>
      </w:r>
      <w:r w:rsidRPr="00541487">
        <w:rPr>
          <w:rStyle w:val="CaptionLabel"/>
        </w:rPr>
        <w:fldChar w:fldCharType="end"/>
      </w:r>
      <w:r w:rsidRPr="00541487">
        <w:rPr>
          <w:rStyle w:val="CaptionLabel"/>
        </w:rPr>
        <w:t>.</w:t>
      </w:r>
      <w:r w:rsidRPr="00541487">
        <w:rPr>
          <w:rStyle w:val="CaptionLabel"/>
        </w:rPr>
        <w:fldChar w:fldCharType="begin"/>
      </w:r>
      <w:r w:rsidRPr="00541487">
        <w:rPr>
          <w:rStyle w:val="CaptionLabel"/>
        </w:rPr>
        <w:instrText xml:space="preserve"> SEQ Table \* ARABIC \S 1 \* MERGEFORMAT </w:instrText>
      </w:r>
      <w:r w:rsidRPr="00541487">
        <w:rPr>
          <w:rStyle w:val="CaptionLabel"/>
        </w:rPr>
        <w:fldChar w:fldCharType="separate"/>
      </w:r>
      <w:r w:rsidR="00966CD2">
        <w:rPr>
          <w:rStyle w:val="CaptionLabel"/>
          <w:noProof/>
        </w:rPr>
        <w:t>1</w:t>
      </w:r>
      <w:r w:rsidRPr="00541487">
        <w:rPr>
          <w:rStyle w:val="CaptionLabel"/>
        </w:rPr>
        <w:fldChar w:fldCharType="end"/>
      </w:r>
      <w:bookmarkEnd w:id="28"/>
      <w:r>
        <w:tab/>
        <w:t>Advantages and disadvantages of proposed policy options</w:t>
      </w:r>
      <w:bookmarkEnd w:id="29"/>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829"/>
        <w:gridCol w:w="2977"/>
        <w:gridCol w:w="3617"/>
        <w:gridCol w:w="2475"/>
      </w:tblGrid>
      <w:tr w:rsidR="00E9354D" w14:paraId="4793DB56" w14:textId="77777777" w:rsidTr="00877BDF">
        <w:trPr>
          <w:tblHeader/>
        </w:trPr>
        <w:tc>
          <w:tcPr>
            <w:tcW w:w="1283" w:type="dxa"/>
            <w:gridSpan w:val="2"/>
            <w:tcBorders>
              <w:top w:val="nil"/>
              <w:bottom w:val="nil"/>
            </w:tcBorders>
            <w:shd w:val="clear" w:color="auto" w:fill="140034"/>
            <w:tcMar>
              <w:left w:w="454" w:type="dxa"/>
            </w:tcMar>
          </w:tcPr>
          <w:p w14:paraId="1960FF48" w14:textId="172DAC11" w:rsidR="00E9354D" w:rsidRPr="00DD3442" w:rsidRDefault="00E9354D" w:rsidP="00877BDF">
            <w:pPr>
              <w:pStyle w:val="Tablecolumnheadings"/>
              <w:rPr>
                <w:sz w:val="18"/>
                <w:szCs w:val="18"/>
              </w:rPr>
            </w:pPr>
          </w:p>
        </w:tc>
        <w:tc>
          <w:tcPr>
            <w:tcW w:w="2977" w:type="dxa"/>
            <w:tcBorders>
              <w:top w:val="nil"/>
              <w:bottom w:val="nil"/>
            </w:tcBorders>
            <w:shd w:val="clear" w:color="auto" w:fill="140034"/>
          </w:tcPr>
          <w:p w14:paraId="392E2547" w14:textId="77777777" w:rsidR="00E9354D" w:rsidRPr="00DD3442" w:rsidRDefault="00E9354D" w:rsidP="00877BDF">
            <w:pPr>
              <w:pStyle w:val="Tablecolumnheadings"/>
              <w:rPr>
                <w:sz w:val="18"/>
                <w:szCs w:val="18"/>
              </w:rPr>
            </w:pPr>
            <w:r w:rsidRPr="00DD3442">
              <w:rPr>
                <w:sz w:val="18"/>
                <w:szCs w:val="18"/>
              </w:rPr>
              <w:t>Advantages</w:t>
            </w:r>
          </w:p>
        </w:tc>
        <w:tc>
          <w:tcPr>
            <w:tcW w:w="3617" w:type="dxa"/>
            <w:tcBorders>
              <w:top w:val="nil"/>
              <w:bottom w:val="nil"/>
            </w:tcBorders>
            <w:shd w:val="clear" w:color="auto" w:fill="140034"/>
          </w:tcPr>
          <w:p w14:paraId="3A58F082" w14:textId="77777777" w:rsidR="00E9354D" w:rsidRPr="00DD3442" w:rsidRDefault="00E9354D" w:rsidP="00877BDF">
            <w:pPr>
              <w:pStyle w:val="Tablecolumnheadings"/>
              <w:rPr>
                <w:sz w:val="18"/>
                <w:szCs w:val="18"/>
              </w:rPr>
            </w:pPr>
            <w:r w:rsidRPr="00DD3442">
              <w:rPr>
                <w:sz w:val="18"/>
                <w:szCs w:val="18"/>
              </w:rPr>
              <w:t>Disadvantages</w:t>
            </w:r>
          </w:p>
        </w:tc>
        <w:tc>
          <w:tcPr>
            <w:tcW w:w="2475" w:type="dxa"/>
            <w:tcBorders>
              <w:top w:val="nil"/>
              <w:bottom w:val="nil"/>
              <w:right w:val="single" w:sz="6" w:space="0" w:color="140034"/>
            </w:tcBorders>
            <w:shd w:val="clear" w:color="auto" w:fill="140034"/>
          </w:tcPr>
          <w:p w14:paraId="010F6B4B" w14:textId="77777777" w:rsidR="00E9354D" w:rsidRPr="00DD3442" w:rsidRDefault="00E9354D" w:rsidP="00877BDF">
            <w:pPr>
              <w:pStyle w:val="Tablecolumnheadings"/>
              <w:rPr>
                <w:sz w:val="18"/>
                <w:szCs w:val="18"/>
              </w:rPr>
            </w:pPr>
            <w:r w:rsidRPr="00DD3442">
              <w:rPr>
                <w:sz w:val="18"/>
                <w:szCs w:val="18"/>
              </w:rPr>
              <w:t>Economic impacts</w:t>
            </w:r>
          </w:p>
        </w:tc>
      </w:tr>
      <w:tr w:rsidR="00E9354D" w14:paraId="05E762A6" w14:textId="77777777" w:rsidTr="00877BDF">
        <w:trPr>
          <w:gridBefore w:val="1"/>
          <w:wBefore w:w="454" w:type="dxa"/>
        </w:trPr>
        <w:tc>
          <w:tcPr>
            <w:tcW w:w="9898" w:type="dxa"/>
            <w:gridSpan w:val="4"/>
            <w:tcBorders>
              <w:top w:val="nil"/>
            </w:tcBorders>
            <w:shd w:val="clear" w:color="auto" w:fill="D5EBDA" w:themeFill="accent6" w:themeFillTint="33"/>
          </w:tcPr>
          <w:p w14:paraId="0E5249D6" w14:textId="77777777" w:rsidR="00E9354D" w:rsidRPr="00DD3442" w:rsidRDefault="00E9354D" w:rsidP="00877BDF">
            <w:pPr>
              <w:pStyle w:val="Tabletext"/>
              <w:rPr>
                <w:sz w:val="18"/>
                <w:szCs w:val="18"/>
              </w:rPr>
            </w:pPr>
            <w:r w:rsidRPr="00DD3442">
              <w:rPr>
                <w:b/>
                <w:bCs/>
                <w:sz w:val="18"/>
                <w:szCs w:val="18"/>
              </w:rPr>
              <w:t>Option 1: Retaining the existing framework under the Navigation Act 2012</w:t>
            </w:r>
          </w:p>
        </w:tc>
      </w:tr>
      <w:tr w:rsidR="00DD3442" w14:paraId="69C37B12" w14:textId="77777777" w:rsidTr="00012188">
        <w:trPr>
          <w:gridBefore w:val="1"/>
          <w:wBefore w:w="454" w:type="dxa"/>
        </w:trPr>
        <w:tc>
          <w:tcPr>
            <w:tcW w:w="3806" w:type="dxa"/>
            <w:gridSpan w:val="2"/>
            <w:tcBorders>
              <w:top w:val="nil"/>
            </w:tcBorders>
            <w:shd w:val="clear" w:color="auto" w:fill="auto"/>
          </w:tcPr>
          <w:p w14:paraId="1FAC0333" w14:textId="77777777" w:rsidR="00DD3442" w:rsidRPr="00DD3442" w:rsidRDefault="00DD3442" w:rsidP="00877BDF">
            <w:pPr>
              <w:pStyle w:val="Tablelistbullet"/>
              <w:rPr>
                <w:sz w:val="18"/>
                <w:szCs w:val="18"/>
              </w:rPr>
            </w:pPr>
            <w:r w:rsidRPr="00DD3442">
              <w:rPr>
                <w:sz w:val="18"/>
                <w:szCs w:val="18"/>
              </w:rPr>
              <w:t>Business as usual with no changes to existing processes, policies and procedures, and no implementation costs for industry</w:t>
            </w:r>
          </w:p>
          <w:p w14:paraId="250390CC" w14:textId="6CCF58AE" w:rsidR="00DD3442" w:rsidRPr="00DD3442" w:rsidRDefault="00DD3442" w:rsidP="00DD3442">
            <w:pPr>
              <w:pStyle w:val="Tablelistbullet"/>
              <w:numPr>
                <w:ilvl w:val="0"/>
                <w:numId w:val="0"/>
              </w:numPr>
              <w:rPr>
                <w:sz w:val="18"/>
                <w:szCs w:val="18"/>
              </w:rPr>
            </w:pPr>
          </w:p>
        </w:tc>
        <w:tc>
          <w:tcPr>
            <w:tcW w:w="3617" w:type="dxa"/>
            <w:tcBorders>
              <w:top w:val="nil"/>
            </w:tcBorders>
            <w:shd w:val="clear" w:color="auto" w:fill="auto"/>
          </w:tcPr>
          <w:p w14:paraId="36A3175F" w14:textId="77777777" w:rsidR="00DD3442" w:rsidRPr="00DD3442" w:rsidRDefault="00DD3442" w:rsidP="00383D74">
            <w:pPr>
              <w:pStyle w:val="Tablelistbullet"/>
              <w:rPr>
                <w:sz w:val="18"/>
                <w:szCs w:val="18"/>
              </w:rPr>
            </w:pPr>
            <w:r w:rsidRPr="00DD3442">
              <w:rPr>
                <w:sz w:val="18"/>
                <w:szCs w:val="18"/>
              </w:rPr>
              <w:t>The Navigation Act will continue to apply only to wrecks of foreign vessels when located in Australia’s territorial sea, noting this is the maritime zone with the greatest number of environmentally sensitive areas.</w:t>
            </w:r>
          </w:p>
          <w:p w14:paraId="29C46B49" w14:textId="77777777" w:rsidR="00DD3442" w:rsidRPr="00DD3442" w:rsidRDefault="00DD3442" w:rsidP="00383D74">
            <w:pPr>
              <w:pStyle w:val="Tablelistbullet"/>
              <w:rPr>
                <w:sz w:val="18"/>
                <w:szCs w:val="18"/>
              </w:rPr>
            </w:pPr>
            <w:r w:rsidRPr="00DD3442">
              <w:rPr>
                <w:sz w:val="18"/>
                <w:szCs w:val="18"/>
              </w:rPr>
              <w:t xml:space="preserve">The definition of ‘wreck’ in the Navigation Act will continue to exclude goods or cargo fallen overboard from a ship that is not itself wrecked, derelict, stranded, sunk, abandoned, foundered or in distress. As noted above, the last 3 wreck incidents in Australia have exclusively involved the loss of cargo overboard. </w:t>
            </w:r>
          </w:p>
          <w:p w14:paraId="6F5485D7" w14:textId="77777777" w:rsidR="00DD3442" w:rsidRPr="00DD3442" w:rsidRDefault="00DD3442" w:rsidP="00383D74">
            <w:pPr>
              <w:pStyle w:val="Tablelistbullet"/>
              <w:rPr>
                <w:sz w:val="18"/>
                <w:szCs w:val="18"/>
              </w:rPr>
            </w:pPr>
            <w:r w:rsidRPr="00DD3442">
              <w:rPr>
                <w:sz w:val="18"/>
                <w:szCs w:val="18"/>
              </w:rPr>
              <w:t>Issues regarding cost recovery for wreck removal will continue to arise when a DCV or recreational vessel creates a wreck in the EEZ.</w:t>
            </w:r>
          </w:p>
          <w:p w14:paraId="189F7D66" w14:textId="77777777" w:rsidR="00DD3442" w:rsidRPr="00DD3442" w:rsidRDefault="00DD3442" w:rsidP="00383D74">
            <w:pPr>
              <w:pStyle w:val="Tablelistbullet"/>
              <w:rPr>
                <w:sz w:val="18"/>
                <w:szCs w:val="18"/>
              </w:rPr>
            </w:pPr>
            <w:r w:rsidRPr="00DD3442">
              <w:rPr>
                <w:sz w:val="18"/>
                <w:szCs w:val="18"/>
              </w:rPr>
              <w:t>The Navigation Act contains no power allowing the AMSA to directly approach the ship’s insurer to recover wreck related costs.</w:t>
            </w:r>
          </w:p>
          <w:p w14:paraId="399A61EF" w14:textId="77777777" w:rsidR="00DD3442" w:rsidRPr="00DD3442" w:rsidRDefault="00DD3442" w:rsidP="00383D74">
            <w:pPr>
              <w:pStyle w:val="Tablelistbullet"/>
              <w:rPr>
                <w:sz w:val="18"/>
                <w:szCs w:val="18"/>
              </w:rPr>
            </w:pPr>
            <w:r w:rsidRPr="00DD3442">
              <w:rPr>
                <w:sz w:val="18"/>
                <w:szCs w:val="18"/>
              </w:rPr>
              <w:t xml:space="preserve">There is no mechanism to ensure ship owners have appropriate and accessible assets in place to fund a wreck removal operation before an incident occurs. For example, while AMSA is entitled under s229(1)(e) Navigation Act to recover from the ship owner the expenses incurred in removing the wreck in the territorial sea, a practical difficulty arises in respect of a foreign ship owner with no assets in Australia, as was the case of the MV Tycoon. </w:t>
            </w:r>
          </w:p>
          <w:p w14:paraId="72ABEA48" w14:textId="77777777" w:rsidR="00DD3442" w:rsidRPr="00DD3442" w:rsidRDefault="00DD3442" w:rsidP="00383D74">
            <w:pPr>
              <w:pStyle w:val="Tablelistbullet"/>
              <w:rPr>
                <w:sz w:val="18"/>
                <w:szCs w:val="18"/>
              </w:rPr>
            </w:pPr>
            <w:r w:rsidRPr="00DD3442">
              <w:rPr>
                <w:sz w:val="18"/>
                <w:szCs w:val="18"/>
              </w:rPr>
              <w:t xml:space="preserve">While there is currently an unlimited right of cost recovery for wreck removal, this has limited benefits where a foreign ship owner is responsible for the wreck because: </w:t>
            </w:r>
          </w:p>
          <w:p w14:paraId="4847D1E7" w14:textId="77777777" w:rsidR="00DD3442" w:rsidRPr="00DD3442" w:rsidRDefault="00DD3442" w:rsidP="00383D74">
            <w:pPr>
              <w:pStyle w:val="Tablelistbullet"/>
              <w:ind w:left="562"/>
              <w:rPr>
                <w:sz w:val="18"/>
                <w:szCs w:val="18"/>
              </w:rPr>
            </w:pPr>
            <w:r w:rsidRPr="00DD3442">
              <w:rPr>
                <w:sz w:val="18"/>
                <w:szCs w:val="18"/>
              </w:rPr>
              <w:t>service of proceedings (e.g. to recover costs) cannot easily be undertaken in a foreign jurisdiction</w:t>
            </w:r>
          </w:p>
          <w:p w14:paraId="064C6D9A" w14:textId="77777777" w:rsidR="00DD3442" w:rsidRPr="00DD3442" w:rsidRDefault="00DD3442" w:rsidP="00383D74">
            <w:pPr>
              <w:pStyle w:val="Tablelistbullet"/>
              <w:ind w:left="562"/>
              <w:rPr>
                <w:sz w:val="18"/>
                <w:szCs w:val="18"/>
              </w:rPr>
            </w:pPr>
            <w:r w:rsidRPr="00DD3442">
              <w:rPr>
                <w:sz w:val="18"/>
                <w:szCs w:val="18"/>
              </w:rPr>
              <w:t>there is uncertainty regarding the enforcement of any judgment against a ship owner in a foreign jurisdiction.</w:t>
            </w:r>
          </w:p>
          <w:p w14:paraId="66E453BC" w14:textId="1C5342B8" w:rsidR="00DD3442" w:rsidRPr="00DD3442" w:rsidRDefault="00DD3442" w:rsidP="00383D74">
            <w:pPr>
              <w:pStyle w:val="Tablelistbullet"/>
              <w:rPr>
                <w:sz w:val="18"/>
                <w:szCs w:val="18"/>
              </w:rPr>
            </w:pPr>
            <w:r w:rsidRPr="00DD3442">
              <w:rPr>
                <w:sz w:val="18"/>
                <w:szCs w:val="18"/>
              </w:rPr>
              <w:lastRenderedPageBreak/>
              <w:t>The current alternative legislative options will not assist the Australian Government in recovering wreck related costs in the absence of marine pollution.</w:t>
            </w:r>
          </w:p>
        </w:tc>
        <w:tc>
          <w:tcPr>
            <w:tcW w:w="2475" w:type="dxa"/>
            <w:tcBorders>
              <w:top w:val="nil"/>
            </w:tcBorders>
            <w:shd w:val="clear" w:color="auto" w:fill="auto"/>
          </w:tcPr>
          <w:p w14:paraId="606D3500" w14:textId="77777777" w:rsidR="00DD3442" w:rsidRPr="00DD3442" w:rsidRDefault="00DD3442" w:rsidP="00877BDF">
            <w:pPr>
              <w:pStyle w:val="Tabletext"/>
              <w:rPr>
                <w:sz w:val="18"/>
                <w:szCs w:val="18"/>
              </w:rPr>
            </w:pPr>
            <w:r w:rsidRPr="00DD3442">
              <w:rPr>
                <w:b/>
                <w:bCs/>
                <w:sz w:val="18"/>
                <w:szCs w:val="18"/>
              </w:rPr>
              <w:lastRenderedPageBreak/>
              <w:t>Costs</w:t>
            </w:r>
            <w:r w:rsidRPr="00DD3442">
              <w:rPr>
                <w:sz w:val="18"/>
                <w:szCs w:val="18"/>
              </w:rPr>
              <w:t>:</w:t>
            </w:r>
          </w:p>
          <w:p w14:paraId="58973BCE" w14:textId="77777777" w:rsidR="00DD3442" w:rsidRPr="00DD3442" w:rsidRDefault="00DD3442" w:rsidP="00877BDF">
            <w:pPr>
              <w:pStyle w:val="Tablelistbullet"/>
              <w:ind w:left="278" w:hanging="278"/>
              <w:rPr>
                <w:sz w:val="18"/>
                <w:szCs w:val="18"/>
              </w:rPr>
            </w:pPr>
            <w:r w:rsidRPr="00DD3442">
              <w:rPr>
                <w:sz w:val="18"/>
                <w:szCs w:val="18"/>
              </w:rPr>
              <w:t>Diseconomies of scope and narrow definition</w:t>
            </w:r>
          </w:p>
          <w:p w14:paraId="3CDE42E0" w14:textId="77777777" w:rsidR="00DD3442" w:rsidRPr="00DD3442" w:rsidRDefault="00DD3442" w:rsidP="00877BDF">
            <w:pPr>
              <w:pStyle w:val="Tablelistbullet"/>
              <w:ind w:left="278" w:hanging="278"/>
              <w:rPr>
                <w:sz w:val="18"/>
                <w:szCs w:val="18"/>
              </w:rPr>
            </w:pPr>
            <w:r w:rsidRPr="00DD3442">
              <w:rPr>
                <w:sz w:val="18"/>
                <w:szCs w:val="18"/>
              </w:rPr>
              <w:t xml:space="preserve">Limited legal rights </w:t>
            </w:r>
          </w:p>
          <w:p w14:paraId="35B85A93" w14:textId="03F8C8C3" w:rsidR="00DD3442" w:rsidRPr="00DD3442" w:rsidRDefault="00DD3442" w:rsidP="00877BDF">
            <w:pPr>
              <w:pStyle w:val="Tablelistbullet"/>
              <w:ind w:left="278" w:hanging="278"/>
              <w:rPr>
                <w:sz w:val="18"/>
                <w:szCs w:val="18"/>
              </w:rPr>
            </w:pPr>
            <w:r w:rsidRPr="00DD3442">
              <w:rPr>
                <w:sz w:val="18"/>
                <w:szCs w:val="18"/>
              </w:rPr>
              <w:t>Complex judicial processes and procedures (costs to both AMSA and shipowners)</w:t>
            </w:r>
          </w:p>
          <w:p w14:paraId="7C779303" w14:textId="1E9EF8CA" w:rsidR="00DD3442" w:rsidRPr="00DD3442" w:rsidRDefault="00DD3442" w:rsidP="00877BDF">
            <w:pPr>
              <w:pStyle w:val="Tablelistbullet"/>
              <w:ind w:left="278" w:hanging="278"/>
              <w:rPr>
                <w:sz w:val="18"/>
                <w:szCs w:val="18"/>
              </w:rPr>
            </w:pPr>
            <w:r w:rsidRPr="00DD3442">
              <w:rPr>
                <w:sz w:val="18"/>
                <w:szCs w:val="18"/>
              </w:rPr>
              <w:t>Financial security costs to shipowners</w:t>
            </w:r>
          </w:p>
          <w:p w14:paraId="124FE396" w14:textId="77777777" w:rsidR="00DD3442" w:rsidRPr="00DD3442" w:rsidRDefault="00DD3442" w:rsidP="00877BDF">
            <w:pPr>
              <w:pStyle w:val="Tablelistbullet"/>
              <w:ind w:left="278" w:hanging="278"/>
              <w:rPr>
                <w:sz w:val="18"/>
                <w:szCs w:val="18"/>
              </w:rPr>
            </w:pPr>
            <w:r w:rsidRPr="00DD3442">
              <w:rPr>
                <w:sz w:val="18"/>
                <w:szCs w:val="18"/>
              </w:rPr>
              <w:t>Relatively low-cost recovery by AMSA</w:t>
            </w:r>
          </w:p>
          <w:p w14:paraId="1DDAB0F5" w14:textId="77777777" w:rsidR="00DD3442" w:rsidRPr="00DD3442" w:rsidRDefault="00DD3442" w:rsidP="00877BDF">
            <w:pPr>
              <w:pStyle w:val="Tabletext"/>
              <w:rPr>
                <w:b/>
                <w:bCs/>
                <w:sz w:val="18"/>
                <w:szCs w:val="18"/>
              </w:rPr>
            </w:pPr>
          </w:p>
        </w:tc>
      </w:tr>
      <w:tr w:rsidR="00E9354D" w14:paraId="646E54E2" w14:textId="77777777" w:rsidTr="00877BDF">
        <w:trPr>
          <w:gridBefore w:val="1"/>
          <w:wBefore w:w="454" w:type="dxa"/>
        </w:trPr>
        <w:tc>
          <w:tcPr>
            <w:tcW w:w="9898" w:type="dxa"/>
            <w:gridSpan w:val="4"/>
            <w:tcBorders>
              <w:top w:val="nil"/>
            </w:tcBorders>
            <w:shd w:val="clear" w:color="auto" w:fill="D5EBDA" w:themeFill="accent6" w:themeFillTint="33"/>
          </w:tcPr>
          <w:p w14:paraId="0B555A1A" w14:textId="484DDC74" w:rsidR="00E9354D" w:rsidRPr="00DD3442" w:rsidRDefault="00383D74" w:rsidP="00383D74">
            <w:pPr>
              <w:pStyle w:val="Tabletext"/>
              <w:rPr>
                <w:b/>
                <w:bCs/>
                <w:sz w:val="18"/>
                <w:szCs w:val="18"/>
              </w:rPr>
            </w:pPr>
            <w:r w:rsidRPr="00DD3442">
              <w:rPr>
                <w:b/>
                <w:bCs/>
                <w:sz w:val="18"/>
                <w:szCs w:val="18"/>
              </w:rPr>
              <w:t>Option 3</w:t>
            </w:r>
            <w:r w:rsidR="00E9354D" w:rsidRPr="00DD3442">
              <w:rPr>
                <w:b/>
                <w:bCs/>
                <w:sz w:val="18"/>
                <w:szCs w:val="18"/>
              </w:rPr>
              <w:t xml:space="preserve">: </w:t>
            </w:r>
            <w:r w:rsidRPr="00DD3442">
              <w:rPr>
                <w:b/>
                <w:bCs/>
                <w:sz w:val="18"/>
                <w:szCs w:val="18"/>
              </w:rPr>
              <w:t>Acceding to the Nairobi Convention, applying it to RAVs and foreign vessels in the EEZ.</w:t>
            </w:r>
          </w:p>
        </w:tc>
      </w:tr>
      <w:tr w:rsidR="00DD3442" w14:paraId="51589539" w14:textId="77777777" w:rsidTr="00012188">
        <w:trPr>
          <w:gridBefore w:val="1"/>
          <w:wBefore w:w="454" w:type="dxa"/>
        </w:trPr>
        <w:tc>
          <w:tcPr>
            <w:tcW w:w="3806" w:type="dxa"/>
            <w:gridSpan w:val="2"/>
            <w:shd w:val="clear" w:color="auto" w:fill="auto"/>
          </w:tcPr>
          <w:p w14:paraId="6A669FA0" w14:textId="77777777" w:rsidR="00DD3442" w:rsidRPr="00DD3442" w:rsidRDefault="00DD3442" w:rsidP="00877BDF">
            <w:pPr>
              <w:pStyle w:val="Tablelistbullet"/>
              <w:rPr>
                <w:sz w:val="18"/>
                <w:szCs w:val="18"/>
              </w:rPr>
            </w:pPr>
            <w:r w:rsidRPr="00DD3442">
              <w:rPr>
                <w:sz w:val="18"/>
                <w:szCs w:val="18"/>
              </w:rPr>
              <w:t>It would ensure that Australia’s laws on the rights and obligations for shipowners, Flag States and the Australian Government are consistent with modern international rules.</w:t>
            </w:r>
          </w:p>
          <w:p w14:paraId="7E06BD53" w14:textId="77777777" w:rsidR="00DD3442" w:rsidRPr="00DD3442" w:rsidRDefault="00DD3442" w:rsidP="00877BDF">
            <w:pPr>
              <w:pStyle w:val="Tablelistbullet"/>
              <w:rPr>
                <w:sz w:val="18"/>
                <w:szCs w:val="18"/>
              </w:rPr>
            </w:pPr>
            <w:r w:rsidRPr="00DD3442">
              <w:rPr>
                <w:sz w:val="18"/>
                <w:szCs w:val="18"/>
              </w:rPr>
              <w:t xml:space="preserve">Expanded and uniform powers for AMSA in the EEZ, while not restricting the action Australia can take in the Territorial Sea. </w:t>
            </w:r>
          </w:p>
          <w:p w14:paraId="639A1130" w14:textId="77777777" w:rsidR="00DD3442" w:rsidRPr="00DD3442" w:rsidRDefault="00DD3442" w:rsidP="00877BDF">
            <w:pPr>
              <w:pStyle w:val="Tablelistbullet"/>
              <w:rPr>
                <w:sz w:val="18"/>
                <w:szCs w:val="18"/>
              </w:rPr>
            </w:pPr>
            <w:r w:rsidRPr="00DD3442">
              <w:rPr>
                <w:sz w:val="18"/>
                <w:szCs w:val="18"/>
              </w:rPr>
              <w:t>The definition of ‘wreck’ under the Nairobi Convention is broader than the Navigation Act and covers goods or cargo that have fallen overboard from a ship, including shipping containers.</w:t>
            </w:r>
          </w:p>
          <w:p w14:paraId="289237FB" w14:textId="77777777" w:rsidR="00DD3442" w:rsidRPr="00DD3442" w:rsidRDefault="00DD3442" w:rsidP="00877BDF">
            <w:pPr>
              <w:pStyle w:val="Tablelistbullet"/>
              <w:rPr>
                <w:sz w:val="18"/>
                <w:szCs w:val="18"/>
              </w:rPr>
            </w:pPr>
            <w:r w:rsidRPr="00DD3442">
              <w:rPr>
                <w:sz w:val="18"/>
                <w:szCs w:val="18"/>
              </w:rPr>
              <w:t xml:space="preserve">The Nairobi Convention holds the ship’s owner strictly liable for the costs associated with a wreck, making claims more straightforward and easily resolved. </w:t>
            </w:r>
          </w:p>
          <w:p w14:paraId="0C7A4DFC" w14:textId="77777777" w:rsidR="00DD3442" w:rsidRPr="00DD3442" w:rsidRDefault="00DD3442" w:rsidP="00877BDF">
            <w:pPr>
              <w:pStyle w:val="Tablelistbullet"/>
              <w:rPr>
                <w:sz w:val="18"/>
                <w:szCs w:val="18"/>
              </w:rPr>
            </w:pPr>
            <w:r w:rsidRPr="00DD3442">
              <w:rPr>
                <w:sz w:val="18"/>
                <w:szCs w:val="18"/>
              </w:rPr>
              <w:t xml:space="preserve">The Nairobi Convention allows for the assessment of economic impacts as well as health and infrastructure considerations. </w:t>
            </w:r>
          </w:p>
          <w:p w14:paraId="4B0E800F" w14:textId="77777777" w:rsidR="00DD3442" w:rsidRPr="00DD3442" w:rsidRDefault="00DD3442" w:rsidP="00877BDF">
            <w:pPr>
              <w:pStyle w:val="Tablelistbullet"/>
              <w:rPr>
                <w:sz w:val="18"/>
                <w:szCs w:val="18"/>
              </w:rPr>
            </w:pPr>
            <w:r w:rsidRPr="00DD3442">
              <w:rPr>
                <w:sz w:val="18"/>
                <w:szCs w:val="18"/>
              </w:rPr>
              <w:t>The Nairobi Convention provides greater opportunities for cost recovery through direct access to the insurers of ships 300 GT and above, up to the wreck removal limits in the LLMC Convention.</w:t>
            </w:r>
          </w:p>
          <w:p w14:paraId="06538C2E" w14:textId="77777777" w:rsidR="00DD3442" w:rsidRPr="00DD3442" w:rsidRDefault="00DD3442" w:rsidP="00877BDF">
            <w:pPr>
              <w:pStyle w:val="Tablelistbullet"/>
              <w:rPr>
                <w:sz w:val="18"/>
                <w:szCs w:val="18"/>
              </w:rPr>
            </w:pPr>
            <w:r w:rsidRPr="00DD3442">
              <w:rPr>
                <w:sz w:val="18"/>
                <w:szCs w:val="18"/>
              </w:rPr>
              <w:t xml:space="preserve">The costs recoverable under the Nairobi Convention are potentially greater than those under the Navigation Act. </w:t>
            </w:r>
          </w:p>
        </w:tc>
        <w:tc>
          <w:tcPr>
            <w:tcW w:w="3617" w:type="dxa"/>
            <w:shd w:val="clear" w:color="auto" w:fill="auto"/>
          </w:tcPr>
          <w:p w14:paraId="4E357430" w14:textId="77777777" w:rsidR="00DD3442" w:rsidRPr="00DD3442" w:rsidRDefault="00DD3442" w:rsidP="00877BDF">
            <w:pPr>
              <w:pStyle w:val="Tablelistbullet"/>
              <w:rPr>
                <w:sz w:val="18"/>
                <w:szCs w:val="18"/>
              </w:rPr>
            </w:pPr>
            <w:r w:rsidRPr="00DD3442">
              <w:rPr>
                <w:sz w:val="18"/>
                <w:szCs w:val="18"/>
              </w:rPr>
              <w:t xml:space="preserve">The application of the Nairobi Convention framework in the EEZ, while retaining the Navigation Act provisions in the Territorial Sea would create a dual regulatory system with differing rights and obligations, depending on the location of the casualty and/or jurisdiction involved. This may result in confusion for the regulatory, compliance officers and industry. </w:t>
            </w:r>
          </w:p>
          <w:p w14:paraId="73B7271B" w14:textId="4D066523" w:rsidR="00DD3442" w:rsidRPr="00DD3442" w:rsidRDefault="00DD3442" w:rsidP="00877BDF">
            <w:pPr>
              <w:pStyle w:val="Tablelistbullet"/>
              <w:rPr>
                <w:sz w:val="18"/>
                <w:szCs w:val="18"/>
              </w:rPr>
            </w:pPr>
            <w:r w:rsidRPr="00DD3442">
              <w:rPr>
                <w:sz w:val="18"/>
                <w:szCs w:val="18"/>
              </w:rPr>
              <w:t>Shipowners with foreign vessels or RAVs travelling through Australia’s EEZ, whether intending to berth in Australia or not, will be required to have wreck removal insurance. This may be a new cost to some parts of industry who are in the 23 % of the global fleet who are not flagged to a State Party or have not undertaken a voyage to a State Party.</w:t>
            </w:r>
          </w:p>
          <w:p w14:paraId="5464368F" w14:textId="69BB47B9" w:rsidR="00DD3442" w:rsidRPr="00DD3442" w:rsidRDefault="00DD3442" w:rsidP="00877BDF">
            <w:pPr>
              <w:pStyle w:val="Tablelistbullet"/>
              <w:rPr>
                <w:sz w:val="18"/>
                <w:szCs w:val="18"/>
              </w:rPr>
            </w:pPr>
            <w:r w:rsidRPr="00DD3442">
              <w:rPr>
                <w:sz w:val="18"/>
                <w:szCs w:val="18"/>
              </w:rPr>
              <w:t xml:space="preserve">The marking and removal of a wreck can be pursued only after the affected State Party has determined it poses a ‘hazard’. If there is no hazard, the shipowner will not be liable for any wreck removal activities. </w:t>
            </w:r>
          </w:p>
          <w:p w14:paraId="238E009D" w14:textId="16EE6D41" w:rsidR="00DD3442" w:rsidRPr="00DD3442" w:rsidRDefault="00DD3442" w:rsidP="00877BDF">
            <w:pPr>
              <w:pStyle w:val="Tablelistbullet"/>
              <w:rPr>
                <w:sz w:val="18"/>
                <w:szCs w:val="18"/>
              </w:rPr>
            </w:pPr>
            <w:r w:rsidRPr="00DD3442">
              <w:rPr>
                <w:sz w:val="18"/>
                <w:szCs w:val="18"/>
              </w:rPr>
              <w:t xml:space="preserve">An affected State Party has limited ability to influence the salvage operation if it is being undertaken by the shipowner in the EEZ. The shipowner chooses the salvor. The affected State Party is able to set conditions on the wreck removal to the extent necessary to ensure it proceeds in a manner consistent with considerations of safety and protection of the marine environment. </w:t>
            </w:r>
          </w:p>
          <w:p w14:paraId="19BA59C2" w14:textId="77777777" w:rsidR="00DD3442" w:rsidRPr="00DD3442" w:rsidRDefault="00DD3442" w:rsidP="00877BDF">
            <w:pPr>
              <w:pStyle w:val="Tablelistbullet"/>
              <w:rPr>
                <w:sz w:val="18"/>
                <w:szCs w:val="18"/>
              </w:rPr>
            </w:pPr>
            <w:r w:rsidRPr="00DD3442">
              <w:rPr>
                <w:sz w:val="18"/>
                <w:szCs w:val="18"/>
              </w:rPr>
              <w:t>An affected State Party’s right to recover costs is limited to actions taken within three years of a wreck being determined to pose a hazard, and a maximum of six years from the date of the maritime casualty</w:t>
            </w:r>
          </w:p>
          <w:p w14:paraId="1D122F56" w14:textId="3249885D" w:rsidR="00DD3442" w:rsidRPr="00DD3442" w:rsidRDefault="00DD3442" w:rsidP="00877BDF">
            <w:pPr>
              <w:pStyle w:val="Tablelistbullet"/>
              <w:rPr>
                <w:sz w:val="18"/>
                <w:szCs w:val="18"/>
              </w:rPr>
            </w:pPr>
            <w:r w:rsidRPr="00DD3442">
              <w:rPr>
                <w:sz w:val="18"/>
                <w:szCs w:val="18"/>
              </w:rPr>
              <w:t>The requirement for removal actions to be ‘proportional’ is vague and may lead to disputes between shipowners and the affected State Party.</w:t>
            </w:r>
          </w:p>
        </w:tc>
        <w:tc>
          <w:tcPr>
            <w:tcW w:w="2475" w:type="dxa"/>
            <w:shd w:val="clear" w:color="auto" w:fill="auto"/>
          </w:tcPr>
          <w:p w14:paraId="5DAEB122" w14:textId="77777777" w:rsidR="00DD3442" w:rsidRPr="00DD3442" w:rsidRDefault="00DD3442" w:rsidP="00877BDF">
            <w:pPr>
              <w:pStyle w:val="Tabletext"/>
              <w:rPr>
                <w:sz w:val="18"/>
                <w:szCs w:val="18"/>
              </w:rPr>
            </w:pPr>
            <w:r w:rsidRPr="00DD3442">
              <w:rPr>
                <w:b/>
                <w:bCs/>
                <w:sz w:val="18"/>
                <w:szCs w:val="18"/>
              </w:rPr>
              <w:t>Benefits</w:t>
            </w:r>
            <w:r w:rsidRPr="00DD3442">
              <w:rPr>
                <w:sz w:val="18"/>
                <w:szCs w:val="18"/>
              </w:rPr>
              <w:t>:</w:t>
            </w:r>
          </w:p>
          <w:p w14:paraId="11CE5CB7" w14:textId="1305A661" w:rsidR="00DD3442" w:rsidRPr="00DD3442" w:rsidRDefault="00DD3442" w:rsidP="00877BDF">
            <w:pPr>
              <w:pStyle w:val="Tablelistbullet"/>
              <w:numPr>
                <w:ilvl w:val="0"/>
                <w:numId w:val="41"/>
              </w:numPr>
              <w:rPr>
                <w:rFonts w:cs="Arial"/>
                <w:sz w:val="18"/>
                <w:szCs w:val="18"/>
              </w:rPr>
            </w:pPr>
            <w:r w:rsidRPr="00DD3442">
              <w:rPr>
                <w:rFonts w:cs="Arial"/>
                <w:sz w:val="18"/>
                <w:szCs w:val="18"/>
              </w:rPr>
              <w:t>Broader scope and definition at least in EEZ</w:t>
            </w:r>
          </w:p>
          <w:p w14:paraId="34C79985" w14:textId="77777777" w:rsidR="00DD3442" w:rsidRPr="00DD3442" w:rsidRDefault="00DD3442" w:rsidP="00877BDF">
            <w:pPr>
              <w:pStyle w:val="Tablelistbullet"/>
              <w:numPr>
                <w:ilvl w:val="0"/>
                <w:numId w:val="41"/>
              </w:numPr>
              <w:rPr>
                <w:rFonts w:cs="Arial"/>
                <w:sz w:val="18"/>
                <w:szCs w:val="18"/>
              </w:rPr>
            </w:pPr>
            <w:r w:rsidRPr="00DD3442">
              <w:rPr>
                <w:rFonts w:cs="Arial"/>
                <w:sz w:val="18"/>
                <w:szCs w:val="18"/>
              </w:rPr>
              <w:t>Legal rights in EEZ</w:t>
            </w:r>
          </w:p>
          <w:p w14:paraId="68595044" w14:textId="77777777" w:rsidR="00DD3442" w:rsidRPr="00DD3442" w:rsidRDefault="00DD3442" w:rsidP="00877BDF">
            <w:pPr>
              <w:pStyle w:val="Tablelistbullet"/>
              <w:numPr>
                <w:ilvl w:val="0"/>
                <w:numId w:val="41"/>
              </w:numPr>
              <w:rPr>
                <w:rFonts w:cs="Arial"/>
                <w:sz w:val="18"/>
                <w:szCs w:val="18"/>
              </w:rPr>
            </w:pPr>
            <w:r w:rsidRPr="00DD3442">
              <w:rPr>
                <w:rFonts w:cs="Arial"/>
                <w:sz w:val="18"/>
                <w:szCs w:val="18"/>
              </w:rPr>
              <w:t>Making claims more straightforward and easily resolved in EEZ</w:t>
            </w:r>
          </w:p>
          <w:p w14:paraId="45692F72" w14:textId="60CC5528" w:rsidR="00DD3442" w:rsidRPr="00DD3442" w:rsidRDefault="00DD3442" w:rsidP="00877BDF">
            <w:pPr>
              <w:pStyle w:val="Tablelistbullet"/>
              <w:numPr>
                <w:ilvl w:val="0"/>
                <w:numId w:val="41"/>
              </w:numPr>
              <w:rPr>
                <w:rFonts w:cs="Arial"/>
                <w:sz w:val="18"/>
                <w:szCs w:val="18"/>
              </w:rPr>
            </w:pPr>
            <w:r w:rsidRPr="00DD3442">
              <w:rPr>
                <w:rFonts w:cs="Arial"/>
                <w:sz w:val="18"/>
                <w:szCs w:val="18"/>
              </w:rPr>
              <w:t>Relatively more cost recovery by AMSA in EEZ for foreign vessels</w:t>
            </w:r>
          </w:p>
          <w:p w14:paraId="19EBD7F2" w14:textId="526A92BA" w:rsidR="00DD3442" w:rsidRPr="00DD3442" w:rsidRDefault="00DD3442" w:rsidP="00877BDF">
            <w:pPr>
              <w:pStyle w:val="Tablelistbullet"/>
              <w:numPr>
                <w:ilvl w:val="0"/>
                <w:numId w:val="41"/>
              </w:numPr>
              <w:rPr>
                <w:rFonts w:cs="Arial"/>
                <w:sz w:val="18"/>
                <w:szCs w:val="18"/>
              </w:rPr>
            </w:pPr>
            <w:r w:rsidRPr="00DD3442">
              <w:rPr>
                <w:rFonts w:cs="Arial"/>
                <w:sz w:val="18"/>
                <w:szCs w:val="18"/>
              </w:rPr>
              <w:t>Avoided financial security costs</w:t>
            </w:r>
          </w:p>
          <w:p w14:paraId="14FEB16E" w14:textId="77777777" w:rsidR="00DD3442" w:rsidRPr="00DD3442" w:rsidRDefault="00DD3442" w:rsidP="00877BDF">
            <w:pPr>
              <w:pStyle w:val="Tabletext"/>
              <w:rPr>
                <w:b/>
                <w:bCs/>
                <w:sz w:val="18"/>
                <w:szCs w:val="18"/>
              </w:rPr>
            </w:pPr>
          </w:p>
          <w:p w14:paraId="21656A82" w14:textId="3482B24B" w:rsidR="00DD3442" w:rsidRPr="00DD3442" w:rsidRDefault="00DD3442" w:rsidP="00877BDF">
            <w:pPr>
              <w:pStyle w:val="Tabletext"/>
              <w:rPr>
                <w:b/>
                <w:bCs/>
                <w:sz w:val="18"/>
                <w:szCs w:val="18"/>
              </w:rPr>
            </w:pPr>
            <w:r w:rsidRPr="00DD3442">
              <w:rPr>
                <w:b/>
                <w:bCs/>
                <w:sz w:val="18"/>
                <w:szCs w:val="18"/>
              </w:rPr>
              <w:t>Costs:</w:t>
            </w:r>
          </w:p>
          <w:p w14:paraId="4AB3C0E3" w14:textId="77777777" w:rsidR="00DD3442" w:rsidRPr="00DD3442" w:rsidRDefault="00DD3442" w:rsidP="00877BDF">
            <w:pPr>
              <w:pStyle w:val="Tabletext"/>
              <w:numPr>
                <w:ilvl w:val="0"/>
                <w:numId w:val="41"/>
              </w:numPr>
              <w:rPr>
                <w:sz w:val="18"/>
                <w:szCs w:val="18"/>
              </w:rPr>
            </w:pPr>
            <w:r w:rsidRPr="00DD3442">
              <w:rPr>
                <w:sz w:val="18"/>
                <w:szCs w:val="18"/>
              </w:rPr>
              <w:t xml:space="preserve">Dual regulatory system </w:t>
            </w:r>
          </w:p>
          <w:p w14:paraId="0E50C87C" w14:textId="77777777" w:rsidR="00DD3442" w:rsidRPr="00DD3442" w:rsidRDefault="00DD3442" w:rsidP="00116911">
            <w:pPr>
              <w:pStyle w:val="Tabletext"/>
              <w:numPr>
                <w:ilvl w:val="0"/>
                <w:numId w:val="41"/>
              </w:numPr>
              <w:rPr>
                <w:sz w:val="18"/>
                <w:szCs w:val="18"/>
              </w:rPr>
            </w:pPr>
            <w:r w:rsidRPr="00DD3442">
              <w:rPr>
                <w:sz w:val="18"/>
                <w:szCs w:val="18"/>
              </w:rPr>
              <w:t>Administrative costs</w:t>
            </w:r>
          </w:p>
          <w:p w14:paraId="6CFB9F20" w14:textId="4F1DC8F8" w:rsidR="00DD3442" w:rsidRPr="00DD3442" w:rsidRDefault="00DD3442" w:rsidP="00877BDF">
            <w:pPr>
              <w:pStyle w:val="Tabletext"/>
              <w:numPr>
                <w:ilvl w:val="0"/>
                <w:numId w:val="41"/>
              </w:numPr>
              <w:rPr>
                <w:sz w:val="18"/>
                <w:szCs w:val="18"/>
              </w:rPr>
            </w:pPr>
            <w:r w:rsidRPr="00DD3442">
              <w:rPr>
                <w:sz w:val="18"/>
                <w:szCs w:val="18"/>
              </w:rPr>
              <w:t>Additional cost to the shipping industry - annual insurance certificate from a Member State</w:t>
            </w:r>
          </w:p>
          <w:p w14:paraId="0C148697" w14:textId="77777777" w:rsidR="00DD3442" w:rsidRPr="00DD3442" w:rsidRDefault="00DD3442" w:rsidP="00877BDF">
            <w:pPr>
              <w:pStyle w:val="Tabletext"/>
              <w:numPr>
                <w:ilvl w:val="0"/>
                <w:numId w:val="41"/>
              </w:numPr>
              <w:rPr>
                <w:sz w:val="18"/>
                <w:szCs w:val="18"/>
              </w:rPr>
            </w:pPr>
            <w:r w:rsidRPr="00DD3442">
              <w:rPr>
                <w:sz w:val="18"/>
                <w:szCs w:val="18"/>
              </w:rPr>
              <w:t>Definitional differences in territorial waters and EEZ cause complexity.</w:t>
            </w:r>
          </w:p>
          <w:p w14:paraId="0A7BFAFE" w14:textId="77777777" w:rsidR="00DD3442" w:rsidRPr="00DD3442" w:rsidRDefault="00DD3442" w:rsidP="00877BDF">
            <w:pPr>
              <w:pStyle w:val="Tabletext"/>
              <w:rPr>
                <w:sz w:val="18"/>
                <w:szCs w:val="18"/>
              </w:rPr>
            </w:pPr>
          </w:p>
        </w:tc>
      </w:tr>
      <w:tr w:rsidR="00E9354D" w14:paraId="1143FB64" w14:textId="77777777" w:rsidTr="00877BDF">
        <w:trPr>
          <w:gridBefore w:val="1"/>
          <w:wBefore w:w="454" w:type="dxa"/>
        </w:trPr>
        <w:tc>
          <w:tcPr>
            <w:tcW w:w="9898" w:type="dxa"/>
            <w:gridSpan w:val="4"/>
            <w:shd w:val="clear" w:color="auto" w:fill="D5EBDA" w:themeFill="accent6" w:themeFillTint="33"/>
          </w:tcPr>
          <w:p w14:paraId="4E619954" w14:textId="46263516" w:rsidR="00E9354D" w:rsidRPr="00DD3442" w:rsidRDefault="00DD3442" w:rsidP="00DD3442">
            <w:pPr>
              <w:pStyle w:val="Tabletext"/>
              <w:rPr>
                <w:b/>
                <w:bCs/>
                <w:sz w:val="18"/>
                <w:szCs w:val="18"/>
              </w:rPr>
            </w:pPr>
            <w:r>
              <w:rPr>
                <w:b/>
                <w:bCs/>
                <w:sz w:val="18"/>
                <w:szCs w:val="18"/>
              </w:rPr>
              <w:t>Option 4</w:t>
            </w:r>
            <w:r w:rsidR="00E9354D" w:rsidRPr="00DD3442">
              <w:rPr>
                <w:b/>
                <w:bCs/>
                <w:sz w:val="18"/>
                <w:szCs w:val="18"/>
                <w:shd w:val="clear" w:color="auto" w:fill="D5EBDA" w:themeFill="accent6" w:themeFillTint="33"/>
              </w:rPr>
              <w:t xml:space="preserve">: </w:t>
            </w:r>
            <w:r w:rsidRPr="00DD3442">
              <w:rPr>
                <w:b/>
                <w:bCs/>
                <w:sz w:val="18"/>
                <w:szCs w:val="18"/>
                <w:shd w:val="clear" w:color="auto" w:fill="D5EBDA" w:themeFill="accent6" w:themeFillTint="33"/>
              </w:rPr>
              <w:t>Acceding to the Nairobi Convention, applying it RAVs and foreign vessels in the EEZ and territorial sea.</w:t>
            </w:r>
          </w:p>
        </w:tc>
      </w:tr>
      <w:tr w:rsidR="00E9354D" w14:paraId="2F361D1A" w14:textId="77777777" w:rsidTr="00877BDF">
        <w:trPr>
          <w:gridBefore w:val="1"/>
          <w:wBefore w:w="454" w:type="dxa"/>
        </w:trPr>
        <w:tc>
          <w:tcPr>
            <w:tcW w:w="829" w:type="dxa"/>
            <w:shd w:val="clear" w:color="auto" w:fill="auto"/>
          </w:tcPr>
          <w:p w14:paraId="780FF6ED" w14:textId="77777777" w:rsidR="00E9354D" w:rsidRPr="00DD3442" w:rsidRDefault="00E9354D" w:rsidP="00877BDF">
            <w:pPr>
              <w:pStyle w:val="Tabletext"/>
              <w:rPr>
                <w:b/>
                <w:bCs/>
                <w:sz w:val="18"/>
                <w:szCs w:val="18"/>
              </w:rPr>
            </w:pPr>
          </w:p>
        </w:tc>
        <w:tc>
          <w:tcPr>
            <w:tcW w:w="2977" w:type="dxa"/>
            <w:shd w:val="clear" w:color="auto" w:fill="auto"/>
          </w:tcPr>
          <w:p w14:paraId="1780ECDE" w14:textId="792AFC4B" w:rsidR="00E9354D" w:rsidRPr="00DD3442" w:rsidRDefault="00E9354D" w:rsidP="00877BDF">
            <w:pPr>
              <w:pStyle w:val="Tablelistbullet"/>
              <w:rPr>
                <w:sz w:val="18"/>
                <w:szCs w:val="18"/>
              </w:rPr>
            </w:pPr>
            <w:r w:rsidRPr="00DD3442">
              <w:rPr>
                <w:sz w:val="18"/>
                <w:szCs w:val="18"/>
              </w:rPr>
              <w:t>Shipowners to maintain insurance to cover wreck-related costs.</w:t>
            </w:r>
          </w:p>
          <w:p w14:paraId="480BC369" w14:textId="77777777" w:rsidR="00E9354D" w:rsidRPr="00DD3442" w:rsidRDefault="00E9354D" w:rsidP="00877BDF">
            <w:pPr>
              <w:pStyle w:val="Tablelistbullet"/>
              <w:rPr>
                <w:sz w:val="18"/>
                <w:szCs w:val="18"/>
              </w:rPr>
            </w:pPr>
            <w:r w:rsidRPr="00DD3442">
              <w:rPr>
                <w:sz w:val="18"/>
                <w:szCs w:val="18"/>
              </w:rPr>
              <w:t xml:space="preserve">It would be more important in a Territorial Sea context as it includes a greater number of environmentally sensitive areas </w:t>
            </w:r>
          </w:p>
          <w:p w14:paraId="065466EB" w14:textId="77777777" w:rsidR="00E9354D" w:rsidRPr="00DD3442" w:rsidRDefault="00E9354D" w:rsidP="00877BDF">
            <w:pPr>
              <w:pStyle w:val="Tablelistbullet"/>
              <w:rPr>
                <w:sz w:val="18"/>
                <w:szCs w:val="18"/>
              </w:rPr>
            </w:pPr>
            <w:r w:rsidRPr="00DD3442">
              <w:rPr>
                <w:sz w:val="18"/>
                <w:szCs w:val="18"/>
              </w:rPr>
              <w:t xml:space="preserve">Consistent application of the Nairobi Convention between the EEZ and the Territorial Sea promotes increased safety of navigation, boosted </w:t>
            </w:r>
            <w:r w:rsidRPr="00DD3442">
              <w:rPr>
                <w:sz w:val="18"/>
                <w:szCs w:val="18"/>
              </w:rPr>
              <w:lastRenderedPageBreak/>
              <w:t xml:space="preserve">environmental protection and harmonised liability and compensation regimes. </w:t>
            </w:r>
          </w:p>
          <w:p w14:paraId="6EFCFBB1" w14:textId="77777777" w:rsidR="00E9354D" w:rsidRPr="00DD3442" w:rsidRDefault="00E9354D" w:rsidP="00877BDF">
            <w:pPr>
              <w:pStyle w:val="Tablelistbullet"/>
              <w:rPr>
                <w:sz w:val="18"/>
                <w:szCs w:val="18"/>
              </w:rPr>
            </w:pPr>
            <w:r w:rsidRPr="00DD3442">
              <w:rPr>
                <w:sz w:val="18"/>
                <w:szCs w:val="18"/>
              </w:rPr>
              <w:t xml:space="preserve">The financial security requirement in the Navigation Act for the owners of foreign vessels in the Territorial Sea will be simplified, as the insurance certificate would be sufficient. </w:t>
            </w:r>
          </w:p>
          <w:p w14:paraId="7A50A996" w14:textId="77777777" w:rsidR="00E9354D" w:rsidRPr="00DD3442" w:rsidRDefault="00E9354D" w:rsidP="00877BDF">
            <w:pPr>
              <w:pStyle w:val="Tablelistbullet"/>
              <w:rPr>
                <w:sz w:val="18"/>
                <w:szCs w:val="18"/>
              </w:rPr>
            </w:pPr>
            <w:r w:rsidRPr="00DD3442">
              <w:rPr>
                <w:sz w:val="18"/>
                <w:szCs w:val="18"/>
              </w:rPr>
              <w:t>Foreign vessels transiting through Australia’s Territorial Sea in the Torres Strait would need to comply with these requirements, even if they are not intending to berth in Australia</w:t>
            </w:r>
          </w:p>
        </w:tc>
        <w:tc>
          <w:tcPr>
            <w:tcW w:w="3617" w:type="dxa"/>
            <w:shd w:val="clear" w:color="auto" w:fill="auto"/>
          </w:tcPr>
          <w:p w14:paraId="0386DC1A" w14:textId="77777777" w:rsidR="00E9354D" w:rsidRPr="00DD3442" w:rsidRDefault="00E9354D" w:rsidP="00877BDF">
            <w:pPr>
              <w:pStyle w:val="Tablelistbullet"/>
              <w:rPr>
                <w:sz w:val="18"/>
                <w:szCs w:val="18"/>
              </w:rPr>
            </w:pPr>
            <w:r w:rsidRPr="00DD3442">
              <w:rPr>
                <w:sz w:val="18"/>
                <w:szCs w:val="18"/>
              </w:rPr>
              <w:lastRenderedPageBreak/>
              <w:t xml:space="preserve">The Convention imposes time limits on cost recovery actions where none currently exist in the Navigation Act </w:t>
            </w:r>
          </w:p>
          <w:p w14:paraId="67B6879E" w14:textId="534E9EAB" w:rsidR="00E9354D" w:rsidRPr="00DD3442" w:rsidRDefault="00E9354D" w:rsidP="00877BDF">
            <w:pPr>
              <w:pStyle w:val="Tablelistbullet"/>
              <w:rPr>
                <w:sz w:val="18"/>
                <w:szCs w:val="18"/>
              </w:rPr>
            </w:pPr>
            <w:r w:rsidRPr="00DD3442">
              <w:rPr>
                <w:sz w:val="18"/>
                <w:szCs w:val="18"/>
              </w:rPr>
              <w:t xml:space="preserve">Australia would lose some flexibility in designing the regulatory framework in the Territorial Sea, given it must be consistent with the requirements of </w:t>
            </w:r>
            <w:r w:rsidR="00C06190" w:rsidRPr="00DD3442">
              <w:rPr>
                <w:sz w:val="18"/>
                <w:szCs w:val="18"/>
              </w:rPr>
              <w:t>the Nairobi Convention</w:t>
            </w:r>
            <w:r w:rsidRPr="00DD3442">
              <w:rPr>
                <w:sz w:val="18"/>
                <w:szCs w:val="18"/>
              </w:rPr>
              <w:t xml:space="preserve">. </w:t>
            </w:r>
          </w:p>
          <w:p w14:paraId="607D9EC0" w14:textId="77777777" w:rsidR="00E9354D" w:rsidRPr="00DD3442" w:rsidRDefault="00E9354D" w:rsidP="00877BDF">
            <w:pPr>
              <w:pStyle w:val="Tablelistbullet"/>
              <w:rPr>
                <w:sz w:val="18"/>
                <w:szCs w:val="18"/>
              </w:rPr>
            </w:pPr>
            <w:r w:rsidRPr="00DD3442">
              <w:rPr>
                <w:sz w:val="18"/>
                <w:szCs w:val="18"/>
              </w:rPr>
              <w:t xml:space="preserve">While the Nairobi Convention would apply in the Territorial Sea, it would continue not to apply in coastal waters, from the Territorial Sea baseline </w:t>
            </w:r>
            <w:r w:rsidRPr="00DD3442">
              <w:rPr>
                <w:sz w:val="18"/>
                <w:szCs w:val="18"/>
              </w:rPr>
              <w:lastRenderedPageBreak/>
              <w:t xml:space="preserve">to 3 nautical miles, as they are under state and territory control through the Offshore Constitutional Settlement </w:t>
            </w:r>
          </w:p>
        </w:tc>
        <w:tc>
          <w:tcPr>
            <w:tcW w:w="2475" w:type="dxa"/>
            <w:shd w:val="clear" w:color="auto" w:fill="auto"/>
          </w:tcPr>
          <w:p w14:paraId="4E400A3C" w14:textId="77777777" w:rsidR="00E9354D" w:rsidRPr="00DD3442" w:rsidRDefault="00E9354D" w:rsidP="00877BDF">
            <w:pPr>
              <w:pStyle w:val="Tabletext"/>
              <w:rPr>
                <w:sz w:val="18"/>
                <w:szCs w:val="18"/>
              </w:rPr>
            </w:pPr>
            <w:r w:rsidRPr="00DD3442">
              <w:rPr>
                <w:b/>
                <w:bCs/>
                <w:sz w:val="18"/>
                <w:szCs w:val="18"/>
              </w:rPr>
              <w:lastRenderedPageBreak/>
              <w:t>Benefits</w:t>
            </w:r>
            <w:r w:rsidRPr="00DD3442">
              <w:rPr>
                <w:sz w:val="18"/>
                <w:szCs w:val="18"/>
              </w:rPr>
              <w:t>:</w:t>
            </w:r>
          </w:p>
          <w:p w14:paraId="09D57B83" w14:textId="77777777" w:rsidR="00E9354D" w:rsidRPr="00DD3442" w:rsidRDefault="00E9354D" w:rsidP="00877BDF">
            <w:pPr>
              <w:pStyle w:val="Tablelistbullet"/>
              <w:rPr>
                <w:sz w:val="18"/>
                <w:szCs w:val="18"/>
              </w:rPr>
            </w:pPr>
            <w:r w:rsidRPr="00DD3442">
              <w:rPr>
                <w:sz w:val="18"/>
                <w:szCs w:val="18"/>
              </w:rPr>
              <w:t>Broader scope and definition in both Territorial Sea and EEZ</w:t>
            </w:r>
          </w:p>
          <w:p w14:paraId="5DF010A7" w14:textId="77777777" w:rsidR="00E9354D" w:rsidRPr="00DD3442" w:rsidRDefault="00E9354D" w:rsidP="00877BDF">
            <w:pPr>
              <w:pStyle w:val="Tablelistbullet"/>
              <w:rPr>
                <w:sz w:val="18"/>
                <w:szCs w:val="18"/>
              </w:rPr>
            </w:pPr>
            <w:r w:rsidRPr="00DD3442">
              <w:rPr>
                <w:sz w:val="18"/>
                <w:szCs w:val="18"/>
              </w:rPr>
              <w:t>Legal rights to AMSA in both EEZ and Territorial Sea</w:t>
            </w:r>
          </w:p>
          <w:p w14:paraId="5DBBBC1F" w14:textId="291C18E6" w:rsidR="00E9354D" w:rsidRPr="00DD3442" w:rsidRDefault="00E9354D" w:rsidP="00877BDF">
            <w:pPr>
              <w:pStyle w:val="Tablelistbullet"/>
              <w:rPr>
                <w:sz w:val="18"/>
                <w:szCs w:val="18"/>
              </w:rPr>
            </w:pPr>
            <w:r w:rsidRPr="00DD3442">
              <w:rPr>
                <w:sz w:val="18"/>
                <w:szCs w:val="18"/>
              </w:rPr>
              <w:t xml:space="preserve">Relatively more cost recovery </w:t>
            </w:r>
            <w:r w:rsidR="00087B7A" w:rsidRPr="00DD3442">
              <w:rPr>
                <w:sz w:val="18"/>
                <w:szCs w:val="18"/>
              </w:rPr>
              <w:t>by AMSA</w:t>
            </w:r>
          </w:p>
          <w:p w14:paraId="062CC8DB" w14:textId="4A1064E9" w:rsidR="00E9354D" w:rsidRPr="00DD3442" w:rsidRDefault="00E9354D" w:rsidP="00877BDF">
            <w:pPr>
              <w:pStyle w:val="Tablelistbullet"/>
              <w:rPr>
                <w:sz w:val="18"/>
                <w:szCs w:val="18"/>
              </w:rPr>
            </w:pPr>
            <w:r w:rsidRPr="00DD3442">
              <w:rPr>
                <w:sz w:val="18"/>
                <w:szCs w:val="18"/>
              </w:rPr>
              <w:t>Improved consistency r</w:t>
            </w:r>
            <w:r w:rsidR="00DD3442">
              <w:rPr>
                <w:sz w:val="18"/>
                <w:szCs w:val="18"/>
              </w:rPr>
              <w:t>elative to Option 1 and Option 3</w:t>
            </w:r>
          </w:p>
          <w:p w14:paraId="7F2239FE" w14:textId="1E3D1A65" w:rsidR="00E9354D" w:rsidRPr="00DD3442" w:rsidRDefault="00E9354D" w:rsidP="00877BDF">
            <w:pPr>
              <w:pStyle w:val="Tablelistbullet"/>
              <w:rPr>
                <w:sz w:val="18"/>
                <w:szCs w:val="18"/>
              </w:rPr>
            </w:pPr>
            <w:r w:rsidRPr="00DD3442">
              <w:rPr>
                <w:sz w:val="18"/>
                <w:szCs w:val="18"/>
              </w:rPr>
              <w:lastRenderedPageBreak/>
              <w:t>Simplified insurance requirements</w:t>
            </w:r>
          </w:p>
          <w:p w14:paraId="292A52E2" w14:textId="20AEA777" w:rsidR="00AB0768" w:rsidRPr="00DD3442" w:rsidRDefault="00AB0768" w:rsidP="00877BDF">
            <w:pPr>
              <w:pStyle w:val="Tablelistbullet"/>
              <w:rPr>
                <w:sz w:val="18"/>
                <w:szCs w:val="18"/>
              </w:rPr>
            </w:pPr>
            <w:r w:rsidRPr="00DD3442">
              <w:rPr>
                <w:sz w:val="18"/>
                <w:szCs w:val="18"/>
              </w:rPr>
              <w:t>Avoided judicial and legal costs</w:t>
            </w:r>
          </w:p>
          <w:p w14:paraId="38BA030B" w14:textId="07E09FE1" w:rsidR="00AB0768" w:rsidRPr="00DD3442" w:rsidRDefault="00AB0768" w:rsidP="00877BDF">
            <w:pPr>
              <w:pStyle w:val="Tablelistbullet"/>
              <w:rPr>
                <w:sz w:val="18"/>
                <w:szCs w:val="18"/>
              </w:rPr>
            </w:pPr>
            <w:r w:rsidRPr="00DD3442">
              <w:rPr>
                <w:sz w:val="18"/>
                <w:szCs w:val="18"/>
              </w:rPr>
              <w:t>Avoided financial security costs</w:t>
            </w:r>
          </w:p>
          <w:p w14:paraId="01AB7E9D" w14:textId="77777777" w:rsidR="00E9354D" w:rsidRPr="00DD3442" w:rsidRDefault="00116911" w:rsidP="00877BDF">
            <w:pPr>
              <w:pStyle w:val="Tabletext"/>
              <w:rPr>
                <w:b/>
                <w:bCs/>
                <w:sz w:val="18"/>
                <w:szCs w:val="18"/>
              </w:rPr>
            </w:pPr>
            <w:r w:rsidRPr="00DD3442">
              <w:rPr>
                <w:b/>
                <w:bCs/>
                <w:sz w:val="18"/>
                <w:szCs w:val="18"/>
              </w:rPr>
              <w:t>Costs:</w:t>
            </w:r>
          </w:p>
          <w:p w14:paraId="3E3D1448" w14:textId="25290EA3" w:rsidR="00116911" w:rsidRPr="00DD3442" w:rsidRDefault="00116911" w:rsidP="00116911">
            <w:pPr>
              <w:pStyle w:val="Tabletext"/>
              <w:numPr>
                <w:ilvl w:val="0"/>
                <w:numId w:val="41"/>
              </w:numPr>
              <w:rPr>
                <w:sz w:val="18"/>
                <w:szCs w:val="18"/>
              </w:rPr>
            </w:pPr>
            <w:r w:rsidRPr="00DD3442">
              <w:rPr>
                <w:sz w:val="18"/>
                <w:szCs w:val="18"/>
              </w:rPr>
              <w:t>Administrative costs</w:t>
            </w:r>
          </w:p>
          <w:p w14:paraId="483FD8DC" w14:textId="1D52AFE3" w:rsidR="00116911" w:rsidRPr="00DD3442" w:rsidRDefault="00116911" w:rsidP="00116911">
            <w:pPr>
              <w:pStyle w:val="Tabletext"/>
              <w:numPr>
                <w:ilvl w:val="0"/>
                <w:numId w:val="41"/>
              </w:numPr>
              <w:rPr>
                <w:sz w:val="18"/>
                <w:szCs w:val="18"/>
              </w:rPr>
            </w:pPr>
            <w:r w:rsidRPr="00DD3442">
              <w:rPr>
                <w:sz w:val="18"/>
                <w:szCs w:val="18"/>
              </w:rPr>
              <w:t>Additional cost to the shipping industry</w:t>
            </w:r>
            <w:r w:rsidR="00625E61" w:rsidRPr="00DD3442">
              <w:rPr>
                <w:sz w:val="18"/>
                <w:szCs w:val="18"/>
              </w:rPr>
              <w:t xml:space="preserve"> - annual insurance certificate from a Member State</w:t>
            </w:r>
          </w:p>
          <w:p w14:paraId="5F17CD91" w14:textId="749C03A6" w:rsidR="00116911" w:rsidRPr="00DD3442" w:rsidRDefault="00116911" w:rsidP="00116911">
            <w:pPr>
              <w:pStyle w:val="Tabletext"/>
              <w:numPr>
                <w:ilvl w:val="0"/>
                <w:numId w:val="41"/>
              </w:numPr>
              <w:rPr>
                <w:sz w:val="18"/>
                <w:szCs w:val="18"/>
              </w:rPr>
            </w:pPr>
            <w:r w:rsidRPr="00DD3442">
              <w:rPr>
                <w:sz w:val="18"/>
                <w:szCs w:val="18"/>
              </w:rPr>
              <w:t>Additional compulsory insurance costs</w:t>
            </w:r>
          </w:p>
        </w:tc>
      </w:tr>
      <w:tr w:rsidR="00E9354D" w14:paraId="11F1A6C7" w14:textId="77777777" w:rsidTr="00E71427">
        <w:trPr>
          <w:gridBefore w:val="1"/>
          <w:wBefore w:w="454" w:type="dxa"/>
        </w:trPr>
        <w:tc>
          <w:tcPr>
            <w:tcW w:w="9898" w:type="dxa"/>
            <w:gridSpan w:val="4"/>
            <w:shd w:val="clear" w:color="auto" w:fill="D5EBDA" w:themeFill="accent6" w:themeFillTint="33"/>
          </w:tcPr>
          <w:p w14:paraId="4A0737BA" w14:textId="40DF05E9" w:rsidR="00E9354D" w:rsidRPr="00DD3442" w:rsidRDefault="00DD3442" w:rsidP="00877BDF">
            <w:pPr>
              <w:pStyle w:val="Tabletext"/>
              <w:rPr>
                <w:sz w:val="18"/>
                <w:szCs w:val="18"/>
              </w:rPr>
            </w:pPr>
            <w:r>
              <w:rPr>
                <w:b/>
                <w:bCs/>
                <w:sz w:val="18"/>
                <w:szCs w:val="18"/>
              </w:rPr>
              <w:lastRenderedPageBreak/>
              <w:t>Sub-option 1</w:t>
            </w:r>
            <w:r w:rsidR="00E9354D" w:rsidRPr="00DD3442">
              <w:rPr>
                <w:b/>
                <w:bCs/>
                <w:sz w:val="18"/>
                <w:szCs w:val="18"/>
              </w:rPr>
              <w:t xml:space="preserve">: </w:t>
            </w:r>
            <w:r w:rsidRPr="00DD3442">
              <w:rPr>
                <w:b/>
                <w:bCs/>
                <w:sz w:val="18"/>
                <w:szCs w:val="18"/>
              </w:rPr>
              <w:t>Applying the Nairobi Convention to Domestic Commercial Vessels.</w:t>
            </w:r>
          </w:p>
        </w:tc>
      </w:tr>
      <w:tr w:rsidR="00E9354D" w14:paraId="7C1841C0" w14:textId="77777777" w:rsidTr="00877BDF">
        <w:trPr>
          <w:gridBefore w:val="1"/>
          <w:wBefore w:w="454" w:type="dxa"/>
        </w:trPr>
        <w:tc>
          <w:tcPr>
            <w:tcW w:w="829" w:type="dxa"/>
            <w:shd w:val="clear" w:color="auto" w:fill="auto"/>
          </w:tcPr>
          <w:p w14:paraId="7E97C95A" w14:textId="77777777" w:rsidR="00E9354D" w:rsidRPr="00DD3442" w:rsidRDefault="00E9354D" w:rsidP="00877BDF">
            <w:pPr>
              <w:pStyle w:val="Tabletext"/>
              <w:rPr>
                <w:b/>
                <w:bCs/>
                <w:sz w:val="18"/>
                <w:szCs w:val="18"/>
              </w:rPr>
            </w:pPr>
          </w:p>
        </w:tc>
        <w:tc>
          <w:tcPr>
            <w:tcW w:w="2977" w:type="dxa"/>
            <w:shd w:val="clear" w:color="auto" w:fill="auto"/>
          </w:tcPr>
          <w:p w14:paraId="20147038" w14:textId="77777777" w:rsidR="00E9354D" w:rsidRPr="00DD3442" w:rsidRDefault="00E9354D" w:rsidP="00877BDF">
            <w:pPr>
              <w:pStyle w:val="Tablelistbullet"/>
              <w:rPr>
                <w:sz w:val="18"/>
                <w:szCs w:val="18"/>
              </w:rPr>
            </w:pPr>
            <w:r w:rsidRPr="00DD3442">
              <w:rPr>
                <w:sz w:val="18"/>
                <w:szCs w:val="18"/>
              </w:rPr>
              <w:t xml:space="preserve">Australia would have a single wreck removal framework covering all vessels in the EEZ and the Territorial Sea regardless of the type of commercial vessel and the type of voyage they were undertaking. </w:t>
            </w:r>
          </w:p>
          <w:p w14:paraId="4B21C4D2" w14:textId="77777777" w:rsidR="00E9354D" w:rsidRPr="00DD3442" w:rsidRDefault="00E9354D" w:rsidP="00877BDF">
            <w:pPr>
              <w:pStyle w:val="Tablelistbullet"/>
              <w:rPr>
                <w:sz w:val="18"/>
                <w:szCs w:val="18"/>
              </w:rPr>
            </w:pPr>
            <w:r w:rsidRPr="00DD3442">
              <w:rPr>
                <w:sz w:val="18"/>
                <w:szCs w:val="18"/>
              </w:rPr>
              <w:t xml:space="preserve">A single regulatory framework would exist to cover DCV-related wrecks wherever it may occur, including in state/territory-controlled waters. </w:t>
            </w:r>
          </w:p>
          <w:p w14:paraId="69889A22" w14:textId="5F4E2D99" w:rsidR="00E9354D" w:rsidRPr="00DD3442" w:rsidRDefault="00E9354D" w:rsidP="00DD3442">
            <w:pPr>
              <w:pStyle w:val="Tablelistbullet"/>
              <w:numPr>
                <w:ilvl w:val="0"/>
                <w:numId w:val="0"/>
              </w:numPr>
              <w:rPr>
                <w:sz w:val="18"/>
                <w:szCs w:val="18"/>
              </w:rPr>
            </w:pPr>
          </w:p>
        </w:tc>
        <w:tc>
          <w:tcPr>
            <w:tcW w:w="3617" w:type="dxa"/>
            <w:shd w:val="clear" w:color="auto" w:fill="auto"/>
          </w:tcPr>
          <w:p w14:paraId="388DEF22" w14:textId="5581093D" w:rsidR="00E9354D" w:rsidRPr="00DD3442" w:rsidRDefault="00E9354D" w:rsidP="00877BDF">
            <w:pPr>
              <w:pStyle w:val="Tablelistbullet"/>
              <w:rPr>
                <w:sz w:val="18"/>
                <w:szCs w:val="18"/>
              </w:rPr>
            </w:pPr>
            <w:r w:rsidRPr="00DD3442">
              <w:rPr>
                <w:sz w:val="18"/>
                <w:szCs w:val="18"/>
              </w:rPr>
              <w:t xml:space="preserve">The requirement for DCVs 300 GT and over to hold wreck-related insurance would be a new cost for owners as they are unlikely to hold an insurance policy from P&amp;I Clubs and so will not already be covered. However, it is estimated this requirement will impact 251 vessels out of the approximately 27,000 DCVs, representing 0.9 per cent of the sector. DCV owners would be able to pass on any additional costs to the public, the freight forwarder or the charter party or recover any wreck recovery-related costs through their contracts with the operator. </w:t>
            </w:r>
          </w:p>
          <w:p w14:paraId="381BAA98" w14:textId="72FF2552" w:rsidR="00E9354D" w:rsidRPr="00DD3442" w:rsidRDefault="00E9354D" w:rsidP="00877BDF">
            <w:pPr>
              <w:pStyle w:val="Tablelistbullet"/>
              <w:rPr>
                <w:sz w:val="18"/>
                <w:szCs w:val="18"/>
              </w:rPr>
            </w:pPr>
            <w:r w:rsidRPr="00DD3442">
              <w:rPr>
                <w:sz w:val="18"/>
                <w:szCs w:val="18"/>
              </w:rPr>
              <w:t>It is likely DCV owners would seek fixed premium insurance policies, rather than a policy from a P&amp;I Club.</w:t>
            </w:r>
          </w:p>
          <w:p w14:paraId="0D21B62A" w14:textId="7DDDAF67" w:rsidR="00E9354D" w:rsidRPr="00DD3442" w:rsidRDefault="00E9354D" w:rsidP="00127BD6">
            <w:pPr>
              <w:pStyle w:val="Tablelistbullet"/>
              <w:rPr>
                <w:sz w:val="18"/>
                <w:szCs w:val="18"/>
              </w:rPr>
            </w:pPr>
            <w:r w:rsidRPr="00DD3442">
              <w:rPr>
                <w:sz w:val="18"/>
                <w:szCs w:val="18"/>
              </w:rPr>
              <w:t xml:space="preserve">Incorporating DCVs under the Nairobi Convention framework would create a legislative gap that would need to be addressed in any model law. </w:t>
            </w:r>
            <w:r w:rsidR="00127BD6" w:rsidRPr="00DD3442">
              <w:rPr>
                <w:sz w:val="18"/>
                <w:szCs w:val="18"/>
              </w:rPr>
              <w:t>The Convention does not cover abandoned or dumped ships that may not be a result of an identifiable maritime casualty.</w:t>
            </w:r>
            <w:r w:rsidRPr="00DD3442">
              <w:rPr>
                <w:sz w:val="18"/>
                <w:szCs w:val="18"/>
              </w:rPr>
              <w:t xml:space="preserve"> </w:t>
            </w:r>
          </w:p>
        </w:tc>
        <w:tc>
          <w:tcPr>
            <w:tcW w:w="2475" w:type="dxa"/>
            <w:shd w:val="clear" w:color="auto" w:fill="auto"/>
          </w:tcPr>
          <w:p w14:paraId="61562593" w14:textId="77777777" w:rsidR="00E9354D" w:rsidRPr="00DD3442" w:rsidRDefault="00E9354D" w:rsidP="00877BDF">
            <w:pPr>
              <w:pStyle w:val="Tabletext"/>
              <w:rPr>
                <w:b/>
                <w:bCs/>
                <w:sz w:val="18"/>
                <w:szCs w:val="18"/>
              </w:rPr>
            </w:pPr>
            <w:r w:rsidRPr="00DD3442">
              <w:rPr>
                <w:b/>
                <w:bCs/>
                <w:sz w:val="18"/>
                <w:szCs w:val="18"/>
              </w:rPr>
              <w:t>Benefits:</w:t>
            </w:r>
          </w:p>
          <w:p w14:paraId="40EC5AB5" w14:textId="5DDB87F0" w:rsidR="00E9354D" w:rsidRPr="00DD3442" w:rsidRDefault="00E9354D" w:rsidP="00877BDF">
            <w:pPr>
              <w:pStyle w:val="Tablelistbullet"/>
              <w:rPr>
                <w:sz w:val="18"/>
                <w:szCs w:val="18"/>
              </w:rPr>
            </w:pPr>
            <w:r w:rsidRPr="00DD3442">
              <w:rPr>
                <w:sz w:val="18"/>
                <w:szCs w:val="18"/>
              </w:rPr>
              <w:t>Broader scope and definition in both Territorial Sea and EEZ for DCVs</w:t>
            </w:r>
          </w:p>
          <w:p w14:paraId="4660B795" w14:textId="77777777" w:rsidR="00E9354D" w:rsidRPr="00DD3442" w:rsidRDefault="00E9354D" w:rsidP="00877BDF">
            <w:pPr>
              <w:pStyle w:val="Tablelistbullet"/>
              <w:rPr>
                <w:sz w:val="18"/>
                <w:szCs w:val="18"/>
              </w:rPr>
            </w:pPr>
            <w:r w:rsidRPr="00DD3442">
              <w:rPr>
                <w:sz w:val="18"/>
                <w:szCs w:val="18"/>
              </w:rPr>
              <w:t>Improved consistency and single regulatory framework</w:t>
            </w:r>
          </w:p>
          <w:p w14:paraId="076FA334" w14:textId="77777777" w:rsidR="00E9354D" w:rsidRPr="00DD3442" w:rsidRDefault="00E9354D" w:rsidP="00877BDF">
            <w:pPr>
              <w:pStyle w:val="Tabletext"/>
              <w:rPr>
                <w:sz w:val="18"/>
                <w:szCs w:val="18"/>
              </w:rPr>
            </w:pPr>
            <w:r w:rsidRPr="00DD3442">
              <w:rPr>
                <w:b/>
                <w:bCs/>
                <w:sz w:val="18"/>
                <w:szCs w:val="18"/>
              </w:rPr>
              <w:t>Costs</w:t>
            </w:r>
            <w:r w:rsidRPr="00DD3442">
              <w:rPr>
                <w:sz w:val="18"/>
                <w:szCs w:val="18"/>
              </w:rPr>
              <w:t>:</w:t>
            </w:r>
          </w:p>
          <w:p w14:paraId="60D4ADB9" w14:textId="77777777" w:rsidR="00E9354D" w:rsidRPr="00DD3442" w:rsidRDefault="00E9354D" w:rsidP="00877BDF">
            <w:pPr>
              <w:pStyle w:val="Tablelistbullet"/>
              <w:rPr>
                <w:sz w:val="18"/>
                <w:szCs w:val="18"/>
              </w:rPr>
            </w:pPr>
            <w:r w:rsidRPr="00DD3442">
              <w:rPr>
                <w:sz w:val="18"/>
                <w:szCs w:val="18"/>
              </w:rPr>
              <w:t>Insurance costs will be higher for about 250 vessels</w:t>
            </w:r>
          </w:p>
          <w:p w14:paraId="1DD128D5" w14:textId="77777777" w:rsidR="00E9354D" w:rsidRPr="00DD3442" w:rsidRDefault="00E9354D" w:rsidP="00DD3442">
            <w:pPr>
              <w:pStyle w:val="Tablelistbullet"/>
              <w:numPr>
                <w:ilvl w:val="0"/>
                <w:numId w:val="0"/>
              </w:numPr>
              <w:ind w:left="280"/>
              <w:rPr>
                <w:sz w:val="18"/>
                <w:szCs w:val="18"/>
              </w:rPr>
            </w:pPr>
          </w:p>
        </w:tc>
      </w:tr>
      <w:tr w:rsidR="00E9354D" w14:paraId="029E3CA6" w14:textId="77777777" w:rsidTr="00877BDF">
        <w:trPr>
          <w:gridBefore w:val="1"/>
          <w:wBefore w:w="454" w:type="dxa"/>
        </w:trPr>
        <w:tc>
          <w:tcPr>
            <w:tcW w:w="9898" w:type="dxa"/>
            <w:gridSpan w:val="4"/>
            <w:tcBorders>
              <w:bottom w:val="single" w:sz="4" w:space="0" w:color="646464"/>
            </w:tcBorders>
            <w:shd w:val="clear" w:color="auto" w:fill="auto"/>
          </w:tcPr>
          <w:p w14:paraId="499F62CD" w14:textId="77777777" w:rsidR="00E9354D" w:rsidRPr="00DD3442" w:rsidRDefault="00E9354D" w:rsidP="00877BDF">
            <w:pPr>
              <w:pStyle w:val="Source"/>
              <w:rPr>
                <w:sz w:val="18"/>
                <w:szCs w:val="18"/>
              </w:rPr>
            </w:pPr>
            <w:r w:rsidRPr="00DD3442">
              <w:rPr>
                <w:sz w:val="18"/>
                <w:szCs w:val="18"/>
              </w:rPr>
              <w:t>Source: ACIL Allen Analysis based on Department’s Discussion Paper 2020.</w:t>
            </w:r>
          </w:p>
        </w:tc>
      </w:tr>
      <w:tr w:rsidR="00E9354D" w14:paraId="326293DB" w14:textId="77777777" w:rsidTr="00877BDF">
        <w:trPr>
          <w:gridBefore w:val="1"/>
          <w:wBefore w:w="454" w:type="dxa"/>
          <w:trHeight w:hRule="exact" w:val="160"/>
        </w:trPr>
        <w:tc>
          <w:tcPr>
            <w:tcW w:w="9898" w:type="dxa"/>
            <w:gridSpan w:val="4"/>
            <w:tcBorders>
              <w:top w:val="single" w:sz="4" w:space="0" w:color="646464"/>
              <w:bottom w:val="nil"/>
            </w:tcBorders>
            <w:shd w:val="clear" w:color="auto" w:fill="auto"/>
          </w:tcPr>
          <w:p w14:paraId="0B896E8B" w14:textId="77777777" w:rsidR="00E9354D" w:rsidRPr="00DD3442" w:rsidRDefault="00E9354D" w:rsidP="00877BDF">
            <w:pPr>
              <w:pStyle w:val="spacer"/>
              <w:rPr>
                <w:sz w:val="18"/>
                <w:szCs w:val="18"/>
              </w:rPr>
            </w:pPr>
          </w:p>
        </w:tc>
      </w:tr>
    </w:tbl>
    <w:p w14:paraId="4213E294" w14:textId="42A2BDC5" w:rsidR="00DB4A0F" w:rsidRDefault="00DB4A0F" w:rsidP="00DB4A0F">
      <w:pPr>
        <w:pStyle w:val="Heading2"/>
      </w:pPr>
      <w:bookmarkStart w:id="30" w:name="_Toc99543725"/>
      <w:r>
        <w:t>Incidence of costs and benefits</w:t>
      </w:r>
      <w:bookmarkEnd w:id="30"/>
    </w:p>
    <w:p w14:paraId="32184184" w14:textId="28B9A9B2" w:rsidR="00684C69" w:rsidRDefault="00575485" w:rsidP="007A6927">
      <w:pPr>
        <w:pStyle w:val="BodyText"/>
      </w:pPr>
      <w:r w:rsidRPr="00575485">
        <w:t>A</w:t>
      </w:r>
      <w:r w:rsidR="00EE20E3">
        <w:t>n</w:t>
      </w:r>
      <w:r w:rsidRPr="00575485">
        <w:t xml:space="preserve"> </w:t>
      </w:r>
      <w:r w:rsidR="00EE20E3">
        <w:t>incidence of</w:t>
      </w:r>
      <w:r w:rsidRPr="00575485">
        <w:t xml:space="preserve"> costs</w:t>
      </w:r>
      <w:r w:rsidR="00EE20E3">
        <w:t xml:space="preserve"> and benefits of </w:t>
      </w:r>
      <w:r w:rsidR="00684C69">
        <w:t xml:space="preserve">accession to </w:t>
      </w:r>
      <w:r w:rsidR="00087B7A">
        <w:t xml:space="preserve">the </w:t>
      </w:r>
      <w:r w:rsidR="00684C69">
        <w:t>Nairobi Convention</w:t>
      </w:r>
      <w:r w:rsidRPr="00575485">
        <w:t xml:space="preserve"> </w:t>
      </w:r>
      <w:r w:rsidR="00467640" w:rsidRPr="00575485">
        <w:t>is</w:t>
      </w:r>
      <w:r w:rsidRPr="00575485">
        <w:t xml:space="preserve"> summarised in </w:t>
      </w:r>
      <w:r w:rsidR="00684C69">
        <w:fldChar w:fldCharType="begin"/>
      </w:r>
      <w:r w:rsidR="00684C69">
        <w:instrText xml:space="preserve"> REF _Ref75096651 \h </w:instrText>
      </w:r>
      <w:r w:rsidR="00684C69">
        <w:fldChar w:fldCharType="separate"/>
      </w:r>
      <w:r w:rsidR="00966CD2" w:rsidRPr="00F5158F">
        <w:rPr>
          <w:rStyle w:val="CaptionLabel"/>
        </w:rPr>
        <w:t>Table </w:t>
      </w:r>
      <w:r w:rsidR="00966CD2">
        <w:rPr>
          <w:rStyle w:val="CaptionLabel"/>
          <w:noProof/>
        </w:rPr>
        <w:t>3</w:t>
      </w:r>
      <w:r w:rsidR="00966CD2" w:rsidRPr="00F5158F">
        <w:rPr>
          <w:rStyle w:val="CaptionLabel"/>
        </w:rPr>
        <w:t>.</w:t>
      </w:r>
      <w:r w:rsidR="00966CD2">
        <w:rPr>
          <w:rStyle w:val="CaptionLabel"/>
          <w:noProof/>
        </w:rPr>
        <w:t>2</w:t>
      </w:r>
      <w:r w:rsidR="00684C69">
        <w:fldChar w:fldCharType="end"/>
      </w:r>
      <w:r w:rsidRPr="00575485">
        <w:t xml:space="preserve">. </w:t>
      </w:r>
    </w:p>
    <w:p w14:paraId="1CD1320B" w14:textId="22CD82B9" w:rsidR="00035C3E" w:rsidRDefault="00575485" w:rsidP="007A6927">
      <w:pPr>
        <w:pStyle w:val="BodyText"/>
      </w:pPr>
      <w:r w:rsidRPr="00575485">
        <w:t xml:space="preserve">Not all the costs and benefits are quantified in this study (red text items in Table </w:t>
      </w:r>
      <w:r w:rsidR="007D610D">
        <w:t>3</w:t>
      </w:r>
      <w:r w:rsidRPr="00575485">
        <w:t xml:space="preserve">.2). This is due to the lack of data and empirical evidence of the impacts. </w:t>
      </w:r>
      <w:r>
        <w:t>W</w:t>
      </w:r>
      <w:r w:rsidRPr="00575485">
        <w:t xml:space="preserve">hile not quantified, they are </w:t>
      </w:r>
      <w:r w:rsidR="008C343D">
        <w:t xml:space="preserve">briefly </w:t>
      </w:r>
      <w:r w:rsidRPr="00575485">
        <w:t xml:space="preserve">discussed. </w:t>
      </w:r>
    </w:p>
    <w:p w14:paraId="46844E54" w14:textId="6579FB3C" w:rsidR="009F14AE" w:rsidRDefault="009F14AE" w:rsidP="009F14AE">
      <w:pPr>
        <w:pStyle w:val="BodyText"/>
      </w:pPr>
      <w:r>
        <w:t>Administrative costs are costs incurred by vessel owners primarily to demonstrate compliance with the regulation. Administrative costs include the time taken to demonstrate compliance with the regulation. Some examples of administrative costs are:</w:t>
      </w:r>
    </w:p>
    <w:p w14:paraId="5CBDB69E" w14:textId="77CEB2AC" w:rsidR="009F14AE" w:rsidRDefault="009F14AE" w:rsidP="009F14AE">
      <w:pPr>
        <w:pStyle w:val="ListBullet"/>
      </w:pPr>
      <w:r>
        <w:t>costs of making, keeping and providing records, particularly carrying</w:t>
      </w:r>
      <w:r w:rsidR="00625E61">
        <w:t xml:space="preserve"> an</w:t>
      </w:r>
      <w:r>
        <w:t xml:space="preserve"> </w:t>
      </w:r>
      <w:r w:rsidR="00625E61" w:rsidRPr="00B703F0">
        <w:t xml:space="preserve">annual </w:t>
      </w:r>
      <w:r w:rsidR="00625E61">
        <w:t>insurance certificate from a Member State</w:t>
      </w:r>
    </w:p>
    <w:p w14:paraId="7513BDE3" w14:textId="73E9B77D" w:rsidR="009F14AE" w:rsidRDefault="009F14AE" w:rsidP="009F14AE">
      <w:pPr>
        <w:pStyle w:val="ListBullet"/>
      </w:pPr>
      <w:r>
        <w:t>costs of notifying the government of a shipwreck</w:t>
      </w:r>
    </w:p>
    <w:p w14:paraId="3C86221E" w14:textId="3AEA245A" w:rsidR="009F14AE" w:rsidRDefault="009F14AE" w:rsidP="009F14AE">
      <w:pPr>
        <w:pStyle w:val="ListBullet"/>
      </w:pPr>
      <w:r>
        <w:lastRenderedPageBreak/>
        <w:t xml:space="preserve">compliance costs associated with financial costs, including the insurance costs incurred in complying with </w:t>
      </w:r>
      <w:r w:rsidR="00C06190">
        <w:t>the Nairobi Convention</w:t>
      </w:r>
      <w:r>
        <w:t>.</w:t>
      </w:r>
    </w:p>
    <w:p w14:paraId="0B0F68BA" w14:textId="2A47A4B8" w:rsidR="00EE20E3" w:rsidRDefault="00EE20E3" w:rsidP="00EE20E3">
      <w:pPr>
        <w:pStyle w:val="BodyText"/>
      </w:pPr>
      <w:r>
        <w:t xml:space="preserve">There would be administrative efficiencies from every jurisdiction having the same regulations in place for wreck removal. Applying </w:t>
      </w:r>
      <w:r w:rsidR="00C06190">
        <w:t>the Nairobi Convention</w:t>
      </w:r>
      <w:r>
        <w:t xml:space="preserve"> to the Territorial Sea would increase this efficiency gain.</w:t>
      </w:r>
    </w:p>
    <w:p w14:paraId="2D409865" w14:textId="511D7BDD" w:rsidR="009F14AE" w:rsidRDefault="00EE20E3" w:rsidP="00EE20E3">
      <w:pPr>
        <w:pStyle w:val="BodyText"/>
      </w:pPr>
      <w:r>
        <w:t>There would also be efficiency gains for shipowners. The Convention requires shipowners to maintain insurance through a simple single certificate leading to certainty for governments and businesses alike.</w:t>
      </w:r>
    </w:p>
    <w:p w14:paraId="72258E3D" w14:textId="57B75E25" w:rsidR="00035C3E" w:rsidRDefault="00F5158F" w:rsidP="00F5158F">
      <w:pPr>
        <w:pStyle w:val="Caption"/>
      </w:pPr>
      <w:bookmarkStart w:id="31" w:name="_Ref75096651"/>
      <w:bookmarkStart w:id="32" w:name="_Toc99543753"/>
      <w:r w:rsidRPr="00F5158F">
        <w:rPr>
          <w:rStyle w:val="CaptionLabel"/>
        </w:rPr>
        <w:t>Table </w:t>
      </w:r>
      <w:r w:rsidRPr="00F5158F">
        <w:rPr>
          <w:rStyle w:val="CaptionLabel"/>
        </w:rPr>
        <w:fldChar w:fldCharType="begin"/>
      </w:r>
      <w:r w:rsidRPr="00F5158F">
        <w:rPr>
          <w:rStyle w:val="CaptionLabel"/>
        </w:rPr>
        <w:instrText xml:space="preserve"> STYLEREF 1 \S \* MERGEFORMAT </w:instrText>
      </w:r>
      <w:r w:rsidRPr="00F5158F">
        <w:rPr>
          <w:rStyle w:val="CaptionLabel"/>
        </w:rPr>
        <w:fldChar w:fldCharType="separate"/>
      </w:r>
      <w:r w:rsidR="00966CD2">
        <w:rPr>
          <w:rStyle w:val="CaptionLabel"/>
          <w:noProof/>
        </w:rPr>
        <w:t>3</w:t>
      </w:r>
      <w:r w:rsidRPr="00F5158F">
        <w:rPr>
          <w:rStyle w:val="CaptionLabel"/>
        </w:rPr>
        <w:fldChar w:fldCharType="end"/>
      </w:r>
      <w:r w:rsidRPr="00F5158F">
        <w:rPr>
          <w:rStyle w:val="CaptionLabel"/>
        </w:rPr>
        <w:t>.</w:t>
      </w:r>
      <w:r w:rsidRPr="00F5158F">
        <w:rPr>
          <w:rStyle w:val="CaptionLabel"/>
        </w:rPr>
        <w:fldChar w:fldCharType="begin"/>
      </w:r>
      <w:r w:rsidRPr="00F5158F">
        <w:rPr>
          <w:rStyle w:val="CaptionLabel"/>
        </w:rPr>
        <w:instrText xml:space="preserve"> SEQ Table \* ARABIC \S 1 \* MERGEFORMAT </w:instrText>
      </w:r>
      <w:r w:rsidRPr="00F5158F">
        <w:rPr>
          <w:rStyle w:val="CaptionLabel"/>
        </w:rPr>
        <w:fldChar w:fldCharType="separate"/>
      </w:r>
      <w:r w:rsidR="00966CD2">
        <w:rPr>
          <w:rStyle w:val="CaptionLabel"/>
          <w:noProof/>
        </w:rPr>
        <w:t>2</w:t>
      </w:r>
      <w:r w:rsidRPr="00F5158F">
        <w:rPr>
          <w:rStyle w:val="CaptionLabel"/>
        </w:rPr>
        <w:fldChar w:fldCharType="end"/>
      </w:r>
      <w:bookmarkEnd w:id="31"/>
      <w:r>
        <w:tab/>
      </w:r>
      <w:r w:rsidR="00EE20E3">
        <w:t>Incidence of costs and benefits</w:t>
      </w:r>
      <w:bookmarkEnd w:id="32"/>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985"/>
        <w:gridCol w:w="2268"/>
        <w:gridCol w:w="1559"/>
        <w:gridCol w:w="2124"/>
      </w:tblGrid>
      <w:tr w:rsidR="009F14AE" w14:paraId="5BD06290" w14:textId="77777777" w:rsidTr="00467640">
        <w:trPr>
          <w:tblHeader/>
        </w:trPr>
        <w:tc>
          <w:tcPr>
            <w:tcW w:w="2439" w:type="dxa"/>
            <w:gridSpan w:val="2"/>
            <w:tcBorders>
              <w:top w:val="nil"/>
              <w:bottom w:val="nil"/>
            </w:tcBorders>
            <w:shd w:val="clear" w:color="auto" w:fill="140034"/>
            <w:tcMar>
              <w:left w:w="454" w:type="dxa"/>
            </w:tcMar>
          </w:tcPr>
          <w:p w14:paraId="32EC46E8" w14:textId="30805B80" w:rsidR="009F14AE" w:rsidRDefault="009F14AE" w:rsidP="00F5158F">
            <w:pPr>
              <w:pStyle w:val="Tablecolumnheadings"/>
            </w:pPr>
            <w:r>
              <w:t>Costs</w:t>
            </w:r>
          </w:p>
        </w:tc>
        <w:tc>
          <w:tcPr>
            <w:tcW w:w="2268" w:type="dxa"/>
            <w:tcBorders>
              <w:top w:val="nil"/>
              <w:bottom w:val="nil"/>
            </w:tcBorders>
            <w:shd w:val="clear" w:color="auto" w:fill="140034"/>
          </w:tcPr>
          <w:p w14:paraId="2D68F1D2" w14:textId="381D8EF3" w:rsidR="009F14AE" w:rsidRDefault="009F14AE" w:rsidP="00F5158F">
            <w:pPr>
              <w:pStyle w:val="Tablecolumnheadings"/>
            </w:pPr>
            <w:r>
              <w:t>Who will be affected</w:t>
            </w:r>
          </w:p>
        </w:tc>
        <w:tc>
          <w:tcPr>
            <w:tcW w:w="1559" w:type="dxa"/>
            <w:tcBorders>
              <w:top w:val="nil"/>
              <w:bottom w:val="nil"/>
            </w:tcBorders>
            <w:shd w:val="clear" w:color="auto" w:fill="140034"/>
          </w:tcPr>
          <w:p w14:paraId="2E11E054" w14:textId="727A8ECD" w:rsidR="009F14AE" w:rsidRDefault="009F14AE" w:rsidP="00F5158F">
            <w:pPr>
              <w:pStyle w:val="Tablecolumnheadings"/>
            </w:pPr>
            <w:r>
              <w:t>Benefits</w:t>
            </w:r>
          </w:p>
        </w:tc>
        <w:tc>
          <w:tcPr>
            <w:tcW w:w="2124" w:type="dxa"/>
            <w:tcBorders>
              <w:top w:val="nil"/>
              <w:bottom w:val="nil"/>
              <w:right w:val="single" w:sz="6" w:space="0" w:color="140034"/>
            </w:tcBorders>
            <w:shd w:val="clear" w:color="auto" w:fill="140034"/>
          </w:tcPr>
          <w:p w14:paraId="369DB909" w14:textId="2C4BC9A7" w:rsidR="009F14AE" w:rsidRDefault="00467640" w:rsidP="00F5158F">
            <w:pPr>
              <w:pStyle w:val="Tablecolumnheadings"/>
            </w:pPr>
            <w:r>
              <w:t>Who will benefit</w:t>
            </w:r>
          </w:p>
        </w:tc>
      </w:tr>
      <w:tr w:rsidR="009F14AE" w14:paraId="4A50678D" w14:textId="77777777" w:rsidTr="00467640">
        <w:trPr>
          <w:gridBefore w:val="1"/>
          <w:wBefore w:w="454" w:type="dxa"/>
        </w:trPr>
        <w:tc>
          <w:tcPr>
            <w:tcW w:w="1985" w:type="dxa"/>
            <w:tcBorders>
              <w:top w:val="nil"/>
            </w:tcBorders>
            <w:shd w:val="clear" w:color="auto" w:fill="auto"/>
          </w:tcPr>
          <w:p w14:paraId="64621569" w14:textId="50D73BB4" w:rsidR="009F14AE" w:rsidRDefault="009F14AE" w:rsidP="00F5158F">
            <w:pPr>
              <w:pStyle w:val="Tabletext"/>
            </w:pPr>
            <w:r>
              <w:t>Change in regulations</w:t>
            </w:r>
          </w:p>
        </w:tc>
        <w:tc>
          <w:tcPr>
            <w:tcW w:w="2268" w:type="dxa"/>
            <w:tcBorders>
              <w:top w:val="nil"/>
            </w:tcBorders>
            <w:shd w:val="clear" w:color="auto" w:fill="auto"/>
          </w:tcPr>
          <w:p w14:paraId="161E1DE1" w14:textId="5A02AF9B" w:rsidR="009F14AE" w:rsidRDefault="00773DF9" w:rsidP="00F5158F">
            <w:pPr>
              <w:pStyle w:val="Tabletext"/>
            </w:pPr>
            <w:r>
              <w:t xml:space="preserve">Australian </w:t>
            </w:r>
            <w:r w:rsidR="009F14AE">
              <w:t>Government</w:t>
            </w:r>
          </w:p>
          <w:p w14:paraId="2DCD6E5F" w14:textId="00FE4FB3" w:rsidR="009F14AE" w:rsidRDefault="009F14AE" w:rsidP="009F14AE">
            <w:pPr>
              <w:pStyle w:val="Tabletext"/>
            </w:pPr>
            <w:r>
              <w:t>Shipowners</w:t>
            </w:r>
          </w:p>
          <w:p w14:paraId="21DC5AF4" w14:textId="0E3561EA" w:rsidR="009F14AE" w:rsidRDefault="009F14AE" w:rsidP="009F14AE">
            <w:pPr>
              <w:pStyle w:val="Tabletext"/>
            </w:pPr>
            <w:r>
              <w:t>Ship insurers</w:t>
            </w:r>
          </w:p>
        </w:tc>
        <w:tc>
          <w:tcPr>
            <w:tcW w:w="1559" w:type="dxa"/>
            <w:tcBorders>
              <w:top w:val="nil"/>
            </w:tcBorders>
            <w:shd w:val="clear" w:color="auto" w:fill="auto"/>
          </w:tcPr>
          <w:p w14:paraId="1D99F525" w14:textId="3AAD5E07" w:rsidR="009F14AE" w:rsidRDefault="00467640" w:rsidP="00F5158F">
            <w:pPr>
              <w:pStyle w:val="Tabletext"/>
            </w:pPr>
            <w:r>
              <w:t xml:space="preserve">Expanded definition and broader scope </w:t>
            </w:r>
          </w:p>
        </w:tc>
        <w:tc>
          <w:tcPr>
            <w:tcW w:w="2124" w:type="dxa"/>
            <w:tcBorders>
              <w:top w:val="nil"/>
            </w:tcBorders>
            <w:shd w:val="clear" w:color="auto" w:fill="auto"/>
          </w:tcPr>
          <w:p w14:paraId="5B398FD9" w14:textId="501DAE87" w:rsidR="009F14AE" w:rsidRDefault="00467640" w:rsidP="00F5158F">
            <w:pPr>
              <w:pStyle w:val="Tabletext"/>
            </w:pPr>
            <w:r>
              <w:t>AMSA and shipping industry</w:t>
            </w:r>
          </w:p>
        </w:tc>
      </w:tr>
      <w:tr w:rsidR="00467640" w14:paraId="60324D36" w14:textId="77777777" w:rsidTr="00467640">
        <w:trPr>
          <w:gridBefore w:val="1"/>
          <w:wBefore w:w="454" w:type="dxa"/>
        </w:trPr>
        <w:tc>
          <w:tcPr>
            <w:tcW w:w="1985" w:type="dxa"/>
            <w:tcBorders>
              <w:top w:val="nil"/>
            </w:tcBorders>
            <w:shd w:val="clear" w:color="auto" w:fill="auto"/>
          </w:tcPr>
          <w:p w14:paraId="6057E1CE" w14:textId="0711FC8E" w:rsidR="00467640" w:rsidRDefault="00467640" w:rsidP="00F5158F">
            <w:pPr>
              <w:pStyle w:val="Tabletext"/>
            </w:pPr>
            <w:r>
              <w:t>Cost recovery</w:t>
            </w:r>
          </w:p>
        </w:tc>
        <w:tc>
          <w:tcPr>
            <w:tcW w:w="2268" w:type="dxa"/>
            <w:tcBorders>
              <w:top w:val="nil"/>
            </w:tcBorders>
            <w:shd w:val="clear" w:color="auto" w:fill="auto"/>
          </w:tcPr>
          <w:p w14:paraId="267E8C4E" w14:textId="07912DDD" w:rsidR="00467640" w:rsidRDefault="00773DF9" w:rsidP="00F5158F">
            <w:pPr>
              <w:pStyle w:val="Tabletext"/>
            </w:pPr>
            <w:r>
              <w:t>Australian Government</w:t>
            </w:r>
          </w:p>
        </w:tc>
        <w:tc>
          <w:tcPr>
            <w:tcW w:w="1559" w:type="dxa"/>
            <w:tcBorders>
              <w:top w:val="nil"/>
            </w:tcBorders>
            <w:shd w:val="clear" w:color="auto" w:fill="auto"/>
          </w:tcPr>
          <w:p w14:paraId="5FD95876" w14:textId="1CCCC9A2" w:rsidR="00467640" w:rsidRDefault="00467640" w:rsidP="00F5158F">
            <w:pPr>
              <w:pStyle w:val="Tabletext"/>
            </w:pPr>
            <w:r>
              <w:t>Improved cost recovery</w:t>
            </w:r>
          </w:p>
        </w:tc>
        <w:tc>
          <w:tcPr>
            <w:tcW w:w="2124" w:type="dxa"/>
            <w:tcBorders>
              <w:top w:val="nil"/>
            </w:tcBorders>
            <w:shd w:val="clear" w:color="auto" w:fill="auto"/>
          </w:tcPr>
          <w:p w14:paraId="302395B0" w14:textId="471980FD" w:rsidR="00467640" w:rsidRDefault="00467640" w:rsidP="00F5158F">
            <w:pPr>
              <w:pStyle w:val="Tabletext"/>
            </w:pPr>
            <w:r>
              <w:t>Australian Government</w:t>
            </w:r>
          </w:p>
        </w:tc>
      </w:tr>
      <w:tr w:rsidR="009F14AE" w14:paraId="68CFAACC" w14:textId="77777777" w:rsidTr="00467640">
        <w:trPr>
          <w:gridBefore w:val="1"/>
          <w:wBefore w:w="454" w:type="dxa"/>
        </w:trPr>
        <w:tc>
          <w:tcPr>
            <w:tcW w:w="1985" w:type="dxa"/>
            <w:tcBorders>
              <w:top w:val="nil"/>
            </w:tcBorders>
            <w:shd w:val="clear" w:color="auto" w:fill="auto"/>
          </w:tcPr>
          <w:p w14:paraId="75D088E6" w14:textId="714FC2EF" w:rsidR="009F14AE" w:rsidRDefault="009F14AE" w:rsidP="00F5158F">
            <w:pPr>
              <w:pStyle w:val="Tabletext"/>
            </w:pPr>
            <w:r>
              <w:t>Compliance costs:</w:t>
            </w:r>
          </w:p>
        </w:tc>
        <w:tc>
          <w:tcPr>
            <w:tcW w:w="2268" w:type="dxa"/>
            <w:tcBorders>
              <w:top w:val="nil"/>
            </w:tcBorders>
            <w:shd w:val="clear" w:color="auto" w:fill="auto"/>
          </w:tcPr>
          <w:p w14:paraId="5C20C6CE" w14:textId="77777777" w:rsidR="009F14AE" w:rsidRDefault="009F14AE" w:rsidP="00F5158F">
            <w:pPr>
              <w:pStyle w:val="Tabletext"/>
            </w:pPr>
          </w:p>
        </w:tc>
        <w:tc>
          <w:tcPr>
            <w:tcW w:w="1559" w:type="dxa"/>
            <w:tcBorders>
              <w:top w:val="nil"/>
            </w:tcBorders>
            <w:shd w:val="clear" w:color="auto" w:fill="auto"/>
          </w:tcPr>
          <w:p w14:paraId="7077B25C" w14:textId="6AAB1112" w:rsidR="009F14AE" w:rsidRDefault="00467640" w:rsidP="00F5158F">
            <w:pPr>
              <w:pStyle w:val="Tabletext"/>
            </w:pPr>
            <w:r>
              <w:t>Administrative efficiencies</w:t>
            </w:r>
          </w:p>
        </w:tc>
        <w:tc>
          <w:tcPr>
            <w:tcW w:w="2124" w:type="dxa"/>
            <w:tcBorders>
              <w:top w:val="nil"/>
            </w:tcBorders>
            <w:shd w:val="clear" w:color="auto" w:fill="auto"/>
          </w:tcPr>
          <w:p w14:paraId="4649E139" w14:textId="77777777" w:rsidR="009F14AE" w:rsidRDefault="00467640" w:rsidP="00F5158F">
            <w:pPr>
              <w:pStyle w:val="Tabletext"/>
            </w:pPr>
            <w:r>
              <w:t>AMSA</w:t>
            </w:r>
          </w:p>
          <w:p w14:paraId="3B027858" w14:textId="5944E14D" w:rsidR="00467640" w:rsidRDefault="00467640" w:rsidP="00F5158F">
            <w:pPr>
              <w:pStyle w:val="Tabletext"/>
            </w:pPr>
            <w:r>
              <w:t>Shipowner</w:t>
            </w:r>
            <w:r w:rsidR="00EE20E3">
              <w:t>s</w:t>
            </w:r>
          </w:p>
        </w:tc>
      </w:tr>
      <w:tr w:rsidR="009F14AE" w14:paraId="120DEF26" w14:textId="77777777" w:rsidTr="00467640">
        <w:trPr>
          <w:gridBefore w:val="1"/>
          <w:wBefore w:w="454" w:type="dxa"/>
        </w:trPr>
        <w:tc>
          <w:tcPr>
            <w:tcW w:w="1985" w:type="dxa"/>
            <w:shd w:val="clear" w:color="auto" w:fill="auto"/>
          </w:tcPr>
          <w:p w14:paraId="74DAB47D" w14:textId="21B3C340" w:rsidR="009F14AE" w:rsidRDefault="00467640" w:rsidP="00467640">
            <w:pPr>
              <w:pStyle w:val="Tablelistbullet"/>
            </w:pPr>
            <w:r>
              <w:t>A</w:t>
            </w:r>
            <w:r w:rsidR="009F14AE">
              <w:t>dministrative costs</w:t>
            </w:r>
          </w:p>
          <w:p w14:paraId="32F6B806" w14:textId="77777777" w:rsidR="009F14AE" w:rsidRDefault="00467640" w:rsidP="00467640">
            <w:pPr>
              <w:pStyle w:val="Tablelistbullet"/>
            </w:pPr>
            <w:r>
              <w:t>Financial costs</w:t>
            </w:r>
          </w:p>
          <w:p w14:paraId="09A15F66" w14:textId="28FEB644" w:rsidR="00467640" w:rsidRDefault="00467640" w:rsidP="00467640">
            <w:pPr>
              <w:pStyle w:val="Tablelistbullet"/>
            </w:pPr>
            <w:r>
              <w:t>Delay costs</w:t>
            </w:r>
          </w:p>
        </w:tc>
        <w:tc>
          <w:tcPr>
            <w:tcW w:w="2268" w:type="dxa"/>
            <w:shd w:val="clear" w:color="auto" w:fill="auto"/>
          </w:tcPr>
          <w:p w14:paraId="7B2FC076" w14:textId="407EEB00" w:rsidR="009F14AE" w:rsidRDefault="009F14AE" w:rsidP="00F5158F">
            <w:pPr>
              <w:pStyle w:val="Tabletext"/>
            </w:pPr>
            <w:r>
              <w:t>Shipowners</w:t>
            </w:r>
          </w:p>
          <w:p w14:paraId="3FB6BBB4" w14:textId="25089162" w:rsidR="00467640" w:rsidRDefault="00467640" w:rsidP="00F5158F">
            <w:pPr>
              <w:pStyle w:val="Tabletext"/>
            </w:pPr>
            <w:r>
              <w:t>Shipowners/</w:t>
            </w:r>
            <w:r w:rsidR="00EE20E3">
              <w:t>ship insurer</w:t>
            </w:r>
          </w:p>
          <w:p w14:paraId="0ED570FF" w14:textId="77246B3B" w:rsidR="00467640" w:rsidRDefault="00467640" w:rsidP="00F5158F">
            <w:pPr>
              <w:pStyle w:val="Tabletext"/>
            </w:pPr>
            <w:r>
              <w:t>AMSA</w:t>
            </w:r>
          </w:p>
        </w:tc>
        <w:tc>
          <w:tcPr>
            <w:tcW w:w="1559" w:type="dxa"/>
            <w:shd w:val="clear" w:color="auto" w:fill="auto"/>
          </w:tcPr>
          <w:p w14:paraId="2D5CAF2B" w14:textId="3BA29A9A" w:rsidR="009F14AE" w:rsidRDefault="00467640" w:rsidP="00F5158F">
            <w:pPr>
              <w:pStyle w:val="Tabletext"/>
            </w:pPr>
            <w:r w:rsidRPr="00467640">
              <w:rPr>
                <w:color w:val="FF0000"/>
              </w:rPr>
              <w:t>Improved environment</w:t>
            </w:r>
          </w:p>
        </w:tc>
        <w:tc>
          <w:tcPr>
            <w:tcW w:w="2124" w:type="dxa"/>
            <w:shd w:val="clear" w:color="auto" w:fill="auto"/>
          </w:tcPr>
          <w:p w14:paraId="693E31EB" w14:textId="5B23EB02" w:rsidR="009F14AE" w:rsidRDefault="00467640" w:rsidP="00F5158F">
            <w:pPr>
              <w:pStyle w:val="Tabletext"/>
            </w:pPr>
            <w:r>
              <w:t>Community and environment</w:t>
            </w:r>
          </w:p>
        </w:tc>
      </w:tr>
      <w:tr w:rsidR="009F14AE" w14:paraId="32A61235" w14:textId="77777777" w:rsidTr="00467640">
        <w:trPr>
          <w:gridBefore w:val="1"/>
          <w:wBefore w:w="454" w:type="dxa"/>
        </w:trPr>
        <w:tc>
          <w:tcPr>
            <w:tcW w:w="1985" w:type="dxa"/>
            <w:shd w:val="clear" w:color="auto" w:fill="auto"/>
          </w:tcPr>
          <w:p w14:paraId="3B9C3210" w14:textId="543A5569" w:rsidR="009F14AE" w:rsidRDefault="00467640" w:rsidP="009F14AE">
            <w:pPr>
              <w:pStyle w:val="Tabletext"/>
            </w:pPr>
            <w:r>
              <w:t>Judicial costs</w:t>
            </w:r>
          </w:p>
        </w:tc>
        <w:tc>
          <w:tcPr>
            <w:tcW w:w="2268" w:type="dxa"/>
            <w:shd w:val="clear" w:color="auto" w:fill="auto"/>
          </w:tcPr>
          <w:p w14:paraId="79D53AF1" w14:textId="0CF580DA" w:rsidR="009F14AE" w:rsidRDefault="00773DF9" w:rsidP="009F14AE">
            <w:pPr>
              <w:pStyle w:val="Tabletext"/>
            </w:pPr>
            <w:r>
              <w:t>Australian Government</w:t>
            </w:r>
          </w:p>
          <w:p w14:paraId="72395E8F" w14:textId="79D41E7A" w:rsidR="00467640" w:rsidRDefault="00467640" w:rsidP="009F14AE">
            <w:pPr>
              <w:pStyle w:val="Tabletext"/>
            </w:pPr>
            <w:r>
              <w:t>Shipowners</w:t>
            </w:r>
          </w:p>
        </w:tc>
        <w:tc>
          <w:tcPr>
            <w:tcW w:w="1559" w:type="dxa"/>
            <w:shd w:val="clear" w:color="auto" w:fill="auto"/>
          </w:tcPr>
          <w:p w14:paraId="1DED907C" w14:textId="77777777" w:rsidR="009F14AE" w:rsidRDefault="009F14AE" w:rsidP="009F14AE">
            <w:pPr>
              <w:pStyle w:val="Tabletext"/>
            </w:pPr>
          </w:p>
        </w:tc>
        <w:tc>
          <w:tcPr>
            <w:tcW w:w="2124" w:type="dxa"/>
            <w:shd w:val="clear" w:color="auto" w:fill="auto"/>
          </w:tcPr>
          <w:p w14:paraId="6C632597" w14:textId="77777777" w:rsidR="009F14AE" w:rsidRDefault="009F14AE" w:rsidP="009F14AE">
            <w:pPr>
              <w:pStyle w:val="Tabletext"/>
            </w:pPr>
          </w:p>
        </w:tc>
      </w:tr>
      <w:tr w:rsidR="009F14AE" w14:paraId="2111BEEE" w14:textId="77777777" w:rsidTr="00467640">
        <w:trPr>
          <w:gridBefore w:val="1"/>
          <w:wBefore w:w="454" w:type="dxa"/>
        </w:trPr>
        <w:tc>
          <w:tcPr>
            <w:tcW w:w="1985" w:type="dxa"/>
            <w:shd w:val="clear" w:color="auto" w:fill="auto"/>
          </w:tcPr>
          <w:p w14:paraId="28155AF0" w14:textId="2E3A102F" w:rsidR="009F14AE" w:rsidRDefault="00773DF9" w:rsidP="009F14AE">
            <w:pPr>
              <w:pStyle w:val="Tabletext"/>
            </w:pPr>
            <w:r>
              <w:t>Financial s</w:t>
            </w:r>
            <w:r w:rsidR="00467640">
              <w:t xml:space="preserve">ecurity </w:t>
            </w:r>
            <w:r>
              <w:t>cost</w:t>
            </w:r>
          </w:p>
        </w:tc>
        <w:tc>
          <w:tcPr>
            <w:tcW w:w="2268" w:type="dxa"/>
            <w:shd w:val="clear" w:color="auto" w:fill="auto"/>
          </w:tcPr>
          <w:p w14:paraId="564E814D" w14:textId="49D9497B" w:rsidR="009F14AE" w:rsidRDefault="00467640" w:rsidP="009F14AE">
            <w:pPr>
              <w:pStyle w:val="Tabletext"/>
            </w:pPr>
            <w:r>
              <w:t>Shipowners</w:t>
            </w:r>
          </w:p>
        </w:tc>
        <w:tc>
          <w:tcPr>
            <w:tcW w:w="1559" w:type="dxa"/>
            <w:shd w:val="clear" w:color="auto" w:fill="auto"/>
          </w:tcPr>
          <w:p w14:paraId="1CC35831" w14:textId="77777777" w:rsidR="009F14AE" w:rsidRDefault="009F14AE" w:rsidP="009F14AE">
            <w:pPr>
              <w:pStyle w:val="Tabletext"/>
            </w:pPr>
          </w:p>
        </w:tc>
        <w:tc>
          <w:tcPr>
            <w:tcW w:w="2124" w:type="dxa"/>
            <w:shd w:val="clear" w:color="auto" w:fill="auto"/>
          </w:tcPr>
          <w:p w14:paraId="62FD0E12" w14:textId="77777777" w:rsidR="009F14AE" w:rsidRDefault="009F14AE" w:rsidP="009F14AE">
            <w:pPr>
              <w:pStyle w:val="Tabletext"/>
            </w:pPr>
          </w:p>
        </w:tc>
      </w:tr>
      <w:tr w:rsidR="009F14AE" w14:paraId="33F7B482" w14:textId="77777777" w:rsidTr="00877BDF">
        <w:trPr>
          <w:gridBefore w:val="1"/>
          <w:wBefore w:w="454" w:type="dxa"/>
        </w:trPr>
        <w:tc>
          <w:tcPr>
            <w:tcW w:w="7936" w:type="dxa"/>
            <w:gridSpan w:val="4"/>
            <w:tcBorders>
              <w:bottom w:val="single" w:sz="4" w:space="0" w:color="646464"/>
            </w:tcBorders>
            <w:shd w:val="clear" w:color="auto" w:fill="auto"/>
          </w:tcPr>
          <w:p w14:paraId="7F106B77" w14:textId="30F893D2" w:rsidR="009F14AE" w:rsidRDefault="009F14AE" w:rsidP="00467640">
            <w:pPr>
              <w:pStyle w:val="Source"/>
            </w:pPr>
            <w:r>
              <w:t>Source</w:t>
            </w:r>
            <w:r w:rsidR="00467640">
              <w:t>: ACIL Allen</w:t>
            </w:r>
          </w:p>
        </w:tc>
      </w:tr>
      <w:tr w:rsidR="009F14AE" w14:paraId="2E5D9751" w14:textId="77777777" w:rsidTr="00F5158F">
        <w:trPr>
          <w:gridBefore w:val="1"/>
          <w:wBefore w:w="454" w:type="dxa"/>
          <w:trHeight w:hRule="exact" w:val="160"/>
        </w:trPr>
        <w:tc>
          <w:tcPr>
            <w:tcW w:w="7936" w:type="dxa"/>
            <w:gridSpan w:val="4"/>
            <w:tcBorders>
              <w:top w:val="single" w:sz="4" w:space="0" w:color="646464"/>
              <w:bottom w:val="nil"/>
            </w:tcBorders>
            <w:shd w:val="clear" w:color="auto" w:fill="auto"/>
          </w:tcPr>
          <w:p w14:paraId="7D07C6AB" w14:textId="77777777" w:rsidR="009F14AE" w:rsidRDefault="009F14AE" w:rsidP="009F14AE">
            <w:pPr>
              <w:pStyle w:val="spacer"/>
            </w:pPr>
          </w:p>
        </w:tc>
      </w:tr>
    </w:tbl>
    <w:p w14:paraId="659410C6" w14:textId="5A0C85B0" w:rsidR="00F5158F" w:rsidRDefault="00684C69" w:rsidP="007A6927">
      <w:pPr>
        <w:pStyle w:val="BodyText"/>
      </w:pPr>
      <w:r>
        <w:t xml:space="preserve">The Nairobi Convention provides a cleaner, simpler and more certain approach to recovering costs by </w:t>
      </w:r>
      <w:r w:rsidR="008B1819">
        <w:t>AMSA</w:t>
      </w:r>
      <w:r>
        <w:t>. A UK study</w:t>
      </w:r>
      <w:r>
        <w:rPr>
          <w:rStyle w:val="FootnoteReference"/>
        </w:rPr>
        <w:footnoteReference w:id="8"/>
      </w:r>
      <w:r>
        <w:t xml:space="preserve"> reported that, cost recov</w:t>
      </w:r>
      <w:r w:rsidR="00E71427">
        <w:t>ery was improved from around 70% to around 90%</w:t>
      </w:r>
      <w:r>
        <w:t>.</w:t>
      </w:r>
      <w:r w:rsidR="00985EAE">
        <w:t xml:space="preserve"> The applicability to AMSA’s circumstances is unknown.</w:t>
      </w:r>
    </w:p>
    <w:p w14:paraId="3A2138E2" w14:textId="5EE175CD" w:rsidR="00D71210" w:rsidRDefault="00B76051" w:rsidP="00E05D67">
      <w:pPr>
        <w:pStyle w:val="Heading2"/>
      </w:pPr>
      <w:bookmarkStart w:id="33" w:name="_Toc99543726"/>
      <w:r>
        <w:t xml:space="preserve">Financial </w:t>
      </w:r>
      <w:r w:rsidR="00CC344C">
        <w:t>s</w:t>
      </w:r>
      <w:r w:rsidR="00837806">
        <w:t>ecurity costs</w:t>
      </w:r>
      <w:bookmarkEnd w:id="33"/>
      <w:r w:rsidR="00837806">
        <w:t xml:space="preserve"> </w:t>
      </w:r>
    </w:p>
    <w:p w14:paraId="4AA066AA" w14:textId="77777777" w:rsidR="00E05D67" w:rsidRDefault="00E05D67" w:rsidP="00E05D67">
      <w:pPr>
        <w:pStyle w:val="BodyText"/>
      </w:pPr>
      <w:r>
        <w:t>According to AMSA,</w:t>
      </w:r>
      <w:r>
        <w:rPr>
          <w:rStyle w:val="FootnoteReference"/>
        </w:rPr>
        <w:footnoteReference w:id="9"/>
      </w:r>
      <w:r>
        <w:t xml:space="preserve"> Australia’s policy is that those who pollute our marine environment should be responsible for cleaning up and repairing the damage they have caused. If AMSA has to do this because they do not, then they should pay AMSA. Under the Protection of the Sea (Prevention of Pollution from Ships) Act 1983, there are arrangements in place to make sure that suspected polluters have provided financial security for the potential costs that might arise. Under these arrangements AMSA can detain ships that have caused pollution, and before they are released, a letter of undertaking must be provided. This letter is an agreement by the shipper (through their insurer) to give security for clean-up costs and fines and to engage in any court proceedings that might be commenced. </w:t>
      </w:r>
    </w:p>
    <w:p w14:paraId="634BC3B6" w14:textId="03F651E2" w:rsidR="003A7141" w:rsidRDefault="00E05D67" w:rsidP="00837806">
      <w:pPr>
        <w:pStyle w:val="BodyText"/>
      </w:pPr>
      <w:r>
        <w:t xml:space="preserve">AMSA worked out how much the security should be by considering the maximum amount that a court could impose as a penalty. As of July 2020, maximum penalties applying to discharge of pollution offences under the Protection of the Sea (Prevention of Pollution from Ships) Act 1983 range between $550 and $22.2 million. In addition to </w:t>
      </w:r>
      <w:r w:rsidR="00985EAE">
        <w:t xml:space="preserve">the </w:t>
      </w:r>
      <w:r>
        <w:t>penalty</w:t>
      </w:r>
      <w:r w:rsidR="00985EAE">
        <w:t xml:space="preserve"> there are</w:t>
      </w:r>
      <w:r>
        <w:t xml:space="preserve"> other </w:t>
      </w:r>
      <w:r w:rsidR="00837806">
        <w:t xml:space="preserve">wreck removal </w:t>
      </w:r>
      <w:r>
        <w:lastRenderedPageBreak/>
        <w:t xml:space="preserve">expenses that could be payable by </w:t>
      </w:r>
      <w:r w:rsidR="00DF52FF">
        <w:t xml:space="preserve">the </w:t>
      </w:r>
      <w:r>
        <w:t>owner of the marine incident.</w:t>
      </w:r>
      <w:r w:rsidR="00837806">
        <w:t xml:space="preserve"> Whenever there is a marine incident, AMSA</w:t>
      </w:r>
      <w:r w:rsidR="003A7141">
        <w:t xml:space="preserve"> currently </w:t>
      </w:r>
      <w:r w:rsidR="00837806">
        <w:t>uses this Act to</w:t>
      </w:r>
      <w:r w:rsidR="003A7141">
        <w:t xml:space="preserve"> penalise the owner to</w:t>
      </w:r>
      <w:r w:rsidR="00837806">
        <w:t xml:space="preserve"> recover costs.</w:t>
      </w:r>
      <w:r w:rsidR="003A7141">
        <w:t xml:space="preserve"> </w:t>
      </w:r>
    </w:p>
    <w:p w14:paraId="47E4C5F0" w14:textId="1D01FA87" w:rsidR="00E05D67" w:rsidRDefault="003A7141" w:rsidP="00837806">
      <w:pPr>
        <w:pStyle w:val="BodyText"/>
      </w:pPr>
      <w:r>
        <w:t>Australia’s accession to</w:t>
      </w:r>
      <w:r w:rsidR="00837806">
        <w:t xml:space="preserve"> </w:t>
      </w:r>
      <w:r w:rsidR="00985EAE">
        <w:t xml:space="preserve">the </w:t>
      </w:r>
      <w:r w:rsidR="00837806">
        <w:t>Nairobi Convention</w:t>
      </w:r>
      <w:r>
        <w:t xml:space="preserve"> provide </w:t>
      </w:r>
      <w:r w:rsidR="00FF62CC">
        <w:t xml:space="preserve">a </w:t>
      </w:r>
      <w:r>
        <w:t xml:space="preserve">potential benefit to the shipowners </w:t>
      </w:r>
      <w:r w:rsidR="00B504A4">
        <w:t>by</w:t>
      </w:r>
      <w:r>
        <w:t xml:space="preserve"> avoiding this </w:t>
      </w:r>
      <w:r w:rsidR="009D59F4">
        <w:t xml:space="preserve">security </w:t>
      </w:r>
      <w:r>
        <w:t xml:space="preserve">penalty. </w:t>
      </w:r>
    </w:p>
    <w:p w14:paraId="7C8A2197" w14:textId="2DAC47B9" w:rsidR="00E05D67" w:rsidRDefault="00985EAE" w:rsidP="007A6927">
      <w:pPr>
        <w:pStyle w:val="BodyText"/>
      </w:pPr>
      <w:r>
        <w:t xml:space="preserve">The </w:t>
      </w:r>
      <w:r w:rsidR="003A7141">
        <w:t>Australian Government</w:t>
      </w:r>
      <w:r w:rsidR="002159DA">
        <w:t>,</w:t>
      </w:r>
      <w:r w:rsidR="003A7141">
        <w:t xml:space="preserve"> through AMSA</w:t>
      </w:r>
      <w:r w:rsidR="002159DA">
        <w:t>,</w:t>
      </w:r>
      <w:r w:rsidR="003A7141">
        <w:t xml:space="preserve"> could benefit from avoiding legal procedures to obtain </w:t>
      </w:r>
      <w:r w:rsidR="00B504A4">
        <w:t xml:space="preserve">financial </w:t>
      </w:r>
      <w:r w:rsidR="003A7141">
        <w:t>security</w:t>
      </w:r>
      <w:r w:rsidR="003E6A51">
        <w:t xml:space="preserve"> for</w:t>
      </w:r>
      <w:r>
        <w:t xml:space="preserve"> incidents involving </w:t>
      </w:r>
      <w:r w:rsidR="003E6A51">
        <w:t>foreign vessels</w:t>
      </w:r>
      <w:r w:rsidR="003A7141">
        <w:t>.</w:t>
      </w:r>
    </w:p>
    <w:p w14:paraId="454843E5" w14:textId="6456E8EA" w:rsidR="00086343" w:rsidRDefault="00086343" w:rsidP="007A6927">
      <w:pPr>
        <w:pStyle w:val="BodyText"/>
      </w:pPr>
    </w:p>
    <w:p w14:paraId="753234F1" w14:textId="77777777" w:rsidR="00086343" w:rsidRDefault="00086343" w:rsidP="007A6927">
      <w:pPr>
        <w:pStyle w:val="BodyText"/>
      </w:pPr>
    </w:p>
    <w:p w14:paraId="2B6815FF" w14:textId="1A8584C1" w:rsidR="00E05D67" w:rsidRDefault="003E6A51" w:rsidP="003E6A51">
      <w:pPr>
        <w:pStyle w:val="Heading2"/>
      </w:pPr>
      <w:bookmarkStart w:id="34" w:name="_Toc99543727"/>
      <w:r>
        <w:t>Potential expenses of shipwreck removal</w:t>
      </w:r>
      <w:bookmarkEnd w:id="34"/>
    </w:p>
    <w:p w14:paraId="324ADD82" w14:textId="01CEA607" w:rsidR="003E6A51" w:rsidRDefault="00F5158F" w:rsidP="007A6927">
      <w:pPr>
        <w:pStyle w:val="BodyText"/>
      </w:pPr>
      <w:r>
        <w:t>AMSA estimates the costs and expenses that may be incurred in responding to a marine incident on a case by case</w:t>
      </w:r>
      <w:r w:rsidR="00985EAE">
        <w:t xml:space="preserve"> basis</w:t>
      </w:r>
      <w:r>
        <w:t xml:space="preserve">. </w:t>
      </w:r>
      <w:r w:rsidR="009D59F4">
        <w:t>Broad</w:t>
      </w:r>
      <w:r>
        <w:t xml:space="preserve"> cost</w:t>
      </w:r>
      <w:r w:rsidR="009D59F4">
        <w:t xml:space="preserve"> categories</w:t>
      </w:r>
      <w:r>
        <w:t xml:space="preserve"> are listed in </w:t>
      </w:r>
      <w:r w:rsidRPr="00E71427">
        <w:rPr>
          <w:b/>
        </w:rPr>
        <w:t>Table 3.</w:t>
      </w:r>
      <w:r w:rsidR="00E9354D" w:rsidRPr="00E71427">
        <w:rPr>
          <w:b/>
        </w:rPr>
        <w:t>3</w:t>
      </w:r>
      <w:r w:rsidRPr="00E71427">
        <w:rPr>
          <w:b/>
        </w:rPr>
        <w:t>.</w:t>
      </w:r>
      <w:r w:rsidR="009D59F4">
        <w:t xml:space="preserve"> Apart from</w:t>
      </w:r>
      <w:r w:rsidR="00E9354D">
        <w:t xml:space="preserve"> some</w:t>
      </w:r>
      <w:r w:rsidR="009D59F4">
        <w:t xml:space="preserve"> legal costs, the total costs and expenses may</w:t>
      </w:r>
      <w:r w:rsidR="00E9354D">
        <w:t xml:space="preserve"> or may</w:t>
      </w:r>
      <w:r w:rsidR="009D59F4">
        <w:t xml:space="preserve"> not change as a result of </w:t>
      </w:r>
      <w:r w:rsidR="00E9354D">
        <w:t>an accession to</w:t>
      </w:r>
      <w:r w:rsidR="00985EAE">
        <w:t xml:space="preserve"> the</w:t>
      </w:r>
      <w:r w:rsidR="00E9354D">
        <w:t xml:space="preserve"> Nairobi Convention</w:t>
      </w:r>
      <w:r w:rsidR="009D59F4">
        <w:t xml:space="preserve">. However, </w:t>
      </w:r>
      <w:r w:rsidR="006578D1">
        <w:t>who incur those costs will change.</w:t>
      </w:r>
    </w:p>
    <w:p w14:paraId="7CE3B341" w14:textId="7DBA624F" w:rsidR="00F5158F" w:rsidRDefault="00913DB8" w:rsidP="00913DB8">
      <w:pPr>
        <w:pStyle w:val="Caption"/>
      </w:pPr>
      <w:bookmarkStart w:id="35" w:name="_Toc99543754"/>
      <w:r w:rsidRPr="00913DB8">
        <w:rPr>
          <w:rStyle w:val="CaptionLabel"/>
        </w:rPr>
        <w:t>Table </w:t>
      </w:r>
      <w:r w:rsidRPr="00913DB8">
        <w:rPr>
          <w:rStyle w:val="CaptionLabel"/>
        </w:rPr>
        <w:fldChar w:fldCharType="begin"/>
      </w:r>
      <w:r w:rsidRPr="00913DB8">
        <w:rPr>
          <w:rStyle w:val="CaptionLabel"/>
        </w:rPr>
        <w:instrText xml:space="preserve"> STYLEREF 1 \S \* MERGEFORMAT </w:instrText>
      </w:r>
      <w:r w:rsidRPr="00913DB8">
        <w:rPr>
          <w:rStyle w:val="CaptionLabel"/>
        </w:rPr>
        <w:fldChar w:fldCharType="separate"/>
      </w:r>
      <w:r w:rsidR="00966CD2">
        <w:rPr>
          <w:rStyle w:val="CaptionLabel"/>
          <w:noProof/>
        </w:rPr>
        <w:t>3</w:t>
      </w:r>
      <w:r w:rsidRPr="00913DB8">
        <w:rPr>
          <w:rStyle w:val="CaptionLabel"/>
        </w:rPr>
        <w:fldChar w:fldCharType="end"/>
      </w:r>
      <w:r w:rsidRPr="00913DB8">
        <w:rPr>
          <w:rStyle w:val="CaptionLabel"/>
        </w:rPr>
        <w:t>.</w:t>
      </w:r>
      <w:r w:rsidRPr="00913DB8">
        <w:rPr>
          <w:rStyle w:val="CaptionLabel"/>
        </w:rPr>
        <w:fldChar w:fldCharType="begin"/>
      </w:r>
      <w:r w:rsidRPr="00913DB8">
        <w:rPr>
          <w:rStyle w:val="CaptionLabel"/>
        </w:rPr>
        <w:instrText xml:space="preserve"> SEQ Table \* ARABIC \S 1 \* MERGEFORMAT </w:instrText>
      </w:r>
      <w:r w:rsidRPr="00913DB8">
        <w:rPr>
          <w:rStyle w:val="CaptionLabel"/>
        </w:rPr>
        <w:fldChar w:fldCharType="separate"/>
      </w:r>
      <w:r w:rsidR="00966CD2">
        <w:rPr>
          <w:rStyle w:val="CaptionLabel"/>
          <w:noProof/>
        </w:rPr>
        <w:t>3</w:t>
      </w:r>
      <w:r w:rsidRPr="00913DB8">
        <w:rPr>
          <w:rStyle w:val="CaptionLabel"/>
        </w:rPr>
        <w:fldChar w:fldCharType="end"/>
      </w:r>
      <w:r>
        <w:tab/>
      </w:r>
      <w:r w:rsidR="0098513C">
        <w:t>Costs</w:t>
      </w:r>
      <w:r>
        <w:t xml:space="preserve"> related to a marine incident</w:t>
      </w:r>
      <w:bookmarkEnd w:id="35"/>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1843"/>
        <w:gridCol w:w="6093"/>
      </w:tblGrid>
      <w:tr w:rsidR="00913DB8" w14:paraId="0E59AD34" w14:textId="77777777" w:rsidTr="00E9354D">
        <w:trPr>
          <w:tblHeader/>
        </w:trPr>
        <w:tc>
          <w:tcPr>
            <w:tcW w:w="2297" w:type="dxa"/>
            <w:gridSpan w:val="2"/>
            <w:tcBorders>
              <w:top w:val="nil"/>
              <w:bottom w:val="nil"/>
            </w:tcBorders>
            <w:shd w:val="clear" w:color="auto" w:fill="140034"/>
            <w:tcMar>
              <w:left w:w="454" w:type="dxa"/>
            </w:tcMar>
          </w:tcPr>
          <w:p w14:paraId="5EC27078" w14:textId="1B6D231E" w:rsidR="00913DB8" w:rsidRDefault="0098513C" w:rsidP="00913DB8">
            <w:pPr>
              <w:pStyle w:val="Tablecolumnheadings"/>
            </w:pPr>
            <w:r>
              <w:t>Cost</w:t>
            </w:r>
            <w:r w:rsidR="00913DB8">
              <w:t xml:space="preserve"> category</w:t>
            </w:r>
          </w:p>
        </w:tc>
        <w:tc>
          <w:tcPr>
            <w:tcW w:w="6093" w:type="dxa"/>
            <w:tcBorders>
              <w:top w:val="nil"/>
              <w:bottom w:val="nil"/>
              <w:right w:val="single" w:sz="6" w:space="0" w:color="140034"/>
            </w:tcBorders>
            <w:shd w:val="clear" w:color="auto" w:fill="140034"/>
          </w:tcPr>
          <w:p w14:paraId="64619338" w14:textId="5D097352" w:rsidR="00913DB8" w:rsidRDefault="00913DB8" w:rsidP="00913DB8">
            <w:pPr>
              <w:pStyle w:val="Tablecolumnheadings"/>
            </w:pPr>
            <w:r>
              <w:t>Activities</w:t>
            </w:r>
          </w:p>
        </w:tc>
      </w:tr>
      <w:tr w:rsidR="00913DB8" w14:paraId="619CB336" w14:textId="77777777" w:rsidTr="00E9354D">
        <w:trPr>
          <w:gridBefore w:val="1"/>
          <w:wBefore w:w="454" w:type="dxa"/>
        </w:trPr>
        <w:tc>
          <w:tcPr>
            <w:tcW w:w="1843" w:type="dxa"/>
            <w:tcBorders>
              <w:top w:val="nil"/>
            </w:tcBorders>
            <w:shd w:val="clear" w:color="auto" w:fill="auto"/>
          </w:tcPr>
          <w:p w14:paraId="21565FE9" w14:textId="4971B0CA" w:rsidR="00913DB8" w:rsidRDefault="00913DB8" w:rsidP="00913DB8">
            <w:pPr>
              <w:pStyle w:val="Tabletext"/>
            </w:pPr>
            <w:r w:rsidRPr="00913DB8">
              <w:t>Costs relating to location</w:t>
            </w:r>
          </w:p>
        </w:tc>
        <w:tc>
          <w:tcPr>
            <w:tcW w:w="6093" w:type="dxa"/>
            <w:tcBorders>
              <w:top w:val="nil"/>
            </w:tcBorders>
            <w:shd w:val="clear" w:color="auto" w:fill="auto"/>
          </w:tcPr>
          <w:p w14:paraId="6A1F94FE" w14:textId="77777777" w:rsidR="00913DB8" w:rsidRDefault="00913DB8" w:rsidP="00913DB8">
            <w:pPr>
              <w:pStyle w:val="Tablelistbullet"/>
            </w:pPr>
            <w:r w:rsidRPr="00913DB8">
              <w:t>Aerial assets—surveillance craft, helicopters, jet aircraft operation costs.</w:t>
            </w:r>
          </w:p>
          <w:p w14:paraId="0F9DA10F" w14:textId="77777777" w:rsidR="00913DB8" w:rsidRDefault="00913DB8" w:rsidP="00913DB8">
            <w:pPr>
              <w:pStyle w:val="Tablelistbullet"/>
            </w:pPr>
            <w:r w:rsidRPr="00913DB8">
              <w:t>Search, rescue and surveillance activities.</w:t>
            </w:r>
          </w:p>
          <w:p w14:paraId="09AA3415" w14:textId="317F7AD2" w:rsidR="00913DB8" w:rsidRDefault="00913DB8" w:rsidP="00913DB8">
            <w:pPr>
              <w:pStyle w:val="Tablelistbullet"/>
            </w:pPr>
            <w:r w:rsidRPr="00913DB8">
              <w:t>Maritime assets—tugs, work boats, patrols, oil and hazardous waste and noxious substances recovery vessels.</w:t>
            </w:r>
          </w:p>
        </w:tc>
      </w:tr>
      <w:tr w:rsidR="00913DB8" w14:paraId="1FE1AA5D" w14:textId="77777777" w:rsidTr="00E9354D">
        <w:trPr>
          <w:gridBefore w:val="1"/>
          <w:wBefore w:w="454" w:type="dxa"/>
        </w:trPr>
        <w:tc>
          <w:tcPr>
            <w:tcW w:w="1843" w:type="dxa"/>
            <w:shd w:val="clear" w:color="auto" w:fill="auto"/>
          </w:tcPr>
          <w:p w14:paraId="5394178D" w14:textId="36C209F2" w:rsidR="00913DB8" w:rsidRDefault="0098513C" w:rsidP="00913DB8">
            <w:pPr>
              <w:pStyle w:val="Tabletext"/>
            </w:pPr>
            <w:r w:rsidRPr="0098513C">
              <w:t>Costs relating to marking</w:t>
            </w:r>
          </w:p>
        </w:tc>
        <w:tc>
          <w:tcPr>
            <w:tcW w:w="6093" w:type="dxa"/>
            <w:shd w:val="clear" w:color="auto" w:fill="auto"/>
          </w:tcPr>
          <w:p w14:paraId="01B2D7A1" w14:textId="77777777" w:rsidR="00913DB8" w:rsidRDefault="0098513C" w:rsidP="0098513C">
            <w:pPr>
              <w:pStyle w:val="Tablelistbullet"/>
            </w:pPr>
            <w:r w:rsidRPr="0098513C">
              <w:t>Satellite images.</w:t>
            </w:r>
          </w:p>
          <w:p w14:paraId="4A86CB3B" w14:textId="77777777" w:rsidR="0098513C" w:rsidRDefault="0098513C" w:rsidP="0098513C">
            <w:pPr>
              <w:pStyle w:val="Tablelistbullet"/>
            </w:pPr>
            <w:r w:rsidRPr="0098513C">
              <w:t>Documentation—maps, charts, pictures videos.</w:t>
            </w:r>
          </w:p>
          <w:p w14:paraId="26FA0E68" w14:textId="77777777" w:rsidR="0098513C" w:rsidRDefault="0098513C" w:rsidP="0098513C">
            <w:pPr>
              <w:pStyle w:val="Tablelistbullet"/>
            </w:pPr>
            <w:r w:rsidRPr="0098513C">
              <w:t>Trajectory spill monitoring.</w:t>
            </w:r>
          </w:p>
          <w:p w14:paraId="14890E31" w14:textId="77777777" w:rsidR="0098513C" w:rsidRDefault="0098513C" w:rsidP="0098513C">
            <w:pPr>
              <w:pStyle w:val="Tablelistbullet"/>
            </w:pPr>
            <w:r w:rsidRPr="0098513C">
              <w:t>Environmental assessment.</w:t>
            </w:r>
          </w:p>
          <w:p w14:paraId="78C45D65" w14:textId="77777777" w:rsidR="0098513C" w:rsidRDefault="0098513C" w:rsidP="0098513C">
            <w:pPr>
              <w:pStyle w:val="Tablelistbullet"/>
            </w:pPr>
            <w:r w:rsidRPr="0098513C">
              <w:t>Recovery.</w:t>
            </w:r>
          </w:p>
          <w:p w14:paraId="73585C81" w14:textId="5F6C3652" w:rsidR="0098513C" w:rsidRDefault="0098513C" w:rsidP="0098513C">
            <w:pPr>
              <w:pStyle w:val="Tablelistbullet"/>
            </w:pPr>
            <w:r w:rsidRPr="0098513C">
              <w:t>Remedial measures.</w:t>
            </w:r>
          </w:p>
        </w:tc>
      </w:tr>
      <w:tr w:rsidR="00913DB8" w14:paraId="5A1B5B7E" w14:textId="77777777" w:rsidTr="00E9354D">
        <w:trPr>
          <w:gridBefore w:val="1"/>
          <w:wBefore w:w="454" w:type="dxa"/>
        </w:trPr>
        <w:tc>
          <w:tcPr>
            <w:tcW w:w="1843" w:type="dxa"/>
            <w:shd w:val="clear" w:color="auto" w:fill="auto"/>
          </w:tcPr>
          <w:p w14:paraId="2F518209" w14:textId="18972E67" w:rsidR="00913DB8" w:rsidRDefault="00805E34" w:rsidP="00913DB8">
            <w:pPr>
              <w:pStyle w:val="Tabletext"/>
            </w:pPr>
            <w:r>
              <w:t>Labour</w:t>
            </w:r>
          </w:p>
        </w:tc>
        <w:tc>
          <w:tcPr>
            <w:tcW w:w="6093" w:type="dxa"/>
            <w:shd w:val="clear" w:color="auto" w:fill="auto"/>
          </w:tcPr>
          <w:p w14:paraId="10E13037" w14:textId="77777777" w:rsidR="00913DB8" w:rsidRDefault="00805E34" w:rsidP="00805E34">
            <w:pPr>
              <w:pStyle w:val="Tablelistbullet"/>
            </w:pPr>
            <w:r w:rsidRPr="00805E34">
              <w:t>Contract personnel.</w:t>
            </w:r>
          </w:p>
          <w:p w14:paraId="766DD7D6" w14:textId="77777777" w:rsidR="00805E34" w:rsidRDefault="00805E34" w:rsidP="00805E34">
            <w:pPr>
              <w:pStyle w:val="Tablelistbullet"/>
            </w:pPr>
            <w:r w:rsidRPr="00805E34">
              <w:t>Staff personnel and associated costs</w:t>
            </w:r>
          </w:p>
          <w:p w14:paraId="69F3E6FB" w14:textId="77777777" w:rsidR="00805E34" w:rsidRDefault="00805E34" w:rsidP="00805E34">
            <w:pPr>
              <w:pStyle w:val="Tablelistbullet"/>
            </w:pPr>
            <w:r w:rsidRPr="00805E34">
              <w:t>Subcontracted companies.</w:t>
            </w:r>
          </w:p>
          <w:p w14:paraId="64F65B59" w14:textId="307DC157" w:rsidR="00805E34" w:rsidRDefault="00805E34" w:rsidP="00805E34">
            <w:pPr>
              <w:pStyle w:val="Tablelistbullet"/>
            </w:pPr>
            <w:r w:rsidRPr="00805E34">
              <w:t>Food, salaries, travel, accommodation etc.</w:t>
            </w:r>
          </w:p>
        </w:tc>
      </w:tr>
      <w:tr w:rsidR="00913DB8" w14:paraId="6202441A" w14:textId="77777777" w:rsidTr="00E9354D">
        <w:trPr>
          <w:gridBefore w:val="1"/>
          <w:wBefore w:w="454" w:type="dxa"/>
        </w:trPr>
        <w:tc>
          <w:tcPr>
            <w:tcW w:w="1843" w:type="dxa"/>
            <w:shd w:val="clear" w:color="auto" w:fill="auto"/>
          </w:tcPr>
          <w:p w14:paraId="6691DBC5" w14:textId="5807B665" w:rsidR="00913DB8" w:rsidRDefault="00B03EF0" w:rsidP="00913DB8">
            <w:pPr>
              <w:pStyle w:val="Tabletext"/>
            </w:pPr>
            <w:r w:rsidRPr="00B03EF0">
              <w:t>Contents disposal</w:t>
            </w:r>
          </w:p>
        </w:tc>
        <w:tc>
          <w:tcPr>
            <w:tcW w:w="6093" w:type="dxa"/>
            <w:shd w:val="clear" w:color="auto" w:fill="auto"/>
          </w:tcPr>
          <w:p w14:paraId="77746007" w14:textId="77777777" w:rsidR="00913DB8" w:rsidRDefault="00B03EF0" w:rsidP="00B03EF0">
            <w:pPr>
              <w:pStyle w:val="Tablelistbullet"/>
            </w:pPr>
            <w:r w:rsidRPr="00B03EF0">
              <w:t>Handling and disposal of waste / waste management.</w:t>
            </w:r>
          </w:p>
          <w:p w14:paraId="4B5B641C" w14:textId="77777777" w:rsidR="00B03EF0" w:rsidRDefault="00B03EF0" w:rsidP="00B03EF0">
            <w:pPr>
              <w:pStyle w:val="Tablelistbullet"/>
            </w:pPr>
            <w:r w:rsidRPr="00B03EF0">
              <w:t>Reimbursement to States and NT (including under the National Plan).</w:t>
            </w:r>
          </w:p>
          <w:p w14:paraId="04A8FD18" w14:textId="1A527918" w:rsidR="00B03EF0" w:rsidRDefault="00B03EF0" w:rsidP="00B03EF0">
            <w:pPr>
              <w:pStyle w:val="Tablelistbullet"/>
            </w:pPr>
            <w:r w:rsidRPr="00B03EF0">
              <w:t>Reimbursement to state / territory maritime agencies under the Claims Management Guidelines.</w:t>
            </w:r>
          </w:p>
        </w:tc>
      </w:tr>
      <w:tr w:rsidR="00913DB8" w14:paraId="3A4FADEE" w14:textId="77777777" w:rsidTr="00E9354D">
        <w:trPr>
          <w:gridBefore w:val="1"/>
          <w:wBefore w:w="454" w:type="dxa"/>
        </w:trPr>
        <w:tc>
          <w:tcPr>
            <w:tcW w:w="1843" w:type="dxa"/>
            <w:shd w:val="clear" w:color="auto" w:fill="auto"/>
          </w:tcPr>
          <w:p w14:paraId="0BFB971B" w14:textId="5CAD3C5D" w:rsidR="00913DB8" w:rsidRDefault="00B03EF0" w:rsidP="00913DB8">
            <w:pPr>
              <w:pStyle w:val="Tabletext"/>
            </w:pPr>
            <w:r w:rsidRPr="00B03EF0">
              <w:t>Clean up costs (if AMSA required to do clean up)</w:t>
            </w:r>
          </w:p>
        </w:tc>
        <w:tc>
          <w:tcPr>
            <w:tcW w:w="6093" w:type="dxa"/>
            <w:shd w:val="clear" w:color="auto" w:fill="auto"/>
          </w:tcPr>
          <w:p w14:paraId="49BA1EE9" w14:textId="77777777" w:rsidR="00913DB8" w:rsidRDefault="00B03EF0" w:rsidP="00E9354D">
            <w:pPr>
              <w:pStyle w:val="Tablelistbullet"/>
            </w:pPr>
            <w:r w:rsidRPr="00B03EF0">
              <w:t>Initial assessment of the clean-up costs.</w:t>
            </w:r>
          </w:p>
          <w:p w14:paraId="41FE48BB" w14:textId="77777777" w:rsidR="00B03EF0" w:rsidRDefault="00B03EF0" w:rsidP="00E9354D">
            <w:pPr>
              <w:pStyle w:val="Tablelistbullet"/>
            </w:pPr>
            <w:r w:rsidRPr="00B03EF0">
              <w:t>Information needed to plan or execute response or clean up strategies.</w:t>
            </w:r>
          </w:p>
          <w:p w14:paraId="0DCE8E2B" w14:textId="77777777" w:rsidR="00B03EF0" w:rsidRDefault="00B03EF0" w:rsidP="00E9354D">
            <w:pPr>
              <w:pStyle w:val="Tablelistbullet"/>
            </w:pPr>
            <w:r w:rsidRPr="00B03EF0">
              <w:t>Equipment—booms, skimmers, anchors, containers, power packs.</w:t>
            </w:r>
          </w:p>
          <w:p w14:paraId="7BCAB2EE" w14:textId="77777777" w:rsidR="00B03EF0" w:rsidRDefault="00B03EF0" w:rsidP="00E9354D">
            <w:pPr>
              <w:pStyle w:val="Tablelistbullet"/>
            </w:pPr>
            <w:r w:rsidRPr="00B03EF0">
              <w:t>Vehicles—cars, trucks, heavy equipment.</w:t>
            </w:r>
          </w:p>
          <w:p w14:paraId="1DA89D81" w14:textId="77777777" w:rsidR="00B03EF0" w:rsidRDefault="00B03EF0" w:rsidP="00E9354D">
            <w:pPr>
              <w:pStyle w:val="Tablelistbullet"/>
            </w:pPr>
            <w:r w:rsidRPr="00B03EF0">
              <w:t>Asset purchases.</w:t>
            </w:r>
          </w:p>
          <w:p w14:paraId="75AE8423" w14:textId="67AB4EC9" w:rsidR="00B03EF0" w:rsidRDefault="00B03EF0" w:rsidP="00E9354D">
            <w:pPr>
              <w:pStyle w:val="Tablelistbullet"/>
            </w:pPr>
            <w:r w:rsidRPr="00B03EF0">
              <w:t>Substance sampling.</w:t>
            </w:r>
          </w:p>
          <w:p w14:paraId="52667362" w14:textId="77777777" w:rsidR="00B03EF0" w:rsidRDefault="00B03EF0" w:rsidP="00E9354D">
            <w:pPr>
              <w:pStyle w:val="Tablelistbullet"/>
            </w:pPr>
            <w:r w:rsidRPr="00B03EF0">
              <w:t>Oil spill response equipment.</w:t>
            </w:r>
          </w:p>
          <w:p w14:paraId="6E6599B3" w14:textId="77777777" w:rsidR="00B03EF0" w:rsidRDefault="00B03EF0" w:rsidP="00E9354D">
            <w:pPr>
              <w:pStyle w:val="Tablelistbullet"/>
            </w:pPr>
            <w:r w:rsidRPr="00B03EF0">
              <w:t>Environmental damage.</w:t>
            </w:r>
          </w:p>
          <w:p w14:paraId="21F3A627" w14:textId="77777777" w:rsidR="00B03EF0" w:rsidRDefault="00B03EF0" w:rsidP="00E9354D">
            <w:pPr>
              <w:pStyle w:val="Tablelistbullet"/>
            </w:pPr>
            <w:r w:rsidRPr="00B03EF0">
              <w:t>Property replacement, cleaning, repairs.</w:t>
            </w:r>
          </w:p>
          <w:p w14:paraId="73B9C9D7" w14:textId="77777777" w:rsidR="00B03EF0" w:rsidRDefault="00B03EF0" w:rsidP="00E9354D">
            <w:pPr>
              <w:pStyle w:val="Tablelistbullet"/>
            </w:pPr>
            <w:r w:rsidRPr="00B03EF0">
              <w:t>External expert advice (technical, legal, claims management, media, public relations, etc).</w:t>
            </w:r>
          </w:p>
          <w:p w14:paraId="1DC98307" w14:textId="77777777" w:rsidR="00B03EF0" w:rsidRDefault="00B03EF0" w:rsidP="00E9354D">
            <w:pPr>
              <w:pStyle w:val="Tablelistbullet"/>
            </w:pPr>
            <w:r w:rsidRPr="00B03EF0">
              <w:t>On site office set up, including mail and telecommunications.</w:t>
            </w:r>
          </w:p>
          <w:p w14:paraId="4DE08B60" w14:textId="1F5C9FC5" w:rsidR="00B03EF0" w:rsidRDefault="00B03EF0" w:rsidP="00E9354D">
            <w:pPr>
              <w:pStyle w:val="Tablelistbullet"/>
            </w:pPr>
            <w:r w:rsidRPr="00B03EF0">
              <w:t>Miscellaneous.</w:t>
            </w:r>
          </w:p>
        </w:tc>
      </w:tr>
      <w:tr w:rsidR="00913DB8" w14:paraId="315E38DE" w14:textId="77777777" w:rsidTr="00E9354D">
        <w:trPr>
          <w:gridBefore w:val="1"/>
          <w:wBefore w:w="454" w:type="dxa"/>
        </w:trPr>
        <w:tc>
          <w:tcPr>
            <w:tcW w:w="1843" w:type="dxa"/>
            <w:shd w:val="clear" w:color="auto" w:fill="auto"/>
          </w:tcPr>
          <w:p w14:paraId="1DD044F3" w14:textId="08243BC7" w:rsidR="00913DB8" w:rsidRDefault="00B03EF0" w:rsidP="00913DB8">
            <w:pPr>
              <w:pStyle w:val="Tabletext"/>
            </w:pPr>
            <w:r w:rsidRPr="00B03EF0">
              <w:lastRenderedPageBreak/>
              <w:t>Legal costs</w:t>
            </w:r>
          </w:p>
        </w:tc>
        <w:tc>
          <w:tcPr>
            <w:tcW w:w="6093" w:type="dxa"/>
            <w:shd w:val="clear" w:color="auto" w:fill="auto"/>
          </w:tcPr>
          <w:p w14:paraId="712814C6" w14:textId="77777777" w:rsidR="00913DB8" w:rsidRDefault="00B03EF0" w:rsidP="00B03EF0">
            <w:pPr>
              <w:pStyle w:val="Tablelistbullet"/>
            </w:pPr>
            <w:r w:rsidRPr="00B03EF0">
              <w:t>Legal costs of recovery claims.</w:t>
            </w:r>
          </w:p>
          <w:p w14:paraId="7F32110E" w14:textId="77777777" w:rsidR="00B03EF0" w:rsidRDefault="00B03EF0" w:rsidP="00B03EF0">
            <w:pPr>
              <w:pStyle w:val="Tablelistbullet"/>
            </w:pPr>
            <w:r w:rsidRPr="00B03EF0">
              <w:t>Claims for compensation arising from loss of income from the fisheries and/or tourism sectors.</w:t>
            </w:r>
          </w:p>
          <w:p w14:paraId="1B4C50DA" w14:textId="77777777" w:rsidR="00B03EF0" w:rsidRDefault="00B03EF0" w:rsidP="00B03EF0">
            <w:pPr>
              <w:pStyle w:val="Tablelistbullet"/>
            </w:pPr>
            <w:r w:rsidRPr="00B03EF0">
              <w:t>Compensation of valid claims arising from incident towards a court-administered limitation fund.</w:t>
            </w:r>
          </w:p>
          <w:p w14:paraId="59F1EEAD" w14:textId="6E1BD1A9" w:rsidR="00B03EF0" w:rsidRDefault="00B03EF0" w:rsidP="00B03EF0">
            <w:pPr>
              <w:pStyle w:val="Tablelistbullet"/>
            </w:pPr>
            <w:r w:rsidRPr="00B03EF0">
              <w:t>Payments for worker’s compensation.</w:t>
            </w:r>
          </w:p>
        </w:tc>
      </w:tr>
      <w:tr w:rsidR="00913DB8" w14:paraId="0949F0B3" w14:textId="77777777" w:rsidTr="00E9354D">
        <w:trPr>
          <w:gridBefore w:val="1"/>
          <w:wBefore w:w="454" w:type="dxa"/>
        </w:trPr>
        <w:tc>
          <w:tcPr>
            <w:tcW w:w="1843" w:type="dxa"/>
            <w:shd w:val="clear" w:color="auto" w:fill="auto"/>
          </w:tcPr>
          <w:p w14:paraId="06B86435" w14:textId="68F67CF2" w:rsidR="00913DB8" w:rsidRDefault="00B03EF0" w:rsidP="00913DB8">
            <w:pPr>
              <w:pStyle w:val="Tabletext"/>
            </w:pPr>
            <w:r w:rsidRPr="00B03EF0">
              <w:t>Wildlife</w:t>
            </w:r>
          </w:p>
        </w:tc>
        <w:tc>
          <w:tcPr>
            <w:tcW w:w="6093" w:type="dxa"/>
            <w:shd w:val="clear" w:color="auto" w:fill="auto"/>
          </w:tcPr>
          <w:p w14:paraId="6AE90AA3" w14:textId="17ACB17A" w:rsidR="00913DB8" w:rsidRDefault="00B03EF0" w:rsidP="00E9354D">
            <w:pPr>
              <w:pStyle w:val="Tablelistbullet"/>
            </w:pPr>
            <w:r w:rsidRPr="00B03EF0">
              <w:t>Wildlife rehabilitation and rescue costs, including capture and cleaning.</w:t>
            </w:r>
          </w:p>
        </w:tc>
      </w:tr>
      <w:tr w:rsidR="00913DB8" w14:paraId="3FEA1772" w14:textId="77777777" w:rsidTr="00E9354D">
        <w:trPr>
          <w:gridBefore w:val="1"/>
          <w:wBefore w:w="454" w:type="dxa"/>
        </w:trPr>
        <w:tc>
          <w:tcPr>
            <w:tcW w:w="1843" w:type="dxa"/>
            <w:shd w:val="clear" w:color="auto" w:fill="auto"/>
          </w:tcPr>
          <w:p w14:paraId="74A3C2A3" w14:textId="6A2F5ABB" w:rsidR="00913DB8" w:rsidRDefault="00B03EF0" w:rsidP="00913DB8">
            <w:pPr>
              <w:pStyle w:val="Tabletext"/>
            </w:pPr>
            <w:r w:rsidRPr="00B03EF0">
              <w:t>Scientific costs</w:t>
            </w:r>
          </w:p>
        </w:tc>
        <w:tc>
          <w:tcPr>
            <w:tcW w:w="6093" w:type="dxa"/>
            <w:shd w:val="clear" w:color="auto" w:fill="auto"/>
          </w:tcPr>
          <w:p w14:paraId="228480A5" w14:textId="77777777" w:rsidR="00913DB8" w:rsidRDefault="00E9354D" w:rsidP="00E9354D">
            <w:pPr>
              <w:pStyle w:val="Tablelistbullet"/>
            </w:pPr>
            <w:r w:rsidRPr="00E9354D">
              <w:t>Short term environmental damage assessments.</w:t>
            </w:r>
          </w:p>
          <w:p w14:paraId="69DB893E" w14:textId="77777777" w:rsidR="00E9354D" w:rsidRDefault="00E9354D" w:rsidP="00E9354D">
            <w:pPr>
              <w:pStyle w:val="Tablelistbullet"/>
            </w:pPr>
            <w:r w:rsidRPr="00E9354D">
              <w:t>Longer term damage assessments (including recovery).</w:t>
            </w:r>
          </w:p>
          <w:p w14:paraId="35B463C4" w14:textId="77777777" w:rsidR="00E9354D" w:rsidRDefault="00E9354D" w:rsidP="00E9354D">
            <w:pPr>
              <w:pStyle w:val="Tablelistbullet"/>
            </w:pPr>
            <w:r w:rsidRPr="00E9354D">
              <w:t>Purely scientific studies—lab analysis, sample collection equipment.</w:t>
            </w:r>
          </w:p>
          <w:p w14:paraId="2A5F66A7" w14:textId="77777777" w:rsidR="00E9354D" w:rsidRDefault="00E9354D" w:rsidP="00E9354D">
            <w:pPr>
              <w:pStyle w:val="Tablelistbullet"/>
            </w:pPr>
            <w:r w:rsidRPr="00E9354D">
              <w:t>Post response monitoring activities.</w:t>
            </w:r>
          </w:p>
          <w:p w14:paraId="496EEF96" w14:textId="470F668A" w:rsidR="00E9354D" w:rsidRDefault="00E9354D" w:rsidP="00E9354D">
            <w:pPr>
              <w:pStyle w:val="Tablelistbullet"/>
            </w:pPr>
            <w:r w:rsidRPr="00E9354D">
              <w:t>Special weather reports</w:t>
            </w:r>
          </w:p>
        </w:tc>
      </w:tr>
      <w:tr w:rsidR="00913DB8" w14:paraId="3056FD46" w14:textId="77777777" w:rsidTr="00877BDF">
        <w:trPr>
          <w:gridBefore w:val="1"/>
          <w:wBefore w:w="454" w:type="dxa"/>
        </w:trPr>
        <w:tc>
          <w:tcPr>
            <w:tcW w:w="7936" w:type="dxa"/>
            <w:gridSpan w:val="2"/>
            <w:tcBorders>
              <w:bottom w:val="single" w:sz="4" w:space="0" w:color="646464"/>
            </w:tcBorders>
            <w:shd w:val="clear" w:color="auto" w:fill="auto"/>
          </w:tcPr>
          <w:p w14:paraId="12D27ECB" w14:textId="07468FF0" w:rsidR="00913DB8" w:rsidRDefault="00913DB8" w:rsidP="0098513C">
            <w:pPr>
              <w:pStyle w:val="Source"/>
            </w:pPr>
            <w:r>
              <w:t>Source</w:t>
            </w:r>
            <w:r w:rsidR="0098513C">
              <w:t>: AMSA</w:t>
            </w:r>
          </w:p>
        </w:tc>
      </w:tr>
      <w:tr w:rsidR="00913DB8" w14:paraId="679FCECD" w14:textId="77777777" w:rsidTr="00913DB8">
        <w:trPr>
          <w:gridBefore w:val="1"/>
          <w:wBefore w:w="454" w:type="dxa"/>
          <w:trHeight w:hRule="exact" w:val="160"/>
        </w:trPr>
        <w:tc>
          <w:tcPr>
            <w:tcW w:w="7936" w:type="dxa"/>
            <w:gridSpan w:val="2"/>
            <w:tcBorders>
              <w:top w:val="single" w:sz="4" w:space="0" w:color="646464"/>
              <w:bottom w:val="nil"/>
            </w:tcBorders>
            <w:shd w:val="clear" w:color="auto" w:fill="auto"/>
          </w:tcPr>
          <w:p w14:paraId="5A1B6288" w14:textId="77777777" w:rsidR="00913DB8" w:rsidRDefault="00913DB8" w:rsidP="00913DB8">
            <w:pPr>
              <w:pStyle w:val="spacer"/>
            </w:pPr>
          </w:p>
        </w:tc>
      </w:tr>
    </w:tbl>
    <w:p w14:paraId="5F7E03F1" w14:textId="77777777" w:rsidR="001A513F" w:rsidRPr="0008756D" w:rsidRDefault="001A513F" w:rsidP="001A513F">
      <w:pPr>
        <w:pStyle w:val="Heading2"/>
      </w:pPr>
      <w:bookmarkStart w:id="36" w:name="_Toc99543728"/>
      <w:r w:rsidRPr="0008756D">
        <w:t>Marine insurance</w:t>
      </w:r>
      <w:bookmarkEnd w:id="36"/>
    </w:p>
    <w:p w14:paraId="006A0C5F" w14:textId="6119276C" w:rsidR="001A513F" w:rsidRDefault="001A513F" w:rsidP="001A513F">
      <w:pPr>
        <w:pStyle w:val="BodyText"/>
      </w:pPr>
      <w:r>
        <w:t>The Nairobi Convention includes a requirement for owners of vessels 300 GT and higher to have compulsory insurance to provide for wreck removal costs.</w:t>
      </w:r>
    </w:p>
    <w:p w14:paraId="7F69477D" w14:textId="39F59406" w:rsidR="001A513F" w:rsidRDefault="001A513F" w:rsidP="001A513F">
      <w:pPr>
        <w:pStyle w:val="BodyText"/>
      </w:pPr>
      <w:r>
        <w:t xml:space="preserve">While P&amp;I Clubs are familiar with the </w:t>
      </w:r>
      <w:r w:rsidR="00985EAE">
        <w:t>Nairobi Convention</w:t>
      </w:r>
      <w:r>
        <w:t xml:space="preserve"> and providing the required proof of compulsory wreck removal insurance, the extension of the provisions to </w:t>
      </w:r>
      <w:r w:rsidR="00AC39D4">
        <w:t xml:space="preserve">Territorial Sea </w:t>
      </w:r>
      <w:r>
        <w:t xml:space="preserve">and to domestic vessels means that shipowners will likely be looking more and more to non-P&amp;I Club insurers for the necessary insurance. Shipowners operating only domestically may be more accustomed to relying upon the non-P&amp;I Club marine insurers by reason of pricing or their country’s licensing requirements which limit P&amp;I Club participation in their market. P&amp;I Clubs themselves may be risk adverse to accepting barges used only in domestic voyages (often ranging from </w:t>
      </w:r>
      <w:r w:rsidR="003540E5">
        <w:t>500 </w:t>
      </w:r>
      <w:r>
        <w:t xml:space="preserve">GT to </w:t>
      </w:r>
      <w:r w:rsidR="003540E5">
        <w:t>5</w:t>
      </w:r>
      <w:r w:rsidR="0008756D">
        <w:t>,</w:t>
      </w:r>
      <w:r w:rsidR="003540E5">
        <w:t>000 </w:t>
      </w:r>
      <w:r>
        <w:t>GT).</w:t>
      </w:r>
    </w:p>
    <w:p w14:paraId="1FED875C" w14:textId="45DF790F" w:rsidR="00B65A01" w:rsidRDefault="00B65A01" w:rsidP="00B65A01">
      <w:pPr>
        <w:pStyle w:val="BodyText"/>
      </w:pPr>
      <w:r>
        <w:t xml:space="preserve">P&amp;I Clubs insurance premiums depend on a number of factors. On average, insurance premiums have ranged between $1.6/GT and $3/GT over the past seven years to 2019 as shown in </w:t>
      </w:r>
      <w:r>
        <w:fldChar w:fldCharType="begin"/>
      </w:r>
      <w:r>
        <w:instrText xml:space="preserve"> REF _Ref74568322 \h </w:instrText>
      </w:r>
      <w:r>
        <w:fldChar w:fldCharType="separate"/>
      </w:r>
      <w:r w:rsidR="00966CD2" w:rsidRPr="00E158A2">
        <w:rPr>
          <w:rStyle w:val="CaptionLabel"/>
        </w:rPr>
        <w:t>Figure </w:t>
      </w:r>
      <w:r w:rsidR="00966CD2">
        <w:rPr>
          <w:rStyle w:val="CaptionLabel"/>
          <w:noProof/>
        </w:rPr>
        <w:t>3</w:t>
      </w:r>
      <w:r w:rsidR="00966CD2" w:rsidRPr="00E158A2">
        <w:rPr>
          <w:rStyle w:val="CaptionLabel"/>
        </w:rPr>
        <w:t>.</w:t>
      </w:r>
      <w:r w:rsidR="00966CD2">
        <w:rPr>
          <w:rStyle w:val="CaptionLabel"/>
          <w:noProof/>
        </w:rPr>
        <w:t>3</w:t>
      </w:r>
      <w:r>
        <w:fldChar w:fldCharType="end"/>
      </w:r>
      <w:r>
        <w:t>.</w:t>
      </w:r>
    </w:p>
    <w:tbl>
      <w:tblPr>
        <w:tblW w:w="0" w:type="auto"/>
        <w:tblLayout w:type="fixed"/>
        <w:tblCellMar>
          <w:left w:w="0" w:type="dxa"/>
          <w:right w:w="0" w:type="dxa"/>
        </w:tblCellMar>
        <w:tblLook w:val="0000" w:firstRow="0" w:lastRow="0" w:firstColumn="0" w:lastColumn="0" w:noHBand="0" w:noVBand="0"/>
      </w:tblPr>
      <w:tblGrid>
        <w:gridCol w:w="7936"/>
      </w:tblGrid>
      <w:tr w:rsidR="00B65A01" w14:paraId="0E3A1C5C" w14:textId="77777777" w:rsidTr="00877BDF">
        <w:tc>
          <w:tcPr>
            <w:tcW w:w="7936" w:type="dxa"/>
            <w:tcBorders>
              <w:bottom w:val="single" w:sz="4" w:space="0" w:color="000100"/>
            </w:tcBorders>
            <w:shd w:val="clear" w:color="auto" w:fill="auto"/>
            <w:tcMar>
              <w:top w:w="160" w:type="dxa"/>
              <w:bottom w:w="8" w:type="dxa"/>
            </w:tcMar>
          </w:tcPr>
          <w:p w14:paraId="766EA843" w14:textId="27534957" w:rsidR="00B65A01" w:rsidRDefault="00B65A01" w:rsidP="00877BDF">
            <w:pPr>
              <w:pStyle w:val="Caption"/>
            </w:pPr>
            <w:bookmarkStart w:id="37" w:name="_Ref74568322"/>
            <w:bookmarkStart w:id="38" w:name="_Toc99543743"/>
            <w:r w:rsidRPr="00E158A2">
              <w:rPr>
                <w:rStyle w:val="CaptionLabel"/>
              </w:rPr>
              <w:t>Figure </w:t>
            </w:r>
            <w:r w:rsidRPr="00E158A2">
              <w:rPr>
                <w:rStyle w:val="CaptionLabel"/>
              </w:rPr>
              <w:fldChar w:fldCharType="begin"/>
            </w:r>
            <w:r w:rsidRPr="00E158A2">
              <w:rPr>
                <w:rStyle w:val="CaptionLabel"/>
              </w:rPr>
              <w:instrText xml:space="preserve"> STYLEREF 1 \S \* MERGEFORMAT </w:instrText>
            </w:r>
            <w:r w:rsidRPr="00E158A2">
              <w:rPr>
                <w:rStyle w:val="CaptionLabel"/>
              </w:rPr>
              <w:fldChar w:fldCharType="separate"/>
            </w:r>
            <w:r w:rsidR="00966CD2">
              <w:rPr>
                <w:rStyle w:val="CaptionLabel"/>
                <w:noProof/>
              </w:rPr>
              <w:t>3</w:t>
            </w:r>
            <w:r w:rsidRPr="00E158A2">
              <w:rPr>
                <w:rStyle w:val="CaptionLabel"/>
              </w:rPr>
              <w:fldChar w:fldCharType="end"/>
            </w:r>
            <w:r w:rsidRPr="00E158A2">
              <w:rPr>
                <w:rStyle w:val="CaptionLabel"/>
              </w:rPr>
              <w:t>.</w:t>
            </w:r>
            <w:r w:rsidRPr="00E158A2">
              <w:rPr>
                <w:rStyle w:val="CaptionLabel"/>
              </w:rPr>
              <w:fldChar w:fldCharType="begin"/>
            </w:r>
            <w:r w:rsidRPr="00E158A2">
              <w:rPr>
                <w:rStyle w:val="CaptionLabel"/>
              </w:rPr>
              <w:instrText xml:space="preserve"> SEQ Figure \* ARABIC \S 1 \* MERGEFORMAT </w:instrText>
            </w:r>
            <w:r w:rsidRPr="00E158A2">
              <w:rPr>
                <w:rStyle w:val="CaptionLabel"/>
              </w:rPr>
              <w:fldChar w:fldCharType="separate"/>
            </w:r>
            <w:r w:rsidR="00966CD2">
              <w:rPr>
                <w:rStyle w:val="CaptionLabel"/>
                <w:noProof/>
              </w:rPr>
              <w:t>3</w:t>
            </w:r>
            <w:r w:rsidRPr="00E158A2">
              <w:rPr>
                <w:rStyle w:val="CaptionLabel"/>
              </w:rPr>
              <w:fldChar w:fldCharType="end"/>
            </w:r>
            <w:bookmarkEnd w:id="37"/>
            <w:r>
              <w:tab/>
              <w:t>Annual average insurance premium, 2013-2019</w:t>
            </w:r>
            <w:bookmarkEnd w:id="38"/>
          </w:p>
        </w:tc>
      </w:tr>
      <w:tr w:rsidR="00B65A01" w14:paraId="5BE0AA6D" w14:textId="77777777" w:rsidTr="00877BDF">
        <w:tblPrEx>
          <w:tblCellMar>
            <w:left w:w="108" w:type="dxa"/>
            <w:right w:w="108" w:type="dxa"/>
          </w:tblCellMar>
        </w:tblPrEx>
        <w:tc>
          <w:tcPr>
            <w:tcW w:w="7936" w:type="dxa"/>
            <w:tcBorders>
              <w:top w:val="single" w:sz="4" w:space="0" w:color="000100"/>
            </w:tcBorders>
            <w:shd w:val="clear" w:color="auto" w:fill="auto"/>
          </w:tcPr>
          <w:p w14:paraId="665EBF60" w14:textId="77777777" w:rsidR="00B65A01" w:rsidRDefault="00B65A01" w:rsidP="00877BDF">
            <w:pPr>
              <w:pStyle w:val="Figure"/>
            </w:pPr>
            <w:r>
              <w:rPr>
                <w:noProof/>
                <w:lang w:eastAsia="en-AU"/>
              </w:rPr>
              <w:drawing>
                <wp:inline distT="0" distB="0" distL="0" distR="0" wp14:anchorId="3531A734" wp14:editId="4CE8586C">
                  <wp:extent cx="5039360" cy="2147570"/>
                  <wp:effectExtent l="0" t="0" r="8890" b="5080"/>
                  <wp:docPr id="7" name="Chart 7">
                    <a:extLst xmlns:a="http://schemas.openxmlformats.org/drawingml/2006/main">
                      <a:ext uri="{FF2B5EF4-FFF2-40B4-BE49-F238E27FC236}">
                        <a16:creationId xmlns:a16="http://schemas.microsoft.com/office/drawing/2014/main" id="{36865533-4190-4F7C-B90B-1C73C9ED1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B65A01" w14:paraId="2DCD1F2C" w14:textId="77777777" w:rsidTr="00877BDF">
        <w:trPr>
          <w:trHeight w:val="135"/>
        </w:trPr>
        <w:tc>
          <w:tcPr>
            <w:tcW w:w="7936" w:type="dxa"/>
            <w:tcBorders>
              <w:bottom w:val="single" w:sz="4" w:space="0" w:color="000100"/>
            </w:tcBorders>
            <w:shd w:val="clear" w:color="auto" w:fill="auto"/>
            <w:tcMar>
              <w:top w:w="12" w:type="dxa"/>
              <w:bottom w:w="113" w:type="dxa"/>
            </w:tcMar>
          </w:tcPr>
          <w:p w14:paraId="54F70EA8" w14:textId="77777777" w:rsidR="00B65A01" w:rsidRDefault="00B65A01" w:rsidP="00877BDF">
            <w:pPr>
              <w:pStyle w:val="Source"/>
            </w:pPr>
            <w:r>
              <w:t xml:space="preserve">Source: </w:t>
            </w:r>
            <w:r w:rsidRPr="00502D09">
              <w:t>Marsh Ltd 2019, P&amp;I Review 2019</w:t>
            </w:r>
            <w:r>
              <w:t xml:space="preserve">. </w:t>
            </w:r>
          </w:p>
          <w:p w14:paraId="24FA34ED" w14:textId="2423A960" w:rsidR="00B65A01" w:rsidRPr="00502D09" w:rsidRDefault="008C3AD9" w:rsidP="00877BDF">
            <w:pPr>
              <w:spacing w:before="0" w:after="0" w:line="240" w:lineRule="auto"/>
              <w:rPr>
                <w:rFonts w:cs="Times New Roman"/>
                <w:color w:val="7BBDD6"/>
                <w:sz w:val="18"/>
                <w:szCs w:val="18"/>
                <w:u w:val="single"/>
              </w:rPr>
            </w:pPr>
            <w:hyperlink r:id="rId62" w:history="1">
              <w:r w:rsidR="00B65A01">
                <w:rPr>
                  <w:rStyle w:val="Hyperlink"/>
                  <w:sz w:val="18"/>
                  <w:szCs w:val="18"/>
                </w:rPr>
                <w:t>https://www.marsh.com/us/insights/research/protection-and-indemnity-review-2019.html</w:t>
              </w:r>
            </w:hyperlink>
          </w:p>
        </w:tc>
      </w:tr>
      <w:tr w:rsidR="00B65A01" w14:paraId="581B950B" w14:textId="77777777" w:rsidTr="00877BDF">
        <w:trPr>
          <w:trHeight w:hRule="exact" w:val="160"/>
        </w:trPr>
        <w:tc>
          <w:tcPr>
            <w:tcW w:w="7936" w:type="dxa"/>
            <w:tcBorders>
              <w:top w:val="single" w:sz="4" w:space="0" w:color="000100"/>
            </w:tcBorders>
            <w:shd w:val="clear" w:color="auto" w:fill="auto"/>
            <w:tcMar>
              <w:top w:w="0" w:type="dxa"/>
              <w:bottom w:w="40" w:type="dxa"/>
            </w:tcMar>
          </w:tcPr>
          <w:p w14:paraId="3131A1DE" w14:textId="77777777" w:rsidR="00B65A01" w:rsidRDefault="00B65A01" w:rsidP="00877BDF">
            <w:pPr>
              <w:pStyle w:val="spacer"/>
            </w:pPr>
          </w:p>
        </w:tc>
      </w:tr>
    </w:tbl>
    <w:p w14:paraId="04E88259" w14:textId="29A8D912" w:rsidR="001A513F" w:rsidRDefault="00DA1AA2" w:rsidP="001A513F">
      <w:pPr>
        <w:pStyle w:val="BodyText"/>
      </w:pPr>
      <w:r>
        <w:lastRenderedPageBreak/>
        <w:t>According to our consultations, t</w:t>
      </w:r>
      <w:r w:rsidR="001A513F">
        <w:t xml:space="preserve">he nature of the compulsory insurance required by the </w:t>
      </w:r>
      <w:r w:rsidR="00985EAE">
        <w:t>Nairobi Convention</w:t>
      </w:r>
      <w:r w:rsidR="001A513F">
        <w:t xml:space="preserve"> is not always well understood outside of the P&amp;I Club market.</w:t>
      </w:r>
    </w:p>
    <w:p w14:paraId="66DD3C76" w14:textId="77777777" w:rsidR="001A513F" w:rsidRPr="00775BEF" w:rsidRDefault="001A513F" w:rsidP="001A513F">
      <w:pPr>
        <w:pStyle w:val="BodyText"/>
        <w:rPr>
          <w:rFonts w:cs="Times New Roman"/>
        </w:rPr>
      </w:pPr>
      <w:r w:rsidRPr="00775BEF">
        <w:t>The</w:t>
      </w:r>
      <w:r>
        <w:t xml:space="preserve"> </w:t>
      </w:r>
      <w:r w:rsidRPr="00775BEF">
        <w:rPr>
          <w:rStyle w:val="Emphasis"/>
          <w:color w:val="292929"/>
        </w:rPr>
        <w:t>Convention on Limitation of Liability for Maritime Claims</w:t>
      </w:r>
      <w:r>
        <w:t xml:space="preserve"> </w:t>
      </w:r>
      <w:r w:rsidRPr="00775BEF">
        <w:t>(LLMC Convention) allows shipowners to limit their liability to pay compensation for general ship-sourced damage. The LLMC Convention applies to claims for loss of life and personal injury, as well as loss of or damage to property. It also applies to pollution damage where no other Convention applies. Currently the only other relevant Conventions which apply in Australia are:</w:t>
      </w:r>
    </w:p>
    <w:p w14:paraId="50657A8B" w14:textId="77777777" w:rsidR="001A513F" w:rsidRPr="00775BEF" w:rsidRDefault="001A513F" w:rsidP="001A513F">
      <w:pPr>
        <w:pStyle w:val="ListBullet"/>
      </w:pPr>
      <w:r>
        <w:t>t</w:t>
      </w:r>
      <w:r w:rsidRPr="00775BEF">
        <w:t>he</w:t>
      </w:r>
      <w:r>
        <w:t xml:space="preserve"> </w:t>
      </w:r>
      <w:r w:rsidRPr="00775BEF">
        <w:rPr>
          <w:rStyle w:val="Emphasis"/>
          <w:color w:val="292929"/>
        </w:rPr>
        <w:t>International Convention on Civil Liability for Oil Pollution Damag</w:t>
      </w:r>
      <w:r>
        <w:rPr>
          <w:rStyle w:val="Emphasis"/>
          <w:color w:val="292929"/>
        </w:rPr>
        <w:t xml:space="preserve">e </w:t>
      </w:r>
      <w:r w:rsidRPr="00775BEF">
        <w:t>and the</w:t>
      </w:r>
      <w:r>
        <w:t xml:space="preserve"> </w:t>
      </w:r>
      <w:r w:rsidRPr="00775BEF">
        <w:rPr>
          <w:rStyle w:val="Emphasis"/>
          <w:color w:val="292929"/>
        </w:rPr>
        <w:t>International Convention on the Establishment of an International Fund for Compensation for Oil Pollution Damage</w:t>
      </w:r>
      <w:r>
        <w:t xml:space="preserve"> </w:t>
      </w:r>
      <w:r w:rsidRPr="00775BEF">
        <w:t>which together establish a comprehensive liability and compensation regime applying to pollution damage resulting from the escape or discharge of oil from oil tankers; and</w:t>
      </w:r>
    </w:p>
    <w:p w14:paraId="601B141D" w14:textId="77777777" w:rsidR="001A513F" w:rsidRPr="00775BEF" w:rsidRDefault="001A513F" w:rsidP="001A513F">
      <w:pPr>
        <w:pStyle w:val="ListBullet"/>
      </w:pPr>
      <w:r w:rsidRPr="00775BEF">
        <w:t>the</w:t>
      </w:r>
      <w:r>
        <w:t xml:space="preserve"> </w:t>
      </w:r>
      <w:r w:rsidRPr="00775BEF">
        <w:rPr>
          <w:rStyle w:val="Emphasis"/>
          <w:color w:val="292929"/>
        </w:rPr>
        <w:t>International Convention on Civil Liability for Bunker Oil Pollution Damage</w:t>
      </w:r>
      <w:r w:rsidRPr="00775BEF">
        <w:t> which establishes a liability and compensation regime applying to pollution damage resulting from the escape or discharge of bunker (or fuel) oil from ships other than oil tankers.</w:t>
      </w:r>
    </w:p>
    <w:p w14:paraId="71BF1DA5" w14:textId="3A9C8D63" w:rsidR="00514186" w:rsidRPr="00775BEF" w:rsidRDefault="00514186" w:rsidP="001A513F">
      <w:pPr>
        <w:pStyle w:val="BodyText"/>
      </w:pPr>
      <w:r w:rsidRPr="00514186">
        <w:t>The LLMC Convention generally also applies to claims relating to wreck removal. However, along with nine other countries, Australia has lodged a reservation excluding the application of that part of the LLMC Convention. The effect of the reservation in Australia is that a shipowner is liable for all expenses associated with the removal of a wreck. The LLMC Convention does not impose strict liability to pay compensation for damage on the shipowner. The amount of compensation that a court is able to award is limited by the LLMC Convention. Under the LLMC Convention, the shipowner's liability limit is calculated based on the size of the ship. The liability limits set out in the LLMC Convention in respect of claims for property damage are as follows:</w:t>
      </w:r>
    </w:p>
    <w:p w14:paraId="610E8188" w14:textId="3DAD809D" w:rsidR="001A513F" w:rsidRPr="00775BEF" w:rsidRDefault="00012188" w:rsidP="001A513F">
      <w:pPr>
        <w:pStyle w:val="ListBullet"/>
      </w:pPr>
      <w:r>
        <w:t>1.51</w:t>
      </w:r>
      <w:r w:rsidR="001A513F" w:rsidRPr="00775BEF">
        <w:t xml:space="preserve"> million</w:t>
      </w:r>
      <w:r w:rsidR="001A513F">
        <w:t xml:space="preserve"> SDR </w:t>
      </w:r>
      <w:r w:rsidR="001A513F" w:rsidRPr="00775BEF">
        <w:t>or a ship with a gross tonnage not exceeding 2,000</w:t>
      </w:r>
      <w:r w:rsidR="001A513F">
        <w:t xml:space="preserve"> (which is equivalent to A$1.85 million)</w:t>
      </w:r>
    </w:p>
    <w:p w14:paraId="048C22D0" w14:textId="77777777" w:rsidR="001A513F" w:rsidRPr="00775BEF" w:rsidRDefault="001A513F" w:rsidP="001A513F">
      <w:pPr>
        <w:pStyle w:val="ListBullet"/>
      </w:pPr>
      <w:r w:rsidRPr="00775BEF">
        <w:t>for a ship with a gross tonnage in excess of 2,000, the following additional amount:</w:t>
      </w:r>
    </w:p>
    <w:p w14:paraId="0F204854" w14:textId="0B82FFBA" w:rsidR="001A513F" w:rsidRPr="00775BEF" w:rsidRDefault="001A513F" w:rsidP="001A513F">
      <w:pPr>
        <w:pStyle w:val="ListBullet2"/>
      </w:pPr>
      <w:r w:rsidRPr="00775BEF">
        <w:t>for each to</w:t>
      </w:r>
      <w:r w:rsidR="00012188">
        <w:t>n from 2,001 to 30,000 tons, 604</w:t>
      </w:r>
      <w:r w:rsidRPr="00775BEF">
        <w:t xml:space="preserve"> SDR;</w:t>
      </w:r>
    </w:p>
    <w:p w14:paraId="64836BEC" w14:textId="6DC9C9DC" w:rsidR="001A513F" w:rsidRPr="00775BEF" w:rsidRDefault="001A513F" w:rsidP="001A513F">
      <w:pPr>
        <w:pStyle w:val="ListBullet2"/>
      </w:pPr>
      <w:r w:rsidRPr="00775BEF">
        <w:t xml:space="preserve">for each ton from 30,001 to 70,000 tons, </w:t>
      </w:r>
      <w:r w:rsidR="00012188">
        <w:t>453</w:t>
      </w:r>
      <w:r w:rsidRPr="00775BEF">
        <w:t xml:space="preserve"> SDR; and</w:t>
      </w:r>
    </w:p>
    <w:p w14:paraId="20D0196C" w14:textId="0CF51C3E" w:rsidR="001A513F" w:rsidRPr="00775BEF" w:rsidRDefault="001A513F" w:rsidP="001A513F">
      <w:pPr>
        <w:pStyle w:val="ListBullet2"/>
      </w:pPr>
      <w:r w:rsidRPr="00775BEF">
        <w:t xml:space="preserve">for each ton in excess of 70,000 tons, </w:t>
      </w:r>
      <w:r w:rsidR="00012188">
        <w:t>302</w:t>
      </w:r>
      <w:r w:rsidRPr="00775BEF">
        <w:t xml:space="preserve"> SDR.</w:t>
      </w:r>
    </w:p>
    <w:p w14:paraId="6A6C1228" w14:textId="77777777" w:rsidR="001A513F" w:rsidRPr="00775BEF" w:rsidRDefault="001A513F" w:rsidP="001A513F">
      <w:pPr>
        <w:pStyle w:val="BodyText"/>
      </w:pPr>
      <w:r w:rsidRPr="00775BEF">
        <w:t>The liability limits in respect of claims for loss of life or personal injury are twice the limits that apply in respect of property claims.</w:t>
      </w:r>
      <w:r>
        <w:t xml:space="preserve"> </w:t>
      </w:r>
      <w:r w:rsidRPr="00775BEF">
        <w:t>There is a separate liability limit applying in respect of claims for loss of life or personal injury to passengers of a ship. In this case, the liability limit is 175,000 SDR multiplied by the number of passengers which the ship is authorised to carry.</w:t>
      </w:r>
    </w:p>
    <w:p w14:paraId="4F018523" w14:textId="4569ECD0" w:rsidR="001A513F" w:rsidRDefault="001A513F" w:rsidP="001A513F">
      <w:pPr>
        <w:pStyle w:val="BodyText"/>
      </w:pPr>
      <w:r w:rsidRPr="00775BEF">
        <w:t>There is no requirement for shipowners to gain and maintain insurance in the LLMC Convention. However, in Australia, Part IIIA of the </w:t>
      </w:r>
      <w:hyperlink r:id="rId63" w:history="1">
        <w:r w:rsidRPr="00775BEF">
          <w:rPr>
            <w:rStyle w:val="Emphasis"/>
            <w:color w:val="0072CF"/>
            <w:u w:val="single"/>
            <w:bdr w:val="none" w:sz="0" w:space="0" w:color="auto" w:frame="1"/>
          </w:rPr>
          <w:t>Protection of the Sea (Civil Liability) Act 1981</w:t>
        </w:r>
      </w:hyperlink>
      <w:r w:rsidRPr="00775BEF">
        <w:t>, requires ships entering or leaving Australian ports to be insured up to the limits in the LLMC Convention to cover the liability of the shipowner for pollution damage caused in Australia. Part IIIA does not apply where insurance is required by the </w:t>
      </w:r>
      <w:r w:rsidRPr="00775BEF">
        <w:rPr>
          <w:rStyle w:val="Emphasis"/>
          <w:color w:val="292929"/>
        </w:rPr>
        <w:t>International Convention on Civil Liability for Oil Pollution Damage</w:t>
      </w:r>
      <w:r w:rsidRPr="00775BEF">
        <w:t> or by the </w:t>
      </w:r>
      <w:r w:rsidRPr="00775BEF">
        <w:rPr>
          <w:rStyle w:val="Emphasis"/>
          <w:color w:val="292929"/>
        </w:rPr>
        <w:t>International Convention on Civil Liability for Bunker Oil Pollution Damage</w:t>
      </w:r>
      <w:r w:rsidRPr="00775BEF">
        <w:t>.</w:t>
      </w:r>
      <w:r>
        <w:t xml:space="preserve"> </w:t>
      </w:r>
      <w:r w:rsidRPr="00775BEF">
        <w:t>The LLMC Convention is implemented in Australian domestic legislation by the </w:t>
      </w:r>
      <w:hyperlink r:id="rId64" w:history="1">
        <w:r w:rsidRPr="00775BEF">
          <w:rPr>
            <w:rStyle w:val="Emphasis"/>
            <w:color w:val="0072CF"/>
            <w:u w:val="single"/>
            <w:bdr w:val="none" w:sz="0" w:space="0" w:color="auto" w:frame="1"/>
          </w:rPr>
          <w:t>Limitation of Liability for Maritime Claims Act 1989</w:t>
        </w:r>
      </w:hyperlink>
      <w:r w:rsidRPr="00775BEF">
        <w:t>.</w:t>
      </w:r>
    </w:p>
    <w:p w14:paraId="730C72DB" w14:textId="751D5EEE" w:rsidR="00B814DB" w:rsidRDefault="002F3670" w:rsidP="002F3670">
      <w:pPr>
        <w:pStyle w:val="Heading4"/>
      </w:pPr>
      <w:r>
        <w:t>Impact on insurance costs</w:t>
      </w:r>
    </w:p>
    <w:p w14:paraId="7A32C423" w14:textId="77777777" w:rsidR="007B1D5E" w:rsidRDefault="002F3670" w:rsidP="002F3670">
      <w:pPr>
        <w:pStyle w:val="BodyText"/>
      </w:pPr>
      <w:r>
        <w:t xml:space="preserve">Insurance costs are not directly affected by the introduction of liability conventions where the right to limit is a quid pro quo for strict liability, rights of direct action, mandatory insurance and 3 months post termination of cover liability on the insurer. </w:t>
      </w:r>
    </w:p>
    <w:p w14:paraId="1699A6BF" w14:textId="7F51A4F8" w:rsidR="002F3670" w:rsidRDefault="002F3670" w:rsidP="002F3670">
      <w:pPr>
        <w:pStyle w:val="BodyText"/>
      </w:pPr>
      <w:r>
        <w:lastRenderedPageBreak/>
        <w:t xml:space="preserve">Premium costs are specific to a particular shipowner, the type of ship they operate, its trade and trading patterns, management structure, claims history and a multitude of other factors. Premiums fluctuate. They can stand still or increase depending on the quantum of claims and the state of the marine reinsurance markets at the time of renewal. It would be misleading to try to pin an increase on the cost of premium purely as a result of a country’s ratification of one of the IMO liability conventions. </w:t>
      </w:r>
    </w:p>
    <w:p w14:paraId="3AD4AC7A" w14:textId="77777777" w:rsidR="007B1D5E" w:rsidRDefault="002F3670" w:rsidP="002F3670">
      <w:pPr>
        <w:pStyle w:val="BodyText"/>
      </w:pPr>
      <w:r>
        <w:t xml:space="preserve">Insurance costs can increase </w:t>
      </w:r>
      <w:r w:rsidR="00861DFB">
        <w:t>for a</w:t>
      </w:r>
      <w:r w:rsidR="006D5B96">
        <w:t xml:space="preserve"> </w:t>
      </w:r>
      <w:r w:rsidR="00861DFB">
        <w:t xml:space="preserve">while </w:t>
      </w:r>
      <w:r>
        <w:t xml:space="preserve">after one absolutely huge claim like the Costa Concordia </w:t>
      </w:r>
      <w:r w:rsidR="006F2265">
        <w:t xml:space="preserve">(at $300-400 million) </w:t>
      </w:r>
      <w:r>
        <w:t xml:space="preserve">or </w:t>
      </w:r>
      <w:r w:rsidR="006F2265">
        <w:t xml:space="preserve">after </w:t>
      </w:r>
      <w:r>
        <w:t xml:space="preserve">a series of smaller ones </w:t>
      </w:r>
      <w:r w:rsidR="00861DFB">
        <w:t>within a short period of time</w:t>
      </w:r>
      <w:r w:rsidR="00F05032">
        <w:t xml:space="preserve">, with the higher premiums allowing </w:t>
      </w:r>
      <w:r w:rsidR="00B41603">
        <w:t xml:space="preserve">insurers and </w:t>
      </w:r>
      <w:r w:rsidR="00F05032">
        <w:t>reinsurers to rebuild their reserves</w:t>
      </w:r>
      <w:r>
        <w:t xml:space="preserve">. When the market stabilises </w:t>
      </w:r>
      <w:r w:rsidR="001C54F9">
        <w:t xml:space="preserve">after such an event, the </w:t>
      </w:r>
      <w:r>
        <w:t xml:space="preserve">premium often returns to a lower level. </w:t>
      </w:r>
    </w:p>
    <w:p w14:paraId="26E6A96B" w14:textId="3C7A4C7A" w:rsidR="002F3670" w:rsidRDefault="007B1D5E" w:rsidP="002F3670">
      <w:pPr>
        <w:pStyle w:val="BodyText"/>
      </w:pPr>
      <w:r>
        <w:t>T</w:t>
      </w:r>
      <w:r w:rsidR="002F3670">
        <w:t xml:space="preserve">he IG P&amp;I Clubs are marine mutuals owned by the shipowner members. In the mutual system insurance and reinsurance is provided at market cost. The Clubs are not like </w:t>
      </w:r>
      <w:r w:rsidR="00320DAF">
        <w:t xml:space="preserve">many </w:t>
      </w:r>
      <w:r w:rsidR="002F3670">
        <w:t xml:space="preserve">car or home insurance firms that have shareholders waiting for their annual dividend. The only circumstances under which AMSA or a state department will pay arises is if Australia is </w:t>
      </w:r>
      <w:r w:rsidR="00504CEB">
        <w:t>‘</w:t>
      </w:r>
      <w:r w:rsidR="002F3670">
        <w:t>unlucky</w:t>
      </w:r>
      <w:r w:rsidR="00504CEB">
        <w:t>’</w:t>
      </w:r>
      <w:r w:rsidR="002F3670">
        <w:t xml:space="preserve">, as </w:t>
      </w:r>
      <w:r w:rsidR="00504CEB">
        <w:t xml:space="preserve">was the case </w:t>
      </w:r>
      <w:r w:rsidR="002F3670">
        <w:t xml:space="preserve">in the UK with </w:t>
      </w:r>
      <w:r w:rsidR="00370FEB" w:rsidRPr="00B0780A">
        <w:rPr>
          <w:i/>
          <w:iCs/>
        </w:rPr>
        <w:t xml:space="preserve">MV </w:t>
      </w:r>
      <w:r w:rsidR="002F3670" w:rsidRPr="00B0780A">
        <w:rPr>
          <w:i/>
          <w:iCs/>
        </w:rPr>
        <w:t>Cita</w:t>
      </w:r>
      <w:r w:rsidR="002F3670">
        <w:t xml:space="preserve"> and </w:t>
      </w:r>
      <w:r w:rsidR="004F28E7" w:rsidRPr="00B0780A">
        <w:rPr>
          <w:i/>
          <w:iCs/>
        </w:rPr>
        <w:t xml:space="preserve">MV </w:t>
      </w:r>
      <w:r w:rsidR="002F3670" w:rsidRPr="00B0780A">
        <w:rPr>
          <w:i/>
          <w:iCs/>
        </w:rPr>
        <w:t>Lagik</w:t>
      </w:r>
      <w:r w:rsidR="002F3670">
        <w:t xml:space="preserve">, when both the shipowner and (non-IG) insurer </w:t>
      </w:r>
      <w:r w:rsidR="00EC4C9F">
        <w:t>‘</w:t>
      </w:r>
      <w:r w:rsidR="002F3670">
        <w:t>disappeared</w:t>
      </w:r>
      <w:r w:rsidR="00EC4C9F">
        <w:t>’</w:t>
      </w:r>
      <w:r w:rsidR="002F3670">
        <w:t xml:space="preserve">. These cases were unfortunate, and UK Department of Transport had to pursue the case against both ships through the German courts. UK Government legal fees were more than what they recovered. That is incredibly rare though and where the Group is involved, and providing the correct law is in place and it is properly applied, either the owner and or the club will meet costs for pollution clean-up operations, removal of wreck etc as per the cases of the </w:t>
      </w:r>
      <w:r w:rsidR="002F3670" w:rsidRPr="00985EAE">
        <w:rPr>
          <w:i/>
          <w:iCs/>
        </w:rPr>
        <w:t>MSC Napoli</w:t>
      </w:r>
      <w:r w:rsidR="002F3670">
        <w:t xml:space="preserve">, </w:t>
      </w:r>
      <w:r w:rsidR="002F3670" w:rsidRPr="00985EAE">
        <w:rPr>
          <w:i/>
          <w:iCs/>
        </w:rPr>
        <w:t>Costa Concordia</w:t>
      </w:r>
      <w:r w:rsidR="002F3670">
        <w:t xml:space="preserve">, </w:t>
      </w:r>
      <w:r w:rsidR="002F3670" w:rsidRPr="00985EAE">
        <w:rPr>
          <w:i/>
          <w:iCs/>
        </w:rPr>
        <w:t>MV</w:t>
      </w:r>
      <w:r w:rsidR="00985EAE" w:rsidRPr="00985EAE">
        <w:rPr>
          <w:i/>
          <w:iCs/>
        </w:rPr>
        <w:t> </w:t>
      </w:r>
      <w:r w:rsidR="002F3670" w:rsidRPr="00985EAE">
        <w:rPr>
          <w:i/>
          <w:iCs/>
        </w:rPr>
        <w:t>Smart</w:t>
      </w:r>
      <w:r w:rsidR="002F3670">
        <w:t xml:space="preserve"> and countless others.</w:t>
      </w:r>
    </w:p>
    <w:p w14:paraId="69CDE8AF" w14:textId="0F619BF4" w:rsidR="002F3670" w:rsidRDefault="002F3670" w:rsidP="002F3670">
      <w:pPr>
        <w:pStyle w:val="BodyText"/>
      </w:pPr>
      <w:r>
        <w:t xml:space="preserve">This is similar to the event </w:t>
      </w:r>
      <w:r w:rsidR="00DE0745">
        <w:t>that</w:t>
      </w:r>
      <w:r w:rsidR="000A7064">
        <w:t xml:space="preserve"> </w:t>
      </w:r>
      <w:r>
        <w:t xml:space="preserve">happened at Christmas Island. </w:t>
      </w:r>
    </w:p>
    <w:p w14:paraId="2515DC11" w14:textId="6221B699" w:rsidR="00684C69" w:rsidRDefault="002F3670" w:rsidP="002F3670">
      <w:pPr>
        <w:pStyle w:val="BodyText"/>
      </w:pPr>
      <w:r>
        <w:t xml:space="preserve">A key point is that the Nairobi </w:t>
      </w:r>
      <w:r w:rsidR="007B1D5E">
        <w:t>Convention</w:t>
      </w:r>
      <w:r>
        <w:t xml:space="preserve"> does not of itself make any difference to claims or the cost of premium. If an accident occurs and the owner incurs a liability covered by their club’s </w:t>
      </w:r>
      <w:r w:rsidR="007B1D5E">
        <w:t>rules,</w:t>
      </w:r>
      <w:r>
        <w:t xml:space="preserve"> then the club pays and often does so first. </w:t>
      </w:r>
    </w:p>
    <w:p w14:paraId="2FAF6426" w14:textId="736FDA47" w:rsidR="002F3670" w:rsidRDefault="002F3670" w:rsidP="002F3670">
      <w:pPr>
        <w:pStyle w:val="BodyText"/>
      </w:pPr>
      <w:r>
        <w:t xml:space="preserve">The advantage of the Nairobi convention is that they provide the holy trinity provisions of </w:t>
      </w:r>
      <w:r w:rsidRPr="002F3670">
        <w:rPr>
          <w:b/>
          <w:bCs/>
        </w:rPr>
        <w:t>strict liability</w:t>
      </w:r>
      <w:r>
        <w:t xml:space="preserve"> (no need to prove fault or negligence), </w:t>
      </w:r>
      <w:r w:rsidRPr="002F3670">
        <w:rPr>
          <w:b/>
          <w:bCs/>
        </w:rPr>
        <w:t>mandatory insurance</w:t>
      </w:r>
      <w:r>
        <w:t xml:space="preserve"> as a matter of the treaty law and </w:t>
      </w:r>
      <w:r w:rsidRPr="002F3670">
        <w:rPr>
          <w:b/>
          <w:bCs/>
        </w:rPr>
        <w:t>a right of action</w:t>
      </w:r>
      <w:r>
        <w:t xml:space="preserve"> against the insurer. </w:t>
      </w:r>
    </w:p>
    <w:p w14:paraId="03436807" w14:textId="5043034F" w:rsidR="00BC7652" w:rsidRDefault="00BC7652" w:rsidP="00E21622">
      <w:pPr>
        <w:pStyle w:val="Heading2"/>
      </w:pPr>
      <w:bookmarkStart w:id="39" w:name="_Toc99543729"/>
      <w:r>
        <w:t>Protection of the sea levy</w:t>
      </w:r>
      <w:bookmarkEnd w:id="39"/>
    </w:p>
    <w:p w14:paraId="1B534FCF" w14:textId="1C552CC8" w:rsidR="00BC7652" w:rsidRDefault="00FC6D67" w:rsidP="00D554F0">
      <w:pPr>
        <w:pStyle w:val="BodyText"/>
      </w:pPr>
      <w:r>
        <w:t xml:space="preserve">The protection of the sea levy is a charge against ships </w:t>
      </w:r>
      <w:r w:rsidR="003B1358">
        <w:t xml:space="preserve">which have the potential to become polluters of the marine environment. </w:t>
      </w:r>
      <w:r w:rsidR="00983B97">
        <w:t xml:space="preserve">In the context of the Nairobi Convention, any ship which will be covered by </w:t>
      </w:r>
      <w:r w:rsidR="00C06190">
        <w:t>the Nairobi Convention</w:t>
      </w:r>
      <w:r w:rsidR="00983B97">
        <w:t xml:space="preserve"> will already be paying the levy</w:t>
      </w:r>
      <w:r w:rsidR="00C070D9">
        <w:t xml:space="preserve">, but not all ships which pay the levy will be covered by </w:t>
      </w:r>
      <w:r w:rsidR="00C06190">
        <w:t>the Nairobi Convention</w:t>
      </w:r>
      <w:r w:rsidR="00983B97">
        <w:t>.</w:t>
      </w:r>
    </w:p>
    <w:p w14:paraId="4938C5F3" w14:textId="77777777" w:rsidR="00985734" w:rsidRDefault="00684CB2" w:rsidP="00D554F0">
      <w:pPr>
        <w:pStyle w:val="BodyText"/>
      </w:pPr>
      <w:r w:rsidRPr="00684CB2">
        <w:t xml:space="preserve">The levy funds the National Plan for Maritime Environmental Emergencies and </w:t>
      </w:r>
      <w:r w:rsidR="00E76048" w:rsidRPr="00684CB2">
        <w:t>clean-up</w:t>
      </w:r>
      <w:r w:rsidRPr="00684CB2">
        <w:t xml:space="preserve"> costs which cannot be attributed to a known polluter</w:t>
      </w:r>
      <w:r w:rsidR="000B17CD">
        <w:t>,</w:t>
      </w:r>
      <w:r>
        <w:t xml:space="preserve"> or which cannot be successfully recovered from </w:t>
      </w:r>
      <w:r w:rsidR="002825F5">
        <w:t xml:space="preserve">a known polluter. </w:t>
      </w:r>
    </w:p>
    <w:p w14:paraId="15986513" w14:textId="77777777" w:rsidR="00985734" w:rsidRDefault="00991612" w:rsidP="00D554F0">
      <w:pPr>
        <w:pStyle w:val="BodyText"/>
      </w:pPr>
      <w:r>
        <w:t xml:space="preserve">To date, all monies raised from the levy have been </w:t>
      </w:r>
      <w:r w:rsidR="00940468">
        <w:t xml:space="preserve">given by the Australian Government to AMSA who have used the levy to </w:t>
      </w:r>
      <w:r w:rsidR="00672003">
        <w:t xml:space="preserve">partially </w:t>
      </w:r>
      <w:r w:rsidR="00940468">
        <w:t>fund the</w:t>
      </w:r>
      <w:r w:rsidR="00672003">
        <w:t>ir operations</w:t>
      </w:r>
      <w:r w:rsidR="00BE58FC">
        <w:t>, with</w:t>
      </w:r>
      <w:r w:rsidR="00BA5A2E">
        <w:t xml:space="preserve"> </w:t>
      </w:r>
      <w:r w:rsidR="00BE58FC">
        <w:t>unused funds accumulating</w:t>
      </w:r>
      <w:r w:rsidR="00590DDD">
        <w:t xml:space="preserve"> to be used if the event of a large disaster</w:t>
      </w:r>
      <w:r w:rsidR="00BE58FC">
        <w:t>.</w:t>
      </w:r>
      <w:r w:rsidR="00590DDD">
        <w:t xml:space="preserve"> </w:t>
      </w:r>
    </w:p>
    <w:p w14:paraId="7A39F68B" w14:textId="1F518642" w:rsidR="00684CB2" w:rsidRDefault="002825F5" w:rsidP="00D554F0">
      <w:pPr>
        <w:pStyle w:val="BodyText"/>
      </w:pPr>
      <w:r>
        <w:t xml:space="preserve">For example, the levy fund </w:t>
      </w:r>
      <w:r w:rsidR="004A5933">
        <w:t xml:space="preserve">was </w:t>
      </w:r>
      <w:r w:rsidR="00A73AB3">
        <w:t xml:space="preserve">used </w:t>
      </w:r>
      <w:r w:rsidR="006A09A4">
        <w:t>to pay for the clean</w:t>
      </w:r>
      <w:r w:rsidR="00E76048">
        <w:t>-</w:t>
      </w:r>
      <w:r w:rsidR="006A09A4">
        <w:t xml:space="preserve">up costs of the </w:t>
      </w:r>
      <w:r w:rsidR="006A09A4" w:rsidRPr="006A09A4">
        <w:rPr>
          <w:i/>
          <w:iCs/>
        </w:rPr>
        <w:t>YM Efficiency</w:t>
      </w:r>
      <w:r w:rsidR="006A09A4">
        <w:t xml:space="preserve"> incident.</w:t>
      </w:r>
    </w:p>
    <w:p w14:paraId="79089F5E" w14:textId="6DB4DDA0" w:rsidR="00983B97" w:rsidRDefault="00767913" w:rsidP="00D554F0">
      <w:pPr>
        <w:pStyle w:val="BodyText"/>
      </w:pPr>
      <w:r w:rsidRPr="000415FE">
        <w:t>The levy is reviewed annually.</w:t>
      </w:r>
      <w:r>
        <w:t xml:space="preserve"> </w:t>
      </w:r>
      <w:r w:rsidR="001F50E3">
        <w:t xml:space="preserve">The total amount raised from the levy in </w:t>
      </w:r>
      <w:r w:rsidR="00A73AB3">
        <w:t>2019-20 was $36.6 million</w:t>
      </w:r>
      <w:r w:rsidR="00641FF1">
        <w:t xml:space="preserve"> (see </w:t>
      </w:r>
      <w:r w:rsidR="00641FF1">
        <w:fldChar w:fldCharType="begin"/>
      </w:r>
      <w:r w:rsidR="00641FF1">
        <w:instrText xml:space="preserve"> REF _Ref75020550 \h </w:instrText>
      </w:r>
      <w:r w:rsidR="00641FF1">
        <w:fldChar w:fldCharType="separate"/>
      </w:r>
      <w:r w:rsidR="00966CD2" w:rsidRPr="007372D0">
        <w:rPr>
          <w:rStyle w:val="CaptionLabel"/>
        </w:rPr>
        <w:t>Figure </w:t>
      </w:r>
      <w:r w:rsidR="00966CD2">
        <w:rPr>
          <w:rStyle w:val="CaptionLabel"/>
          <w:noProof/>
        </w:rPr>
        <w:t>3</w:t>
      </w:r>
      <w:r w:rsidR="00966CD2" w:rsidRPr="007372D0">
        <w:rPr>
          <w:rStyle w:val="CaptionLabel"/>
        </w:rPr>
        <w:t>.</w:t>
      </w:r>
      <w:r w:rsidR="00966CD2">
        <w:rPr>
          <w:rStyle w:val="CaptionLabel"/>
          <w:noProof/>
        </w:rPr>
        <w:t>4</w:t>
      </w:r>
      <w:r w:rsidR="00641FF1">
        <w:fldChar w:fldCharType="end"/>
      </w:r>
      <w:r w:rsidR="00641FF1">
        <w:t>)</w:t>
      </w:r>
      <w:r w:rsidR="00A73AB3">
        <w:t>.</w:t>
      </w:r>
    </w:p>
    <w:tbl>
      <w:tblPr>
        <w:tblW w:w="0" w:type="auto"/>
        <w:tblLayout w:type="fixed"/>
        <w:tblCellMar>
          <w:left w:w="0" w:type="dxa"/>
          <w:right w:w="0" w:type="dxa"/>
        </w:tblCellMar>
        <w:tblLook w:val="0000" w:firstRow="0" w:lastRow="0" w:firstColumn="0" w:lastColumn="0" w:noHBand="0" w:noVBand="0"/>
      </w:tblPr>
      <w:tblGrid>
        <w:gridCol w:w="7936"/>
      </w:tblGrid>
      <w:tr w:rsidR="007372D0" w14:paraId="5513DF3F" w14:textId="77777777" w:rsidTr="007372D0">
        <w:tc>
          <w:tcPr>
            <w:tcW w:w="7936" w:type="dxa"/>
            <w:tcBorders>
              <w:bottom w:val="single" w:sz="4" w:space="0" w:color="000100"/>
            </w:tcBorders>
            <w:shd w:val="clear" w:color="auto" w:fill="auto"/>
            <w:tcMar>
              <w:top w:w="160" w:type="dxa"/>
              <w:bottom w:w="8" w:type="dxa"/>
            </w:tcMar>
          </w:tcPr>
          <w:p w14:paraId="29D46AD9" w14:textId="3BDFC257" w:rsidR="007372D0" w:rsidRDefault="007372D0" w:rsidP="007372D0">
            <w:pPr>
              <w:pStyle w:val="Caption"/>
            </w:pPr>
            <w:bookmarkStart w:id="40" w:name="_Ref75020550"/>
            <w:bookmarkStart w:id="41" w:name="_Toc99543744"/>
            <w:r w:rsidRPr="007372D0">
              <w:rPr>
                <w:rStyle w:val="CaptionLabel"/>
              </w:rPr>
              <w:lastRenderedPageBreak/>
              <w:t>Figure </w:t>
            </w:r>
            <w:r w:rsidRPr="007372D0">
              <w:rPr>
                <w:rStyle w:val="CaptionLabel"/>
              </w:rPr>
              <w:fldChar w:fldCharType="begin"/>
            </w:r>
            <w:r w:rsidRPr="007372D0">
              <w:rPr>
                <w:rStyle w:val="CaptionLabel"/>
              </w:rPr>
              <w:instrText xml:space="preserve"> STYLEREF 1 \S \* MERGEFORMAT </w:instrText>
            </w:r>
            <w:r w:rsidRPr="007372D0">
              <w:rPr>
                <w:rStyle w:val="CaptionLabel"/>
              </w:rPr>
              <w:fldChar w:fldCharType="separate"/>
            </w:r>
            <w:r w:rsidR="00966CD2">
              <w:rPr>
                <w:rStyle w:val="CaptionLabel"/>
                <w:noProof/>
              </w:rPr>
              <w:t>3</w:t>
            </w:r>
            <w:r w:rsidRPr="007372D0">
              <w:rPr>
                <w:rStyle w:val="CaptionLabel"/>
              </w:rPr>
              <w:fldChar w:fldCharType="end"/>
            </w:r>
            <w:r w:rsidRPr="007372D0">
              <w:rPr>
                <w:rStyle w:val="CaptionLabel"/>
              </w:rPr>
              <w:t>.</w:t>
            </w:r>
            <w:r w:rsidRPr="007372D0">
              <w:rPr>
                <w:rStyle w:val="CaptionLabel"/>
              </w:rPr>
              <w:fldChar w:fldCharType="begin"/>
            </w:r>
            <w:r w:rsidRPr="007372D0">
              <w:rPr>
                <w:rStyle w:val="CaptionLabel"/>
              </w:rPr>
              <w:instrText xml:space="preserve"> SEQ Figure \* ARABIC \S 1 \* MERGEFORMAT </w:instrText>
            </w:r>
            <w:r w:rsidRPr="007372D0">
              <w:rPr>
                <w:rStyle w:val="CaptionLabel"/>
              </w:rPr>
              <w:fldChar w:fldCharType="separate"/>
            </w:r>
            <w:r w:rsidR="00966CD2">
              <w:rPr>
                <w:rStyle w:val="CaptionLabel"/>
                <w:noProof/>
              </w:rPr>
              <w:t>4</w:t>
            </w:r>
            <w:r w:rsidRPr="007372D0">
              <w:rPr>
                <w:rStyle w:val="CaptionLabel"/>
              </w:rPr>
              <w:fldChar w:fldCharType="end"/>
            </w:r>
            <w:bookmarkEnd w:id="40"/>
            <w:r>
              <w:tab/>
              <w:t xml:space="preserve">Protection of the </w:t>
            </w:r>
            <w:r w:rsidR="000338DA">
              <w:t>S</w:t>
            </w:r>
            <w:r>
              <w:t>ea levy, 2011-2020</w:t>
            </w:r>
            <w:bookmarkEnd w:id="41"/>
          </w:p>
        </w:tc>
      </w:tr>
      <w:tr w:rsidR="007372D0" w14:paraId="1C691400" w14:textId="77777777" w:rsidTr="007372D0">
        <w:tblPrEx>
          <w:tblCellMar>
            <w:left w:w="108" w:type="dxa"/>
            <w:right w:w="108" w:type="dxa"/>
          </w:tblCellMar>
        </w:tblPrEx>
        <w:tc>
          <w:tcPr>
            <w:tcW w:w="7936" w:type="dxa"/>
            <w:tcBorders>
              <w:top w:val="single" w:sz="4" w:space="0" w:color="000100"/>
            </w:tcBorders>
            <w:shd w:val="clear" w:color="auto" w:fill="auto"/>
          </w:tcPr>
          <w:p w14:paraId="76685A9C" w14:textId="19F58762" w:rsidR="007372D0" w:rsidRDefault="007372D0" w:rsidP="007372D0">
            <w:pPr>
              <w:pStyle w:val="Figure"/>
            </w:pPr>
            <w:r>
              <w:rPr>
                <w:noProof/>
                <w:lang w:eastAsia="en-AU"/>
              </w:rPr>
              <w:drawing>
                <wp:inline distT="0" distB="0" distL="0" distR="0" wp14:anchorId="7B576755" wp14:editId="452A7BEB">
                  <wp:extent cx="5039360" cy="2161540"/>
                  <wp:effectExtent l="0" t="0" r="8890" b="0"/>
                  <wp:docPr id="11" name="Chart 11">
                    <a:extLst xmlns:a="http://schemas.openxmlformats.org/drawingml/2006/main">
                      <a:ext uri="{FF2B5EF4-FFF2-40B4-BE49-F238E27FC236}">
                        <a16:creationId xmlns:a16="http://schemas.microsoft.com/office/drawing/2014/main" id="{466D15CC-63EA-4B71-97A6-F5C3A0C94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7372D0" w14:paraId="2289B2DA" w14:textId="77777777" w:rsidTr="007372D0">
        <w:trPr>
          <w:trHeight w:val="138"/>
        </w:trPr>
        <w:tc>
          <w:tcPr>
            <w:tcW w:w="7936" w:type="dxa"/>
            <w:tcBorders>
              <w:bottom w:val="single" w:sz="4" w:space="0" w:color="000100"/>
            </w:tcBorders>
            <w:shd w:val="clear" w:color="auto" w:fill="auto"/>
            <w:tcMar>
              <w:top w:w="12" w:type="dxa"/>
              <w:bottom w:w="113" w:type="dxa"/>
            </w:tcMar>
          </w:tcPr>
          <w:p w14:paraId="06310B43" w14:textId="0DB2D95F" w:rsidR="007372D0" w:rsidRDefault="007372D0" w:rsidP="007372D0">
            <w:pPr>
              <w:pStyle w:val="Source"/>
            </w:pPr>
            <w:r>
              <w:t>Source:</w:t>
            </w:r>
            <w:r w:rsidR="00641FF1">
              <w:t xml:space="preserve"> Unpublished AMSA data</w:t>
            </w:r>
          </w:p>
        </w:tc>
      </w:tr>
      <w:tr w:rsidR="007372D0" w14:paraId="45D83FAC" w14:textId="77777777" w:rsidTr="007372D0">
        <w:trPr>
          <w:trHeight w:hRule="exact" w:val="160"/>
        </w:trPr>
        <w:tc>
          <w:tcPr>
            <w:tcW w:w="7936" w:type="dxa"/>
            <w:tcBorders>
              <w:top w:val="single" w:sz="4" w:space="0" w:color="000100"/>
            </w:tcBorders>
            <w:shd w:val="clear" w:color="auto" w:fill="auto"/>
            <w:tcMar>
              <w:top w:w="0" w:type="dxa"/>
              <w:bottom w:w="40" w:type="dxa"/>
            </w:tcMar>
          </w:tcPr>
          <w:p w14:paraId="7641654D" w14:textId="77777777" w:rsidR="007372D0" w:rsidRDefault="007372D0" w:rsidP="007372D0">
            <w:pPr>
              <w:pStyle w:val="spacer"/>
            </w:pPr>
          </w:p>
        </w:tc>
      </w:tr>
    </w:tbl>
    <w:p w14:paraId="1CE3CE5B" w14:textId="77777777" w:rsidR="00AB7468" w:rsidRDefault="004E1299" w:rsidP="00D554F0">
      <w:pPr>
        <w:pStyle w:val="BodyText"/>
      </w:pPr>
      <w:r>
        <w:t>In 2020-21, t</w:t>
      </w:r>
      <w:r w:rsidRPr="000415FE">
        <w:t xml:space="preserve">he levy is calculated at 11.25 cents per </w:t>
      </w:r>
      <w:r>
        <w:t>net tonnage</w:t>
      </w:r>
      <w:r w:rsidRPr="000415FE">
        <w:t xml:space="preserve"> </w:t>
      </w:r>
      <w:r>
        <w:t xml:space="preserve">(NT) </w:t>
      </w:r>
      <w:r w:rsidRPr="000415FE">
        <w:t>per quarter, with a minimum of A$10 per quarter.</w:t>
      </w:r>
      <w:r>
        <w:t xml:space="preserve"> </w:t>
      </w:r>
    </w:p>
    <w:p w14:paraId="5D21C615" w14:textId="06143E65" w:rsidR="00AB7468" w:rsidRDefault="004E1299" w:rsidP="00D554F0">
      <w:pPr>
        <w:pStyle w:val="BodyText"/>
      </w:pPr>
      <w:r>
        <w:t xml:space="preserve">Historical net tonnage and average levy per net tonnage is provided in </w:t>
      </w:r>
      <w:r w:rsidR="007B1D5E">
        <w:fldChar w:fldCharType="begin"/>
      </w:r>
      <w:r w:rsidR="007B1D5E">
        <w:instrText xml:space="preserve"> REF _Ref75431306 \h </w:instrText>
      </w:r>
      <w:r w:rsidR="007B1D5E">
        <w:fldChar w:fldCharType="separate"/>
      </w:r>
      <w:r w:rsidR="00966CD2" w:rsidRPr="000338DA">
        <w:rPr>
          <w:rStyle w:val="CaptionLabel"/>
        </w:rPr>
        <w:t>Figure </w:t>
      </w:r>
      <w:r w:rsidR="00966CD2">
        <w:rPr>
          <w:rStyle w:val="CaptionLabel"/>
          <w:noProof/>
        </w:rPr>
        <w:t>3</w:t>
      </w:r>
      <w:r w:rsidR="00966CD2" w:rsidRPr="000338DA">
        <w:rPr>
          <w:rStyle w:val="CaptionLabel"/>
        </w:rPr>
        <w:t>.</w:t>
      </w:r>
      <w:r w:rsidR="00966CD2">
        <w:rPr>
          <w:rStyle w:val="CaptionLabel"/>
          <w:noProof/>
        </w:rPr>
        <w:t>5</w:t>
      </w:r>
      <w:r w:rsidR="007B1D5E">
        <w:fldChar w:fldCharType="end"/>
      </w:r>
      <w:r>
        <w:t xml:space="preserve">. </w:t>
      </w:r>
    </w:p>
    <w:p w14:paraId="2ABA5A49" w14:textId="40D65B5A" w:rsidR="001971C4" w:rsidRDefault="00AB7468" w:rsidP="00D554F0">
      <w:pPr>
        <w:pStyle w:val="BodyText"/>
      </w:pPr>
      <w:r>
        <w:t>The average</w:t>
      </w:r>
      <w:r w:rsidR="002159DA">
        <w:t xml:space="preserve"> </w:t>
      </w:r>
      <w:r w:rsidR="004E1299">
        <w:t>levy rate was lowest in 2014 at 9.9</w:t>
      </w:r>
      <w:r w:rsidR="002159DA">
        <w:t>¢</w:t>
      </w:r>
      <w:r w:rsidR="004E1299">
        <w:t xml:space="preserve">/NT. </w:t>
      </w:r>
    </w:p>
    <w:tbl>
      <w:tblPr>
        <w:tblW w:w="9909" w:type="dxa"/>
        <w:tblInd w:w="-1973" w:type="dxa"/>
        <w:tblLayout w:type="fixed"/>
        <w:tblCellMar>
          <w:left w:w="0" w:type="dxa"/>
          <w:right w:w="0" w:type="dxa"/>
        </w:tblCellMar>
        <w:tblLook w:val="0000" w:firstRow="0" w:lastRow="0" w:firstColumn="0" w:lastColumn="0" w:noHBand="0" w:noVBand="0"/>
      </w:tblPr>
      <w:tblGrid>
        <w:gridCol w:w="4954"/>
        <w:gridCol w:w="4955"/>
      </w:tblGrid>
      <w:tr w:rsidR="000338DA" w14:paraId="43BFBD3B" w14:textId="77777777" w:rsidTr="000338DA">
        <w:tc>
          <w:tcPr>
            <w:tcW w:w="9909" w:type="dxa"/>
            <w:gridSpan w:val="2"/>
            <w:tcBorders>
              <w:bottom w:val="single" w:sz="4" w:space="0" w:color="000100"/>
            </w:tcBorders>
            <w:shd w:val="clear" w:color="auto" w:fill="auto"/>
            <w:tcMar>
              <w:top w:w="160" w:type="dxa"/>
              <w:bottom w:w="8" w:type="dxa"/>
            </w:tcMar>
          </w:tcPr>
          <w:p w14:paraId="03C8A71D" w14:textId="2CB1E2E4" w:rsidR="000338DA" w:rsidRDefault="000338DA" w:rsidP="000338DA">
            <w:pPr>
              <w:pStyle w:val="Caption"/>
            </w:pPr>
            <w:bookmarkStart w:id="42" w:name="_Ref75431306"/>
            <w:bookmarkStart w:id="43" w:name="_Toc99543745"/>
            <w:r w:rsidRPr="000338DA">
              <w:rPr>
                <w:rStyle w:val="CaptionLabel"/>
              </w:rPr>
              <w:t>Figure </w:t>
            </w:r>
            <w:r w:rsidRPr="000338DA">
              <w:rPr>
                <w:rStyle w:val="CaptionLabel"/>
              </w:rPr>
              <w:fldChar w:fldCharType="begin"/>
            </w:r>
            <w:r w:rsidRPr="000338DA">
              <w:rPr>
                <w:rStyle w:val="CaptionLabel"/>
              </w:rPr>
              <w:instrText xml:space="preserve"> STYLEREF 1 \S \* MERGEFORMAT </w:instrText>
            </w:r>
            <w:r w:rsidRPr="000338DA">
              <w:rPr>
                <w:rStyle w:val="CaptionLabel"/>
              </w:rPr>
              <w:fldChar w:fldCharType="separate"/>
            </w:r>
            <w:r w:rsidR="00966CD2">
              <w:rPr>
                <w:rStyle w:val="CaptionLabel"/>
                <w:noProof/>
              </w:rPr>
              <w:t>3</w:t>
            </w:r>
            <w:r w:rsidRPr="000338DA">
              <w:rPr>
                <w:rStyle w:val="CaptionLabel"/>
              </w:rPr>
              <w:fldChar w:fldCharType="end"/>
            </w:r>
            <w:r w:rsidRPr="000338DA">
              <w:rPr>
                <w:rStyle w:val="CaptionLabel"/>
              </w:rPr>
              <w:t>.</w:t>
            </w:r>
            <w:r w:rsidRPr="000338DA">
              <w:rPr>
                <w:rStyle w:val="CaptionLabel"/>
              </w:rPr>
              <w:fldChar w:fldCharType="begin"/>
            </w:r>
            <w:r w:rsidRPr="000338DA">
              <w:rPr>
                <w:rStyle w:val="CaptionLabel"/>
              </w:rPr>
              <w:instrText xml:space="preserve"> SEQ Figure \* ARABIC \S 1 \* MERGEFORMAT </w:instrText>
            </w:r>
            <w:r w:rsidRPr="000338DA">
              <w:rPr>
                <w:rStyle w:val="CaptionLabel"/>
              </w:rPr>
              <w:fldChar w:fldCharType="separate"/>
            </w:r>
            <w:r w:rsidR="00966CD2">
              <w:rPr>
                <w:rStyle w:val="CaptionLabel"/>
                <w:noProof/>
              </w:rPr>
              <w:t>5</w:t>
            </w:r>
            <w:r w:rsidRPr="000338DA">
              <w:rPr>
                <w:rStyle w:val="CaptionLabel"/>
              </w:rPr>
              <w:fldChar w:fldCharType="end"/>
            </w:r>
            <w:bookmarkEnd w:id="42"/>
            <w:r>
              <w:tab/>
              <w:t>Net tonnage and annual average Protection of the Sea levy, 2011-2020</w:t>
            </w:r>
            <w:bookmarkEnd w:id="43"/>
          </w:p>
        </w:tc>
      </w:tr>
      <w:tr w:rsidR="000338DA" w14:paraId="6C89CA27" w14:textId="77777777" w:rsidTr="000338DA">
        <w:tc>
          <w:tcPr>
            <w:tcW w:w="4954" w:type="dxa"/>
            <w:tcBorders>
              <w:top w:val="single" w:sz="4" w:space="0" w:color="000100"/>
            </w:tcBorders>
            <w:shd w:val="clear" w:color="auto" w:fill="auto"/>
            <w:tcMar>
              <w:top w:w="0" w:type="dxa"/>
              <w:bottom w:w="0" w:type="dxa"/>
              <w:right w:w="0" w:type="dxa"/>
            </w:tcMar>
            <w:vAlign w:val="center"/>
          </w:tcPr>
          <w:p w14:paraId="745BDFDA" w14:textId="61F52F28" w:rsidR="000338DA" w:rsidRDefault="000338DA" w:rsidP="000338DA">
            <w:pPr>
              <w:pStyle w:val="FigureSubHeadings"/>
              <w:jc w:val="center"/>
            </w:pPr>
            <w:r>
              <w:t>Annual net tonnage</w:t>
            </w:r>
          </w:p>
        </w:tc>
        <w:tc>
          <w:tcPr>
            <w:tcW w:w="4955" w:type="dxa"/>
            <w:tcBorders>
              <w:top w:val="single" w:sz="4" w:space="0" w:color="000100"/>
            </w:tcBorders>
            <w:shd w:val="clear" w:color="auto" w:fill="auto"/>
            <w:vAlign w:val="center"/>
          </w:tcPr>
          <w:p w14:paraId="2DCB5507" w14:textId="5EB32672" w:rsidR="000338DA" w:rsidRPr="000338DA" w:rsidRDefault="000338DA" w:rsidP="000338DA">
            <w:pPr>
              <w:pStyle w:val="Figure"/>
              <w:jc w:val="center"/>
              <w:rPr>
                <w:sz w:val="18"/>
              </w:rPr>
            </w:pPr>
            <w:r w:rsidRPr="000338DA">
              <w:rPr>
                <w:sz w:val="18"/>
              </w:rPr>
              <w:t>Annual average levy</w:t>
            </w:r>
          </w:p>
        </w:tc>
      </w:tr>
      <w:tr w:rsidR="000338DA" w14:paraId="00877077" w14:textId="77777777" w:rsidTr="000338DA">
        <w:tblPrEx>
          <w:tblCellMar>
            <w:left w:w="108" w:type="dxa"/>
            <w:right w:w="108" w:type="dxa"/>
          </w:tblCellMar>
        </w:tblPrEx>
        <w:tc>
          <w:tcPr>
            <w:tcW w:w="4954" w:type="dxa"/>
            <w:tcBorders>
              <w:top w:val="single" w:sz="4" w:space="0" w:color="000100"/>
            </w:tcBorders>
            <w:shd w:val="clear" w:color="auto" w:fill="auto"/>
          </w:tcPr>
          <w:p w14:paraId="255ECBC4" w14:textId="450D0762" w:rsidR="000338DA" w:rsidRDefault="000338DA" w:rsidP="000338DA">
            <w:pPr>
              <w:pStyle w:val="Figure"/>
            </w:pPr>
            <w:r>
              <w:rPr>
                <w:noProof/>
                <w:lang w:eastAsia="en-AU"/>
              </w:rPr>
              <w:drawing>
                <wp:inline distT="0" distB="0" distL="0" distR="0" wp14:anchorId="1FE121A1" wp14:editId="4652535A">
                  <wp:extent cx="3145790" cy="2162175"/>
                  <wp:effectExtent l="0" t="0" r="0" b="0"/>
                  <wp:docPr id="14" name="Chart 14">
                    <a:extLst xmlns:a="http://schemas.openxmlformats.org/drawingml/2006/main">
                      <a:ext uri="{FF2B5EF4-FFF2-40B4-BE49-F238E27FC236}">
                        <a16:creationId xmlns:a16="http://schemas.microsoft.com/office/drawing/2014/main" id="{495C2562-0140-4210-8D96-192E98F68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55" w:type="dxa"/>
            <w:tcBorders>
              <w:top w:val="single" w:sz="4" w:space="0" w:color="000100"/>
            </w:tcBorders>
            <w:shd w:val="clear" w:color="auto" w:fill="auto"/>
          </w:tcPr>
          <w:p w14:paraId="40BBD281" w14:textId="59C2FC5F" w:rsidR="000338DA" w:rsidRDefault="000338DA" w:rsidP="000338DA">
            <w:pPr>
              <w:pStyle w:val="Figure"/>
            </w:pPr>
            <w:r>
              <w:rPr>
                <w:noProof/>
                <w:lang w:eastAsia="en-AU"/>
              </w:rPr>
              <w:drawing>
                <wp:inline distT="0" distB="0" distL="0" distR="0" wp14:anchorId="2858B41C" wp14:editId="5F546EC6">
                  <wp:extent cx="3009265" cy="2068830"/>
                  <wp:effectExtent l="0" t="0" r="635" b="7620"/>
                  <wp:docPr id="15" name="Chart 15">
                    <a:extLst xmlns:a="http://schemas.openxmlformats.org/drawingml/2006/main">
                      <a:ext uri="{FF2B5EF4-FFF2-40B4-BE49-F238E27FC236}">
                        <a16:creationId xmlns:a16="http://schemas.microsoft.com/office/drawing/2014/main" id="{E8E0CF4A-6740-441F-B79E-06A4A1911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0338DA" w14:paraId="6280C0D9" w14:textId="77777777" w:rsidTr="000338DA">
        <w:trPr>
          <w:trHeight w:val="138"/>
        </w:trPr>
        <w:tc>
          <w:tcPr>
            <w:tcW w:w="9909" w:type="dxa"/>
            <w:gridSpan w:val="2"/>
            <w:tcBorders>
              <w:bottom w:val="single" w:sz="4" w:space="0" w:color="000100"/>
            </w:tcBorders>
            <w:shd w:val="clear" w:color="auto" w:fill="auto"/>
            <w:tcMar>
              <w:top w:w="12" w:type="dxa"/>
              <w:bottom w:w="113" w:type="dxa"/>
            </w:tcMar>
          </w:tcPr>
          <w:p w14:paraId="7D1D277C" w14:textId="210A9ACE" w:rsidR="000338DA" w:rsidRDefault="000338DA" w:rsidP="000338DA">
            <w:pPr>
              <w:pStyle w:val="Source"/>
            </w:pPr>
            <w:r>
              <w:t>Source: Unpublished AMSA data</w:t>
            </w:r>
          </w:p>
        </w:tc>
      </w:tr>
      <w:tr w:rsidR="000338DA" w14:paraId="5D08E1E4" w14:textId="77777777" w:rsidTr="000338DA">
        <w:trPr>
          <w:trHeight w:hRule="exact" w:val="160"/>
        </w:trPr>
        <w:tc>
          <w:tcPr>
            <w:tcW w:w="9909" w:type="dxa"/>
            <w:gridSpan w:val="2"/>
            <w:tcBorders>
              <w:top w:val="single" w:sz="4" w:space="0" w:color="000100"/>
            </w:tcBorders>
            <w:shd w:val="clear" w:color="auto" w:fill="auto"/>
            <w:tcMar>
              <w:top w:w="0" w:type="dxa"/>
              <w:bottom w:w="40" w:type="dxa"/>
            </w:tcMar>
          </w:tcPr>
          <w:p w14:paraId="77D2620F" w14:textId="77777777" w:rsidR="000338DA" w:rsidRDefault="000338DA" w:rsidP="000338DA">
            <w:pPr>
              <w:pStyle w:val="spacer"/>
            </w:pPr>
          </w:p>
        </w:tc>
      </w:tr>
    </w:tbl>
    <w:p w14:paraId="2C880A42" w14:textId="26255B9A" w:rsidR="007F75CE" w:rsidRDefault="007F75CE" w:rsidP="00D554F0">
      <w:pPr>
        <w:pStyle w:val="BodyText"/>
      </w:pPr>
      <w:r>
        <w:t xml:space="preserve">In theory, the levy changes based on the </w:t>
      </w:r>
      <w:r w:rsidR="00FA56E9">
        <w:t xml:space="preserve">total value of incidents that happen year to year. If </w:t>
      </w:r>
      <w:r w:rsidR="007B1D5E">
        <w:t>there is</w:t>
      </w:r>
      <w:r w:rsidR="00FA56E9">
        <w:t xml:space="preserve"> a large expensive incident</w:t>
      </w:r>
      <w:r w:rsidR="008F4CCD">
        <w:t>, then the accumulated fund will be drawn down and levies will increase in subsequent years</w:t>
      </w:r>
      <w:r w:rsidR="00A024C5">
        <w:t xml:space="preserve">. </w:t>
      </w:r>
      <w:r w:rsidR="000E671C">
        <w:t>Similarly, if there</w:t>
      </w:r>
      <w:r w:rsidR="00E17508">
        <w:t xml:space="preserve">’s a period of time where funds expensed </w:t>
      </w:r>
      <w:r w:rsidR="006A08B9">
        <w:t xml:space="preserve">are </w:t>
      </w:r>
      <w:r w:rsidR="00E17508">
        <w:t xml:space="preserve">lower than </w:t>
      </w:r>
      <w:r w:rsidR="006A08B9">
        <w:t xml:space="preserve">the </w:t>
      </w:r>
      <w:r w:rsidR="00693019">
        <w:t xml:space="preserve">monies raised by the </w:t>
      </w:r>
      <w:r w:rsidR="006A08B9">
        <w:t xml:space="preserve">annual levy, then AMSA’s investment fund should </w:t>
      </w:r>
      <w:r w:rsidR="007B1D5E">
        <w:t>increase,</w:t>
      </w:r>
      <w:r w:rsidR="006A08B9">
        <w:t xml:space="preserve"> and the levy rate should reduce</w:t>
      </w:r>
      <w:r w:rsidR="00693019">
        <w:t xml:space="preserve"> over time</w:t>
      </w:r>
      <w:r w:rsidR="006A08B9">
        <w:t>.</w:t>
      </w:r>
    </w:p>
    <w:p w14:paraId="58340829" w14:textId="77777777" w:rsidR="007B1D5E" w:rsidRDefault="004150CF" w:rsidP="00D554F0">
      <w:pPr>
        <w:pStyle w:val="BodyText"/>
      </w:pPr>
      <w:r>
        <w:t xml:space="preserve">In practice, however, the levy is consolidated with other </w:t>
      </w:r>
      <w:r w:rsidR="00C94797">
        <w:t xml:space="preserve">levies and revenues </w:t>
      </w:r>
      <w:r w:rsidR="00EF52BD">
        <w:t>without a legal requirement for the levy monies to be used solely for the intended purpose</w:t>
      </w:r>
      <w:r w:rsidR="00A024C5">
        <w:t xml:space="preserve">. </w:t>
      </w:r>
    </w:p>
    <w:p w14:paraId="32E5038D" w14:textId="4694579F" w:rsidR="004150CF" w:rsidRPr="00BC7652" w:rsidRDefault="00A024C5" w:rsidP="00D554F0">
      <w:pPr>
        <w:pStyle w:val="BodyText"/>
      </w:pPr>
      <w:r>
        <w:t xml:space="preserve">Consequently, while accession to </w:t>
      </w:r>
      <w:r w:rsidR="00C06190">
        <w:t>the Nairobi Convention</w:t>
      </w:r>
      <w:r>
        <w:t xml:space="preserve"> should replace some of the </w:t>
      </w:r>
      <w:r w:rsidR="001461D0">
        <w:t xml:space="preserve">need to expense </w:t>
      </w:r>
      <w:r w:rsidR="00C66ECF">
        <w:t xml:space="preserve">funds from the levy, there is no guarantee that the levy </w:t>
      </w:r>
      <w:r w:rsidR="00AC58A2">
        <w:t xml:space="preserve">paid by shipowners </w:t>
      </w:r>
      <w:r w:rsidR="00C66ECF">
        <w:t xml:space="preserve">will be reduced by </w:t>
      </w:r>
      <w:r w:rsidR="005B4726">
        <w:t>the same amount that insurance fees increase</w:t>
      </w:r>
      <w:r w:rsidR="007B1D5E">
        <w:t xml:space="preserve"> as a result of the accession to the Nairobi Convention</w:t>
      </w:r>
      <w:r w:rsidR="00AC58A2">
        <w:t xml:space="preserve">. </w:t>
      </w:r>
    </w:p>
    <w:p w14:paraId="07FDC706" w14:textId="0E36774F" w:rsidR="00F90E64" w:rsidRDefault="00B72E65" w:rsidP="00F90E64">
      <w:pPr>
        <w:pStyle w:val="Heading2"/>
      </w:pPr>
      <w:bookmarkStart w:id="44" w:name="_Toc99543730"/>
      <w:r>
        <w:lastRenderedPageBreak/>
        <w:t>Vessel activities in Australian waters</w:t>
      </w:r>
      <w:bookmarkEnd w:id="44"/>
    </w:p>
    <w:p w14:paraId="22526178" w14:textId="08538C51" w:rsidR="007B1D5E" w:rsidRDefault="00B72E65" w:rsidP="00B72E65">
      <w:pPr>
        <w:rPr>
          <w:lang w:val="en-US"/>
        </w:rPr>
      </w:pPr>
      <w:r>
        <w:rPr>
          <w:lang w:val="en-US"/>
        </w:rPr>
        <w:t>According to BITRE (2019)</w:t>
      </w:r>
      <w:r>
        <w:rPr>
          <w:rStyle w:val="FootnoteReference"/>
          <w:lang w:val="en-US"/>
        </w:rPr>
        <w:footnoteReference w:id="10"/>
      </w:r>
      <w:r>
        <w:rPr>
          <w:lang w:val="en-US"/>
        </w:rPr>
        <w:t xml:space="preserve">, </w:t>
      </w:r>
      <w:r w:rsidRPr="00B72E65">
        <w:rPr>
          <w:lang w:val="en-US"/>
        </w:rPr>
        <w:t>5</w:t>
      </w:r>
      <w:r>
        <w:rPr>
          <w:lang w:val="en-US"/>
        </w:rPr>
        <w:t>,</w:t>
      </w:r>
      <w:r w:rsidRPr="00B72E65">
        <w:rPr>
          <w:lang w:val="en-US"/>
        </w:rPr>
        <w:t>845 uniquely identified cargo ships made a total of 32</w:t>
      </w:r>
      <w:r>
        <w:rPr>
          <w:lang w:val="en-US"/>
        </w:rPr>
        <w:t>,</w:t>
      </w:r>
      <w:r w:rsidRPr="00B72E65">
        <w:rPr>
          <w:lang w:val="en-US"/>
        </w:rPr>
        <w:t>801 port calls at Australian ports in 2016–17. These included 5</w:t>
      </w:r>
      <w:r>
        <w:rPr>
          <w:lang w:val="en-US"/>
        </w:rPr>
        <w:t>,</w:t>
      </w:r>
      <w:r w:rsidRPr="00B72E65">
        <w:rPr>
          <w:lang w:val="en-US"/>
        </w:rPr>
        <w:t>743 cargo ships which made 17</w:t>
      </w:r>
      <w:r>
        <w:rPr>
          <w:lang w:val="en-US"/>
        </w:rPr>
        <w:t>,</w:t>
      </w:r>
      <w:r w:rsidRPr="00B72E65">
        <w:rPr>
          <w:lang w:val="en-US"/>
        </w:rPr>
        <w:t>068 voyages to Australian waters from overseas ports.</w:t>
      </w:r>
      <w:r>
        <w:rPr>
          <w:lang w:val="en-US"/>
        </w:rPr>
        <w:t xml:space="preserve"> </w:t>
      </w:r>
    </w:p>
    <w:p w14:paraId="490FC754" w14:textId="27F75290" w:rsidR="007D42F6" w:rsidRDefault="00B72E65" w:rsidP="00B72E65">
      <w:pPr>
        <w:rPr>
          <w:lang w:val="en-US"/>
        </w:rPr>
      </w:pPr>
      <w:r w:rsidRPr="00B72E65">
        <w:rPr>
          <w:lang w:val="en-US"/>
        </w:rPr>
        <w:t>The total number of unique cargo ships and the number of unique cargo ships from overseas calling at Australian ports both increased by 2.5 per cent per annum in trend terms over the five years to 2016–17.</w:t>
      </w:r>
      <w:r w:rsidR="007B1D5E">
        <w:rPr>
          <w:lang w:val="en-US"/>
        </w:rPr>
        <w:t xml:space="preserve"> </w:t>
      </w:r>
    </w:p>
    <w:p w14:paraId="7145A94A" w14:textId="083C6C4B" w:rsidR="007B1D5E" w:rsidRPr="00086343" w:rsidRDefault="0070035D" w:rsidP="00086343">
      <w:pPr>
        <w:pStyle w:val="BodyText"/>
      </w:pPr>
      <w:r>
        <w:t xml:space="preserve">Australian owned vessels are a subset of </w:t>
      </w:r>
      <w:r w:rsidRPr="00B72E65">
        <w:rPr>
          <w:lang w:val="en-US"/>
        </w:rPr>
        <w:t>cargo ships that called at Australian ports</w:t>
      </w:r>
      <w:r>
        <w:rPr>
          <w:lang w:val="en-US"/>
        </w:rPr>
        <w:t xml:space="preserve"> reported in </w:t>
      </w:r>
      <w:r>
        <w:rPr>
          <w:lang w:val="en-US"/>
        </w:rPr>
        <w:fldChar w:fldCharType="begin"/>
      </w:r>
      <w:r>
        <w:rPr>
          <w:lang w:val="en-US"/>
        </w:rPr>
        <w:instrText xml:space="preserve"> REF _Ref75810135 \h </w:instrText>
      </w:r>
      <w:r>
        <w:rPr>
          <w:lang w:val="en-US"/>
        </w:rPr>
      </w:r>
      <w:r>
        <w:rPr>
          <w:lang w:val="en-US"/>
        </w:rPr>
        <w:fldChar w:fldCharType="separate"/>
      </w:r>
      <w:r w:rsidR="00966CD2" w:rsidRPr="00B72E65">
        <w:rPr>
          <w:rStyle w:val="CaptionLabel"/>
        </w:rPr>
        <w:t>Table </w:t>
      </w:r>
      <w:r w:rsidR="00966CD2">
        <w:rPr>
          <w:rStyle w:val="CaptionLabel"/>
          <w:noProof/>
        </w:rPr>
        <w:t>3</w:t>
      </w:r>
      <w:r w:rsidR="00966CD2" w:rsidRPr="00B72E65">
        <w:rPr>
          <w:rStyle w:val="CaptionLabel"/>
        </w:rPr>
        <w:t>.</w:t>
      </w:r>
      <w:r w:rsidR="00966CD2">
        <w:rPr>
          <w:rStyle w:val="CaptionLabel"/>
          <w:noProof/>
        </w:rPr>
        <w:t>4</w:t>
      </w:r>
      <w:r>
        <w:rPr>
          <w:lang w:val="en-US"/>
        </w:rPr>
        <w:fldChar w:fldCharType="end"/>
      </w:r>
      <w:r>
        <w:rPr>
          <w:lang w:val="en-US"/>
        </w:rPr>
        <w:t xml:space="preserve">. </w:t>
      </w:r>
      <w:r>
        <w:t>According to BITRE’s Australian Sea Freight,</w:t>
      </w:r>
      <w:r>
        <w:rPr>
          <w:rStyle w:val="FootnoteReference"/>
        </w:rPr>
        <w:footnoteReference w:id="11"/>
      </w:r>
      <w:r>
        <w:t xml:space="preserve"> i</w:t>
      </w:r>
      <w:r w:rsidRPr="00AA2AF7">
        <w:t xml:space="preserve">n 2016–17, there were 143 vessels in </w:t>
      </w:r>
      <w:r>
        <w:t>owned by Australian companies of which 70 vessels were Australian flagged. All of these vessels are currently liable for incidents in both the Territorial Sea and the EEZ which result in a hazard or pollution which AMSA directs to be cleaned up. Consequently, accession to the Nairobi Convention is unlikely to change the liability of these ve</w:t>
      </w:r>
      <w:r w:rsidR="00086343">
        <w:t xml:space="preserve">ssels in the event of a wreck. </w:t>
      </w:r>
    </w:p>
    <w:p w14:paraId="0C15922D" w14:textId="50460212" w:rsidR="00B72E65" w:rsidRDefault="00B72E65" w:rsidP="00B72E65">
      <w:pPr>
        <w:pStyle w:val="Caption"/>
        <w:ind w:left="-784"/>
        <w:rPr>
          <w:lang w:val="en-US"/>
        </w:rPr>
      </w:pPr>
      <w:bookmarkStart w:id="45" w:name="_Ref75810135"/>
      <w:bookmarkStart w:id="46" w:name="_Toc99543755"/>
      <w:r w:rsidRPr="00B72E65">
        <w:rPr>
          <w:rStyle w:val="CaptionLabel"/>
        </w:rPr>
        <w:t>Table </w:t>
      </w:r>
      <w:r w:rsidRPr="00B72E65">
        <w:rPr>
          <w:rStyle w:val="CaptionLabel"/>
        </w:rPr>
        <w:fldChar w:fldCharType="begin"/>
      </w:r>
      <w:r w:rsidRPr="00B72E65">
        <w:rPr>
          <w:rStyle w:val="CaptionLabel"/>
        </w:rPr>
        <w:instrText xml:space="preserve"> STYLEREF 1 \S \* MERGEFORMAT </w:instrText>
      </w:r>
      <w:r w:rsidRPr="00B72E65">
        <w:rPr>
          <w:rStyle w:val="CaptionLabel"/>
        </w:rPr>
        <w:fldChar w:fldCharType="separate"/>
      </w:r>
      <w:r w:rsidR="00966CD2">
        <w:rPr>
          <w:rStyle w:val="CaptionLabel"/>
          <w:noProof/>
        </w:rPr>
        <w:t>3</w:t>
      </w:r>
      <w:r w:rsidRPr="00B72E65">
        <w:rPr>
          <w:rStyle w:val="CaptionLabel"/>
        </w:rPr>
        <w:fldChar w:fldCharType="end"/>
      </w:r>
      <w:r w:rsidRPr="00B72E65">
        <w:rPr>
          <w:rStyle w:val="CaptionLabel"/>
        </w:rPr>
        <w:t>.</w:t>
      </w:r>
      <w:r w:rsidRPr="00B72E65">
        <w:rPr>
          <w:rStyle w:val="CaptionLabel"/>
        </w:rPr>
        <w:fldChar w:fldCharType="begin"/>
      </w:r>
      <w:r w:rsidRPr="00B72E65">
        <w:rPr>
          <w:rStyle w:val="CaptionLabel"/>
        </w:rPr>
        <w:instrText xml:space="preserve"> SEQ Table \* ARABIC \S 1 \* MERGEFORMAT </w:instrText>
      </w:r>
      <w:r w:rsidRPr="00B72E65">
        <w:rPr>
          <w:rStyle w:val="CaptionLabel"/>
        </w:rPr>
        <w:fldChar w:fldCharType="separate"/>
      </w:r>
      <w:r w:rsidR="00966CD2">
        <w:rPr>
          <w:rStyle w:val="CaptionLabel"/>
          <w:noProof/>
        </w:rPr>
        <w:t>4</w:t>
      </w:r>
      <w:r w:rsidRPr="00B72E65">
        <w:rPr>
          <w:rStyle w:val="CaptionLabel"/>
        </w:rPr>
        <w:fldChar w:fldCharType="end"/>
      </w:r>
      <w:bookmarkEnd w:id="45"/>
      <w:r>
        <w:rPr>
          <w:lang w:val="en-US"/>
        </w:rPr>
        <w:tab/>
      </w:r>
      <w:r w:rsidRPr="00B72E65">
        <w:rPr>
          <w:lang w:val="en-US"/>
        </w:rPr>
        <w:t>Number of cargo ships that called at Australian ports, by ship type</w:t>
      </w:r>
      <w:bookmarkEnd w:id="46"/>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900"/>
        <w:gridCol w:w="900"/>
        <w:gridCol w:w="900"/>
        <w:gridCol w:w="900"/>
        <w:gridCol w:w="899"/>
        <w:gridCol w:w="899"/>
        <w:gridCol w:w="900"/>
        <w:gridCol w:w="900"/>
        <w:gridCol w:w="900"/>
        <w:gridCol w:w="900"/>
        <w:gridCol w:w="900"/>
      </w:tblGrid>
      <w:tr w:rsidR="00B72E65" w14:paraId="2561D0DF" w14:textId="77777777" w:rsidTr="00B72E65">
        <w:trPr>
          <w:tblHeader/>
        </w:trPr>
        <w:tc>
          <w:tcPr>
            <w:tcW w:w="1354" w:type="dxa"/>
            <w:gridSpan w:val="2"/>
            <w:tcBorders>
              <w:top w:val="nil"/>
              <w:bottom w:val="nil"/>
            </w:tcBorders>
            <w:shd w:val="clear" w:color="auto" w:fill="140034"/>
            <w:tcMar>
              <w:left w:w="454" w:type="dxa"/>
            </w:tcMar>
          </w:tcPr>
          <w:p w14:paraId="2D898AE3" w14:textId="5A1B3BF3" w:rsidR="00B72E65" w:rsidRDefault="00B72E65" w:rsidP="00B72E65">
            <w:pPr>
              <w:pStyle w:val="Tablecolumnheadings"/>
              <w:rPr>
                <w:lang w:val="en-US"/>
              </w:rPr>
            </w:pPr>
            <w:r>
              <w:rPr>
                <w:lang w:val="en-US"/>
              </w:rPr>
              <w:t>Year</w:t>
            </w:r>
          </w:p>
        </w:tc>
        <w:tc>
          <w:tcPr>
            <w:tcW w:w="900" w:type="dxa"/>
            <w:tcBorders>
              <w:top w:val="nil"/>
              <w:bottom w:val="nil"/>
            </w:tcBorders>
            <w:shd w:val="clear" w:color="auto" w:fill="140034"/>
          </w:tcPr>
          <w:p w14:paraId="10A1FDC2" w14:textId="48EC5691" w:rsidR="00B72E65" w:rsidRDefault="00B72E65" w:rsidP="00B72E65">
            <w:pPr>
              <w:pStyle w:val="Tablecolumnheadings"/>
              <w:jc w:val="right"/>
              <w:rPr>
                <w:lang w:val="en-US"/>
              </w:rPr>
            </w:pPr>
            <w:r w:rsidRPr="00240ED8">
              <w:t>Bulk carriers</w:t>
            </w:r>
          </w:p>
        </w:tc>
        <w:tc>
          <w:tcPr>
            <w:tcW w:w="900" w:type="dxa"/>
            <w:tcBorders>
              <w:top w:val="nil"/>
              <w:bottom w:val="nil"/>
            </w:tcBorders>
            <w:shd w:val="clear" w:color="auto" w:fill="140034"/>
          </w:tcPr>
          <w:p w14:paraId="3190C668" w14:textId="02BB20D7" w:rsidR="00B72E65" w:rsidRDefault="00B72E65" w:rsidP="00B72E65">
            <w:pPr>
              <w:pStyle w:val="Tablecolumnheadings"/>
              <w:jc w:val="right"/>
              <w:rPr>
                <w:lang w:val="en-US"/>
              </w:rPr>
            </w:pPr>
            <w:r w:rsidRPr="00240ED8">
              <w:t>Chemical tankers</w:t>
            </w:r>
          </w:p>
        </w:tc>
        <w:tc>
          <w:tcPr>
            <w:tcW w:w="900" w:type="dxa"/>
            <w:tcBorders>
              <w:top w:val="nil"/>
              <w:bottom w:val="nil"/>
            </w:tcBorders>
            <w:shd w:val="clear" w:color="auto" w:fill="140034"/>
          </w:tcPr>
          <w:p w14:paraId="1A184FD6" w14:textId="5169BEB9" w:rsidR="00B72E65" w:rsidRDefault="00B72E65" w:rsidP="00B72E65">
            <w:pPr>
              <w:pStyle w:val="Tablecolumnheadings"/>
              <w:jc w:val="right"/>
              <w:rPr>
                <w:lang w:val="en-US"/>
              </w:rPr>
            </w:pPr>
            <w:r w:rsidRPr="00240ED8">
              <w:t>Container carriers</w:t>
            </w:r>
          </w:p>
        </w:tc>
        <w:tc>
          <w:tcPr>
            <w:tcW w:w="899" w:type="dxa"/>
            <w:tcBorders>
              <w:top w:val="nil"/>
              <w:bottom w:val="nil"/>
            </w:tcBorders>
            <w:shd w:val="clear" w:color="auto" w:fill="140034"/>
          </w:tcPr>
          <w:p w14:paraId="31BB863B" w14:textId="41038F56" w:rsidR="00B72E65" w:rsidRDefault="00B72E65" w:rsidP="00B72E65">
            <w:pPr>
              <w:pStyle w:val="Tablecolumnheadings"/>
              <w:jc w:val="right"/>
              <w:rPr>
                <w:lang w:val="en-US"/>
              </w:rPr>
            </w:pPr>
            <w:r w:rsidRPr="00240ED8">
              <w:t>General cargo ships</w:t>
            </w:r>
          </w:p>
        </w:tc>
        <w:tc>
          <w:tcPr>
            <w:tcW w:w="899" w:type="dxa"/>
            <w:tcBorders>
              <w:top w:val="nil"/>
              <w:bottom w:val="nil"/>
            </w:tcBorders>
            <w:shd w:val="clear" w:color="auto" w:fill="140034"/>
          </w:tcPr>
          <w:p w14:paraId="021955D6" w14:textId="24CA10CD" w:rsidR="00B72E65" w:rsidRDefault="00B72E65" w:rsidP="00B72E65">
            <w:pPr>
              <w:pStyle w:val="Tablecolumnheadings"/>
              <w:jc w:val="right"/>
              <w:rPr>
                <w:lang w:val="en-US"/>
              </w:rPr>
            </w:pPr>
            <w:r w:rsidRPr="00240ED8">
              <w:t>LNG tankers</w:t>
            </w:r>
          </w:p>
        </w:tc>
        <w:tc>
          <w:tcPr>
            <w:tcW w:w="900" w:type="dxa"/>
            <w:tcBorders>
              <w:top w:val="nil"/>
              <w:bottom w:val="nil"/>
            </w:tcBorders>
            <w:shd w:val="clear" w:color="auto" w:fill="140034"/>
          </w:tcPr>
          <w:p w14:paraId="20FEA266" w14:textId="6E04974A" w:rsidR="00B72E65" w:rsidRDefault="00B72E65" w:rsidP="00B72E65">
            <w:pPr>
              <w:pStyle w:val="Tablecolumnheadings"/>
              <w:jc w:val="right"/>
              <w:rPr>
                <w:lang w:val="en-US"/>
              </w:rPr>
            </w:pPr>
            <w:r w:rsidRPr="00240ED8">
              <w:t>LPG tankers</w:t>
            </w:r>
          </w:p>
        </w:tc>
        <w:tc>
          <w:tcPr>
            <w:tcW w:w="900" w:type="dxa"/>
            <w:tcBorders>
              <w:top w:val="nil"/>
              <w:bottom w:val="nil"/>
            </w:tcBorders>
            <w:shd w:val="clear" w:color="auto" w:fill="140034"/>
          </w:tcPr>
          <w:p w14:paraId="63A8EA9D" w14:textId="72619DFB" w:rsidR="00B72E65" w:rsidRDefault="00B72E65" w:rsidP="00B72E65">
            <w:pPr>
              <w:pStyle w:val="Tablecolumnheadings"/>
              <w:jc w:val="right"/>
              <w:rPr>
                <w:lang w:val="en-US"/>
              </w:rPr>
            </w:pPr>
            <w:r w:rsidRPr="00240ED8">
              <w:t>Livestock carriers</w:t>
            </w:r>
          </w:p>
        </w:tc>
        <w:tc>
          <w:tcPr>
            <w:tcW w:w="900" w:type="dxa"/>
            <w:tcBorders>
              <w:top w:val="nil"/>
              <w:bottom w:val="nil"/>
            </w:tcBorders>
            <w:shd w:val="clear" w:color="auto" w:fill="140034"/>
          </w:tcPr>
          <w:p w14:paraId="623D656C" w14:textId="0051AD33" w:rsidR="00B72E65" w:rsidRDefault="00B72E65" w:rsidP="00B72E65">
            <w:pPr>
              <w:pStyle w:val="Tablecolumnheadings"/>
              <w:jc w:val="right"/>
              <w:rPr>
                <w:lang w:val="en-US"/>
              </w:rPr>
            </w:pPr>
            <w:r w:rsidRPr="00240ED8">
              <w:t>Tankers</w:t>
            </w:r>
          </w:p>
        </w:tc>
        <w:tc>
          <w:tcPr>
            <w:tcW w:w="900" w:type="dxa"/>
            <w:tcBorders>
              <w:top w:val="nil"/>
              <w:bottom w:val="nil"/>
            </w:tcBorders>
            <w:shd w:val="clear" w:color="auto" w:fill="140034"/>
          </w:tcPr>
          <w:p w14:paraId="6868B8A6" w14:textId="152CF29E" w:rsidR="00B72E65" w:rsidRDefault="00B72E65" w:rsidP="00B72E65">
            <w:pPr>
              <w:pStyle w:val="Tablecolumnheadings"/>
              <w:jc w:val="right"/>
              <w:rPr>
                <w:lang w:val="en-US"/>
              </w:rPr>
            </w:pPr>
            <w:r w:rsidRPr="00240ED8">
              <w:t>Vehicle carriers</w:t>
            </w:r>
          </w:p>
        </w:tc>
        <w:tc>
          <w:tcPr>
            <w:tcW w:w="900" w:type="dxa"/>
            <w:tcBorders>
              <w:top w:val="nil"/>
              <w:bottom w:val="nil"/>
              <w:right w:val="single" w:sz="6" w:space="0" w:color="140034"/>
            </w:tcBorders>
            <w:shd w:val="clear" w:color="auto" w:fill="140034"/>
          </w:tcPr>
          <w:p w14:paraId="14809F09" w14:textId="3E4AFA80" w:rsidR="00B72E65" w:rsidRDefault="00B72E65" w:rsidP="00B72E65">
            <w:pPr>
              <w:pStyle w:val="Tablecolumnheadings"/>
              <w:jc w:val="right"/>
              <w:rPr>
                <w:lang w:val="en-US"/>
              </w:rPr>
            </w:pPr>
            <w:r w:rsidRPr="00240ED8">
              <w:t>TOTAL</w:t>
            </w:r>
          </w:p>
        </w:tc>
      </w:tr>
      <w:tr w:rsidR="00B72E65" w14:paraId="0F92DBF3" w14:textId="77777777" w:rsidTr="00B72E65">
        <w:trPr>
          <w:gridBefore w:val="1"/>
          <w:wBefore w:w="454" w:type="dxa"/>
        </w:trPr>
        <w:tc>
          <w:tcPr>
            <w:tcW w:w="900" w:type="dxa"/>
            <w:tcBorders>
              <w:top w:val="nil"/>
            </w:tcBorders>
            <w:shd w:val="clear" w:color="auto" w:fill="auto"/>
          </w:tcPr>
          <w:p w14:paraId="3496C21F" w14:textId="58287F43" w:rsidR="00B72E65" w:rsidRDefault="00B72E65" w:rsidP="00B72E65">
            <w:pPr>
              <w:pStyle w:val="Tabletext"/>
              <w:rPr>
                <w:lang w:val="en-US"/>
              </w:rPr>
            </w:pPr>
            <w:r w:rsidRPr="005C767D">
              <w:t>2007–08</w:t>
            </w:r>
          </w:p>
        </w:tc>
        <w:tc>
          <w:tcPr>
            <w:tcW w:w="900" w:type="dxa"/>
            <w:tcBorders>
              <w:top w:val="nil"/>
            </w:tcBorders>
            <w:shd w:val="clear" w:color="auto" w:fill="auto"/>
          </w:tcPr>
          <w:p w14:paraId="16A1E134" w14:textId="24A71318" w:rsidR="00B72E65" w:rsidRDefault="00B72E65" w:rsidP="00B72E65">
            <w:pPr>
              <w:pStyle w:val="Tabletext"/>
              <w:jc w:val="right"/>
              <w:rPr>
                <w:lang w:val="en-US"/>
              </w:rPr>
            </w:pPr>
            <w:r w:rsidRPr="005C767D">
              <w:t xml:space="preserve">2,580 </w:t>
            </w:r>
          </w:p>
        </w:tc>
        <w:tc>
          <w:tcPr>
            <w:tcW w:w="900" w:type="dxa"/>
            <w:tcBorders>
              <w:top w:val="nil"/>
            </w:tcBorders>
            <w:shd w:val="clear" w:color="auto" w:fill="auto"/>
          </w:tcPr>
          <w:p w14:paraId="5B49355F" w14:textId="38944CD2" w:rsidR="00B72E65" w:rsidRDefault="00B72E65" w:rsidP="00B72E65">
            <w:pPr>
              <w:pStyle w:val="Tabletext"/>
              <w:jc w:val="right"/>
              <w:rPr>
                <w:lang w:val="en-US"/>
              </w:rPr>
            </w:pPr>
            <w:r w:rsidRPr="005C767D">
              <w:t xml:space="preserve">59 </w:t>
            </w:r>
          </w:p>
        </w:tc>
        <w:tc>
          <w:tcPr>
            <w:tcW w:w="900" w:type="dxa"/>
            <w:tcBorders>
              <w:top w:val="nil"/>
            </w:tcBorders>
            <w:shd w:val="clear" w:color="auto" w:fill="auto"/>
          </w:tcPr>
          <w:p w14:paraId="2291612B" w14:textId="2C53EA9C" w:rsidR="00B72E65" w:rsidRDefault="00B72E65" w:rsidP="00B72E65">
            <w:pPr>
              <w:pStyle w:val="Tabletext"/>
              <w:jc w:val="right"/>
              <w:rPr>
                <w:lang w:val="en-US"/>
              </w:rPr>
            </w:pPr>
            <w:r w:rsidRPr="005C767D">
              <w:t xml:space="preserve">304 </w:t>
            </w:r>
          </w:p>
        </w:tc>
        <w:tc>
          <w:tcPr>
            <w:tcW w:w="899" w:type="dxa"/>
            <w:tcBorders>
              <w:top w:val="nil"/>
            </w:tcBorders>
            <w:shd w:val="clear" w:color="auto" w:fill="auto"/>
          </w:tcPr>
          <w:p w14:paraId="3E49786D" w14:textId="2A5C1FBD" w:rsidR="00B72E65" w:rsidRDefault="00B72E65" w:rsidP="00B72E65">
            <w:pPr>
              <w:pStyle w:val="Tabletext"/>
              <w:jc w:val="right"/>
              <w:rPr>
                <w:lang w:val="en-US"/>
              </w:rPr>
            </w:pPr>
            <w:r w:rsidRPr="005C767D">
              <w:t xml:space="preserve">271 </w:t>
            </w:r>
          </w:p>
        </w:tc>
        <w:tc>
          <w:tcPr>
            <w:tcW w:w="899" w:type="dxa"/>
            <w:tcBorders>
              <w:top w:val="nil"/>
            </w:tcBorders>
            <w:shd w:val="clear" w:color="auto" w:fill="auto"/>
          </w:tcPr>
          <w:p w14:paraId="239DC438" w14:textId="2B3A70ED" w:rsidR="00B72E65" w:rsidRDefault="00B72E65" w:rsidP="00B72E65">
            <w:pPr>
              <w:pStyle w:val="Tabletext"/>
              <w:jc w:val="right"/>
              <w:rPr>
                <w:lang w:val="en-US"/>
              </w:rPr>
            </w:pPr>
            <w:r w:rsidRPr="005C767D">
              <w:t xml:space="preserve">25 </w:t>
            </w:r>
          </w:p>
        </w:tc>
        <w:tc>
          <w:tcPr>
            <w:tcW w:w="900" w:type="dxa"/>
            <w:tcBorders>
              <w:top w:val="nil"/>
            </w:tcBorders>
            <w:shd w:val="clear" w:color="auto" w:fill="auto"/>
          </w:tcPr>
          <w:p w14:paraId="767D4AEB" w14:textId="7C0AF0B6" w:rsidR="00B72E65" w:rsidRDefault="00B72E65" w:rsidP="00B72E65">
            <w:pPr>
              <w:pStyle w:val="Tabletext"/>
              <w:jc w:val="right"/>
              <w:rPr>
                <w:lang w:val="en-US"/>
              </w:rPr>
            </w:pPr>
            <w:r w:rsidRPr="005C767D">
              <w:t xml:space="preserve">55 </w:t>
            </w:r>
          </w:p>
        </w:tc>
        <w:tc>
          <w:tcPr>
            <w:tcW w:w="900" w:type="dxa"/>
            <w:tcBorders>
              <w:top w:val="nil"/>
            </w:tcBorders>
            <w:shd w:val="clear" w:color="auto" w:fill="auto"/>
          </w:tcPr>
          <w:p w14:paraId="3FB00A83" w14:textId="4AC1744C" w:rsidR="00B72E65" w:rsidRDefault="00B72E65" w:rsidP="00B72E65">
            <w:pPr>
              <w:pStyle w:val="Tabletext"/>
              <w:jc w:val="right"/>
              <w:rPr>
                <w:lang w:val="en-US"/>
              </w:rPr>
            </w:pPr>
            <w:r w:rsidRPr="005C767D">
              <w:t xml:space="preserve">24 </w:t>
            </w:r>
          </w:p>
        </w:tc>
        <w:tc>
          <w:tcPr>
            <w:tcW w:w="900" w:type="dxa"/>
            <w:tcBorders>
              <w:top w:val="nil"/>
            </w:tcBorders>
            <w:shd w:val="clear" w:color="auto" w:fill="auto"/>
          </w:tcPr>
          <w:p w14:paraId="5F902838" w14:textId="7A975CF3" w:rsidR="00B72E65" w:rsidRDefault="00B72E65" w:rsidP="00B72E65">
            <w:pPr>
              <w:pStyle w:val="Tabletext"/>
              <w:jc w:val="right"/>
              <w:rPr>
                <w:lang w:val="en-US"/>
              </w:rPr>
            </w:pPr>
            <w:r w:rsidRPr="005C767D">
              <w:t xml:space="preserve">348 </w:t>
            </w:r>
          </w:p>
        </w:tc>
        <w:tc>
          <w:tcPr>
            <w:tcW w:w="900" w:type="dxa"/>
            <w:tcBorders>
              <w:top w:val="nil"/>
            </w:tcBorders>
            <w:shd w:val="clear" w:color="auto" w:fill="auto"/>
          </w:tcPr>
          <w:p w14:paraId="3863C403" w14:textId="1BD5D236" w:rsidR="00B72E65" w:rsidRDefault="00B72E65" w:rsidP="00B72E65">
            <w:pPr>
              <w:pStyle w:val="Tabletext"/>
              <w:jc w:val="right"/>
              <w:rPr>
                <w:lang w:val="en-US"/>
              </w:rPr>
            </w:pPr>
            <w:r w:rsidRPr="005C767D">
              <w:t xml:space="preserve">176 </w:t>
            </w:r>
          </w:p>
        </w:tc>
        <w:tc>
          <w:tcPr>
            <w:tcW w:w="900" w:type="dxa"/>
            <w:tcBorders>
              <w:top w:val="nil"/>
            </w:tcBorders>
            <w:shd w:val="clear" w:color="auto" w:fill="auto"/>
          </w:tcPr>
          <w:p w14:paraId="66636E7F" w14:textId="74EE25E0" w:rsidR="00B72E65" w:rsidRDefault="00B72E65" w:rsidP="00B72E65">
            <w:pPr>
              <w:pStyle w:val="Tabletext"/>
              <w:jc w:val="right"/>
              <w:rPr>
                <w:lang w:val="en-US"/>
              </w:rPr>
            </w:pPr>
            <w:r w:rsidRPr="005C767D">
              <w:t xml:space="preserve">3,842 </w:t>
            </w:r>
          </w:p>
        </w:tc>
      </w:tr>
      <w:tr w:rsidR="00B72E65" w14:paraId="13AB80C1" w14:textId="77777777" w:rsidTr="00B72E65">
        <w:trPr>
          <w:gridBefore w:val="1"/>
          <w:wBefore w:w="454" w:type="dxa"/>
        </w:trPr>
        <w:tc>
          <w:tcPr>
            <w:tcW w:w="900" w:type="dxa"/>
            <w:shd w:val="clear" w:color="auto" w:fill="auto"/>
          </w:tcPr>
          <w:p w14:paraId="100CBCA4" w14:textId="6F2FEE6B" w:rsidR="00B72E65" w:rsidRDefault="00B72E65" w:rsidP="00B72E65">
            <w:pPr>
              <w:pStyle w:val="Tabletext"/>
              <w:rPr>
                <w:lang w:val="en-US"/>
              </w:rPr>
            </w:pPr>
            <w:r w:rsidRPr="005C767D">
              <w:t>2008–09</w:t>
            </w:r>
          </w:p>
        </w:tc>
        <w:tc>
          <w:tcPr>
            <w:tcW w:w="900" w:type="dxa"/>
            <w:shd w:val="clear" w:color="auto" w:fill="auto"/>
          </w:tcPr>
          <w:p w14:paraId="53AD9E5E" w14:textId="1CDA7C61" w:rsidR="00B72E65" w:rsidRDefault="00B72E65" w:rsidP="00B72E65">
            <w:pPr>
              <w:pStyle w:val="Tabletext"/>
              <w:jc w:val="right"/>
              <w:rPr>
                <w:lang w:val="en-US"/>
              </w:rPr>
            </w:pPr>
            <w:r w:rsidRPr="005C767D">
              <w:t xml:space="preserve">2,676 </w:t>
            </w:r>
          </w:p>
        </w:tc>
        <w:tc>
          <w:tcPr>
            <w:tcW w:w="900" w:type="dxa"/>
            <w:shd w:val="clear" w:color="auto" w:fill="auto"/>
          </w:tcPr>
          <w:p w14:paraId="46A15E3B" w14:textId="04E2524F" w:rsidR="00B72E65" w:rsidRDefault="00B72E65" w:rsidP="00B72E65">
            <w:pPr>
              <w:pStyle w:val="Tabletext"/>
              <w:jc w:val="right"/>
              <w:rPr>
                <w:lang w:val="en-US"/>
              </w:rPr>
            </w:pPr>
            <w:r w:rsidRPr="005C767D">
              <w:t xml:space="preserve">73 </w:t>
            </w:r>
          </w:p>
        </w:tc>
        <w:tc>
          <w:tcPr>
            <w:tcW w:w="900" w:type="dxa"/>
            <w:shd w:val="clear" w:color="auto" w:fill="auto"/>
          </w:tcPr>
          <w:p w14:paraId="37A8CE5B" w14:textId="797C5598" w:rsidR="00B72E65" w:rsidRDefault="00B72E65" w:rsidP="00B72E65">
            <w:pPr>
              <w:pStyle w:val="Tabletext"/>
              <w:jc w:val="right"/>
              <w:rPr>
                <w:lang w:val="en-US"/>
              </w:rPr>
            </w:pPr>
            <w:r w:rsidRPr="005C767D">
              <w:t xml:space="preserve">302 </w:t>
            </w:r>
          </w:p>
        </w:tc>
        <w:tc>
          <w:tcPr>
            <w:tcW w:w="899" w:type="dxa"/>
            <w:shd w:val="clear" w:color="auto" w:fill="auto"/>
          </w:tcPr>
          <w:p w14:paraId="6201597D" w14:textId="31ECB190" w:rsidR="00B72E65" w:rsidRDefault="00B72E65" w:rsidP="00B72E65">
            <w:pPr>
              <w:pStyle w:val="Tabletext"/>
              <w:jc w:val="right"/>
              <w:rPr>
                <w:lang w:val="en-US"/>
              </w:rPr>
            </w:pPr>
            <w:r w:rsidRPr="005C767D">
              <w:t xml:space="preserve">315 </w:t>
            </w:r>
          </w:p>
        </w:tc>
        <w:tc>
          <w:tcPr>
            <w:tcW w:w="899" w:type="dxa"/>
            <w:shd w:val="clear" w:color="auto" w:fill="auto"/>
          </w:tcPr>
          <w:p w14:paraId="68D307D8" w14:textId="6064B934" w:rsidR="00B72E65" w:rsidRDefault="00B72E65" w:rsidP="00B72E65">
            <w:pPr>
              <w:pStyle w:val="Tabletext"/>
              <w:jc w:val="right"/>
              <w:rPr>
                <w:lang w:val="en-US"/>
              </w:rPr>
            </w:pPr>
            <w:r w:rsidRPr="005C767D">
              <w:t xml:space="preserve">40 </w:t>
            </w:r>
          </w:p>
        </w:tc>
        <w:tc>
          <w:tcPr>
            <w:tcW w:w="900" w:type="dxa"/>
            <w:shd w:val="clear" w:color="auto" w:fill="auto"/>
          </w:tcPr>
          <w:p w14:paraId="02E0D7D8" w14:textId="1321DC35" w:rsidR="00B72E65" w:rsidRDefault="00B72E65" w:rsidP="00B72E65">
            <w:pPr>
              <w:pStyle w:val="Tabletext"/>
              <w:jc w:val="right"/>
              <w:rPr>
                <w:lang w:val="en-US"/>
              </w:rPr>
            </w:pPr>
            <w:r w:rsidRPr="005C767D">
              <w:t xml:space="preserve">54 </w:t>
            </w:r>
          </w:p>
        </w:tc>
        <w:tc>
          <w:tcPr>
            <w:tcW w:w="900" w:type="dxa"/>
            <w:shd w:val="clear" w:color="auto" w:fill="auto"/>
          </w:tcPr>
          <w:p w14:paraId="06C51BF1" w14:textId="15098857" w:rsidR="00B72E65" w:rsidRDefault="00B72E65" w:rsidP="00B72E65">
            <w:pPr>
              <w:pStyle w:val="Tabletext"/>
              <w:jc w:val="right"/>
              <w:rPr>
                <w:lang w:val="en-US"/>
              </w:rPr>
            </w:pPr>
            <w:r w:rsidRPr="005C767D">
              <w:t xml:space="preserve">26 </w:t>
            </w:r>
          </w:p>
        </w:tc>
        <w:tc>
          <w:tcPr>
            <w:tcW w:w="900" w:type="dxa"/>
            <w:shd w:val="clear" w:color="auto" w:fill="auto"/>
          </w:tcPr>
          <w:p w14:paraId="52CD8EF2" w14:textId="29C03617" w:rsidR="00B72E65" w:rsidRDefault="00B72E65" w:rsidP="00B72E65">
            <w:pPr>
              <w:pStyle w:val="Tabletext"/>
              <w:jc w:val="right"/>
              <w:rPr>
                <w:lang w:val="en-US"/>
              </w:rPr>
            </w:pPr>
            <w:r w:rsidRPr="005C767D">
              <w:t xml:space="preserve">372 </w:t>
            </w:r>
          </w:p>
        </w:tc>
        <w:tc>
          <w:tcPr>
            <w:tcW w:w="900" w:type="dxa"/>
            <w:shd w:val="clear" w:color="auto" w:fill="auto"/>
          </w:tcPr>
          <w:p w14:paraId="32F1B2B2" w14:textId="4DE7EAF1" w:rsidR="00B72E65" w:rsidRDefault="00B72E65" w:rsidP="00B72E65">
            <w:pPr>
              <w:pStyle w:val="Tabletext"/>
              <w:jc w:val="right"/>
              <w:rPr>
                <w:lang w:val="en-US"/>
              </w:rPr>
            </w:pPr>
            <w:r w:rsidRPr="005C767D">
              <w:t xml:space="preserve">182 </w:t>
            </w:r>
          </w:p>
        </w:tc>
        <w:tc>
          <w:tcPr>
            <w:tcW w:w="900" w:type="dxa"/>
            <w:shd w:val="clear" w:color="auto" w:fill="auto"/>
          </w:tcPr>
          <w:p w14:paraId="7D612A95" w14:textId="552D108B" w:rsidR="00B72E65" w:rsidRDefault="00B72E65" w:rsidP="00B72E65">
            <w:pPr>
              <w:pStyle w:val="Tabletext"/>
              <w:jc w:val="right"/>
              <w:rPr>
                <w:lang w:val="en-US"/>
              </w:rPr>
            </w:pPr>
            <w:r w:rsidRPr="005C767D">
              <w:t xml:space="preserve">4,040 </w:t>
            </w:r>
          </w:p>
        </w:tc>
      </w:tr>
      <w:tr w:rsidR="00B72E65" w14:paraId="540A3066" w14:textId="77777777" w:rsidTr="00B72E65">
        <w:trPr>
          <w:gridBefore w:val="1"/>
          <w:wBefore w:w="454" w:type="dxa"/>
        </w:trPr>
        <w:tc>
          <w:tcPr>
            <w:tcW w:w="900" w:type="dxa"/>
            <w:shd w:val="clear" w:color="auto" w:fill="auto"/>
          </w:tcPr>
          <w:p w14:paraId="357731DF" w14:textId="3CE07B0A" w:rsidR="00B72E65" w:rsidRDefault="00B72E65" w:rsidP="00B72E65">
            <w:pPr>
              <w:pStyle w:val="Tabletext"/>
              <w:rPr>
                <w:lang w:val="en-US"/>
              </w:rPr>
            </w:pPr>
            <w:r w:rsidRPr="005C767D">
              <w:t>2009–10</w:t>
            </w:r>
          </w:p>
        </w:tc>
        <w:tc>
          <w:tcPr>
            <w:tcW w:w="900" w:type="dxa"/>
            <w:shd w:val="clear" w:color="auto" w:fill="auto"/>
          </w:tcPr>
          <w:p w14:paraId="38C115F9" w14:textId="0ADD009C" w:rsidR="00B72E65" w:rsidRDefault="00B72E65" w:rsidP="00B72E65">
            <w:pPr>
              <w:pStyle w:val="Tabletext"/>
              <w:jc w:val="right"/>
              <w:rPr>
                <w:lang w:val="en-US"/>
              </w:rPr>
            </w:pPr>
            <w:r w:rsidRPr="005C767D">
              <w:t xml:space="preserve">2,921 </w:t>
            </w:r>
          </w:p>
        </w:tc>
        <w:tc>
          <w:tcPr>
            <w:tcW w:w="900" w:type="dxa"/>
            <w:shd w:val="clear" w:color="auto" w:fill="auto"/>
          </w:tcPr>
          <w:p w14:paraId="6274C2C1" w14:textId="5B6D0935" w:rsidR="00B72E65" w:rsidRDefault="00B72E65" w:rsidP="00B72E65">
            <w:pPr>
              <w:pStyle w:val="Tabletext"/>
              <w:jc w:val="right"/>
              <w:rPr>
                <w:lang w:val="en-US"/>
              </w:rPr>
            </w:pPr>
            <w:r w:rsidRPr="005C767D">
              <w:t xml:space="preserve">67 </w:t>
            </w:r>
          </w:p>
        </w:tc>
        <w:tc>
          <w:tcPr>
            <w:tcW w:w="900" w:type="dxa"/>
            <w:shd w:val="clear" w:color="auto" w:fill="auto"/>
          </w:tcPr>
          <w:p w14:paraId="34604307" w14:textId="01071A5D" w:rsidR="00B72E65" w:rsidRDefault="00B72E65" w:rsidP="00B72E65">
            <w:pPr>
              <w:pStyle w:val="Tabletext"/>
              <w:jc w:val="right"/>
              <w:rPr>
                <w:lang w:val="en-US"/>
              </w:rPr>
            </w:pPr>
            <w:r w:rsidRPr="005C767D">
              <w:t xml:space="preserve">288 </w:t>
            </w:r>
          </w:p>
        </w:tc>
        <w:tc>
          <w:tcPr>
            <w:tcW w:w="899" w:type="dxa"/>
            <w:shd w:val="clear" w:color="auto" w:fill="auto"/>
          </w:tcPr>
          <w:p w14:paraId="6BF82002" w14:textId="088B08AD" w:rsidR="00B72E65" w:rsidRDefault="00B72E65" w:rsidP="00B72E65">
            <w:pPr>
              <w:pStyle w:val="Tabletext"/>
              <w:jc w:val="right"/>
              <w:rPr>
                <w:lang w:val="en-US"/>
              </w:rPr>
            </w:pPr>
            <w:r w:rsidRPr="005C767D">
              <w:t xml:space="preserve">338 </w:t>
            </w:r>
          </w:p>
        </w:tc>
        <w:tc>
          <w:tcPr>
            <w:tcW w:w="899" w:type="dxa"/>
            <w:shd w:val="clear" w:color="auto" w:fill="auto"/>
          </w:tcPr>
          <w:p w14:paraId="28F0DCF9" w14:textId="58D892BD" w:rsidR="00B72E65" w:rsidRDefault="00B72E65" w:rsidP="00B72E65">
            <w:pPr>
              <w:pStyle w:val="Tabletext"/>
              <w:jc w:val="right"/>
              <w:rPr>
                <w:lang w:val="en-US"/>
              </w:rPr>
            </w:pPr>
            <w:r w:rsidRPr="005C767D">
              <w:t xml:space="preserve">39 </w:t>
            </w:r>
          </w:p>
        </w:tc>
        <w:tc>
          <w:tcPr>
            <w:tcW w:w="900" w:type="dxa"/>
            <w:shd w:val="clear" w:color="auto" w:fill="auto"/>
          </w:tcPr>
          <w:p w14:paraId="3B59F3D4" w14:textId="0782435A" w:rsidR="00B72E65" w:rsidRDefault="00B72E65" w:rsidP="00B72E65">
            <w:pPr>
              <w:pStyle w:val="Tabletext"/>
              <w:jc w:val="right"/>
              <w:rPr>
                <w:lang w:val="en-US"/>
              </w:rPr>
            </w:pPr>
            <w:r w:rsidRPr="005C767D">
              <w:t xml:space="preserve">53 </w:t>
            </w:r>
          </w:p>
        </w:tc>
        <w:tc>
          <w:tcPr>
            <w:tcW w:w="900" w:type="dxa"/>
            <w:shd w:val="clear" w:color="auto" w:fill="auto"/>
          </w:tcPr>
          <w:p w14:paraId="04EBEEC6" w14:textId="2B5E9808" w:rsidR="00B72E65" w:rsidRDefault="00B72E65" w:rsidP="00B72E65">
            <w:pPr>
              <w:pStyle w:val="Tabletext"/>
              <w:jc w:val="right"/>
              <w:rPr>
                <w:lang w:val="en-US"/>
              </w:rPr>
            </w:pPr>
            <w:r w:rsidRPr="005C767D">
              <w:t xml:space="preserve">25 </w:t>
            </w:r>
          </w:p>
        </w:tc>
        <w:tc>
          <w:tcPr>
            <w:tcW w:w="900" w:type="dxa"/>
            <w:shd w:val="clear" w:color="auto" w:fill="auto"/>
          </w:tcPr>
          <w:p w14:paraId="6A33E4D7" w14:textId="66FB378E" w:rsidR="00B72E65" w:rsidRDefault="00B72E65" w:rsidP="00B72E65">
            <w:pPr>
              <w:pStyle w:val="Tabletext"/>
              <w:jc w:val="right"/>
              <w:rPr>
                <w:lang w:val="en-US"/>
              </w:rPr>
            </w:pPr>
            <w:r w:rsidRPr="005C767D">
              <w:t xml:space="preserve">414 </w:t>
            </w:r>
          </w:p>
        </w:tc>
        <w:tc>
          <w:tcPr>
            <w:tcW w:w="900" w:type="dxa"/>
            <w:shd w:val="clear" w:color="auto" w:fill="auto"/>
          </w:tcPr>
          <w:p w14:paraId="63DEEDCF" w14:textId="4E8F3BD2" w:rsidR="00B72E65" w:rsidRDefault="00B72E65" w:rsidP="00B72E65">
            <w:pPr>
              <w:pStyle w:val="Tabletext"/>
              <w:jc w:val="right"/>
              <w:rPr>
                <w:lang w:val="en-US"/>
              </w:rPr>
            </w:pPr>
            <w:r w:rsidRPr="005C767D">
              <w:t xml:space="preserve">194 </w:t>
            </w:r>
          </w:p>
        </w:tc>
        <w:tc>
          <w:tcPr>
            <w:tcW w:w="900" w:type="dxa"/>
            <w:shd w:val="clear" w:color="auto" w:fill="auto"/>
          </w:tcPr>
          <w:p w14:paraId="7A561901" w14:textId="67F6BD14" w:rsidR="00B72E65" w:rsidRDefault="00B72E65" w:rsidP="00B72E65">
            <w:pPr>
              <w:pStyle w:val="Tabletext"/>
              <w:jc w:val="right"/>
              <w:rPr>
                <w:lang w:val="en-US"/>
              </w:rPr>
            </w:pPr>
            <w:r w:rsidRPr="005C767D">
              <w:t xml:space="preserve">4,339 </w:t>
            </w:r>
          </w:p>
        </w:tc>
      </w:tr>
      <w:tr w:rsidR="00B72E65" w14:paraId="3561CD46" w14:textId="77777777" w:rsidTr="00B72E65">
        <w:trPr>
          <w:gridBefore w:val="1"/>
          <w:wBefore w:w="454" w:type="dxa"/>
        </w:trPr>
        <w:tc>
          <w:tcPr>
            <w:tcW w:w="900" w:type="dxa"/>
            <w:shd w:val="clear" w:color="auto" w:fill="auto"/>
          </w:tcPr>
          <w:p w14:paraId="25EFAEC5" w14:textId="7FC0A7A4" w:rsidR="00B72E65" w:rsidRDefault="00B72E65" w:rsidP="00B72E65">
            <w:pPr>
              <w:pStyle w:val="Tabletext"/>
              <w:rPr>
                <w:lang w:val="en-US"/>
              </w:rPr>
            </w:pPr>
            <w:r w:rsidRPr="005C767D">
              <w:t>2010–11</w:t>
            </w:r>
          </w:p>
        </w:tc>
        <w:tc>
          <w:tcPr>
            <w:tcW w:w="900" w:type="dxa"/>
            <w:shd w:val="clear" w:color="auto" w:fill="auto"/>
          </w:tcPr>
          <w:p w14:paraId="77107CC0" w14:textId="1CEC36B1" w:rsidR="00B72E65" w:rsidRDefault="00B72E65" w:rsidP="00B72E65">
            <w:pPr>
              <w:pStyle w:val="Tabletext"/>
              <w:jc w:val="right"/>
              <w:rPr>
                <w:lang w:val="en-US"/>
              </w:rPr>
            </w:pPr>
            <w:r w:rsidRPr="005C767D">
              <w:t xml:space="preserve">3,038 </w:t>
            </w:r>
          </w:p>
        </w:tc>
        <w:tc>
          <w:tcPr>
            <w:tcW w:w="900" w:type="dxa"/>
            <w:shd w:val="clear" w:color="auto" w:fill="auto"/>
          </w:tcPr>
          <w:p w14:paraId="4E8ED300" w14:textId="2CFADE5F" w:rsidR="00B72E65" w:rsidRDefault="00B72E65" w:rsidP="00B72E65">
            <w:pPr>
              <w:pStyle w:val="Tabletext"/>
              <w:jc w:val="right"/>
              <w:rPr>
                <w:lang w:val="en-US"/>
              </w:rPr>
            </w:pPr>
            <w:r w:rsidRPr="005C767D">
              <w:t xml:space="preserve">70 </w:t>
            </w:r>
          </w:p>
        </w:tc>
        <w:tc>
          <w:tcPr>
            <w:tcW w:w="900" w:type="dxa"/>
            <w:shd w:val="clear" w:color="auto" w:fill="auto"/>
          </w:tcPr>
          <w:p w14:paraId="58418D93" w14:textId="2F31B396" w:rsidR="00B72E65" w:rsidRDefault="00B72E65" w:rsidP="00B72E65">
            <w:pPr>
              <w:pStyle w:val="Tabletext"/>
              <w:jc w:val="right"/>
              <w:rPr>
                <w:lang w:val="en-US"/>
              </w:rPr>
            </w:pPr>
            <w:r w:rsidRPr="005C767D">
              <w:t xml:space="preserve">279 </w:t>
            </w:r>
          </w:p>
        </w:tc>
        <w:tc>
          <w:tcPr>
            <w:tcW w:w="899" w:type="dxa"/>
            <w:shd w:val="clear" w:color="auto" w:fill="auto"/>
          </w:tcPr>
          <w:p w14:paraId="65E133CA" w14:textId="20C34980" w:rsidR="00B72E65" w:rsidRDefault="00B72E65" w:rsidP="00B72E65">
            <w:pPr>
              <w:pStyle w:val="Tabletext"/>
              <w:jc w:val="right"/>
              <w:rPr>
                <w:lang w:val="en-US"/>
              </w:rPr>
            </w:pPr>
            <w:r w:rsidRPr="005C767D">
              <w:t xml:space="preserve">388 </w:t>
            </w:r>
          </w:p>
        </w:tc>
        <w:tc>
          <w:tcPr>
            <w:tcW w:w="899" w:type="dxa"/>
            <w:shd w:val="clear" w:color="auto" w:fill="auto"/>
          </w:tcPr>
          <w:p w14:paraId="0B8CC219" w14:textId="7EE77C54" w:rsidR="00B72E65" w:rsidRDefault="00B72E65" w:rsidP="00B72E65">
            <w:pPr>
              <w:pStyle w:val="Tabletext"/>
              <w:jc w:val="right"/>
              <w:rPr>
                <w:lang w:val="en-US"/>
              </w:rPr>
            </w:pPr>
            <w:r w:rsidRPr="005C767D">
              <w:t xml:space="preserve">43 </w:t>
            </w:r>
          </w:p>
        </w:tc>
        <w:tc>
          <w:tcPr>
            <w:tcW w:w="900" w:type="dxa"/>
            <w:shd w:val="clear" w:color="auto" w:fill="auto"/>
          </w:tcPr>
          <w:p w14:paraId="31FEFA45" w14:textId="119991A3" w:rsidR="00B72E65" w:rsidRDefault="00B72E65" w:rsidP="00B72E65">
            <w:pPr>
              <w:pStyle w:val="Tabletext"/>
              <w:jc w:val="right"/>
              <w:rPr>
                <w:lang w:val="en-US"/>
              </w:rPr>
            </w:pPr>
            <w:r w:rsidRPr="005C767D">
              <w:t xml:space="preserve">47 </w:t>
            </w:r>
          </w:p>
        </w:tc>
        <w:tc>
          <w:tcPr>
            <w:tcW w:w="900" w:type="dxa"/>
            <w:shd w:val="clear" w:color="auto" w:fill="auto"/>
          </w:tcPr>
          <w:p w14:paraId="1DD403F5" w14:textId="4B74DC14" w:rsidR="00B72E65" w:rsidRDefault="00B72E65" w:rsidP="00B72E65">
            <w:pPr>
              <w:pStyle w:val="Tabletext"/>
              <w:jc w:val="right"/>
              <w:rPr>
                <w:lang w:val="en-US"/>
              </w:rPr>
            </w:pPr>
            <w:r w:rsidRPr="005C767D">
              <w:t xml:space="preserve">26 </w:t>
            </w:r>
          </w:p>
        </w:tc>
        <w:tc>
          <w:tcPr>
            <w:tcW w:w="900" w:type="dxa"/>
            <w:shd w:val="clear" w:color="auto" w:fill="auto"/>
          </w:tcPr>
          <w:p w14:paraId="69A88E24" w14:textId="5D2BB824" w:rsidR="00B72E65" w:rsidRDefault="00B72E65" w:rsidP="00B72E65">
            <w:pPr>
              <w:pStyle w:val="Tabletext"/>
              <w:jc w:val="right"/>
              <w:rPr>
                <w:lang w:val="en-US"/>
              </w:rPr>
            </w:pPr>
            <w:r w:rsidRPr="005C767D">
              <w:t xml:space="preserve">434 </w:t>
            </w:r>
          </w:p>
        </w:tc>
        <w:tc>
          <w:tcPr>
            <w:tcW w:w="900" w:type="dxa"/>
            <w:shd w:val="clear" w:color="auto" w:fill="auto"/>
          </w:tcPr>
          <w:p w14:paraId="0261E781" w14:textId="714424DA" w:rsidR="00B72E65" w:rsidRDefault="00B72E65" w:rsidP="00B72E65">
            <w:pPr>
              <w:pStyle w:val="Tabletext"/>
              <w:jc w:val="right"/>
              <w:rPr>
                <w:lang w:val="en-US"/>
              </w:rPr>
            </w:pPr>
            <w:r w:rsidRPr="005C767D">
              <w:t xml:space="preserve">187 </w:t>
            </w:r>
          </w:p>
        </w:tc>
        <w:tc>
          <w:tcPr>
            <w:tcW w:w="900" w:type="dxa"/>
            <w:shd w:val="clear" w:color="auto" w:fill="auto"/>
          </w:tcPr>
          <w:p w14:paraId="00FAECF9" w14:textId="5E46AEFD" w:rsidR="00B72E65" w:rsidRDefault="00B72E65" w:rsidP="00B72E65">
            <w:pPr>
              <w:pStyle w:val="Tabletext"/>
              <w:jc w:val="right"/>
              <w:rPr>
                <w:lang w:val="en-US"/>
              </w:rPr>
            </w:pPr>
            <w:r w:rsidRPr="005C767D">
              <w:t xml:space="preserve">4,512 </w:t>
            </w:r>
          </w:p>
        </w:tc>
      </w:tr>
      <w:tr w:rsidR="00B72E65" w14:paraId="0B001E86" w14:textId="77777777" w:rsidTr="00B72E65">
        <w:trPr>
          <w:gridBefore w:val="1"/>
          <w:wBefore w:w="454" w:type="dxa"/>
        </w:trPr>
        <w:tc>
          <w:tcPr>
            <w:tcW w:w="900" w:type="dxa"/>
            <w:shd w:val="clear" w:color="auto" w:fill="auto"/>
          </w:tcPr>
          <w:p w14:paraId="040CC57A" w14:textId="58B3FA0C" w:rsidR="00B72E65" w:rsidRDefault="00B72E65" w:rsidP="00B72E65">
            <w:pPr>
              <w:pStyle w:val="Tabletext"/>
              <w:rPr>
                <w:lang w:val="en-US"/>
              </w:rPr>
            </w:pPr>
            <w:r w:rsidRPr="005C767D">
              <w:t>2011–12</w:t>
            </w:r>
          </w:p>
        </w:tc>
        <w:tc>
          <w:tcPr>
            <w:tcW w:w="900" w:type="dxa"/>
            <w:shd w:val="clear" w:color="auto" w:fill="auto"/>
          </w:tcPr>
          <w:p w14:paraId="790091E3" w14:textId="0B8C8BE8" w:rsidR="00B72E65" w:rsidRDefault="00B72E65" w:rsidP="00B72E65">
            <w:pPr>
              <w:pStyle w:val="Tabletext"/>
              <w:jc w:val="right"/>
              <w:rPr>
                <w:lang w:val="en-US"/>
              </w:rPr>
            </w:pPr>
            <w:r w:rsidRPr="005C767D">
              <w:t xml:space="preserve">3,396 </w:t>
            </w:r>
          </w:p>
        </w:tc>
        <w:tc>
          <w:tcPr>
            <w:tcW w:w="900" w:type="dxa"/>
            <w:shd w:val="clear" w:color="auto" w:fill="auto"/>
          </w:tcPr>
          <w:p w14:paraId="25E9B6FD" w14:textId="29E00C30" w:rsidR="00B72E65" w:rsidRDefault="00B72E65" w:rsidP="00B72E65">
            <w:pPr>
              <w:pStyle w:val="Tabletext"/>
              <w:jc w:val="right"/>
              <w:rPr>
                <w:lang w:val="en-US"/>
              </w:rPr>
            </w:pPr>
            <w:r w:rsidRPr="005C767D">
              <w:t xml:space="preserve">69 </w:t>
            </w:r>
          </w:p>
        </w:tc>
        <w:tc>
          <w:tcPr>
            <w:tcW w:w="900" w:type="dxa"/>
            <w:shd w:val="clear" w:color="auto" w:fill="auto"/>
          </w:tcPr>
          <w:p w14:paraId="121DD5C4" w14:textId="13405D2A" w:rsidR="00B72E65" w:rsidRDefault="00B72E65" w:rsidP="00B72E65">
            <w:pPr>
              <w:pStyle w:val="Tabletext"/>
              <w:jc w:val="right"/>
              <w:rPr>
                <w:lang w:val="en-US"/>
              </w:rPr>
            </w:pPr>
            <w:r w:rsidRPr="005C767D">
              <w:t xml:space="preserve">366 </w:t>
            </w:r>
          </w:p>
        </w:tc>
        <w:tc>
          <w:tcPr>
            <w:tcW w:w="899" w:type="dxa"/>
            <w:shd w:val="clear" w:color="auto" w:fill="auto"/>
          </w:tcPr>
          <w:p w14:paraId="1D9E691E" w14:textId="2742D1ED" w:rsidR="00B72E65" w:rsidRDefault="00B72E65" w:rsidP="00B72E65">
            <w:pPr>
              <w:pStyle w:val="Tabletext"/>
              <w:jc w:val="right"/>
              <w:rPr>
                <w:lang w:val="en-US"/>
              </w:rPr>
            </w:pPr>
            <w:r w:rsidRPr="005C767D">
              <w:t xml:space="preserve">432 </w:t>
            </w:r>
          </w:p>
        </w:tc>
        <w:tc>
          <w:tcPr>
            <w:tcW w:w="899" w:type="dxa"/>
            <w:shd w:val="clear" w:color="auto" w:fill="auto"/>
          </w:tcPr>
          <w:p w14:paraId="61335E1E" w14:textId="497C3761" w:rsidR="00B72E65" w:rsidRDefault="00B72E65" w:rsidP="00B72E65">
            <w:pPr>
              <w:pStyle w:val="Tabletext"/>
              <w:jc w:val="right"/>
              <w:rPr>
                <w:lang w:val="en-US"/>
              </w:rPr>
            </w:pPr>
            <w:r w:rsidRPr="005C767D">
              <w:t xml:space="preserve">33 </w:t>
            </w:r>
          </w:p>
        </w:tc>
        <w:tc>
          <w:tcPr>
            <w:tcW w:w="900" w:type="dxa"/>
            <w:shd w:val="clear" w:color="auto" w:fill="auto"/>
          </w:tcPr>
          <w:p w14:paraId="0AAE83E9" w14:textId="3D656C9D" w:rsidR="00B72E65" w:rsidRDefault="00B72E65" w:rsidP="00B72E65">
            <w:pPr>
              <w:pStyle w:val="Tabletext"/>
              <w:jc w:val="right"/>
              <w:rPr>
                <w:lang w:val="en-US"/>
              </w:rPr>
            </w:pPr>
            <w:r w:rsidRPr="005C767D">
              <w:t xml:space="preserve">57 </w:t>
            </w:r>
          </w:p>
        </w:tc>
        <w:tc>
          <w:tcPr>
            <w:tcW w:w="900" w:type="dxa"/>
            <w:shd w:val="clear" w:color="auto" w:fill="auto"/>
          </w:tcPr>
          <w:p w14:paraId="64074168" w14:textId="77049DD8" w:rsidR="00B72E65" w:rsidRDefault="00B72E65" w:rsidP="00B72E65">
            <w:pPr>
              <w:pStyle w:val="Tabletext"/>
              <w:jc w:val="right"/>
              <w:rPr>
                <w:lang w:val="en-US"/>
              </w:rPr>
            </w:pPr>
            <w:r w:rsidRPr="005C767D">
              <w:t xml:space="preserve">26 </w:t>
            </w:r>
          </w:p>
        </w:tc>
        <w:tc>
          <w:tcPr>
            <w:tcW w:w="900" w:type="dxa"/>
            <w:shd w:val="clear" w:color="auto" w:fill="auto"/>
          </w:tcPr>
          <w:p w14:paraId="056522BA" w14:textId="07286D5F" w:rsidR="00B72E65" w:rsidRDefault="00B72E65" w:rsidP="00B72E65">
            <w:pPr>
              <w:pStyle w:val="Tabletext"/>
              <w:jc w:val="right"/>
              <w:rPr>
                <w:lang w:val="en-US"/>
              </w:rPr>
            </w:pPr>
            <w:r w:rsidRPr="005C767D">
              <w:t xml:space="preserve">505 </w:t>
            </w:r>
          </w:p>
        </w:tc>
        <w:tc>
          <w:tcPr>
            <w:tcW w:w="900" w:type="dxa"/>
            <w:shd w:val="clear" w:color="auto" w:fill="auto"/>
          </w:tcPr>
          <w:p w14:paraId="13F1FB49" w14:textId="34F87967" w:rsidR="00B72E65" w:rsidRDefault="00B72E65" w:rsidP="00B72E65">
            <w:pPr>
              <w:pStyle w:val="Tabletext"/>
              <w:jc w:val="right"/>
              <w:rPr>
                <w:lang w:val="en-US"/>
              </w:rPr>
            </w:pPr>
            <w:r w:rsidRPr="005C767D">
              <w:t xml:space="preserve">206 </w:t>
            </w:r>
          </w:p>
        </w:tc>
        <w:tc>
          <w:tcPr>
            <w:tcW w:w="900" w:type="dxa"/>
            <w:shd w:val="clear" w:color="auto" w:fill="auto"/>
          </w:tcPr>
          <w:p w14:paraId="4541DE76" w14:textId="3B563E7B" w:rsidR="00B72E65" w:rsidRDefault="00B72E65" w:rsidP="00B72E65">
            <w:pPr>
              <w:pStyle w:val="Tabletext"/>
              <w:jc w:val="right"/>
              <w:rPr>
                <w:lang w:val="en-US"/>
              </w:rPr>
            </w:pPr>
            <w:r w:rsidRPr="005C767D">
              <w:t xml:space="preserve">5,090 </w:t>
            </w:r>
          </w:p>
        </w:tc>
      </w:tr>
      <w:tr w:rsidR="00B72E65" w14:paraId="7C591BEA" w14:textId="77777777" w:rsidTr="00B72E65">
        <w:trPr>
          <w:gridBefore w:val="1"/>
          <w:wBefore w:w="454" w:type="dxa"/>
        </w:trPr>
        <w:tc>
          <w:tcPr>
            <w:tcW w:w="900" w:type="dxa"/>
            <w:shd w:val="clear" w:color="auto" w:fill="auto"/>
          </w:tcPr>
          <w:p w14:paraId="1E9FC35D" w14:textId="76A7DB42" w:rsidR="00B72E65" w:rsidRDefault="00B72E65" w:rsidP="00B72E65">
            <w:pPr>
              <w:pStyle w:val="Tabletext"/>
              <w:rPr>
                <w:lang w:val="en-US"/>
              </w:rPr>
            </w:pPr>
            <w:r w:rsidRPr="005C767D">
              <w:t>2012–13</w:t>
            </w:r>
          </w:p>
        </w:tc>
        <w:tc>
          <w:tcPr>
            <w:tcW w:w="900" w:type="dxa"/>
            <w:shd w:val="clear" w:color="auto" w:fill="auto"/>
          </w:tcPr>
          <w:p w14:paraId="7216819A" w14:textId="2093665E" w:rsidR="00B72E65" w:rsidRDefault="00B72E65" w:rsidP="00B72E65">
            <w:pPr>
              <w:pStyle w:val="Tabletext"/>
              <w:jc w:val="right"/>
              <w:rPr>
                <w:lang w:val="en-US"/>
              </w:rPr>
            </w:pPr>
            <w:r w:rsidRPr="005C767D">
              <w:t xml:space="preserve">3,596 </w:t>
            </w:r>
          </w:p>
        </w:tc>
        <w:tc>
          <w:tcPr>
            <w:tcW w:w="900" w:type="dxa"/>
            <w:shd w:val="clear" w:color="auto" w:fill="auto"/>
          </w:tcPr>
          <w:p w14:paraId="6476E156" w14:textId="51CAF37F" w:rsidR="00B72E65" w:rsidRDefault="00B72E65" w:rsidP="00B72E65">
            <w:pPr>
              <w:pStyle w:val="Tabletext"/>
              <w:jc w:val="right"/>
              <w:rPr>
                <w:lang w:val="en-US"/>
              </w:rPr>
            </w:pPr>
            <w:r w:rsidRPr="005C767D">
              <w:t xml:space="preserve">70 </w:t>
            </w:r>
          </w:p>
        </w:tc>
        <w:tc>
          <w:tcPr>
            <w:tcW w:w="900" w:type="dxa"/>
            <w:shd w:val="clear" w:color="auto" w:fill="auto"/>
          </w:tcPr>
          <w:p w14:paraId="3FAF8BC4" w14:textId="71EC36AF" w:rsidR="00B72E65" w:rsidRDefault="00B72E65" w:rsidP="00B72E65">
            <w:pPr>
              <w:pStyle w:val="Tabletext"/>
              <w:jc w:val="right"/>
              <w:rPr>
                <w:lang w:val="en-US"/>
              </w:rPr>
            </w:pPr>
            <w:r w:rsidRPr="005C767D">
              <w:t xml:space="preserve">309 </w:t>
            </w:r>
          </w:p>
        </w:tc>
        <w:tc>
          <w:tcPr>
            <w:tcW w:w="899" w:type="dxa"/>
            <w:shd w:val="clear" w:color="auto" w:fill="auto"/>
          </w:tcPr>
          <w:p w14:paraId="4C91AAC8" w14:textId="0DFAD8D4" w:rsidR="00B72E65" w:rsidRDefault="00B72E65" w:rsidP="00B72E65">
            <w:pPr>
              <w:pStyle w:val="Tabletext"/>
              <w:jc w:val="right"/>
              <w:rPr>
                <w:lang w:val="en-US"/>
              </w:rPr>
            </w:pPr>
            <w:r w:rsidRPr="005C767D">
              <w:t xml:space="preserve">386 </w:t>
            </w:r>
          </w:p>
        </w:tc>
        <w:tc>
          <w:tcPr>
            <w:tcW w:w="899" w:type="dxa"/>
            <w:shd w:val="clear" w:color="auto" w:fill="auto"/>
          </w:tcPr>
          <w:p w14:paraId="0B518690" w14:textId="6B5CFD3A" w:rsidR="00B72E65" w:rsidRDefault="00B72E65" w:rsidP="00B72E65">
            <w:pPr>
              <w:pStyle w:val="Tabletext"/>
              <w:jc w:val="right"/>
              <w:rPr>
                <w:lang w:val="en-US"/>
              </w:rPr>
            </w:pPr>
            <w:r w:rsidRPr="005C767D">
              <w:t xml:space="preserve">53 </w:t>
            </w:r>
          </w:p>
        </w:tc>
        <w:tc>
          <w:tcPr>
            <w:tcW w:w="900" w:type="dxa"/>
            <w:shd w:val="clear" w:color="auto" w:fill="auto"/>
          </w:tcPr>
          <w:p w14:paraId="51A3F5DD" w14:textId="696B8D75" w:rsidR="00B72E65" w:rsidRDefault="00B72E65" w:rsidP="00B72E65">
            <w:pPr>
              <w:pStyle w:val="Tabletext"/>
              <w:jc w:val="right"/>
              <w:rPr>
                <w:lang w:val="en-US"/>
              </w:rPr>
            </w:pPr>
            <w:r w:rsidRPr="005C767D">
              <w:t xml:space="preserve">55 </w:t>
            </w:r>
          </w:p>
        </w:tc>
        <w:tc>
          <w:tcPr>
            <w:tcW w:w="900" w:type="dxa"/>
            <w:shd w:val="clear" w:color="auto" w:fill="auto"/>
          </w:tcPr>
          <w:p w14:paraId="1A1BF7EE" w14:textId="5E1EB737" w:rsidR="00B72E65" w:rsidRDefault="00B72E65" w:rsidP="00B72E65">
            <w:pPr>
              <w:pStyle w:val="Tabletext"/>
              <w:jc w:val="right"/>
              <w:rPr>
                <w:lang w:val="en-US"/>
              </w:rPr>
            </w:pPr>
            <w:r w:rsidRPr="005C767D">
              <w:t xml:space="preserve">23 </w:t>
            </w:r>
          </w:p>
        </w:tc>
        <w:tc>
          <w:tcPr>
            <w:tcW w:w="900" w:type="dxa"/>
            <w:shd w:val="clear" w:color="auto" w:fill="auto"/>
          </w:tcPr>
          <w:p w14:paraId="3E03145E" w14:textId="5B67A088" w:rsidR="00B72E65" w:rsidRDefault="00B72E65" w:rsidP="00B72E65">
            <w:pPr>
              <w:pStyle w:val="Tabletext"/>
              <w:jc w:val="right"/>
              <w:rPr>
                <w:lang w:val="en-US"/>
              </w:rPr>
            </w:pPr>
            <w:r w:rsidRPr="005C767D">
              <w:t xml:space="preserve">511 </w:t>
            </w:r>
          </w:p>
        </w:tc>
        <w:tc>
          <w:tcPr>
            <w:tcW w:w="900" w:type="dxa"/>
            <w:shd w:val="clear" w:color="auto" w:fill="auto"/>
          </w:tcPr>
          <w:p w14:paraId="173128C0" w14:textId="31865C4C" w:rsidR="00B72E65" w:rsidRDefault="00B72E65" w:rsidP="00B72E65">
            <w:pPr>
              <w:pStyle w:val="Tabletext"/>
              <w:jc w:val="right"/>
              <w:rPr>
                <w:lang w:val="en-US"/>
              </w:rPr>
            </w:pPr>
            <w:r w:rsidRPr="005C767D">
              <w:t xml:space="preserve">227 </w:t>
            </w:r>
          </w:p>
        </w:tc>
        <w:tc>
          <w:tcPr>
            <w:tcW w:w="900" w:type="dxa"/>
            <w:shd w:val="clear" w:color="auto" w:fill="auto"/>
          </w:tcPr>
          <w:p w14:paraId="53F515FB" w14:textId="0A8F8FC0" w:rsidR="00B72E65" w:rsidRDefault="00B72E65" w:rsidP="00B72E65">
            <w:pPr>
              <w:pStyle w:val="Tabletext"/>
              <w:jc w:val="right"/>
              <w:rPr>
                <w:lang w:val="en-US"/>
              </w:rPr>
            </w:pPr>
            <w:r w:rsidRPr="005C767D">
              <w:t xml:space="preserve">5,230 </w:t>
            </w:r>
          </w:p>
        </w:tc>
      </w:tr>
      <w:tr w:rsidR="00B72E65" w14:paraId="26963905" w14:textId="77777777" w:rsidTr="00B72E65">
        <w:trPr>
          <w:gridBefore w:val="1"/>
          <w:wBefore w:w="454" w:type="dxa"/>
        </w:trPr>
        <w:tc>
          <w:tcPr>
            <w:tcW w:w="900" w:type="dxa"/>
            <w:shd w:val="clear" w:color="auto" w:fill="auto"/>
          </w:tcPr>
          <w:p w14:paraId="0190E921" w14:textId="408A7ECF" w:rsidR="00B72E65" w:rsidRDefault="00B72E65" w:rsidP="00B72E65">
            <w:pPr>
              <w:pStyle w:val="Tabletext"/>
              <w:rPr>
                <w:lang w:val="en-US"/>
              </w:rPr>
            </w:pPr>
            <w:r w:rsidRPr="005C767D">
              <w:t>2013–14</w:t>
            </w:r>
          </w:p>
        </w:tc>
        <w:tc>
          <w:tcPr>
            <w:tcW w:w="900" w:type="dxa"/>
            <w:shd w:val="clear" w:color="auto" w:fill="auto"/>
          </w:tcPr>
          <w:p w14:paraId="2F4C5A0D" w14:textId="1C2F9EAC" w:rsidR="00B72E65" w:rsidRDefault="00B72E65" w:rsidP="00B72E65">
            <w:pPr>
              <w:pStyle w:val="Tabletext"/>
              <w:jc w:val="right"/>
              <w:rPr>
                <w:lang w:val="en-US"/>
              </w:rPr>
            </w:pPr>
            <w:r w:rsidRPr="005C767D">
              <w:t xml:space="preserve">3,890 </w:t>
            </w:r>
          </w:p>
        </w:tc>
        <w:tc>
          <w:tcPr>
            <w:tcW w:w="900" w:type="dxa"/>
            <w:shd w:val="clear" w:color="auto" w:fill="auto"/>
          </w:tcPr>
          <w:p w14:paraId="1F276E02" w14:textId="69E6ED4C" w:rsidR="00B72E65" w:rsidRDefault="00B72E65" w:rsidP="00B72E65">
            <w:pPr>
              <w:pStyle w:val="Tabletext"/>
              <w:jc w:val="right"/>
              <w:rPr>
                <w:lang w:val="en-US"/>
              </w:rPr>
            </w:pPr>
            <w:r w:rsidRPr="005C767D">
              <w:t xml:space="preserve">52 </w:t>
            </w:r>
          </w:p>
        </w:tc>
        <w:tc>
          <w:tcPr>
            <w:tcW w:w="900" w:type="dxa"/>
            <w:shd w:val="clear" w:color="auto" w:fill="auto"/>
          </w:tcPr>
          <w:p w14:paraId="46B3F411" w14:textId="5B2A5B05" w:rsidR="00B72E65" w:rsidRDefault="00B72E65" w:rsidP="00B72E65">
            <w:pPr>
              <w:pStyle w:val="Tabletext"/>
              <w:jc w:val="right"/>
              <w:rPr>
                <w:lang w:val="en-US"/>
              </w:rPr>
            </w:pPr>
            <w:r w:rsidRPr="005C767D">
              <w:t xml:space="preserve">321 </w:t>
            </w:r>
          </w:p>
        </w:tc>
        <w:tc>
          <w:tcPr>
            <w:tcW w:w="899" w:type="dxa"/>
            <w:shd w:val="clear" w:color="auto" w:fill="auto"/>
          </w:tcPr>
          <w:p w14:paraId="00A70E41" w14:textId="02F2A390" w:rsidR="00B72E65" w:rsidRDefault="00B72E65" w:rsidP="00B72E65">
            <w:pPr>
              <w:pStyle w:val="Tabletext"/>
              <w:jc w:val="right"/>
              <w:rPr>
                <w:lang w:val="en-US"/>
              </w:rPr>
            </w:pPr>
            <w:r w:rsidRPr="005C767D">
              <w:t xml:space="preserve">417 </w:t>
            </w:r>
          </w:p>
        </w:tc>
        <w:tc>
          <w:tcPr>
            <w:tcW w:w="899" w:type="dxa"/>
            <w:shd w:val="clear" w:color="auto" w:fill="auto"/>
          </w:tcPr>
          <w:p w14:paraId="23DA75C8" w14:textId="31798F80" w:rsidR="00B72E65" w:rsidRDefault="00B72E65" w:rsidP="00B72E65">
            <w:pPr>
              <w:pStyle w:val="Tabletext"/>
              <w:jc w:val="right"/>
              <w:rPr>
                <w:lang w:val="en-US"/>
              </w:rPr>
            </w:pPr>
            <w:r w:rsidRPr="005C767D">
              <w:t xml:space="preserve">42 </w:t>
            </w:r>
          </w:p>
        </w:tc>
        <w:tc>
          <w:tcPr>
            <w:tcW w:w="900" w:type="dxa"/>
            <w:shd w:val="clear" w:color="auto" w:fill="auto"/>
          </w:tcPr>
          <w:p w14:paraId="0EE54CE8" w14:textId="1F82E038" w:rsidR="00B72E65" w:rsidRDefault="00B72E65" w:rsidP="00B72E65">
            <w:pPr>
              <w:pStyle w:val="Tabletext"/>
              <w:jc w:val="right"/>
              <w:rPr>
                <w:lang w:val="en-US"/>
              </w:rPr>
            </w:pPr>
            <w:r w:rsidRPr="005C767D">
              <w:t xml:space="preserve">53 </w:t>
            </w:r>
          </w:p>
        </w:tc>
        <w:tc>
          <w:tcPr>
            <w:tcW w:w="900" w:type="dxa"/>
            <w:shd w:val="clear" w:color="auto" w:fill="auto"/>
          </w:tcPr>
          <w:p w14:paraId="0DC417B2" w14:textId="7AE09018" w:rsidR="00B72E65" w:rsidRDefault="00B72E65" w:rsidP="00B72E65">
            <w:pPr>
              <w:pStyle w:val="Tabletext"/>
              <w:jc w:val="right"/>
              <w:rPr>
                <w:lang w:val="en-US"/>
              </w:rPr>
            </w:pPr>
            <w:r w:rsidRPr="005C767D">
              <w:t xml:space="preserve">31 </w:t>
            </w:r>
          </w:p>
        </w:tc>
        <w:tc>
          <w:tcPr>
            <w:tcW w:w="900" w:type="dxa"/>
            <w:shd w:val="clear" w:color="auto" w:fill="auto"/>
          </w:tcPr>
          <w:p w14:paraId="36CDB45C" w14:textId="1404DB10" w:rsidR="00B72E65" w:rsidRDefault="00B72E65" w:rsidP="00B72E65">
            <w:pPr>
              <w:pStyle w:val="Tabletext"/>
              <w:jc w:val="right"/>
              <w:rPr>
                <w:lang w:val="en-US"/>
              </w:rPr>
            </w:pPr>
            <w:r w:rsidRPr="005C767D">
              <w:t xml:space="preserve">500 </w:t>
            </w:r>
          </w:p>
        </w:tc>
        <w:tc>
          <w:tcPr>
            <w:tcW w:w="900" w:type="dxa"/>
            <w:shd w:val="clear" w:color="auto" w:fill="auto"/>
          </w:tcPr>
          <w:p w14:paraId="0C8D0175" w14:textId="1954AF7C" w:rsidR="00B72E65" w:rsidRDefault="00B72E65" w:rsidP="00B72E65">
            <w:pPr>
              <w:pStyle w:val="Tabletext"/>
              <w:jc w:val="right"/>
              <w:rPr>
                <w:lang w:val="en-US"/>
              </w:rPr>
            </w:pPr>
            <w:r w:rsidRPr="005C767D">
              <w:t xml:space="preserve">209 </w:t>
            </w:r>
          </w:p>
        </w:tc>
        <w:tc>
          <w:tcPr>
            <w:tcW w:w="900" w:type="dxa"/>
            <w:shd w:val="clear" w:color="auto" w:fill="auto"/>
          </w:tcPr>
          <w:p w14:paraId="187DA100" w14:textId="60DCE423" w:rsidR="00B72E65" w:rsidRDefault="00B72E65" w:rsidP="00B72E65">
            <w:pPr>
              <w:pStyle w:val="Tabletext"/>
              <w:jc w:val="right"/>
              <w:rPr>
                <w:lang w:val="en-US"/>
              </w:rPr>
            </w:pPr>
            <w:r w:rsidRPr="005C767D">
              <w:t xml:space="preserve">5,515 </w:t>
            </w:r>
          </w:p>
        </w:tc>
      </w:tr>
      <w:tr w:rsidR="00B72E65" w14:paraId="3221F103" w14:textId="77777777" w:rsidTr="00B72E65">
        <w:trPr>
          <w:gridBefore w:val="1"/>
          <w:wBefore w:w="454" w:type="dxa"/>
        </w:trPr>
        <w:tc>
          <w:tcPr>
            <w:tcW w:w="900" w:type="dxa"/>
            <w:shd w:val="clear" w:color="auto" w:fill="auto"/>
          </w:tcPr>
          <w:p w14:paraId="6C163B3F" w14:textId="1529067B" w:rsidR="00B72E65" w:rsidRDefault="00B72E65" w:rsidP="00B72E65">
            <w:pPr>
              <w:pStyle w:val="Tabletext"/>
              <w:rPr>
                <w:lang w:val="en-US"/>
              </w:rPr>
            </w:pPr>
            <w:r w:rsidRPr="005C767D">
              <w:t>2014–15</w:t>
            </w:r>
          </w:p>
        </w:tc>
        <w:tc>
          <w:tcPr>
            <w:tcW w:w="900" w:type="dxa"/>
            <w:shd w:val="clear" w:color="auto" w:fill="auto"/>
          </w:tcPr>
          <w:p w14:paraId="2BEBD633" w14:textId="61EA6882" w:rsidR="00B72E65" w:rsidRDefault="00B72E65" w:rsidP="00B72E65">
            <w:pPr>
              <w:pStyle w:val="Tabletext"/>
              <w:jc w:val="right"/>
              <w:rPr>
                <w:lang w:val="en-US"/>
              </w:rPr>
            </w:pPr>
            <w:r w:rsidRPr="005C767D">
              <w:t xml:space="preserve">3,932 </w:t>
            </w:r>
          </w:p>
        </w:tc>
        <w:tc>
          <w:tcPr>
            <w:tcW w:w="900" w:type="dxa"/>
            <w:shd w:val="clear" w:color="auto" w:fill="auto"/>
          </w:tcPr>
          <w:p w14:paraId="1185352D" w14:textId="78B83C88" w:rsidR="00B72E65" w:rsidRDefault="00B72E65" w:rsidP="00B72E65">
            <w:pPr>
              <w:pStyle w:val="Tabletext"/>
              <w:jc w:val="right"/>
              <w:rPr>
                <w:lang w:val="en-US"/>
              </w:rPr>
            </w:pPr>
            <w:r w:rsidRPr="005C767D">
              <w:t xml:space="preserve">46 </w:t>
            </w:r>
          </w:p>
        </w:tc>
        <w:tc>
          <w:tcPr>
            <w:tcW w:w="900" w:type="dxa"/>
            <w:shd w:val="clear" w:color="auto" w:fill="auto"/>
          </w:tcPr>
          <w:p w14:paraId="3E55C03C" w14:textId="4EF73088" w:rsidR="00B72E65" w:rsidRDefault="00B72E65" w:rsidP="00B72E65">
            <w:pPr>
              <w:pStyle w:val="Tabletext"/>
              <w:jc w:val="right"/>
              <w:rPr>
                <w:lang w:val="en-US"/>
              </w:rPr>
            </w:pPr>
            <w:r w:rsidRPr="005C767D">
              <w:t xml:space="preserve">298 </w:t>
            </w:r>
          </w:p>
        </w:tc>
        <w:tc>
          <w:tcPr>
            <w:tcW w:w="899" w:type="dxa"/>
            <w:shd w:val="clear" w:color="auto" w:fill="auto"/>
          </w:tcPr>
          <w:p w14:paraId="7ABCA32C" w14:textId="7C0DA672" w:rsidR="00B72E65" w:rsidRDefault="00B72E65" w:rsidP="00B72E65">
            <w:pPr>
              <w:pStyle w:val="Tabletext"/>
              <w:jc w:val="right"/>
              <w:rPr>
                <w:lang w:val="en-US"/>
              </w:rPr>
            </w:pPr>
            <w:r w:rsidRPr="005C767D">
              <w:t xml:space="preserve">330 </w:t>
            </w:r>
          </w:p>
        </w:tc>
        <w:tc>
          <w:tcPr>
            <w:tcW w:w="899" w:type="dxa"/>
            <w:shd w:val="clear" w:color="auto" w:fill="auto"/>
          </w:tcPr>
          <w:p w14:paraId="31CCC5F9" w14:textId="32B769D6" w:rsidR="00B72E65" w:rsidRDefault="00B72E65" w:rsidP="00B72E65">
            <w:pPr>
              <w:pStyle w:val="Tabletext"/>
              <w:jc w:val="right"/>
              <w:rPr>
                <w:lang w:val="en-US"/>
              </w:rPr>
            </w:pPr>
            <w:r w:rsidRPr="005C767D">
              <w:t xml:space="preserve">69 </w:t>
            </w:r>
          </w:p>
        </w:tc>
        <w:tc>
          <w:tcPr>
            <w:tcW w:w="900" w:type="dxa"/>
            <w:shd w:val="clear" w:color="auto" w:fill="auto"/>
          </w:tcPr>
          <w:p w14:paraId="17D3A605" w14:textId="41640B7C" w:rsidR="00B72E65" w:rsidRDefault="00B72E65" w:rsidP="00B72E65">
            <w:pPr>
              <w:pStyle w:val="Tabletext"/>
              <w:jc w:val="right"/>
              <w:rPr>
                <w:lang w:val="en-US"/>
              </w:rPr>
            </w:pPr>
            <w:r w:rsidRPr="005C767D">
              <w:t xml:space="preserve">55 </w:t>
            </w:r>
          </w:p>
        </w:tc>
        <w:tc>
          <w:tcPr>
            <w:tcW w:w="900" w:type="dxa"/>
            <w:shd w:val="clear" w:color="auto" w:fill="auto"/>
          </w:tcPr>
          <w:p w14:paraId="2D94C903" w14:textId="36197E99" w:rsidR="00B72E65" w:rsidRDefault="00B72E65" w:rsidP="00B72E65">
            <w:pPr>
              <w:pStyle w:val="Tabletext"/>
              <w:jc w:val="right"/>
              <w:rPr>
                <w:lang w:val="en-US"/>
              </w:rPr>
            </w:pPr>
            <w:r w:rsidRPr="005C767D">
              <w:t xml:space="preserve">30 </w:t>
            </w:r>
          </w:p>
        </w:tc>
        <w:tc>
          <w:tcPr>
            <w:tcW w:w="900" w:type="dxa"/>
            <w:shd w:val="clear" w:color="auto" w:fill="auto"/>
          </w:tcPr>
          <w:p w14:paraId="3FF03E99" w14:textId="0B1A724D" w:rsidR="00B72E65" w:rsidRDefault="00B72E65" w:rsidP="00B72E65">
            <w:pPr>
              <w:pStyle w:val="Tabletext"/>
              <w:jc w:val="right"/>
              <w:rPr>
                <w:lang w:val="en-US"/>
              </w:rPr>
            </w:pPr>
            <w:r w:rsidRPr="005C767D">
              <w:t xml:space="preserve">496 </w:t>
            </w:r>
          </w:p>
        </w:tc>
        <w:tc>
          <w:tcPr>
            <w:tcW w:w="900" w:type="dxa"/>
            <w:shd w:val="clear" w:color="auto" w:fill="auto"/>
          </w:tcPr>
          <w:p w14:paraId="7E9E4A7F" w14:textId="109FA8BA" w:rsidR="00B72E65" w:rsidRDefault="00B72E65" w:rsidP="00B72E65">
            <w:pPr>
              <w:pStyle w:val="Tabletext"/>
              <w:jc w:val="right"/>
              <w:rPr>
                <w:lang w:val="en-US"/>
              </w:rPr>
            </w:pPr>
            <w:r w:rsidRPr="005C767D">
              <w:t xml:space="preserve">213 </w:t>
            </w:r>
          </w:p>
        </w:tc>
        <w:tc>
          <w:tcPr>
            <w:tcW w:w="900" w:type="dxa"/>
            <w:shd w:val="clear" w:color="auto" w:fill="auto"/>
          </w:tcPr>
          <w:p w14:paraId="199CDEF4" w14:textId="58189640" w:rsidR="00B72E65" w:rsidRDefault="00B72E65" w:rsidP="00B72E65">
            <w:pPr>
              <w:pStyle w:val="Tabletext"/>
              <w:jc w:val="right"/>
              <w:rPr>
                <w:lang w:val="en-US"/>
              </w:rPr>
            </w:pPr>
            <w:r w:rsidRPr="005C767D">
              <w:t xml:space="preserve">5,469 </w:t>
            </w:r>
          </w:p>
        </w:tc>
      </w:tr>
      <w:tr w:rsidR="00B72E65" w14:paraId="0D443CDD" w14:textId="77777777" w:rsidTr="00B72E65">
        <w:trPr>
          <w:gridBefore w:val="1"/>
          <w:wBefore w:w="454" w:type="dxa"/>
        </w:trPr>
        <w:tc>
          <w:tcPr>
            <w:tcW w:w="900" w:type="dxa"/>
            <w:shd w:val="clear" w:color="auto" w:fill="auto"/>
          </w:tcPr>
          <w:p w14:paraId="5B27C6AC" w14:textId="4248F54F" w:rsidR="00B72E65" w:rsidRDefault="00B72E65" w:rsidP="00B72E65">
            <w:pPr>
              <w:pStyle w:val="Tabletext"/>
              <w:rPr>
                <w:lang w:val="en-US"/>
              </w:rPr>
            </w:pPr>
            <w:r w:rsidRPr="005C767D">
              <w:t>2015–16</w:t>
            </w:r>
          </w:p>
        </w:tc>
        <w:tc>
          <w:tcPr>
            <w:tcW w:w="900" w:type="dxa"/>
            <w:shd w:val="clear" w:color="auto" w:fill="auto"/>
          </w:tcPr>
          <w:p w14:paraId="1FFD925F" w14:textId="03F7AC4C" w:rsidR="00B72E65" w:rsidRDefault="00B72E65" w:rsidP="00B72E65">
            <w:pPr>
              <w:pStyle w:val="Tabletext"/>
              <w:jc w:val="right"/>
              <w:rPr>
                <w:lang w:val="en-US"/>
              </w:rPr>
            </w:pPr>
            <w:r w:rsidRPr="005C767D">
              <w:t xml:space="preserve">3,965 </w:t>
            </w:r>
          </w:p>
        </w:tc>
        <w:tc>
          <w:tcPr>
            <w:tcW w:w="900" w:type="dxa"/>
            <w:shd w:val="clear" w:color="auto" w:fill="auto"/>
          </w:tcPr>
          <w:p w14:paraId="5DE510D7" w14:textId="4F9995DB" w:rsidR="00B72E65" w:rsidRDefault="00B72E65" w:rsidP="00B72E65">
            <w:pPr>
              <w:pStyle w:val="Tabletext"/>
              <w:jc w:val="right"/>
              <w:rPr>
                <w:lang w:val="en-US"/>
              </w:rPr>
            </w:pPr>
            <w:r w:rsidRPr="005C767D">
              <w:t xml:space="preserve">46 </w:t>
            </w:r>
          </w:p>
        </w:tc>
        <w:tc>
          <w:tcPr>
            <w:tcW w:w="900" w:type="dxa"/>
            <w:shd w:val="clear" w:color="auto" w:fill="auto"/>
          </w:tcPr>
          <w:p w14:paraId="37C3E923" w14:textId="5216DFE1" w:rsidR="00B72E65" w:rsidRDefault="00B72E65" w:rsidP="00B72E65">
            <w:pPr>
              <w:pStyle w:val="Tabletext"/>
              <w:jc w:val="right"/>
              <w:rPr>
                <w:lang w:val="en-US"/>
              </w:rPr>
            </w:pPr>
            <w:r w:rsidRPr="005C767D">
              <w:t xml:space="preserve">318 </w:t>
            </w:r>
          </w:p>
        </w:tc>
        <w:tc>
          <w:tcPr>
            <w:tcW w:w="899" w:type="dxa"/>
            <w:shd w:val="clear" w:color="auto" w:fill="auto"/>
          </w:tcPr>
          <w:p w14:paraId="71D3C62B" w14:textId="5297951A" w:rsidR="00B72E65" w:rsidRDefault="00B72E65" w:rsidP="00B72E65">
            <w:pPr>
              <w:pStyle w:val="Tabletext"/>
              <w:jc w:val="right"/>
              <w:rPr>
                <w:lang w:val="en-US"/>
              </w:rPr>
            </w:pPr>
            <w:r w:rsidRPr="005C767D">
              <w:t xml:space="preserve">270 </w:t>
            </w:r>
          </w:p>
        </w:tc>
        <w:tc>
          <w:tcPr>
            <w:tcW w:w="899" w:type="dxa"/>
            <w:shd w:val="clear" w:color="auto" w:fill="auto"/>
          </w:tcPr>
          <w:p w14:paraId="64665362" w14:textId="1C3FE289" w:rsidR="00B72E65" w:rsidRDefault="00B72E65" w:rsidP="00B72E65">
            <w:pPr>
              <w:pStyle w:val="Tabletext"/>
              <w:jc w:val="right"/>
              <w:rPr>
                <w:lang w:val="en-US"/>
              </w:rPr>
            </w:pPr>
            <w:r w:rsidRPr="005C767D">
              <w:t xml:space="preserve">105 </w:t>
            </w:r>
          </w:p>
        </w:tc>
        <w:tc>
          <w:tcPr>
            <w:tcW w:w="900" w:type="dxa"/>
            <w:shd w:val="clear" w:color="auto" w:fill="auto"/>
          </w:tcPr>
          <w:p w14:paraId="4499C8DE" w14:textId="59E25E4F" w:rsidR="00B72E65" w:rsidRDefault="00B72E65" w:rsidP="00B72E65">
            <w:pPr>
              <w:pStyle w:val="Tabletext"/>
              <w:jc w:val="right"/>
              <w:rPr>
                <w:lang w:val="en-US"/>
              </w:rPr>
            </w:pPr>
            <w:r w:rsidRPr="005C767D">
              <w:t xml:space="preserve">55 </w:t>
            </w:r>
          </w:p>
        </w:tc>
        <w:tc>
          <w:tcPr>
            <w:tcW w:w="900" w:type="dxa"/>
            <w:shd w:val="clear" w:color="auto" w:fill="auto"/>
          </w:tcPr>
          <w:p w14:paraId="5ABBC690" w14:textId="5C48F3E9" w:rsidR="00B72E65" w:rsidRDefault="00B72E65" w:rsidP="00B72E65">
            <w:pPr>
              <w:pStyle w:val="Tabletext"/>
              <w:jc w:val="right"/>
              <w:rPr>
                <w:lang w:val="en-US"/>
              </w:rPr>
            </w:pPr>
            <w:r w:rsidRPr="005C767D">
              <w:t xml:space="preserve">33 </w:t>
            </w:r>
          </w:p>
        </w:tc>
        <w:tc>
          <w:tcPr>
            <w:tcW w:w="900" w:type="dxa"/>
            <w:shd w:val="clear" w:color="auto" w:fill="auto"/>
          </w:tcPr>
          <w:p w14:paraId="70BD5AF3" w14:textId="75C20B1B" w:rsidR="00B72E65" w:rsidRDefault="00B72E65" w:rsidP="00B72E65">
            <w:pPr>
              <w:pStyle w:val="Tabletext"/>
              <w:jc w:val="right"/>
              <w:rPr>
                <w:lang w:val="en-US"/>
              </w:rPr>
            </w:pPr>
            <w:r w:rsidRPr="005C767D">
              <w:t xml:space="preserve">523 </w:t>
            </w:r>
          </w:p>
        </w:tc>
        <w:tc>
          <w:tcPr>
            <w:tcW w:w="900" w:type="dxa"/>
            <w:shd w:val="clear" w:color="auto" w:fill="auto"/>
          </w:tcPr>
          <w:p w14:paraId="2B5717E9" w14:textId="3031065E" w:rsidR="00B72E65" w:rsidRDefault="00B72E65" w:rsidP="00B72E65">
            <w:pPr>
              <w:pStyle w:val="Tabletext"/>
              <w:jc w:val="right"/>
              <w:rPr>
                <w:lang w:val="en-US"/>
              </w:rPr>
            </w:pPr>
            <w:r w:rsidRPr="005C767D">
              <w:t xml:space="preserve">222 </w:t>
            </w:r>
          </w:p>
        </w:tc>
        <w:tc>
          <w:tcPr>
            <w:tcW w:w="900" w:type="dxa"/>
            <w:shd w:val="clear" w:color="auto" w:fill="auto"/>
          </w:tcPr>
          <w:p w14:paraId="473D1465" w14:textId="63CE0BDA" w:rsidR="00B72E65" w:rsidRDefault="00B72E65" w:rsidP="00B72E65">
            <w:pPr>
              <w:pStyle w:val="Tabletext"/>
              <w:jc w:val="right"/>
              <w:rPr>
                <w:lang w:val="en-US"/>
              </w:rPr>
            </w:pPr>
            <w:r w:rsidRPr="005C767D">
              <w:t xml:space="preserve">5,537 </w:t>
            </w:r>
          </w:p>
        </w:tc>
      </w:tr>
      <w:tr w:rsidR="00B72E65" w14:paraId="7908FD21" w14:textId="77777777" w:rsidTr="00B72E65">
        <w:trPr>
          <w:gridBefore w:val="1"/>
          <w:wBefore w:w="454" w:type="dxa"/>
        </w:trPr>
        <w:tc>
          <w:tcPr>
            <w:tcW w:w="900" w:type="dxa"/>
            <w:shd w:val="clear" w:color="auto" w:fill="auto"/>
          </w:tcPr>
          <w:p w14:paraId="0DDF996B" w14:textId="72A9A3E0" w:rsidR="00B72E65" w:rsidRDefault="00B72E65" w:rsidP="00B72E65">
            <w:pPr>
              <w:pStyle w:val="Tabletext"/>
              <w:rPr>
                <w:lang w:val="en-US"/>
              </w:rPr>
            </w:pPr>
            <w:r w:rsidRPr="005C767D">
              <w:t>2016–17</w:t>
            </w:r>
          </w:p>
        </w:tc>
        <w:tc>
          <w:tcPr>
            <w:tcW w:w="900" w:type="dxa"/>
            <w:shd w:val="clear" w:color="auto" w:fill="auto"/>
          </w:tcPr>
          <w:p w14:paraId="560D5B03" w14:textId="7100C7FA" w:rsidR="00B72E65" w:rsidRDefault="00B72E65" w:rsidP="00B72E65">
            <w:pPr>
              <w:pStyle w:val="Tabletext"/>
              <w:jc w:val="right"/>
              <w:rPr>
                <w:lang w:val="en-US"/>
              </w:rPr>
            </w:pPr>
            <w:r w:rsidRPr="005C767D">
              <w:t xml:space="preserve">4,219 </w:t>
            </w:r>
          </w:p>
        </w:tc>
        <w:tc>
          <w:tcPr>
            <w:tcW w:w="900" w:type="dxa"/>
            <w:shd w:val="clear" w:color="auto" w:fill="auto"/>
          </w:tcPr>
          <w:p w14:paraId="59696452" w14:textId="4604A88C" w:rsidR="00B72E65" w:rsidRDefault="00B72E65" w:rsidP="00B72E65">
            <w:pPr>
              <w:pStyle w:val="Tabletext"/>
              <w:jc w:val="right"/>
              <w:rPr>
                <w:lang w:val="en-US"/>
              </w:rPr>
            </w:pPr>
            <w:r w:rsidRPr="005C767D">
              <w:t xml:space="preserve">55 </w:t>
            </w:r>
          </w:p>
        </w:tc>
        <w:tc>
          <w:tcPr>
            <w:tcW w:w="900" w:type="dxa"/>
            <w:shd w:val="clear" w:color="auto" w:fill="auto"/>
          </w:tcPr>
          <w:p w14:paraId="3B3A7CA6" w14:textId="3BC2DDE6" w:rsidR="00B72E65" w:rsidRDefault="00B72E65" w:rsidP="00B72E65">
            <w:pPr>
              <w:pStyle w:val="Tabletext"/>
              <w:jc w:val="right"/>
              <w:rPr>
                <w:lang w:val="en-US"/>
              </w:rPr>
            </w:pPr>
            <w:r w:rsidRPr="005C767D">
              <w:t xml:space="preserve">327 </w:t>
            </w:r>
          </w:p>
        </w:tc>
        <w:tc>
          <w:tcPr>
            <w:tcW w:w="899" w:type="dxa"/>
            <w:shd w:val="clear" w:color="auto" w:fill="auto"/>
          </w:tcPr>
          <w:p w14:paraId="4DCCC47F" w14:textId="3DC78EA1" w:rsidR="00B72E65" w:rsidRDefault="00B72E65" w:rsidP="00B72E65">
            <w:pPr>
              <w:pStyle w:val="Tabletext"/>
              <w:jc w:val="right"/>
              <w:rPr>
                <w:lang w:val="en-US"/>
              </w:rPr>
            </w:pPr>
            <w:r w:rsidRPr="005C767D">
              <w:t xml:space="preserve">282 </w:t>
            </w:r>
          </w:p>
        </w:tc>
        <w:tc>
          <w:tcPr>
            <w:tcW w:w="899" w:type="dxa"/>
            <w:shd w:val="clear" w:color="auto" w:fill="auto"/>
          </w:tcPr>
          <w:p w14:paraId="439B0DF5" w14:textId="2BB79AAB" w:rsidR="00B72E65" w:rsidRDefault="00B72E65" w:rsidP="00B72E65">
            <w:pPr>
              <w:pStyle w:val="Tabletext"/>
              <w:jc w:val="right"/>
              <w:rPr>
                <w:lang w:val="en-US"/>
              </w:rPr>
            </w:pPr>
            <w:r w:rsidRPr="005C767D">
              <w:t xml:space="preserve">132 </w:t>
            </w:r>
          </w:p>
        </w:tc>
        <w:tc>
          <w:tcPr>
            <w:tcW w:w="900" w:type="dxa"/>
            <w:shd w:val="clear" w:color="auto" w:fill="auto"/>
          </w:tcPr>
          <w:p w14:paraId="2E735755" w14:textId="3DB56657" w:rsidR="00B72E65" w:rsidRDefault="00B72E65" w:rsidP="00B72E65">
            <w:pPr>
              <w:pStyle w:val="Tabletext"/>
              <w:jc w:val="right"/>
              <w:rPr>
                <w:lang w:val="en-US"/>
              </w:rPr>
            </w:pPr>
            <w:r w:rsidRPr="005C767D">
              <w:t xml:space="preserve">54 </w:t>
            </w:r>
          </w:p>
        </w:tc>
        <w:tc>
          <w:tcPr>
            <w:tcW w:w="900" w:type="dxa"/>
            <w:shd w:val="clear" w:color="auto" w:fill="auto"/>
          </w:tcPr>
          <w:p w14:paraId="19EA1DDD" w14:textId="7323F7BC" w:rsidR="00B72E65" w:rsidRDefault="00B72E65" w:rsidP="00B72E65">
            <w:pPr>
              <w:pStyle w:val="Tabletext"/>
              <w:jc w:val="right"/>
              <w:rPr>
                <w:lang w:val="en-US"/>
              </w:rPr>
            </w:pPr>
            <w:r w:rsidRPr="005C767D">
              <w:t xml:space="preserve">35 </w:t>
            </w:r>
          </w:p>
        </w:tc>
        <w:tc>
          <w:tcPr>
            <w:tcW w:w="900" w:type="dxa"/>
            <w:shd w:val="clear" w:color="auto" w:fill="auto"/>
          </w:tcPr>
          <w:p w14:paraId="458873C9" w14:textId="45E3E939" w:rsidR="00B72E65" w:rsidRDefault="00B72E65" w:rsidP="00B72E65">
            <w:pPr>
              <w:pStyle w:val="Tabletext"/>
              <w:jc w:val="right"/>
              <w:rPr>
                <w:lang w:val="en-US"/>
              </w:rPr>
            </w:pPr>
            <w:r w:rsidRPr="005C767D">
              <w:t xml:space="preserve">522 </w:t>
            </w:r>
          </w:p>
        </w:tc>
        <w:tc>
          <w:tcPr>
            <w:tcW w:w="900" w:type="dxa"/>
            <w:shd w:val="clear" w:color="auto" w:fill="auto"/>
          </w:tcPr>
          <w:p w14:paraId="1ECED152" w14:textId="53770859" w:rsidR="00B72E65" w:rsidRDefault="00B72E65" w:rsidP="00B72E65">
            <w:pPr>
              <w:pStyle w:val="Tabletext"/>
              <w:jc w:val="right"/>
              <w:rPr>
                <w:lang w:val="en-US"/>
              </w:rPr>
            </w:pPr>
            <w:r w:rsidRPr="005C767D">
              <w:t xml:space="preserve">219 </w:t>
            </w:r>
          </w:p>
        </w:tc>
        <w:tc>
          <w:tcPr>
            <w:tcW w:w="900" w:type="dxa"/>
            <w:shd w:val="clear" w:color="auto" w:fill="auto"/>
          </w:tcPr>
          <w:p w14:paraId="7F40EE75" w14:textId="1888139A" w:rsidR="00B72E65" w:rsidRDefault="00B72E65" w:rsidP="00B72E65">
            <w:pPr>
              <w:pStyle w:val="Tabletext"/>
              <w:jc w:val="right"/>
              <w:rPr>
                <w:lang w:val="en-US"/>
              </w:rPr>
            </w:pPr>
            <w:r w:rsidRPr="005C767D">
              <w:t xml:space="preserve">5,845 </w:t>
            </w:r>
          </w:p>
        </w:tc>
      </w:tr>
      <w:tr w:rsidR="00B72E65" w14:paraId="580A2DAB" w14:textId="77777777" w:rsidTr="00877BDF">
        <w:trPr>
          <w:gridBefore w:val="1"/>
          <w:wBefore w:w="454" w:type="dxa"/>
        </w:trPr>
        <w:tc>
          <w:tcPr>
            <w:tcW w:w="9898" w:type="dxa"/>
            <w:gridSpan w:val="11"/>
            <w:tcBorders>
              <w:bottom w:val="single" w:sz="4" w:space="0" w:color="646464"/>
            </w:tcBorders>
            <w:shd w:val="clear" w:color="auto" w:fill="auto"/>
          </w:tcPr>
          <w:p w14:paraId="2B64E0A0" w14:textId="6A8B050D" w:rsidR="00B72E65" w:rsidRDefault="00B72E65" w:rsidP="00B72E65">
            <w:pPr>
              <w:pStyle w:val="Source"/>
              <w:rPr>
                <w:lang w:val="en-US"/>
              </w:rPr>
            </w:pPr>
            <w:r>
              <w:rPr>
                <w:lang w:val="en-US"/>
              </w:rPr>
              <w:t>Source: BITRE (2019), Australian Sea Freight 2016-17</w:t>
            </w:r>
            <w:r w:rsidR="007A6927">
              <w:rPr>
                <w:lang w:val="en-US"/>
              </w:rPr>
              <w:t>, Table 4.9</w:t>
            </w:r>
          </w:p>
        </w:tc>
      </w:tr>
      <w:tr w:rsidR="00B72E65" w14:paraId="460907E3" w14:textId="77777777" w:rsidTr="00B72E65">
        <w:trPr>
          <w:gridBefore w:val="1"/>
          <w:wBefore w:w="454" w:type="dxa"/>
          <w:trHeight w:hRule="exact" w:val="160"/>
        </w:trPr>
        <w:tc>
          <w:tcPr>
            <w:tcW w:w="9898" w:type="dxa"/>
            <w:gridSpan w:val="11"/>
            <w:tcBorders>
              <w:top w:val="single" w:sz="4" w:space="0" w:color="646464"/>
              <w:bottom w:val="nil"/>
            </w:tcBorders>
            <w:shd w:val="clear" w:color="auto" w:fill="auto"/>
          </w:tcPr>
          <w:p w14:paraId="6A9A8C66" w14:textId="77777777" w:rsidR="00B72E65" w:rsidRDefault="00B72E65" w:rsidP="00B72E65">
            <w:pPr>
              <w:pStyle w:val="spacer"/>
              <w:rPr>
                <w:lang w:val="en-US"/>
              </w:rPr>
            </w:pPr>
          </w:p>
        </w:tc>
      </w:tr>
    </w:tbl>
    <w:p w14:paraId="0BDCA9F2" w14:textId="331B4BCC" w:rsidR="00E158A2" w:rsidRDefault="00E158A2" w:rsidP="00462BFD">
      <w:pPr>
        <w:pStyle w:val="BodyText"/>
      </w:pPr>
      <w:r>
        <w:t>Nearly 27,000 domestic commercial vessels are Australian registered.</w:t>
      </w:r>
      <w:r>
        <w:rPr>
          <w:rStyle w:val="FootnoteReference"/>
        </w:rPr>
        <w:footnoteReference w:id="12"/>
      </w:r>
      <w:r>
        <w:t xml:space="preserve"> </w:t>
      </w:r>
      <w:r w:rsidRPr="00E158A2">
        <w:t xml:space="preserve">The requirement for DCVs 300 GT and over to hold wreck-related insurance would be a new cost for owners as they are unlikely to hold an insurance policy from P&amp;I Clubs and so will not already be covered. </w:t>
      </w:r>
      <w:r w:rsidR="0070035D" w:rsidRPr="0070035D">
        <w:t>However, it is estimated this requirement will impact 251 vessels out of the approximately 27,000 DCVs, representing 0.9% of the sector. It is expected that DCV owners would be able to pass on any additional costs to the public, the freight forwarder, or the charter party or will be able to recover any wreck recovery-related costs through their contracts with the operator</w:t>
      </w:r>
      <w:r>
        <w:t>.</w:t>
      </w:r>
      <w:r>
        <w:rPr>
          <w:rStyle w:val="FootnoteReference"/>
        </w:rPr>
        <w:footnoteReference w:id="13"/>
      </w:r>
    </w:p>
    <w:p w14:paraId="7BD701DF" w14:textId="77777777" w:rsidR="00684C69" w:rsidRDefault="00684C69" w:rsidP="00684C69">
      <w:pPr>
        <w:pStyle w:val="BodyText"/>
      </w:pPr>
      <w:r>
        <w:t>The wreck removal provisions in the Navigation Act 2012 cover:</w:t>
      </w:r>
    </w:p>
    <w:p w14:paraId="026FB855" w14:textId="77777777" w:rsidR="00684C69" w:rsidRDefault="00684C69" w:rsidP="00684C69">
      <w:pPr>
        <w:pStyle w:val="ListBullet"/>
      </w:pPr>
      <w:r>
        <w:t>Registered Australian Vessels – vessels registered and flagged to Australia (not include DCVs) in Territorial Sea and EEZ, and</w:t>
      </w:r>
    </w:p>
    <w:p w14:paraId="12FF5326" w14:textId="77777777" w:rsidR="00684C69" w:rsidRDefault="00684C69" w:rsidP="00684C69">
      <w:pPr>
        <w:pStyle w:val="ListBullet"/>
      </w:pPr>
      <w:r>
        <w:lastRenderedPageBreak/>
        <w:t>Foreign vessels – vessels flagged anywhere but Australia – in Territorial Sea.</w:t>
      </w:r>
    </w:p>
    <w:p w14:paraId="78128C52" w14:textId="77777777" w:rsidR="00EE20E3" w:rsidRDefault="00EE20E3" w:rsidP="00EE20E3">
      <w:pPr>
        <w:pStyle w:val="Heading2"/>
      </w:pPr>
      <w:bookmarkStart w:id="47" w:name="_Toc99543731"/>
      <w:r>
        <w:t>An overview of recent incidents</w:t>
      </w:r>
      <w:bookmarkEnd w:id="47"/>
    </w:p>
    <w:p w14:paraId="496ADAC3" w14:textId="4CB556F3" w:rsidR="00AB7468" w:rsidRDefault="00EE20E3" w:rsidP="00EE20E3">
      <w:pPr>
        <w:pStyle w:val="BodyText"/>
      </w:pPr>
      <w:r>
        <w:t xml:space="preserve">Wreck removal costs depend on the type of ship, tonnage of ship, age of ship, and location of the marine incident. The </w:t>
      </w:r>
      <w:r w:rsidR="0070035D">
        <w:t>wreck</w:t>
      </w:r>
      <w:r>
        <w:t xml:space="preserve"> incidents in Australian </w:t>
      </w:r>
      <w:r w:rsidR="00AB7468">
        <w:t>Territorial Sea</w:t>
      </w:r>
      <w:r>
        <w:t xml:space="preserve"> that have been handled by AMSA over the past five years are summarised in </w:t>
      </w:r>
      <w:r>
        <w:fldChar w:fldCharType="begin"/>
      </w:r>
      <w:r>
        <w:instrText xml:space="preserve"> REF _Ref73958717 \h </w:instrText>
      </w:r>
      <w:r>
        <w:fldChar w:fldCharType="separate"/>
      </w:r>
      <w:r w:rsidR="00966CD2" w:rsidRPr="005E0FAF">
        <w:rPr>
          <w:rStyle w:val="CaptionLabel"/>
        </w:rPr>
        <w:t>Table </w:t>
      </w:r>
      <w:r w:rsidR="00966CD2">
        <w:rPr>
          <w:rStyle w:val="CaptionLabel"/>
          <w:noProof/>
        </w:rPr>
        <w:t>3</w:t>
      </w:r>
      <w:r w:rsidR="00966CD2" w:rsidRPr="005E0FAF">
        <w:rPr>
          <w:rStyle w:val="CaptionLabel"/>
        </w:rPr>
        <w:t>.</w:t>
      </w:r>
      <w:r w:rsidR="00966CD2">
        <w:rPr>
          <w:rStyle w:val="CaptionLabel"/>
          <w:noProof/>
        </w:rPr>
        <w:t>5</w:t>
      </w:r>
      <w:r>
        <w:fldChar w:fldCharType="end"/>
      </w:r>
      <w:r>
        <w:t xml:space="preserve">. </w:t>
      </w:r>
      <w:r w:rsidR="0070035D" w:rsidRPr="0070035D">
        <w:t>On average, each incident costed AMSA around $20 million. Some of the noteworthy incidents include</w:t>
      </w:r>
      <w:r w:rsidR="0070035D">
        <w:t>:</w:t>
      </w:r>
    </w:p>
    <w:p w14:paraId="5F3F1DC4" w14:textId="4BE9E35F" w:rsidR="0070035D" w:rsidRDefault="0070035D" w:rsidP="0070035D">
      <w:pPr>
        <w:pStyle w:val="ListBullet"/>
      </w:pPr>
      <w:r>
        <w:t xml:space="preserve">A recent incident (25 June 2020) involved the loss of three shipping containers from the Liberian-flagged container ship, </w:t>
      </w:r>
      <w:r w:rsidRPr="0070035D">
        <w:rPr>
          <w:i/>
        </w:rPr>
        <w:t>Navios Unite</w:t>
      </w:r>
      <w:r>
        <w:t>. The ship reported losing the containers overboard in rough weather about 33km (18 nautical miles) southwest of Cape Leeuwin in Western Australia.</w:t>
      </w:r>
      <w:r>
        <w:rPr>
          <w:rStyle w:val="FootnoteReference"/>
        </w:rPr>
        <w:footnoteReference w:id="14"/>
      </w:r>
      <w:r>
        <w:t xml:space="preserve"> The costs of this incident is unknown.</w:t>
      </w:r>
    </w:p>
    <w:p w14:paraId="1365E09E" w14:textId="2842C8E8" w:rsidR="0070035D" w:rsidRDefault="0070035D" w:rsidP="0070035D">
      <w:pPr>
        <w:pStyle w:val="ListBullet"/>
      </w:pPr>
      <w:r>
        <w:t xml:space="preserve">The </w:t>
      </w:r>
      <w:r w:rsidRPr="0070035D">
        <w:rPr>
          <w:i/>
        </w:rPr>
        <w:t>APL England</w:t>
      </w:r>
      <w:r>
        <w:t xml:space="preserve"> lost 46 containers near Sydney and Southcoast in 24 May 2020. The ship is owned by APL Singapore, insured by Steamship Mutual, and operated by ANL. Steamship Mutual agreed to pay AMSA’s costs $22.5 million in responding to the incident.</w:t>
      </w:r>
      <w:r>
        <w:rPr>
          <w:rStyle w:val="FootnoteReference"/>
        </w:rPr>
        <w:footnoteReference w:id="15"/>
      </w:r>
    </w:p>
    <w:p w14:paraId="4666BCE7" w14:textId="546F2889" w:rsidR="0070035D" w:rsidRDefault="0070035D" w:rsidP="0070035D">
      <w:pPr>
        <w:pStyle w:val="ListBullet"/>
      </w:pPr>
      <w:r>
        <w:t xml:space="preserve">The loss of 91 shipping containers overboard from the </w:t>
      </w:r>
      <w:r w:rsidRPr="0070035D">
        <w:rPr>
          <w:i/>
        </w:rPr>
        <w:t>YM Efficiency</w:t>
      </w:r>
      <w:r>
        <w:t xml:space="preserve"> during heavy seas experienced southeast of Newcastle on 1 June 2018. The ship’s owners Yang Ming were deemed responsible for retrieving containers and meeting the costs of retrieving containers. However, Yang Ming disputed the extent of their obligations which resulted in AMSA stepping in to undertake locating, salvaging and disposing of containers. To date, AMSA has spent $17.7 million on the operation (comprising approximately $1 million survey cost, $16 million salvage and disposals cost, and $0.7 million in project management expenses). At the date of this report, 61 of the 83 containers lost overboard have been dealt with. AMSA intends to recover all costs associated with the clean-up from Yang Ming and their insurers Britannia P&amp;I and have begun legal proceedings to recover the $17.7 million spent to date plus a further $2.3 million as contingency for recovering the remaining missing containers.</w:t>
      </w:r>
      <w:r>
        <w:rPr>
          <w:rStyle w:val="FootnoteReference"/>
        </w:rPr>
        <w:footnoteReference w:id="16"/>
      </w:r>
      <w:r>
        <w:t xml:space="preserve">  While a successful result from these legal proceedings will confirm that AMSA has some of the additional powers that they would gain if Australia acceded to the Nairobi Convention, this process would have been easier if Australia had already acceded the Nairobi Convention.</w:t>
      </w:r>
    </w:p>
    <w:p w14:paraId="5362B252" w14:textId="29F25ED0" w:rsidR="0070035D" w:rsidRDefault="0070035D" w:rsidP="0070035D">
      <w:pPr>
        <w:pStyle w:val="ListBullet"/>
      </w:pPr>
      <w:r w:rsidRPr="0070035D">
        <w:rPr>
          <w:i/>
        </w:rPr>
        <w:t>MV Tycoon</w:t>
      </w:r>
      <w:r>
        <w:t xml:space="preserve"> was a cargo ship that was under management by Ocean Grow International Ship management, Kaohsiung, Taiwan. She was wrecked on 8 January 2012 after breaking her moorings and was pushed into the cliffs at Flying Fish Cove, Christmas Island and broke up, spilling oil and phosphate into the sea. The owner abandoned any attempts to salvage the vessel, forcing the Australian Government to step in and foot the $5 million bill for her removal and remediation of the site. The Government then pursued the owners for clean-up costs. The data on legal costs is unavailable from AMSA, however they could be higher than the clean-up costs.</w:t>
      </w:r>
    </w:p>
    <w:p w14:paraId="1C58BEBC" w14:textId="24E663EE" w:rsidR="00EE20E3" w:rsidRDefault="00EE20E3" w:rsidP="00EE20E3">
      <w:pPr>
        <w:pStyle w:val="Caption"/>
      </w:pPr>
      <w:bookmarkStart w:id="48" w:name="_Ref73958717"/>
      <w:bookmarkStart w:id="49" w:name="_Toc99543756"/>
      <w:r w:rsidRPr="005E0FAF">
        <w:rPr>
          <w:rStyle w:val="CaptionLabel"/>
        </w:rPr>
        <w:t>Table </w:t>
      </w:r>
      <w:r w:rsidRPr="005E0FAF">
        <w:rPr>
          <w:rStyle w:val="CaptionLabel"/>
        </w:rPr>
        <w:fldChar w:fldCharType="begin"/>
      </w:r>
      <w:r w:rsidRPr="005E0FAF">
        <w:rPr>
          <w:rStyle w:val="CaptionLabel"/>
        </w:rPr>
        <w:instrText xml:space="preserve"> STYLEREF 1 \S \* MERGEFORMAT </w:instrText>
      </w:r>
      <w:r w:rsidRPr="005E0FAF">
        <w:rPr>
          <w:rStyle w:val="CaptionLabel"/>
        </w:rPr>
        <w:fldChar w:fldCharType="separate"/>
      </w:r>
      <w:r w:rsidR="00966CD2">
        <w:rPr>
          <w:rStyle w:val="CaptionLabel"/>
          <w:noProof/>
        </w:rPr>
        <w:t>3</w:t>
      </w:r>
      <w:r w:rsidRPr="005E0FAF">
        <w:rPr>
          <w:rStyle w:val="CaptionLabel"/>
        </w:rPr>
        <w:fldChar w:fldCharType="end"/>
      </w:r>
      <w:r w:rsidRPr="005E0FAF">
        <w:rPr>
          <w:rStyle w:val="CaptionLabel"/>
        </w:rPr>
        <w:t>.</w:t>
      </w:r>
      <w:r w:rsidRPr="005E0FAF">
        <w:rPr>
          <w:rStyle w:val="CaptionLabel"/>
        </w:rPr>
        <w:fldChar w:fldCharType="begin"/>
      </w:r>
      <w:r w:rsidRPr="005E0FAF">
        <w:rPr>
          <w:rStyle w:val="CaptionLabel"/>
        </w:rPr>
        <w:instrText xml:space="preserve"> SEQ Table \* ARABIC \S 1 \* MERGEFORMAT </w:instrText>
      </w:r>
      <w:r w:rsidRPr="005E0FAF">
        <w:rPr>
          <w:rStyle w:val="CaptionLabel"/>
        </w:rPr>
        <w:fldChar w:fldCharType="separate"/>
      </w:r>
      <w:r w:rsidR="00966CD2">
        <w:rPr>
          <w:rStyle w:val="CaptionLabel"/>
          <w:noProof/>
        </w:rPr>
        <w:t>5</w:t>
      </w:r>
      <w:r w:rsidRPr="005E0FAF">
        <w:rPr>
          <w:rStyle w:val="CaptionLabel"/>
        </w:rPr>
        <w:fldChar w:fldCharType="end"/>
      </w:r>
      <w:bookmarkEnd w:id="48"/>
      <w:r>
        <w:tab/>
        <w:t>Some recent shipwreck incidents in Australian territorial waters and costs</w:t>
      </w:r>
      <w:bookmarkEnd w:id="49"/>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993"/>
        <w:gridCol w:w="1273"/>
        <w:gridCol w:w="1136"/>
        <w:gridCol w:w="1418"/>
        <w:gridCol w:w="992"/>
        <w:gridCol w:w="1134"/>
        <w:gridCol w:w="990"/>
      </w:tblGrid>
      <w:tr w:rsidR="00EE20E3" w14:paraId="2D884BBC" w14:textId="77777777" w:rsidTr="00812BF6">
        <w:trPr>
          <w:tblHeader/>
        </w:trPr>
        <w:tc>
          <w:tcPr>
            <w:tcW w:w="1447" w:type="dxa"/>
            <w:gridSpan w:val="2"/>
            <w:tcBorders>
              <w:top w:val="nil"/>
              <w:bottom w:val="nil"/>
            </w:tcBorders>
            <w:shd w:val="clear" w:color="auto" w:fill="140034"/>
            <w:tcMar>
              <w:left w:w="454" w:type="dxa"/>
            </w:tcMar>
          </w:tcPr>
          <w:p w14:paraId="1399F835" w14:textId="77777777" w:rsidR="00EE20E3" w:rsidRDefault="00EE20E3" w:rsidP="00877BDF">
            <w:pPr>
              <w:pStyle w:val="Tablecolumnheadings"/>
            </w:pPr>
            <w:r>
              <w:t>Date/no</w:t>
            </w:r>
          </w:p>
        </w:tc>
        <w:tc>
          <w:tcPr>
            <w:tcW w:w="1273" w:type="dxa"/>
            <w:tcBorders>
              <w:top w:val="nil"/>
              <w:bottom w:val="nil"/>
            </w:tcBorders>
            <w:shd w:val="clear" w:color="auto" w:fill="140034"/>
          </w:tcPr>
          <w:p w14:paraId="14D3CECA" w14:textId="77777777" w:rsidR="00EE20E3" w:rsidRDefault="00EE20E3" w:rsidP="00877BDF">
            <w:pPr>
              <w:pStyle w:val="Tablecolumnheadings"/>
            </w:pPr>
            <w:r>
              <w:t>Name</w:t>
            </w:r>
          </w:p>
        </w:tc>
        <w:tc>
          <w:tcPr>
            <w:tcW w:w="1136" w:type="dxa"/>
            <w:tcBorders>
              <w:top w:val="nil"/>
              <w:bottom w:val="nil"/>
            </w:tcBorders>
            <w:shd w:val="clear" w:color="auto" w:fill="140034"/>
          </w:tcPr>
          <w:p w14:paraId="1CB0E471" w14:textId="77777777" w:rsidR="00EE20E3" w:rsidRDefault="00EE20E3" w:rsidP="00877BDF">
            <w:pPr>
              <w:pStyle w:val="Tablecolumnheadings"/>
            </w:pPr>
            <w:r>
              <w:t>Incident type</w:t>
            </w:r>
          </w:p>
        </w:tc>
        <w:tc>
          <w:tcPr>
            <w:tcW w:w="1418" w:type="dxa"/>
            <w:tcBorders>
              <w:top w:val="nil"/>
              <w:bottom w:val="nil"/>
            </w:tcBorders>
            <w:shd w:val="clear" w:color="auto" w:fill="140034"/>
          </w:tcPr>
          <w:p w14:paraId="49387A59" w14:textId="77777777" w:rsidR="00EE20E3" w:rsidRDefault="00EE20E3" w:rsidP="00877BDF">
            <w:pPr>
              <w:pStyle w:val="Tablecolumnheadings"/>
            </w:pPr>
            <w:r>
              <w:t>Description</w:t>
            </w:r>
          </w:p>
        </w:tc>
        <w:tc>
          <w:tcPr>
            <w:tcW w:w="992" w:type="dxa"/>
            <w:tcBorders>
              <w:top w:val="nil"/>
              <w:bottom w:val="nil"/>
            </w:tcBorders>
            <w:shd w:val="clear" w:color="auto" w:fill="140034"/>
          </w:tcPr>
          <w:p w14:paraId="16BA841F" w14:textId="77777777" w:rsidR="00EE20E3" w:rsidRDefault="00EE20E3" w:rsidP="00877BDF">
            <w:pPr>
              <w:pStyle w:val="Tablecolumnheadings"/>
            </w:pPr>
            <w:r>
              <w:t>Latitude</w:t>
            </w:r>
          </w:p>
        </w:tc>
        <w:tc>
          <w:tcPr>
            <w:tcW w:w="1134" w:type="dxa"/>
            <w:tcBorders>
              <w:top w:val="nil"/>
              <w:bottom w:val="nil"/>
            </w:tcBorders>
            <w:shd w:val="clear" w:color="auto" w:fill="140034"/>
          </w:tcPr>
          <w:p w14:paraId="0C6B604C" w14:textId="77777777" w:rsidR="00EE20E3" w:rsidRDefault="00EE20E3" w:rsidP="00877BDF">
            <w:pPr>
              <w:pStyle w:val="Tablecolumnheadings"/>
            </w:pPr>
            <w:r>
              <w:t>Longitude</w:t>
            </w:r>
          </w:p>
        </w:tc>
        <w:tc>
          <w:tcPr>
            <w:tcW w:w="990" w:type="dxa"/>
            <w:tcBorders>
              <w:top w:val="nil"/>
              <w:bottom w:val="nil"/>
              <w:right w:val="single" w:sz="6" w:space="0" w:color="140034"/>
            </w:tcBorders>
            <w:shd w:val="clear" w:color="auto" w:fill="140034"/>
          </w:tcPr>
          <w:p w14:paraId="0E59FE95" w14:textId="77777777" w:rsidR="00EE20E3" w:rsidRDefault="00EE20E3" w:rsidP="00812BF6">
            <w:pPr>
              <w:pStyle w:val="Tablecolumnheadings"/>
              <w:jc w:val="right"/>
            </w:pPr>
            <w:r>
              <w:t>Costs ($m)</w:t>
            </w:r>
          </w:p>
        </w:tc>
      </w:tr>
      <w:tr w:rsidR="00EE20E3" w14:paraId="710EE9F5" w14:textId="77777777" w:rsidTr="00812BF6">
        <w:trPr>
          <w:gridBefore w:val="1"/>
          <w:wBefore w:w="454" w:type="dxa"/>
        </w:trPr>
        <w:tc>
          <w:tcPr>
            <w:tcW w:w="993" w:type="dxa"/>
            <w:tcBorders>
              <w:top w:val="nil"/>
            </w:tcBorders>
            <w:shd w:val="clear" w:color="auto" w:fill="auto"/>
          </w:tcPr>
          <w:p w14:paraId="60CE2836" w14:textId="77777777" w:rsidR="00EE20E3" w:rsidRDefault="00EE20E3" w:rsidP="00877BDF">
            <w:pPr>
              <w:pStyle w:val="Tabletext"/>
            </w:pPr>
            <w:r w:rsidRPr="009A06E5">
              <w:t>#</w:t>
            </w:r>
          </w:p>
        </w:tc>
        <w:tc>
          <w:tcPr>
            <w:tcW w:w="1273" w:type="dxa"/>
            <w:tcBorders>
              <w:top w:val="nil"/>
            </w:tcBorders>
            <w:shd w:val="clear" w:color="auto" w:fill="auto"/>
          </w:tcPr>
          <w:p w14:paraId="5FE9934E" w14:textId="77777777" w:rsidR="00EE20E3" w:rsidRDefault="00EE20E3" w:rsidP="00877BDF">
            <w:pPr>
              <w:pStyle w:val="Tabletext"/>
            </w:pPr>
            <w:r w:rsidRPr="009A06E5">
              <w:t>FV Sensation</w:t>
            </w:r>
          </w:p>
        </w:tc>
        <w:tc>
          <w:tcPr>
            <w:tcW w:w="1136" w:type="dxa"/>
            <w:tcBorders>
              <w:top w:val="nil"/>
            </w:tcBorders>
            <w:shd w:val="clear" w:color="auto" w:fill="auto"/>
          </w:tcPr>
          <w:p w14:paraId="1EC50290" w14:textId="77777777" w:rsidR="00EE20E3" w:rsidRDefault="00EE20E3" w:rsidP="00877BDF">
            <w:pPr>
              <w:pStyle w:val="Tabletext"/>
            </w:pPr>
            <w:r w:rsidRPr="009A06E5">
              <w:t>Vessel Sunk</w:t>
            </w:r>
          </w:p>
        </w:tc>
        <w:tc>
          <w:tcPr>
            <w:tcW w:w="1418" w:type="dxa"/>
            <w:tcBorders>
              <w:top w:val="nil"/>
            </w:tcBorders>
            <w:shd w:val="clear" w:color="auto" w:fill="auto"/>
          </w:tcPr>
          <w:p w14:paraId="06FFFF05" w14:textId="77777777" w:rsidR="00EE20E3" w:rsidRDefault="00EE20E3" w:rsidP="00877BDF">
            <w:pPr>
              <w:pStyle w:val="Tabletext"/>
            </w:pPr>
            <w:r w:rsidRPr="009A06E5">
              <w:t>24m Fishing Vessel</w:t>
            </w:r>
          </w:p>
        </w:tc>
        <w:tc>
          <w:tcPr>
            <w:tcW w:w="992" w:type="dxa"/>
            <w:tcBorders>
              <w:top w:val="nil"/>
            </w:tcBorders>
            <w:shd w:val="clear" w:color="auto" w:fill="auto"/>
          </w:tcPr>
          <w:p w14:paraId="25E718D7" w14:textId="77777777" w:rsidR="00EE20E3" w:rsidRDefault="00EE20E3" w:rsidP="00877BDF">
            <w:pPr>
              <w:pStyle w:val="Tabletext"/>
            </w:pPr>
            <w:r w:rsidRPr="009A06E5">
              <w:t>34 36.20' S</w:t>
            </w:r>
          </w:p>
        </w:tc>
        <w:tc>
          <w:tcPr>
            <w:tcW w:w="1134" w:type="dxa"/>
            <w:tcBorders>
              <w:top w:val="nil"/>
            </w:tcBorders>
            <w:shd w:val="clear" w:color="auto" w:fill="auto"/>
          </w:tcPr>
          <w:p w14:paraId="2DB0C886" w14:textId="77777777" w:rsidR="00EE20E3" w:rsidRDefault="00EE20E3" w:rsidP="00877BDF">
            <w:pPr>
              <w:pStyle w:val="Tabletext"/>
            </w:pPr>
            <w:r w:rsidRPr="009A06E5">
              <w:t>151 11.00' E</w:t>
            </w:r>
          </w:p>
        </w:tc>
        <w:tc>
          <w:tcPr>
            <w:tcW w:w="990" w:type="dxa"/>
            <w:tcBorders>
              <w:top w:val="nil"/>
            </w:tcBorders>
            <w:shd w:val="clear" w:color="auto" w:fill="auto"/>
          </w:tcPr>
          <w:p w14:paraId="72097D0A" w14:textId="77777777" w:rsidR="00EE20E3" w:rsidRDefault="00EE20E3" w:rsidP="00812BF6">
            <w:pPr>
              <w:pStyle w:val="Tabletext"/>
              <w:jc w:val="right"/>
            </w:pPr>
          </w:p>
        </w:tc>
      </w:tr>
      <w:tr w:rsidR="00EE20E3" w14:paraId="052D02B8" w14:textId="77777777" w:rsidTr="00812BF6">
        <w:trPr>
          <w:gridBefore w:val="1"/>
          <w:wBefore w:w="454" w:type="dxa"/>
        </w:trPr>
        <w:tc>
          <w:tcPr>
            <w:tcW w:w="993" w:type="dxa"/>
            <w:shd w:val="clear" w:color="auto" w:fill="auto"/>
          </w:tcPr>
          <w:p w14:paraId="6432499F" w14:textId="77777777" w:rsidR="00EE20E3" w:rsidRDefault="00EE20E3" w:rsidP="00877BDF">
            <w:pPr>
              <w:pStyle w:val="Tabletext"/>
            </w:pPr>
            <w:r w:rsidRPr="009A06E5">
              <w:t>2020/4016</w:t>
            </w:r>
          </w:p>
        </w:tc>
        <w:tc>
          <w:tcPr>
            <w:tcW w:w="1273" w:type="dxa"/>
            <w:shd w:val="clear" w:color="auto" w:fill="auto"/>
          </w:tcPr>
          <w:p w14:paraId="783F4F12" w14:textId="77777777" w:rsidR="00EE20E3" w:rsidRDefault="00EE20E3" w:rsidP="00877BDF">
            <w:pPr>
              <w:pStyle w:val="Tabletext"/>
            </w:pPr>
            <w:r w:rsidRPr="009A06E5">
              <w:t>MV Navios Unite</w:t>
            </w:r>
          </w:p>
        </w:tc>
        <w:tc>
          <w:tcPr>
            <w:tcW w:w="1136" w:type="dxa"/>
            <w:shd w:val="clear" w:color="auto" w:fill="auto"/>
          </w:tcPr>
          <w:p w14:paraId="2FC95E7A" w14:textId="77777777" w:rsidR="00EE20E3" w:rsidRDefault="00EE20E3" w:rsidP="00877BDF">
            <w:pPr>
              <w:pStyle w:val="Tabletext"/>
            </w:pPr>
            <w:r w:rsidRPr="009A06E5">
              <w:t xml:space="preserve">3 Containers Lost </w:t>
            </w:r>
          </w:p>
        </w:tc>
        <w:tc>
          <w:tcPr>
            <w:tcW w:w="1418" w:type="dxa"/>
            <w:shd w:val="clear" w:color="auto" w:fill="auto"/>
          </w:tcPr>
          <w:p w14:paraId="5B3A2863" w14:textId="77777777" w:rsidR="00EE20E3" w:rsidRDefault="00EE20E3" w:rsidP="00877BDF">
            <w:pPr>
              <w:pStyle w:val="Tabletext"/>
            </w:pPr>
            <w:r w:rsidRPr="009A06E5">
              <w:t>335m Container Vessel</w:t>
            </w:r>
          </w:p>
        </w:tc>
        <w:tc>
          <w:tcPr>
            <w:tcW w:w="992" w:type="dxa"/>
            <w:shd w:val="clear" w:color="auto" w:fill="auto"/>
          </w:tcPr>
          <w:p w14:paraId="612C5566" w14:textId="77777777" w:rsidR="00EE20E3" w:rsidRDefault="00EE20E3" w:rsidP="00877BDF">
            <w:pPr>
              <w:pStyle w:val="Tabletext"/>
            </w:pPr>
            <w:r w:rsidRPr="009A06E5">
              <w:t>35 32.04` S</w:t>
            </w:r>
          </w:p>
        </w:tc>
        <w:tc>
          <w:tcPr>
            <w:tcW w:w="1134" w:type="dxa"/>
            <w:shd w:val="clear" w:color="auto" w:fill="auto"/>
          </w:tcPr>
          <w:p w14:paraId="7CD5186C" w14:textId="77777777" w:rsidR="00EE20E3" w:rsidRDefault="00EE20E3" w:rsidP="00877BDF">
            <w:pPr>
              <w:pStyle w:val="Tabletext"/>
            </w:pPr>
            <w:r w:rsidRPr="009A06E5">
              <w:t>116 31.12` E</w:t>
            </w:r>
          </w:p>
        </w:tc>
        <w:tc>
          <w:tcPr>
            <w:tcW w:w="990" w:type="dxa"/>
            <w:shd w:val="clear" w:color="auto" w:fill="auto"/>
          </w:tcPr>
          <w:p w14:paraId="1616D66E" w14:textId="77777777" w:rsidR="00EE20E3" w:rsidRDefault="00EE20E3" w:rsidP="00812BF6">
            <w:pPr>
              <w:pStyle w:val="Tabletext"/>
              <w:jc w:val="right"/>
            </w:pPr>
            <w:r>
              <w:t>17</w:t>
            </w:r>
          </w:p>
        </w:tc>
      </w:tr>
      <w:tr w:rsidR="00EE20E3" w14:paraId="3AA18672" w14:textId="77777777" w:rsidTr="00812BF6">
        <w:trPr>
          <w:gridBefore w:val="1"/>
          <w:wBefore w:w="454" w:type="dxa"/>
        </w:trPr>
        <w:tc>
          <w:tcPr>
            <w:tcW w:w="993" w:type="dxa"/>
            <w:shd w:val="clear" w:color="auto" w:fill="auto"/>
          </w:tcPr>
          <w:p w14:paraId="2ACE0EA2" w14:textId="77777777" w:rsidR="00EE20E3" w:rsidRDefault="00EE20E3" w:rsidP="00877BDF">
            <w:pPr>
              <w:pStyle w:val="Tabletext"/>
            </w:pPr>
            <w:r w:rsidRPr="009A06E5">
              <w:lastRenderedPageBreak/>
              <w:t>2020/3331</w:t>
            </w:r>
          </w:p>
        </w:tc>
        <w:tc>
          <w:tcPr>
            <w:tcW w:w="1273" w:type="dxa"/>
            <w:shd w:val="clear" w:color="auto" w:fill="auto"/>
          </w:tcPr>
          <w:p w14:paraId="3E1422C3" w14:textId="77777777" w:rsidR="00EE20E3" w:rsidRDefault="00EE20E3" w:rsidP="00877BDF">
            <w:pPr>
              <w:pStyle w:val="Tabletext"/>
            </w:pPr>
            <w:r w:rsidRPr="009A06E5">
              <w:t>MV APL England</w:t>
            </w:r>
          </w:p>
        </w:tc>
        <w:tc>
          <w:tcPr>
            <w:tcW w:w="1136" w:type="dxa"/>
            <w:shd w:val="clear" w:color="auto" w:fill="auto"/>
          </w:tcPr>
          <w:p w14:paraId="25865860" w14:textId="77777777" w:rsidR="00EE20E3" w:rsidRDefault="00EE20E3" w:rsidP="00877BDF">
            <w:pPr>
              <w:pStyle w:val="Tabletext"/>
            </w:pPr>
            <w:r w:rsidRPr="009A06E5">
              <w:t xml:space="preserve">46 Containers Lost </w:t>
            </w:r>
          </w:p>
        </w:tc>
        <w:tc>
          <w:tcPr>
            <w:tcW w:w="1418" w:type="dxa"/>
            <w:shd w:val="clear" w:color="auto" w:fill="auto"/>
          </w:tcPr>
          <w:p w14:paraId="2DF923EE" w14:textId="77777777" w:rsidR="00EE20E3" w:rsidRDefault="00EE20E3" w:rsidP="00877BDF">
            <w:pPr>
              <w:pStyle w:val="Tabletext"/>
            </w:pPr>
            <w:r w:rsidRPr="009A06E5">
              <w:t>278m Container Vessel</w:t>
            </w:r>
          </w:p>
        </w:tc>
        <w:tc>
          <w:tcPr>
            <w:tcW w:w="992" w:type="dxa"/>
            <w:shd w:val="clear" w:color="auto" w:fill="auto"/>
          </w:tcPr>
          <w:p w14:paraId="49E43F1F" w14:textId="77777777" w:rsidR="00EE20E3" w:rsidRDefault="00EE20E3" w:rsidP="00877BDF">
            <w:pPr>
              <w:pStyle w:val="Tabletext"/>
            </w:pPr>
            <w:r w:rsidRPr="009A06E5">
              <w:t>33 36.10` S</w:t>
            </w:r>
          </w:p>
        </w:tc>
        <w:tc>
          <w:tcPr>
            <w:tcW w:w="1134" w:type="dxa"/>
            <w:shd w:val="clear" w:color="auto" w:fill="auto"/>
          </w:tcPr>
          <w:p w14:paraId="5456640C" w14:textId="77777777" w:rsidR="00EE20E3" w:rsidRDefault="00EE20E3" w:rsidP="00877BDF">
            <w:pPr>
              <w:pStyle w:val="Tabletext"/>
            </w:pPr>
            <w:r w:rsidRPr="009A06E5">
              <w:t>152 08.06` E</w:t>
            </w:r>
          </w:p>
        </w:tc>
        <w:tc>
          <w:tcPr>
            <w:tcW w:w="990" w:type="dxa"/>
            <w:shd w:val="clear" w:color="auto" w:fill="auto"/>
          </w:tcPr>
          <w:p w14:paraId="11490DC2" w14:textId="77777777" w:rsidR="00EE20E3" w:rsidRDefault="00EE20E3" w:rsidP="00812BF6">
            <w:pPr>
              <w:pStyle w:val="Tabletext"/>
              <w:jc w:val="right"/>
            </w:pPr>
            <w:r w:rsidRPr="009A06E5">
              <w:t>22</w:t>
            </w:r>
            <w:r>
              <w:t>.5</w:t>
            </w:r>
          </w:p>
        </w:tc>
      </w:tr>
      <w:tr w:rsidR="00EE20E3" w14:paraId="43D73FA9" w14:textId="77777777" w:rsidTr="00812BF6">
        <w:trPr>
          <w:gridBefore w:val="1"/>
          <w:wBefore w:w="454" w:type="dxa"/>
        </w:trPr>
        <w:tc>
          <w:tcPr>
            <w:tcW w:w="993" w:type="dxa"/>
            <w:shd w:val="clear" w:color="auto" w:fill="auto"/>
          </w:tcPr>
          <w:p w14:paraId="61AF9B61" w14:textId="77777777" w:rsidR="00EE20E3" w:rsidRDefault="00EE20E3" w:rsidP="00877BDF">
            <w:pPr>
              <w:pStyle w:val="Tabletext"/>
            </w:pPr>
            <w:r w:rsidRPr="009A06E5">
              <w:t>2018/3781</w:t>
            </w:r>
          </w:p>
        </w:tc>
        <w:tc>
          <w:tcPr>
            <w:tcW w:w="1273" w:type="dxa"/>
            <w:shd w:val="clear" w:color="auto" w:fill="auto"/>
          </w:tcPr>
          <w:p w14:paraId="28E8BB85" w14:textId="77777777" w:rsidR="00EE20E3" w:rsidRDefault="00EE20E3" w:rsidP="00877BDF">
            <w:pPr>
              <w:pStyle w:val="Tabletext"/>
            </w:pPr>
            <w:r w:rsidRPr="009A06E5">
              <w:t>MV YM Efficiency</w:t>
            </w:r>
          </w:p>
        </w:tc>
        <w:tc>
          <w:tcPr>
            <w:tcW w:w="1136" w:type="dxa"/>
            <w:shd w:val="clear" w:color="auto" w:fill="auto"/>
          </w:tcPr>
          <w:p w14:paraId="036EAAA5" w14:textId="77777777" w:rsidR="00EE20E3" w:rsidRDefault="00EE20E3" w:rsidP="00877BDF">
            <w:pPr>
              <w:pStyle w:val="Tabletext"/>
            </w:pPr>
            <w:r w:rsidRPr="009A06E5">
              <w:t xml:space="preserve">83 Containers Lost </w:t>
            </w:r>
          </w:p>
        </w:tc>
        <w:tc>
          <w:tcPr>
            <w:tcW w:w="1418" w:type="dxa"/>
            <w:shd w:val="clear" w:color="auto" w:fill="auto"/>
          </w:tcPr>
          <w:p w14:paraId="479540CD" w14:textId="77777777" w:rsidR="00EE20E3" w:rsidRDefault="00EE20E3" w:rsidP="00877BDF">
            <w:pPr>
              <w:pStyle w:val="Tabletext"/>
            </w:pPr>
            <w:r w:rsidRPr="009A06E5">
              <w:t>269m Container Vessel</w:t>
            </w:r>
          </w:p>
        </w:tc>
        <w:tc>
          <w:tcPr>
            <w:tcW w:w="992" w:type="dxa"/>
            <w:shd w:val="clear" w:color="auto" w:fill="auto"/>
          </w:tcPr>
          <w:p w14:paraId="43E3CF8A" w14:textId="77777777" w:rsidR="00EE20E3" w:rsidRDefault="00EE20E3" w:rsidP="00877BDF">
            <w:pPr>
              <w:pStyle w:val="Tabletext"/>
            </w:pPr>
            <w:r w:rsidRPr="009A06E5">
              <w:t>151.2185 S</w:t>
            </w:r>
          </w:p>
        </w:tc>
        <w:tc>
          <w:tcPr>
            <w:tcW w:w="1134" w:type="dxa"/>
            <w:shd w:val="clear" w:color="auto" w:fill="auto"/>
          </w:tcPr>
          <w:p w14:paraId="159DBD86" w14:textId="77777777" w:rsidR="00EE20E3" w:rsidRDefault="00EE20E3" w:rsidP="00877BDF">
            <w:pPr>
              <w:pStyle w:val="Tabletext"/>
            </w:pPr>
            <w:r w:rsidRPr="009A06E5">
              <w:t>33.969667 E</w:t>
            </w:r>
          </w:p>
        </w:tc>
        <w:tc>
          <w:tcPr>
            <w:tcW w:w="990" w:type="dxa"/>
            <w:shd w:val="clear" w:color="auto" w:fill="auto"/>
          </w:tcPr>
          <w:p w14:paraId="5F7C6FBB" w14:textId="77777777" w:rsidR="00EE20E3" w:rsidRDefault="00EE20E3" w:rsidP="00812BF6">
            <w:pPr>
              <w:pStyle w:val="Tabletext"/>
              <w:jc w:val="right"/>
            </w:pPr>
            <w:r>
              <w:t>20</w:t>
            </w:r>
          </w:p>
        </w:tc>
      </w:tr>
      <w:tr w:rsidR="00EE20E3" w14:paraId="2A79282D" w14:textId="77777777" w:rsidTr="00877BDF">
        <w:trPr>
          <w:gridBefore w:val="1"/>
          <w:wBefore w:w="454" w:type="dxa"/>
        </w:trPr>
        <w:tc>
          <w:tcPr>
            <w:tcW w:w="993" w:type="dxa"/>
            <w:shd w:val="clear" w:color="auto" w:fill="auto"/>
          </w:tcPr>
          <w:p w14:paraId="33B2115C" w14:textId="77777777" w:rsidR="00EE20E3" w:rsidRDefault="00EE20E3" w:rsidP="00877BDF">
            <w:pPr>
              <w:pStyle w:val="Tabletext"/>
            </w:pPr>
            <w:r w:rsidRPr="009A06E5">
              <w:t>2017/6570</w:t>
            </w:r>
          </w:p>
        </w:tc>
        <w:tc>
          <w:tcPr>
            <w:tcW w:w="1273" w:type="dxa"/>
            <w:shd w:val="clear" w:color="auto" w:fill="auto"/>
          </w:tcPr>
          <w:p w14:paraId="5150BD87" w14:textId="77777777" w:rsidR="00EE20E3" w:rsidRDefault="00EE20E3" w:rsidP="00877BDF">
            <w:pPr>
              <w:pStyle w:val="Tabletext"/>
            </w:pPr>
            <w:r w:rsidRPr="009A06E5">
              <w:t>AFV Dianne</w:t>
            </w:r>
          </w:p>
        </w:tc>
        <w:tc>
          <w:tcPr>
            <w:tcW w:w="1136" w:type="dxa"/>
            <w:shd w:val="clear" w:color="auto" w:fill="auto"/>
          </w:tcPr>
          <w:p w14:paraId="2183CC58" w14:textId="77777777" w:rsidR="00EE20E3" w:rsidRDefault="00EE20E3" w:rsidP="00877BDF">
            <w:pPr>
              <w:pStyle w:val="Tabletext"/>
            </w:pPr>
            <w:r w:rsidRPr="009A06E5">
              <w:t>Vessel Sunk</w:t>
            </w:r>
          </w:p>
        </w:tc>
        <w:tc>
          <w:tcPr>
            <w:tcW w:w="1418" w:type="dxa"/>
            <w:shd w:val="clear" w:color="auto" w:fill="auto"/>
          </w:tcPr>
          <w:p w14:paraId="58431FD0" w14:textId="77777777" w:rsidR="00EE20E3" w:rsidRDefault="00EE20E3" w:rsidP="00877BDF">
            <w:pPr>
              <w:pStyle w:val="Tabletext"/>
            </w:pPr>
            <w:r w:rsidRPr="009A06E5">
              <w:t>18m Fishing Vessel</w:t>
            </w:r>
          </w:p>
        </w:tc>
        <w:tc>
          <w:tcPr>
            <w:tcW w:w="992" w:type="dxa"/>
            <w:shd w:val="clear" w:color="auto" w:fill="auto"/>
          </w:tcPr>
          <w:p w14:paraId="22285238" w14:textId="77777777" w:rsidR="00EE20E3" w:rsidRDefault="00EE20E3" w:rsidP="00877BDF">
            <w:pPr>
              <w:pStyle w:val="Tabletext"/>
            </w:pPr>
            <w:r w:rsidRPr="009A06E5">
              <w:t>24 17.22` S</w:t>
            </w:r>
          </w:p>
        </w:tc>
        <w:tc>
          <w:tcPr>
            <w:tcW w:w="1134" w:type="dxa"/>
            <w:shd w:val="clear" w:color="auto" w:fill="auto"/>
          </w:tcPr>
          <w:p w14:paraId="7FE6F825" w14:textId="77777777" w:rsidR="00EE20E3" w:rsidRDefault="00EE20E3" w:rsidP="00877BDF">
            <w:pPr>
              <w:pStyle w:val="Tabletext"/>
            </w:pPr>
            <w:r w:rsidRPr="009A06E5">
              <w:t>152 07.50` E</w:t>
            </w:r>
          </w:p>
        </w:tc>
        <w:tc>
          <w:tcPr>
            <w:tcW w:w="990" w:type="dxa"/>
            <w:shd w:val="clear" w:color="auto" w:fill="auto"/>
          </w:tcPr>
          <w:p w14:paraId="5ACAA06C" w14:textId="77777777" w:rsidR="00EE20E3" w:rsidRDefault="00EE20E3" w:rsidP="00877BDF">
            <w:pPr>
              <w:pStyle w:val="Tabletext"/>
            </w:pPr>
          </w:p>
        </w:tc>
      </w:tr>
      <w:tr w:rsidR="00EE20E3" w14:paraId="4F25F2E0" w14:textId="77777777" w:rsidTr="00877BDF">
        <w:trPr>
          <w:gridBefore w:val="1"/>
          <w:wBefore w:w="454" w:type="dxa"/>
        </w:trPr>
        <w:tc>
          <w:tcPr>
            <w:tcW w:w="993" w:type="dxa"/>
            <w:shd w:val="clear" w:color="auto" w:fill="auto"/>
          </w:tcPr>
          <w:p w14:paraId="05071121" w14:textId="77777777" w:rsidR="00EE20E3" w:rsidRDefault="00EE20E3" w:rsidP="00877BDF">
            <w:pPr>
              <w:pStyle w:val="Tabletext"/>
            </w:pPr>
            <w:r w:rsidRPr="009A06E5">
              <w:t>2016/6807</w:t>
            </w:r>
          </w:p>
        </w:tc>
        <w:tc>
          <w:tcPr>
            <w:tcW w:w="1273" w:type="dxa"/>
            <w:shd w:val="clear" w:color="auto" w:fill="auto"/>
          </w:tcPr>
          <w:p w14:paraId="7B28DD1A" w14:textId="77777777" w:rsidR="00EE20E3" w:rsidRDefault="00EE20E3" w:rsidP="00877BDF">
            <w:pPr>
              <w:pStyle w:val="Tabletext"/>
            </w:pPr>
            <w:r w:rsidRPr="009A06E5">
              <w:t>AFV Seabring</w:t>
            </w:r>
          </w:p>
        </w:tc>
        <w:tc>
          <w:tcPr>
            <w:tcW w:w="1136" w:type="dxa"/>
            <w:shd w:val="clear" w:color="auto" w:fill="auto"/>
          </w:tcPr>
          <w:p w14:paraId="69B71E89" w14:textId="77777777" w:rsidR="00EE20E3" w:rsidRDefault="00EE20E3" w:rsidP="00877BDF">
            <w:pPr>
              <w:pStyle w:val="Tabletext"/>
            </w:pPr>
            <w:r w:rsidRPr="009A06E5">
              <w:t>Vessel Sunk</w:t>
            </w:r>
          </w:p>
        </w:tc>
        <w:tc>
          <w:tcPr>
            <w:tcW w:w="1418" w:type="dxa"/>
            <w:shd w:val="clear" w:color="auto" w:fill="auto"/>
          </w:tcPr>
          <w:p w14:paraId="311B63C8" w14:textId="77777777" w:rsidR="00EE20E3" w:rsidRDefault="00EE20E3" w:rsidP="00877BDF">
            <w:pPr>
              <w:pStyle w:val="Tabletext"/>
            </w:pPr>
            <w:r w:rsidRPr="009A06E5">
              <w:t>17m Fishing Vessel</w:t>
            </w:r>
          </w:p>
        </w:tc>
        <w:tc>
          <w:tcPr>
            <w:tcW w:w="992" w:type="dxa"/>
            <w:shd w:val="clear" w:color="auto" w:fill="auto"/>
          </w:tcPr>
          <w:p w14:paraId="02CFCCB9" w14:textId="77777777" w:rsidR="00EE20E3" w:rsidRDefault="00EE20E3" w:rsidP="00877BDF">
            <w:pPr>
              <w:pStyle w:val="Tabletext"/>
            </w:pPr>
            <w:r w:rsidRPr="009A06E5">
              <w:t xml:space="preserve">25-04.22S </w:t>
            </w:r>
          </w:p>
        </w:tc>
        <w:tc>
          <w:tcPr>
            <w:tcW w:w="1134" w:type="dxa"/>
            <w:shd w:val="clear" w:color="auto" w:fill="auto"/>
          </w:tcPr>
          <w:p w14:paraId="78ED793F" w14:textId="77777777" w:rsidR="00EE20E3" w:rsidRDefault="00EE20E3" w:rsidP="00877BDF">
            <w:pPr>
              <w:pStyle w:val="Tabletext"/>
            </w:pPr>
            <w:r w:rsidRPr="009A06E5">
              <w:t xml:space="preserve">153-26.41E </w:t>
            </w:r>
          </w:p>
        </w:tc>
        <w:tc>
          <w:tcPr>
            <w:tcW w:w="990" w:type="dxa"/>
            <w:shd w:val="clear" w:color="auto" w:fill="auto"/>
          </w:tcPr>
          <w:p w14:paraId="49514DE4" w14:textId="77777777" w:rsidR="00EE20E3" w:rsidRDefault="00EE20E3" w:rsidP="00877BDF">
            <w:pPr>
              <w:pStyle w:val="Tabletext"/>
            </w:pPr>
          </w:p>
        </w:tc>
      </w:tr>
      <w:tr w:rsidR="00EE20E3" w14:paraId="3C8F94FD" w14:textId="77777777" w:rsidTr="00877BDF">
        <w:trPr>
          <w:gridBefore w:val="1"/>
          <w:wBefore w:w="454" w:type="dxa"/>
        </w:trPr>
        <w:tc>
          <w:tcPr>
            <w:tcW w:w="993" w:type="dxa"/>
            <w:shd w:val="clear" w:color="auto" w:fill="auto"/>
          </w:tcPr>
          <w:p w14:paraId="7DE36D6A" w14:textId="77777777" w:rsidR="00EE20E3" w:rsidRDefault="00EE20E3" w:rsidP="00877BDF">
            <w:pPr>
              <w:pStyle w:val="Tabletext"/>
            </w:pPr>
            <w:r w:rsidRPr="009A06E5">
              <w:t>2016/4987</w:t>
            </w:r>
          </w:p>
        </w:tc>
        <w:tc>
          <w:tcPr>
            <w:tcW w:w="1273" w:type="dxa"/>
            <w:shd w:val="clear" w:color="auto" w:fill="auto"/>
          </w:tcPr>
          <w:p w14:paraId="18E966E2" w14:textId="77777777" w:rsidR="00EE20E3" w:rsidRDefault="00EE20E3" w:rsidP="00877BDF">
            <w:pPr>
              <w:pStyle w:val="Tabletext"/>
            </w:pPr>
            <w:r w:rsidRPr="009A06E5">
              <w:t>MV APL England</w:t>
            </w:r>
          </w:p>
        </w:tc>
        <w:tc>
          <w:tcPr>
            <w:tcW w:w="1136" w:type="dxa"/>
            <w:shd w:val="clear" w:color="auto" w:fill="auto"/>
          </w:tcPr>
          <w:p w14:paraId="4D1CAAD1" w14:textId="77777777" w:rsidR="00EE20E3" w:rsidRDefault="00EE20E3" w:rsidP="00877BDF">
            <w:pPr>
              <w:pStyle w:val="Tabletext"/>
            </w:pPr>
            <w:r w:rsidRPr="009A06E5">
              <w:t xml:space="preserve">24 Containers Lost </w:t>
            </w:r>
          </w:p>
        </w:tc>
        <w:tc>
          <w:tcPr>
            <w:tcW w:w="1418" w:type="dxa"/>
            <w:shd w:val="clear" w:color="auto" w:fill="auto"/>
          </w:tcPr>
          <w:p w14:paraId="5FD1EF09" w14:textId="77777777" w:rsidR="00EE20E3" w:rsidRDefault="00EE20E3" w:rsidP="00877BDF">
            <w:pPr>
              <w:pStyle w:val="Tabletext"/>
            </w:pPr>
            <w:r w:rsidRPr="009A06E5">
              <w:t>278m Container Vessel</w:t>
            </w:r>
          </w:p>
        </w:tc>
        <w:tc>
          <w:tcPr>
            <w:tcW w:w="992" w:type="dxa"/>
            <w:shd w:val="clear" w:color="auto" w:fill="auto"/>
          </w:tcPr>
          <w:p w14:paraId="13CC27AE" w14:textId="77777777" w:rsidR="00EE20E3" w:rsidRDefault="00EE20E3" w:rsidP="00877BDF">
            <w:pPr>
              <w:pStyle w:val="Tabletext"/>
            </w:pPr>
            <w:r w:rsidRPr="009A06E5">
              <w:t>36-04S</w:t>
            </w:r>
          </w:p>
        </w:tc>
        <w:tc>
          <w:tcPr>
            <w:tcW w:w="1134" w:type="dxa"/>
            <w:shd w:val="clear" w:color="auto" w:fill="auto"/>
          </w:tcPr>
          <w:p w14:paraId="1A1AF7E9" w14:textId="77777777" w:rsidR="00EE20E3" w:rsidRDefault="00EE20E3" w:rsidP="00877BDF">
            <w:pPr>
              <w:pStyle w:val="Tabletext"/>
            </w:pPr>
            <w:r w:rsidRPr="009A06E5">
              <w:t xml:space="preserve">122-14E </w:t>
            </w:r>
          </w:p>
        </w:tc>
        <w:tc>
          <w:tcPr>
            <w:tcW w:w="990" w:type="dxa"/>
            <w:shd w:val="clear" w:color="auto" w:fill="auto"/>
          </w:tcPr>
          <w:p w14:paraId="17A553E1" w14:textId="77777777" w:rsidR="00EE20E3" w:rsidRDefault="00EE20E3" w:rsidP="00877BDF">
            <w:pPr>
              <w:pStyle w:val="Tabletext"/>
            </w:pPr>
          </w:p>
        </w:tc>
      </w:tr>
      <w:tr w:rsidR="00EE20E3" w14:paraId="42ADB4B7" w14:textId="77777777" w:rsidTr="00877BDF">
        <w:trPr>
          <w:gridBefore w:val="1"/>
          <w:wBefore w:w="454" w:type="dxa"/>
        </w:trPr>
        <w:tc>
          <w:tcPr>
            <w:tcW w:w="993" w:type="dxa"/>
            <w:shd w:val="clear" w:color="auto" w:fill="auto"/>
          </w:tcPr>
          <w:p w14:paraId="6B5374DD" w14:textId="77777777" w:rsidR="00EE20E3" w:rsidRDefault="00EE20E3" w:rsidP="00877BDF">
            <w:pPr>
              <w:pStyle w:val="Tabletext"/>
            </w:pPr>
            <w:r w:rsidRPr="009A06E5">
              <w:t>2016/3867</w:t>
            </w:r>
          </w:p>
        </w:tc>
        <w:tc>
          <w:tcPr>
            <w:tcW w:w="1273" w:type="dxa"/>
            <w:shd w:val="clear" w:color="auto" w:fill="auto"/>
          </w:tcPr>
          <w:p w14:paraId="7BB74302" w14:textId="77777777" w:rsidR="00EE20E3" w:rsidRDefault="00EE20E3" w:rsidP="00877BDF">
            <w:pPr>
              <w:pStyle w:val="Tabletext"/>
            </w:pPr>
            <w:r w:rsidRPr="009A06E5">
              <w:t>MV Conti Emden</w:t>
            </w:r>
          </w:p>
        </w:tc>
        <w:tc>
          <w:tcPr>
            <w:tcW w:w="1136" w:type="dxa"/>
            <w:shd w:val="clear" w:color="auto" w:fill="auto"/>
          </w:tcPr>
          <w:p w14:paraId="4092A654" w14:textId="77777777" w:rsidR="00EE20E3" w:rsidRDefault="00EE20E3" w:rsidP="00877BDF">
            <w:pPr>
              <w:pStyle w:val="Tabletext"/>
            </w:pPr>
            <w:r w:rsidRPr="009A06E5">
              <w:t xml:space="preserve">4 Containers Lost </w:t>
            </w:r>
          </w:p>
        </w:tc>
        <w:tc>
          <w:tcPr>
            <w:tcW w:w="1418" w:type="dxa"/>
            <w:shd w:val="clear" w:color="auto" w:fill="auto"/>
          </w:tcPr>
          <w:p w14:paraId="5503AF11" w14:textId="77777777" w:rsidR="00EE20E3" w:rsidRDefault="00EE20E3" w:rsidP="00877BDF">
            <w:pPr>
              <w:pStyle w:val="Tabletext"/>
            </w:pPr>
            <w:r w:rsidRPr="009A06E5">
              <w:t>215m Container Vessel</w:t>
            </w:r>
          </w:p>
        </w:tc>
        <w:tc>
          <w:tcPr>
            <w:tcW w:w="992" w:type="dxa"/>
            <w:shd w:val="clear" w:color="auto" w:fill="auto"/>
          </w:tcPr>
          <w:p w14:paraId="0960151E" w14:textId="77777777" w:rsidR="00EE20E3" w:rsidRDefault="00EE20E3" w:rsidP="00877BDF">
            <w:pPr>
              <w:pStyle w:val="Tabletext"/>
            </w:pPr>
            <w:r w:rsidRPr="009A06E5">
              <w:t>37 25.20` S</w:t>
            </w:r>
          </w:p>
        </w:tc>
        <w:tc>
          <w:tcPr>
            <w:tcW w:w="1134" w:type="dxa"/>
            <w:shd w:val="clear" w:color="auto" w:fill="auto"/>
          </w:tcPr>
          <w:p w14:paraId="4616CFA1" w14:textId="77777777" w:rsidR="00EE20E3" w:rsidRDefault="00EE20E3" w:rsidP="00877BDF">
            <w:pPr>
              <w:pStyle w:val="Tabletext"/>
            </w:pPr>
            <w:r w:rsidRPr="009A06E5">
              <w:t>160 38.90` E</w:t>
            </w:r>
          </w:p>
        </w:tc>
        <w:tc>
          <w:tcPr>
            <w:tcW w:w="990" w:type="dxa"/>
            <w:shd w:val="clear" w:color="auto" w:fill="auto"/>
          </w:tcPr>
          <w:p w14:paraId="74282203" w14:textId="77777777" w:rsidR="00EE20E3" w:rsidRDefault="00EE20E3" w:rsidP="00877BDF">
            <w:pPr>
              <w:pStyle w:val="Tabletext"/>
            </w:pPr>
          </w:p>
        </w:tc>
      </w:tr>
      <w:tr w:rsidR="00EE20E3" w14:paraId="0AAC67D5" w14:textId="77777777" w:rsidTr="00877BDF">
        <w:trPr>
          <w:gridBefore w:val="1"/>
          <w:wBefore w:w="454" w:type="dxa"/>
        </w:trPr>
        <w:tc>
          <w:tcPr>
            <w:tcW w:w="993" w:type="dxa"/>
            <w:shd w:val="clear" w:color="auto" w:fill="auto"/>
          </w:tcPr>
          <w:p w14:paraId="1CFAB26A" w14:textId="77777777" w:rsidR="00EE20E3" w:rsidRDefault="00EE20E3" w:rsidP="00877BDF">
            <w:pPr>
              <w:pStyle w:val="Tabletext"/>
            </w:pPr>
            <w:r w:rsidRPr="009A06E5">
              <w:t>2016/2074</w:t>
            </w:r>
          </w:p>
        </w:tc>
        <w:tc>
          <w:tcPr>
            <w:tcW w:w="1273" w:type="dxa"/>
            <w:shd w:val="clear" w:color="auto" w:fill="auto"/>
          </w:tcPr>
          <w:p w14:paraId="589B4F7E" w14:textId="77777777" w:rsidR="00EE20E3" w:rsidRDefault="00EE20E3" w:rsidP="00877BDF">
            <w:pPr>
              <w:pStyle w:val="Tabletext"/>
            </w:pPr>
            <w:r w:rsidRPr="009A06E5">
              <w:t>AFV Cassandra</w:t>
            </w:r>
          </w:p>
        </w:tc>
        <w:tc>
          <w:tcPr>
            <w:tcW w:w="1136" w:type="dxa"/>
            <w:shd w:val="clear" w:color="auto" w:fill="auto"/>
          </w:tcPr>
          <w:p w14:paraId="59457D72" w14:textId="77777777" w:rsidR="00EE20E3" w:rsidRDefault="00EE20E3" w:rsidP="00877BDF">
            <w:pPr>
              <w:pStyle w:val="Tabletext"/>
            </w:pPr>
            <w:r w:rsidRPr="009A06E5">
              <w:t>Vessel Sunk</w:t>
            </w:r>
          </w:p>
        </w:tc>
        <w:tc>
          <w:tcPr>
            <w:tcW w:w="1418" w:type="dxa"/>
            <w:shd w:val="clear" w:color="auto" w:fill="auto"/>
          </w:tcPr>
          <w:p w14:paraId="59EA7519" w14:textId="77777777" w:rsidR="00EE20E3" w:rsidRDefault="00EE20E3" w:rsidP="00877BDF">
            <w:pPr>
              <w:pStyle w:val="Tabletext"/>
            </w:pPr>
            <w:r w:rsidRPr="009A06E5">
              <w:t>17m Fishing Vessel</w:t>
            </w:r>
          </w:p>
        </w:tc>
        <w:tc>
          <w:tcPr>
            <w:tcW w:w="992" w:type="dxa"/>
            <w:shd w:val="clear" w:color="auto" w:fill="auto"/>
          </w:tcPr>
          <w:p w14:paraId="129B357F" w14:textId="77777777" w:rsidR="00EE20E3" w:rsidRDefault="00EE20E3" w:rsidP="00877BDF">
            <w:pPr>
              <w:pStyle w:val="Tabletext"/>
            </w:pPr>
            <w:r w:rsidRPr="009A06E5">
              <w:t>24 55.12` S</w:t>
            </w:r>
          </w:p>
        </w:tc>
        <w:tc>
          <w:tcPr>
            <w:tcW w:w="1134" w:type="dxa"/>
            <w:shd w:val="clear" w:color="auto" w:fill="auto"/>
          </w:tcPr>
          <w:p w14:paraId="676014D0" w14:textId="77777777" w:rsidR="00EE20E3" w:rsidRDefault="00EE20E3" w:rsidP="00877BDF">
            <w:pPr>
              <w:pStyle w:val="Tabletext"/>
            </w:pPr>
            <w:r w:rsidRPr="009A06E5">
              <w:t>153 26.08` E</w:t>
            </w:r>
          </w:p>
        </w:tc>
        <w:tc>
          <w:tcPr>
            <w:tcW w:w="990" w:type="dxa"/>
            <w:shd w:val="clear" w:color="auto" w:fill="auto"/>
          </w:tcPr>
          <w:p w14:paraId="6C0B5AEF" w14:textId="77777777" w:rsidR="00EE20E3" w:rsidRDefault="00EE20E3" w:rsidP="00877BDF">
            <w:pPr>
              <w:pStyle w:val="Tabletext"/>
            </w:pPr>
          </w:p>
        </w:tc>
      </w:tr>
      <w:tr w:rsidR="00EE20E3" w14:paraId="0DCC3B38" w14:textId="77777777" w:rsidTr="00877BDF">
        <w:trPr>
          <w:gridBefore w:val="1"/>
          <w:wBefore w:w="454" w:type="dxa"/>
        </w:trPr>
        <w:tc>
          <w:tcPr>
            <w:tcW w:w="993" w:type="dxa"/>
            <w:shd w:val="clear" w:color="auto" w:fill="auto"/>
          </w:tcPr>
          <w:p w14:paraId="1318042A" w14:textId="77777777" w:rsidR="00EE20E3" w:rsidRDefault="00EE20E3" w:rsidP="00877BDF">
            <w:pPr>
              <w:pStyle w:val="Tabletext"/>
            </w:pPr>
            <w:r w:rsidRPr="009A06E5">
              <w:t>2016/236</w:t>
            </w:r>
          </w:p>
        </w:tc>
        <w:tc>
          <w:tcPr>
            <w:tcW w:w="1273" w:type="dxa"/>
            <w:shd w:val="clear" w:color="auto" w:fill="auto"/>
          </w:tcPr>
          <w:p w14:paraId="1B647210" w14:textId="77777777" w:rsidR="00EE20E3" w:rsidRDefault="00EE20E3" w:rsidP="00877BDF">
            <w:pPr>
              <w:pStyle w:val="Tabletext"/>
            </w:pPr>
            <w:r w:rsidRPr="009A06E5">
              <w:t>AFV Star Mist</w:t>
            </w:r>
          </w:p>
        </w:tc>
        <w:tc>
          <w:tcPr>
            <w:tcW w:w="1136" w:type="dxa"/>
            <w:shd w:val="clear" w:color="auto" w:fill="auto"/>
          </w:tcPr>
          <w:p w14:paraId="77788921" w14:textId="77777777" w:rsidR="00EE20E3" w:rsidRDefault="00EE20E3" w:rsidP="00877BDF">
            <w:pPr>
              <w:pStyle w:val="Tabletext"/>
            </w:pPr>
            <w:r w:rsidRPr="009A06E5">
              <w:t>Vessel Sunk</w:t>
            </w:r>
          </w:p>
        </w:tc>
        <w:tc>
          <w:tcPr>
            <w:tcW w:w="1418" w:type="dxa"/>
            <w:shd w:val="clear" w:color="auto" w:fill="auto"/>
          </w:tcPr>
          <w:p w14:paraId="6631B577" w14:textId="77777777" w:rsidR="00EE20E3" w:rsidRDefault="00EE20E3" w:rsidP="00877BDF">
            <w:pPr>
              <w:pStyle w:val="Tabletext"/>
            </w:pPr>
            <w:r w:rsidRPr="009A06E5">
              <w:t>20m Fishing Vessel</w:t>
            </w:r>
          </w:p>
        </w:tc>
        <w:tc>
          <w:tcPr>
            <w:tcW w:w="992" w:type="dxa"/>
            <w:shd w:val="clear" w:color="auto" w:fill="auto"/>
          </w:tcPr>
          <w:p w14:paraId="1C0B8773" w14:textId="77777777" w:rsidR="00EE20E3" w:rsidRDefault="00EE20E3" w:rsidP="00877BDF">
            <w:pPr>
              <w:pStyle w:val="Tabletext"/>
            </w:pPr>
            <w:r w:rsidRPr="009A06E5">
              <w:t>10 15.00` S</w:t>
            </w:r>
          </w:p>
        </w:tc>
        <w:tc>
          <w:tcPr>
            <w:tcW w:w="1134" w:type="dxa"/>
            <w:shd w:val="clear" w:color="auto" w:fill="auto"/>
          </w:tcPr>
          <w:p w14:paraId="01580BDE" w14:textId="77777777" w:rsidR="00EE20E3" w:rsidRDefault="00EE20E3" w:rsidP="00877BDF">
            <w:pPr>
              <w:pStyle w:val="Tabletext"/>
            </w:pPr>
            <w:r w:rsidRPr="009A06E5">
              <w:t>143 06.00` E</w:t>
            </w:r>
          </w:p>
        </w:tc>
        <w:tc>
          <w:tcPr>
            <w:tcW w:w="990" w:type="dxa"/>
            <w:shd w:val="clear" w:color="auto" w:fill="auto"/>
          </w:tcPr>
          <w:p w14:paraId="29CBE2E5" w14:textId="77777777" w:rsidR="00EE20E3" w:rsidRDefault="00EE20E3" w:rsidP="00877BDF">
            <w:pPr>
              <w:pStyle w:val="Tabletext"/>
            </w:pPr>
          </w:p>
        </w:tc>
      </w:tr>
      <w:tr w:rsidR="00EE20E3" w14:paraId="36D6B4A1" w14:textId="77777777" w:rsidTr="00877BDF">
        <w:trPr>
          <w:gridBefore w:val="1"/>
          <w:wBefore w:w="454" w:type="dxa"/>
        </w:trPr>
        <w:tc>
          <w:tcPr>
            <w:tcW w:w="7936" w:type="dxa"/>
            <w:gridSpan w:val="7"/>
            <w:tcBorders>
              <w:bottom w:val="single" w:sz="4" w:space="0" w:color="646464"/>
            </w:tcBorders>
            <w:shd w:val="clear" w:color="auto" w:fill="auto"/>
          </w:tcPr>
          <w:p w14:paraId="6F089205" w14:textId="77777777" w:rsidR="00EE20E3" w:rsidRDefault="00EE20E3" w:rsidP="00877BDF">
            <w:pPr>
              <w:pStyle w:val="Source"/>
            </w:pPr>
            <w:r>
              <w:t>Source: DITRDC and AMSA Annual Reports</w:t>
            </w:r>
          </w:p>
        </w:tc>
      </w:tr>
      <w:tr w:rsidR="00EE20E3" w14:paraId="4ED433F3" w14:textId="77777777" w:rsidTr="00877BDF">
        <w:trPr>
          <w:gridBefore w:val="1"/>
          <w:wBefore w:w="454" w:type="dxa"/>
          <w:trHeight w:hRule="exact" w:val="160"/>
        </w:trPr>
        <w:tc>
          <w:tcPr>
            <w:tcW w:w="7936" w:type="dxa"/>
            <w:gridSpan w:val="7"/>
            <w:tcBorders>
              <w:top w:val="single" w:sz="4" w:space="0" w:color="646464"/>
              <w:bottom w:val="nil"/>
            </w:tcBorders>
            <w:shd w:val="clear" w:color="auto" w:fill="auto"/>
          </w:tcPr>
          <w:p w14:paraId="65DC4872" w14:textId="77777777" w:rsidR="00EE20E3" w:rsidRDefault="00EE20E3" w:rsidP="00877BDF">
            <w:pPr>
              <w:pStyle w:val="spacer"/>
            </w:pPr>
          </w:p>
        </w:tc>
      </w:tr>
    </w:tbl>
    <w:p w14:paraId="363E98C0" w14:textId="77777777" w:rsidR="00EE20E3" w:rsidRDefault="00EE20E3" w:rsidP="00EE20E3">
      <w:pPr>
        <w:pStyle w:val="BodyText"/>
      </w:pPr>
      <w:r>
        <w:t xml:space="preserve">The costs that would be incurred in wreck removal operations in the future are very uncertain due to the high variation in the number and scale of wrecks each year.  </w:t>
      </w:r>
    </w:p>
    <w:p w14:paraId="19112B08" w14:textId="1219EF4B" w:rsidR="00B814DB" w:rsidRDefault="00B814DB" w:rsidP="00F90E64">
      <w:pPr>
        <w:pStyle w:val="Heading2"/>
      </w:pPr>
      <w:bookmarkStart w:id="50" w:name="_Toc99543732"/>
      <w:r>
        <w:t>Key assumptions</w:t>
      </w:r>
      <w:bookmarkEnd w:id="50"/>
    </w:p>
    <w:p w14:paraId="37044DAD" w14:textId="5837CEB4" w:rsidR="002E1F9C" w:rsidRDefault="00985734" w:rsidP="001A513F">
      <w:pPr>
        <w:pStyle w:val="BodyText"/>
      </w:pPr>
      <w:r>
        <w:t xml:space="preserve">It is not possible to make meaningful forecasts of the number of wreck incidents occurring in any given year. As reported in </w:t>
      </w:r>
      <w:r w:rsidR="00CB3E34">
        <w:fldChar w:fldCharType="begin"/>
      </w:r>
      <w:r w:rsidR="00CB3E34">
        <w:instrText xml:space="preserve"> REF _Ref73958717 \h </w:instrText>
      </w:r>
      <w:r w:rsidR="00CB3E34">
        <w:fldChar w:fldCharType="separate"/>
      </w:r>
      <w:r w:rsidR="00966CD2" w:rsidRPr="005E0FAF">
        <w:rPr>
          <w:rStyle w:val="CaptionLabel"/>
        </w:rPr>
        <w:t>Table </w:t>
      </w:r>
      <w:r w:rsidR="00966CD2">
        <w:rPr>
          <w:rStyle w:val="CaptionLabel"/>
          <w:noProof/>
        </w:rPr>
        <w:t>3</w:t>
      </w:r>
      <w:r w:rsidR="00966CD2" w:rsidRPr="005E0FAF">
        <w:rPr>
          <w:rStyle w:val="CaptionLabel"/>
        </w:rPr>
        <w:t>.</w:t>
      </w:r>
      <w:r w:rsidR="00966CD2">
        <w:rPr>
          <w:rStyle w:val="CaptionLabel"/>
          <w:noProof/>
        </w:rPr>
        <w:t>5</w:t>
      </w:r>
      <w:r w:rsidR="00CB3E34">
        <w:fldChar w:fldCharType="end"/>
      </w:r>
      <w:r>
        <w:t>, the incidence of wreck over the past six years was around ten and they vary in terms of location</w:t>
      </w:r>
      <w:r w:rsidR="00B72016">
        <w:t xml:space="preserve">, </w:t>
      </w:r>
      <w:r>
        <w:t>the type of vessel</w:t>
      </w:r>
      <w:r w:rsidR="00B72016">
        <w:t xml:space="preserve"> and the type of damage or wreck</w:t>
      </w:r>
      <w:r w:rsidR="0070035D">
        <w:t xml:space="preserve">. </w:t>
      </w:r>
      <w:r>
        <w:t xml:space="preserve">The </w:t>
      </w:r>
      <w:r w:rsidR="002E1F9C">
        <w:t>analysis</w:t>
      </w:r>
      <w:r>
        <w:t xml:space="preserve"> reported in </w:t>
      </w:r>
      <w:r w:rsidR="002E1F9C">
        <w:t xml:space="preserve">the </w:t>
      </w:r>
      <w:r>
        <w:t xml:space="preserve">next chapter provides an indicative costs and benefits </w:t>
      </w:r>
      <w:r w:rsidR="002E1F9C">
        <w:t>i</w:t>
      </w:r>
      <w:r>
        <w:t xml:space="preserve">f a wreck event happens in </w:t>
      </w:r>
      <w:r w:rsidR="002E1F9C">
        <w:t>Year 1</w:t>
      </w:r>
      <w:r>
        <w:t xml:space="preserve"> </w:t>
      </w:r>
      <w:r w:rsidR="002E1F9C">
        <w:t xml:space="preserve">with </w:t>
      </w:r>
      <w:r>
        <w:t xml:space="preserve">costs and benefits </w:t>
      </w:r>
      <w:r w:rsidR="002E1F9C">
        <w:t>over</w:t>
      </w:r>
      <w:r>
        <w:t xml:space="preserve"> next nine years. </w:t>
      </w:r>
    </w:p>
    <w:p w14:paraId="7261C9A4" w14:textId="7DC2E8F3" w:rsidR="002E1F9C" w:rsidRDefault="00985734" w:rsidP="001A513F">
      <w:pPr>
        <w:pStyle w:val="BodyText"/>
      </w:pPr>
      <w:r>
        <w:t>To undertake this indicative illustrative analysis</w:t>
      </w:r>
      <w:r w:rsidR="002E1F9C">
        <w:t xml:space="preserve"> for the purpose of RIS</w:t>
      </w:r>
      <w:r>
        <w:t xml:space="preserve">, ACIL Allen developed </w:t>
      </w:r>
      <w:r w:rsidR="002E1F9C">
        <w:t xml:space="preserve">the </w:t>
      </w:r>
      <w:r>
        <w:t xml:space="preserve">assumptions list provided in </w:t>
      </w:r>
      <w:r w:rsidR="00C879AC">
        <w:fldChar w:fldCharType="begin"/>
      </w:r>
      <w:r w:rsidR="00C879AC">
        <w:instrText xml:space="preserve"> REF _Ref73971915 \h </w:instrText>
      </w:r>
      <w:r w:rsidR="00C879AC">
        <w:fldChar w:fldCharType="separate"/>
      </w:r>
      <w:r w:rsidR="00966CD2" w:rsidRPr="001A2E8E">
        <w:rPr>
          <w:rStyle w:val="CaptionLabel"/>
        </w:rPr>
        <w:t>Table </w:t>
      </w:r>
      <w:r w:rsidR="00966CD2">
        <w:rPr>
          <w:rStyle w:val="CaptionLabel"/>
          <w:noProof/>
        </w:rPr>
        <w:t>3</w:t>
      </w:r>
      <w:r w:rsidR="00966CD2" w:rsidRPr="001A2E8E">
        <w:rPr>
          <w:rStyle w:val="CaptionLabel"/>
        </w:rPr>
        <w:t>.</w:t>
      </w:r>
      <w:r w:rsidR="00966CD2">
        <w:rPr>
          <w:rStyle w:val="CaptionLabel"/>
          <w:noProof/>
        </w:rPr>
        <w:t>6</w:t>
      </w:r>
      <w:r w:rsidR="00C879AC">
        <w:fldChar w:fldCharType="end"/>
      </w:r>
      <w:r w:rsidR="00B814DB">
        <w:t>.</w:t>
      </w:r>
      <w:r w:rsidR="00E83288">
        <w:t xml:space="preserve"> </w:t>
      </w:r>
    </w:p>
    <w:p w14:paraId="0345C018" w14:textId="77777777" w:rsidR="002E1F9C" w:rsidRDefault="00E83288" w:rsidP="001A513F">
      <w:pPr>
        <w:pStyle w:val="BodyText"/>
      </w:pPr>
      <w:r>
        <w:t xml:space="preserve">These assumptions are based on the qualitative discussion provided </w:t>
      </w:r>
      <w:r w:rsidR="00985734">
        <w:t>above</w:t>
      </w:r>
      <w:r w:rsidR="00C879AC">
        <w:t xml:space="preserve"> </w:t>
      </w:r>
      <w:r>
        <w:t>and ACIL Allen discussions with the key stakeholders</w:t>
      </w:r>
      <w:r w:rsidR="00985734">
        <w:t xml:space="preserve"> reported in Chapter 2</w:t>
      </w:r>
      <w:r w:rsidR="00315DF4">
        <w:t>,</w:t>
      </w:r>
      <w:r>
        <w:t xml:space="preserve"> including AMSA</w:t>
      </w:r>
      <w:r w:rsidR="002E1F9C">
        <w:t xml:space="preserve"> and ACIL Allen’s understanding and review of literature</w:t>
      </w:r>
      <w:r>
        <w:t>.</w:t>
      </w:r>
      <w:r w:rsidR="00575485">
        <w:t xml:space="preserve"> </w:t>
      </w:r>
    </w:p>
    <w:p w14:paraId="221182F2" w14:textId="52FB183D" w:rsidR="00DF0AC0" w:rsidRDefault="001A2E8E" w:rsidP="001A2E8E">
      <w:pPr>
        <w:pStyle w:val="Caption"/>
        <w:ind w:left="-784"/>
      </w:pPr>
      <w:bookmarkStart w:id="51" w:name="_Ref73971915"/>
      <w:bookmarkStart w:id="52" w:name="_Toc99543757"/>
      <w:r w:rsidRPr="001A2E8E">
        <w:rPr>
          <w:rStyle w:val="CaptionLabel"/>
        </w:rPr>
        <w:t>Table </w:t>
      </w:r>
      <w:r w:rsidRPr="001A2E8E">
        <w:rPr>
          <w:rStyle w:val="CaptionLabel"/>
        </w:rPr>
        <w:fldChar w:fldCharType="begin"/>
      </w:r>
      <w:r w:rsidRPr="001A2E8E">
        <w:rPr>
          <w:rStyle w:val="CaptionLabel"/>
        </w:rPr>
        <w:instrText xml:space="preserve"> STYLEREF 1 \S \* MERGEFORMAT </w:instrText>
      </w:r>
      <w:r w:rsidRPr="001A2E8E">
        <w:rPr>
          <w:rStyle w:val="CaptionLabel"/>
        </w:rPr>
        <w:fldChar w:fldCharType="separate"/>
      </w:r>
      <w:r w:rsidR="00966CD2">
        <w:rPr>
          <w:rStyle w:val="CaptionLabel"/>
          <w:noProof/>
        </w:rPr>
        <w:t>3</w:t>
      </w:r>
      <w:r w:rsidRPr="001A2E8E">
        <w:rPr>
          <w:rStyle w:val="CaptionLabel"/>
        </w:rPr>
        <w:fldChar w:fldCharType="end"/>
      </w:r>
      <w:r w:rsidRPr="001A2E8E">
        <w:rPr>
          <w:rStyle w:val="CaptionLabel"/>
        </w:rPr>
        <w:t>.</w:t>
      </w:r>
      <w:r w:rsidRPr="001A2E8E">
        <w:rPr>
          <w:rStyle w:val="CaptionLabel"/>
        </w:rPr>
        <w:fldChar w:fldCharType="begin"/>
      </w:r>
      <w:r w:rsidRPr="001A2E8E">
        <w:rPr>
          <w:rStyle w:val="CaptionLabel"/>
        </w:rPr>
        <w:instrText xml:space="preserve"> SEQ Table \* ARABIC \S 1 \* MERGEFORMAT </w:instrText>
      </w:r>
      <w:r w:rsidRPr="001A2E8E">
        <w:rPr>
          <w:rStyle w:val="CaptionLabel"/>
        </w:rPr>
        <w:fldChar w:fldCharType="separate"/>
      </w:r>
      <w:r w:rsidR="00966CD2">
        <w:rPr>
          <w:rStyle w:val="CaptionLabel"/>
          <w:noProof/>
        </w:rPr>
        <w:t>6</w:t>
      </w:r>
      <w:r w:rsidRPr="001A2E8E">
        <w:rPr>
          <w:rStyle w:val="CaptionLabel"/>
        </w:rPr>
        <w:fldChar w:fldCharType="end"/>
      </w:r>
      <w:bookmarkEnd w:id="51"/>
      <w:r>
        <w:tab/>
        <w:t>Key assumptions</w:t>
      </w:r>
      <w:bookmarkEnd w:id="52"/>
    </w:p>
    <w:tbl>
      <w:tblPr>
        <w:tblW w:w="10494"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105"/>
        <w:gridCol w:w="2410"/>
        <w:gridCol w:w="1134"/>
        <w:gridCol w:w="4385"/>
        <w:gridCol w:w="6"/>
      </w:tblGrid>
      <w:tr w:rsidR="001A2E8E" w14:paraId="76B9D19F" w14:textId="77777777" w:rsidTr="0080377C">
        <w:trPr>
          <w:trHeight w:val="401"/>
          <w:tblHeader/>
        </w:trPr>
        <w:tc>
          <w:tcPr>
            <w:tcW w:w="2559" w:type="dxa"/>
            <w:gridSpan w:val="2"/>
            <w:tcBorders>
              <w:top w:val="nil"/>
              <w:bottom w:val="nil"/>
            </w:tcBorders>
            <w:shd w:val="clear" w:color="auto" w:fill="140034"/>
            <w:tcMar>
              <w:left w:w="454" w:type="dxa"/>
            </w:tcMar>
          </w:tcPr>
          <w:p w14:paraId="3452E4DD" w14:textId="150A3460" w:rsidR="001A2E8E" w:rsidRDefault="001A2E8E" w:rsidP="001A2E8E">
            <w:pPr>
              <w:pStyle w:val="Tablecolumnheadings"/>
            </w:pPr>
            <w:bookmarkStart w:id="53" w:name="_Hlk73974643"/>
            <w:r>
              <w:t>Category</w:t>
            </w:r>
          </w:p>
        </w:tc>
        <w:tc>
          <w:tcPr>
            <w:tcW w:w="2410" w:type="dxa"/>
            <w:tcBorders>
              <w:top w:val="nil"/>
              <w:bottom w:val="nil"/>
            </w:tcBorders>
            <w:shd w:val="clear" w:color="auto" w:fill="140034"/>
          </w:tcPr>
          <w:p w14:paraId="6B22CFA5" w14:textId="4D3B3056" w:rsidR="001A2E8E" w:rsidRDefault="001A2E8E" w:rsidP="001A2E8E">
            <w:pPr>
              <w:pStyle w:val="Tablecolumnheadings"/>
            </w:pPr>
            <w:r>
              <w:t>Value</w:t>
            </w:r>
          </w:p>
        </w:tc>
        <w:tc>
          <w:tcPr>
            <w:tcW w:w="1134" w:type="dxa"/>
            <w:tcBorders>
              <w:top w:val="nil"/>
              <w:bottom w:val="nil"/>
            </w:tcBorders>
            <w:shd w:val="clear" w:color="auto" w:fill="140034"/>
          </w:tcPr>
          <w:p w14:paraId="3184D338" w14:textId="43645AA8" w:rsidR="001A2E8E" w:rsidRDefault="001A2E8E" w:rsidP="001A2E8E">
            <w:pPr>
              <w:pStyle w:val="Tablecolumnheadings"/>
            </w:pPr>
            <w:r>
              <w:t>Source</w:t>
            </w:r>
          </w:p>
        </w:tc>
        <w:tc>
          <w:tcPr>
            <w:tcW w:w="4391" w:type="dxa"/>
            <w:gridSpan w:val="2"/>
            <w:tcBorders>
              <w:top w:val="nil"/>
              <w:bottom w:val="nil"/>
              <w:right w:val="single" w:sz="6" w:space="0" w:color="140034"/>
            </w:tcBorders>
            <w:shd w:val="clear" w:color="auto" w:fill="140034"/>
          </w:tcPr>
          <w:p w14:paraId="4FA7E2EF" w14:textId="54A33210" w:rsidR="001A2E8E" w:rsidRDefault="001A2E8E" w:rsidP="001A2E8E">
            <w:pPr>
              <w:pStyle w:val="Tablecolumnheadings"/>
            </w:pPr>
            <w:r>
              <w:t>Comment</w:t>
            </w:r>
          </w:p>
        </w:tc>
      </w:tr>
      <w:tr w:rsidR="00CB3E34" w14:paraId="0BBA0EF1" w14:textId="77777777" w:rsidTr="0080377C">
        <w:trPr>
          <w:gridBefore w:val="1"/>
          <w:gridAfter w:val="1"/>
          <w:wBefore w:w="454" w:type="dxa"/>
          <w:wAfter w:w="6" w:type="dxa"/>
        </w:trPr>
        <w:tc>
          <w:tcPr>
            <w:tcW w:w="10034" w:type="dxa"/>
            <w:gridSpan w:val="4"/>
            <w:tcBorders>
              <w:top w:val="nil"/>
            </w:tcBorders>
            <w:shd w:val="clear" w:color="auto" w:fill="D5EBDA" w:themeFill="accent6" w:themeFillTint="33"/>
          </w:tcPr>
          <w:p w14:paraId="79B76567" w14:textId="6675048B" w:rsidR="00CB3E34" w:rsidRPr="001A2E8E" w:rsidRDefault="00CB3E34" w:rsidP="001A2E8E">
            <w:pPr>
              <w:pStyle w:val="Tabletext"/>
              <w:rPr>
                <w:b/>
                <w:bCs/>
              </w:rPr>
            </w:pPr>
            <w:r w:rsidRPr="001A2E8E">
              <w:rPr>
                <w:b/>
                <w:bCs/>
              </w:rPr>
              <w:t xml:space="preserve">Average cost of wreck removal </w:t>
            </w:r>
            <w:r w:rsidR="00D410E5">
              <w:rPr>
                <w:b/>
                <w:bCs/>
              </w:rPr>
              <w:t xml:space="preserve">operations </w:t>
            </w:r>
            <w:r>
              <w:rPr>
                <w:b/>
                <w:bCs/>
              </w:rPr>
              <w:t xml:space="preserve">by </w:t>
            </w:r>
            <w:r w:rsidRPr="001A2E8E">
              <w:rPr>
                <w:b/>
                <w:bCs/>
              </w:rPr>
              <w:t>type of ship</w:t>
            </w:r>
          </w:p>
        </w:tc>
      </w:tr>
      <w:tr w:rsidR="00CB3E34" w14:paraId="09FA26A3" w14:textId="77777777" w:rsidTr="0080377C">
        <w:trPr>
          <w:gridBefore w:val="1"/>
          <w:wBefore w:w="454" w:type="dxa"/>
        </w:trPr>
        <w:tc>
          <w:tcPr>
            <w:tcW w:w="2105" w:type="dxa"/>
            <w:shd w:val="clear" w:color="auto" w:fill="auto"/>
          </w:tcPr>
          <w:p w14:paraId="3DC7CE63" w14:textId="0216985E" w:rsidR="00CB3E34" w:rsidRDefault="00CB3E34" w:rsidP="00CB3E34">
            <w:pPr>
              <w:pStyle w:val="Tablelistbullet"/>
            </w:pPr>
            <w:r w:rsidRPr="00F42A9A">
              <w:t>Bulk carriers</w:t>
            </w:r>
          </w:p>
        </w:tc>
        <w:tc>
          <w:tcPr>
            <w:tcW w:w="2410" w:type="dxa"/>
            <w:shd w:val="clear" w:color="auto" w:fill="auto"/>
          </w:tcPr>
          <w:p w14:paraId="354590E5" w14:textId="6A8F82E8" w:rsidR="00CB3E34" w:rsidRDefault="00CB3E34" w:rsidP="00CB3E34">
            <w:pPr>
              <w:pStyle w:val="Tabletext"/>
            </w:pPr>
            <w:r>
              <w:t>$</w:t>
            </w:r>
            <w:r w:rsidRPr="009C4D98">
              <w:t>100</w:t>
            </w:r>
            <w:r>
              <w:t> million</w:t>
            </w:r>
          </w:p>
        </w:tc>
        <w:tc>
          <w:tcPr>
            <w:tcW w:w="1134" w:type="dxa"/>
            <w:shd w:val="clear" w:color="auto" w:fill="auto"/>
          </w:tcPr>
          <w:p w14:paraId="48D46E5E" w14:textId="0BEC81F6" w:rsidR="00CB3E34" w:rsidRDefault="00CB3E34" w:rsidP="00CB3E34">
            <w:pPr>
              <w:pStyle w:val="Tabletext"/>
            </w:pPr>
            <w:r>
              <w:t>ACIL Allen</w:t>
            </w:r>
          </w:p>
        </w:tc>
        <w:tc>
          <w:tcPr>
            <w:tcW w:w="4391" w:type="dxa"/>
            <w:gridSpan w:val="2"/>
            <w:shd w:val="clear" w:color="auto" w:fill="auto"/>
          </w:tcPr>
          <w:p w14:paraId="189AE970" w14:textId="2B3E1474" w:rsidR="00CB3E34" w:rsidRDefault="00CB3E34" w:rsidP="0024532C">
            <w:pPr>
              <w:pStyle w:val="Tabletext"/>
            </w:pPr>
            <w:r>
              <w:t>Based on</w:t>
            </w:r>
            <w:r w:rsidR="0024532C">
              <w:t xml:space="preserve"> average</w:t>
            </w:r>
            <w:r>
              <w:t xml:space="preserve"> </w:t>
            </w:r>
            <w:r w:rsidR="0024532C">
              <w:t>gross tonnage</w:t>
            </w:r>
            <w:r>
              <w:t xml:space="preserve"> of international trading ship</w:t>
            </w:r>
          </w:p>
        </w:tc>
      </w:tr>
      <w:tr w:rsidR="00CB3E34" w14:paraId="2BEF30B3" w14:textId="77777777" w:rsidTr="0080377C">
        <w:trPr>
          <w:gridBefore w:val="1"/>
          <w:wBefore w:w="454" w:type="dxa"/>
        </w:trPr>
        <w:tc>
          <w:tcPr>
            <w:tcW w:w="2105" w:type="dxa"/>
            <w:shd w:val="clear" w:color="auto" w:fill="auto"/>
          </w:tcPr>
          <w:p w14:paraId="581ECADE" w14:textId="280444CB" w:rsidR="00CB3E34" w:rsidRDefault="00CB3E34" w:rsidP="00CB3E34">
            <w:pPr>
              <w:pStyle w:val="Tablelistbullet"/>
            </w:pPr>
            <w:r w:rsidRPr="00F42A9A">
              <w:t>Chemical tankers</w:t>
            </w:r>
          </w:p>
        </w:tc>
        <w:tc>
          <w:tcPr>
            <w:tcW w:w="2410" w:type="dxa"/>
            <w:shd w:val="clear" w:color="auto" w:fill="auto"/>
          </w:tcPr>
          <w:p w14:paraId="30599039" w14:textId="7DC4AAD5" w:rsidR="00CB3E34" w:rsidRDefault="00CB3E34" w:rsidP="00CB3E34">
            <w:pPr>
              <w:pStyle w:val="Tabletext"/>
            </w:pPr>
            <w:r>
              <w:t>$</w:t>
            </w:r>
            <w:r w:rsidRPr="009C4D98">
              <w:t>15</w:t>
            </w:r>
            <w:r>
              <w:t> million</w:t>
            </w:r>
          </w:p>
        </w:tc>
        <w:tc>
          <w:tcPr>
            <w:tcW w:w="1134" w:type="dxa"/>
            <w:shd w:val="clear" w:color="auto" w:fill="auto"/>
          </w:tcPr>
          <w:p w14:paraId="76FEB1EC" w14:textId="72023CAC" w:rsidR="00CB3E34" w:rsidRDefault="002E1F9C" w:rsidP="00CB3E34">
            <w:pPr>
              <w:pStyle w:val="Tabletext"/>
            </w:pPr>
            <w:r>
              <w:t>ACIL Allen</w:t>
            </w:r>
          </w:p>
        </w:tc>
        <w:tc>
          <w:tcPr>
            <w:tcW w:w="4391" w:type="dxa"/>
            <w:gridSpan w:val="2"/>
            <w:shd w:val="clear" w:color="auto" w:fill="auto"/>
          </w:tcPr>
          <w:p w14:paraId="23FC950F" w14:textId="187C81DF" w:rsidR="00CB3E34" w:rsidRDefault="00CB3E34" w:rsidP="00CB3E34">
            <w:pPr>
              <w:pStyle w:val="Tabletext"/>
            </w:pPr>
            <w:r>
              <w:t xml:space="preserve">Based on </w:t>
            </w:r>
            <w:r w:rsidR="0024532C">
              <w:t xml:space="preserve">average gross tonnage </w:t>
            </w:r>
            <w:r>
              <w:t>of international trading ship</w:t>
            </w:r>
          </w:p>
        </w:tc>
      </w:tr>
      <w:tr w:rsidR="00CB3E34" w14:paraId="0BA0A593" w14:textId="77777777" w:rsidTr="0080377C">
        <w:trPr>
          <w:gridBefore w:val="1"/>
          <w:wBefore w:w="454" w:type="dxa"/>
        </w:trPr>
        <w:tc>
          <w:tcPr>
            <w:tcW w:w="2105" w:type="dxa"/>
            <w:shd w:val="clear" w:color="auto" w:fill="auto"/>
          </w:tcPr>
          <w:p w14:paraId="3EB300F9" w14:textId="2F62724F" w:rsidR="00CB3E34" w:rsidRDefault="00CB3E34" w:rsidP="00CB3E34">
            <w:pPr>
              <w:pStyle w:val="Tablelistbullet"/>
            </w:pPr>
            <w:r w:rsidRPr="00F42A9A">
              <w:t>Container carriers</w:t>
            </w:r>
          </w:p>
        </w:tc>
        <w:tc>
          <w:tcPr>
            <w:tcW w:w="2410" w:type="dxa"/>
            <w:shd w:val="clear" w:color="auto" w:fill="auto"/>
          </w:tcPr>
          <w:p w14:paraId="74391517" w14:textId="3B178183" w:rsidR="00CB3E34" w:rsidRDefault="00CB3E34" w:rsidP="00CB3E34">
            <w:pPr>
              <w:pStyle w:val="Tabletext"/>
            </w:pPr>
            <w:r>
              <w:t>$</w:t>
            </w:r>
            <w:r w:rsidRPr="009C4D98">
              <w:t>20</w:t>
            </w:r>
            <w:r>
              <w:t> million</w:t>
            </w:r>
          </w:p>
        </w:tc>
        <w:tc>
          <w:tcPr>
            <w:tcW w:w="1134" w:type="dxa"/>
            <w:shd w:val="clear" w:color="auto" w:fill="auto"/>
          </w:tcPr>
          <w:p w14:paraId="4CEAFBE1" w14:textId="22B33754" w:rsidR="00CB3E34" w:rsidRDefault="002E1F9C" w:rsidP="00CB3E34">
            <w:pPr>
              <w:pStyle w:val="Tabletext"/>
            </w:pPr>
            <w:r>
              <w:t>AMSA data</w:t>
            </w:r>
          </w:p>
        </w:tc>
        <w:tc>
          <w:tcPr>
            <w:tcW w:w="4391" w:type="dxa"/>
            <w:gridSpan w:val="2"/>
            <w:shd w:val="clear" w:color="auto" w:fill="auto"/>
          </w:tcPr>
          <w:p w14:paraId="6DCDCF8F" w14:textId="1EF79654" w:rsidR="00CB3E34" w:rsidRDefault="001C1457" w:rsidP="00CB3E34">
            <w:pPr>
              <w:pStyle w:val="Tabletext"/>
            </w:pPr>
            <w:r>
              <w:t>Average of r</w:t>
            </w:r>
            <w:r w:rsidR="00CB3E34">
              <w:t>ecent incidents reported in Table 3.6</w:t>
            </w:r>
          </w:p>
        </w:tc>
      </w:tr>
      <w:tr w:rsidR="00CB3E34" w14:paraId="7B90ADDE" w14:textId="77777777" w:rsidTr="0080377C">
        <w:trPr>
          <w:gridBefore w:val="1"/>
          <w:wBefore w:w="454" w:type="dxa"/>
        </w:trPr>
        <w:tc>
          <w:tcPr>
            <w:tcW w:w="2105" w:type="dxa"/>
            <w:shd w:val="clear" w:color="auto" w:fill="auto"/>
          </w:tcPr>
          <w:p w14:paraId="774606C8" w14:textId="0C953E7B" w:rsidR="00CB3E34" w:rsidRDefault="00CB3E34" w:rsidP="00CB3E34">
            <w:pPr>
              <w:pStyle w:val="Tablelistbullet"/>
            </w:pPr>
            <w:r w:rsidRPr="00F42A9A">
              <w:t>General cargo ships</w:t>
            </w:r>
          </w:p>
        </w:tc>
        <w:tc>
          <w:tcPr>
            <w:tcW w:w="2410" w:type="dxa"/>
            <w:shd w:val="clear" w:color="auto" w:fill="auto"/>
          </w:tcPr>
          <w:p w14:paraId="547F291B" w14:textId="7D4A080B" w:rsidR="00CB3E34" w:rsidRDefault="00CB3E34" w:rsidP="00CB3E34">
            <w:pPr>
              <w:pStyle w:val="Tabletext"/>
            </w:pPr>
            <w:r>
              <w:t>$</w:t>
            </w:r>
            <w:r w:rsidRPr="009C4D98">
              <w:t>20</w:t>
            </w:r>
            <w:r>
              <w:t> million</w:t>
            </w:r>
          </w:p>
        </w:tc>
        <w:tc>
          <w:tcPr>
            <w:tcW w:w="1134" w:type="dxa"/>
            <w:shd w:val="clear" w:color="auto" w:fill="auto"/>
          </w:tcPr>
          <w:p w14:paraId="2D58D3CA" w14:textId="272B290E" w:rsidR="00CB3E34" w:rsidRDefault="00CB3E34" w:rsidP="00CB3E34">
            <w:pPr>
              <w:pStyle w:val="Tabletext"/>
            </w:pPr>
            <w:r w:rsidRPr="00364D93">
              <w:t>ACIL Allen</w:t>
            </w:r>
          </w:p>
        </w:tc>
        <w:tc>
          <w:tcPr>
            <w:tcW w:w="4391" w:type="dxa"/>
            <w:gridSpan w:val="2"/>
            <w:shd w:val="clear" w:color="auto" w:fill="auto"/>
          </w:tcPr>
          <w:p w14:paraId="43C1C433" w14:textId="24BDC891" w:rsidR="00CB3E34" w:rsidRDefault="00CB3E34" w:rsidP="00CB3E34">
            <w:pPr>
              <w:pStyle w:val="Tabletext"/>
            </w:pPr>
            <w:r w:rsidRPr="007D0DC5">
              <w:t xml:space="preserve">Based on </w:t>
            </w:r>
            <w:r w:rsidR="0024532C">
              <w:t xml:space="preserve">average gross tonnage </w:t>
            </w:r>
            <w:r w:rsidRPr="007D0DC5">
              <w:t>of international trading ship</w:t>
            </w:r>
          </w:p>
        </w:tc>
      </w:tr>
      <w:tr w:rsidR="00CB3E34" w14:paraId="186D88D8" w14:textId="77777777" w:rsidTr="0080377C">
        <w:trPr>
          <w:gridBefore w:val="1"/>
          <w:wBefore w:w="454" w:type="dxa"/>
        </w:trPr>
        <w:tc>
          <w:tcPr>
            <w:tcW w:w="2105" w:type="dxa"/>
            <w:shd w:val="clear" w:color="auto" w:fill="auto"/>
          </w:tcPr>
          <w:p w14:paraId="3FC12D64" w14:textId="6958DC6C" w:rsidR="00CB3E34" w:rsidRDefault="00CB3E34" w:rsidP="00CB3E34">
            <w:pPr>
              <w:pStyle w:val="Tablelistbullet"/>
            </w:pPr>
            <w:r w:rsidRPr="00F42A9A">
              <w:lastRenderedPageBreak/>
              <w:t>LNG tankers</w:t>
            </w:r>
          </w:p>
        </w:tc>
        <w:tc>
          <w:tcPr>
            <w:tcW w:w="2410" w:type="dxa"/>
            <w:shd w:val="clear" w:color="auto" w:fill="auto"/>
          </w:tcPr>
          <w:p w14:paraId="70F71B15" w14:textId="0C09876C" w:rsidR="00CB3E34" w:rsidRDefault="00CB3E34" w:rsidP="00CB3E34">
            <w:pPr>
              <w:pStyle w:val="Tabletext"/>
            </w:pPr>
            <w:r>
              <w:t>$</w:t>
            </w:r>
            <w:r w:rsidRPr="009C4D98">
              <w:t>45</w:t>
            </w:r>
            <w:r>
              <w:t> million</w:t>
            </w:r>
          </w:p>
        </w:tc>
        <w:tc>
          <w:tcPr>
            <w:tcW w:w="1134" w:type="dxa"/>
            <w:shd w:val="clear" w:color="auto" w:fill="auto"/>
          </w:tcPr>
          <w:p w14:paraId="52D6F8F4" w14:textId="3DD2B502" w:rsidR="00CB3E34" w:rsidRDefault="00CB3E34" w:rsidP="00CB3E34">
            <w:pPr>
              <w:pStyle w:val="Tabletext"/>
            </w:pPr>
            <w:r w:rsidRPr="00364D93">
              <w:t>ACIL Allen</w:t>
            </w:r>
          </w:p>
        </w:tc>
        <w:tc>
          <w:tcPr>
            <w:tcW w:w="4391" w:type="dxa"/>
            <w:gridSpan w:val="2"/>
            <w:shd w:val="clear" w:color="auto" w:fill="auto"/>
          </w:tcPr>
          <w:p w14:paraId="1C197A17" w14:textId="0F446E78" w:rsidR="00CB3E34" w:rsidRDefault="00CB3E34" w:rsidP="00CB3E34">
            <w:pPr>
              <w:pStyle w:val="Tabletext"/>
            </w:pPr>
            <w:r w:rsidRPr="007D0DC5">
              <w:t xml:space="preserve">Based on </w:t>
            </w:r>
            <w:r w:rsidR="0024532C">
              <w:t xml:space="preserve">average gross tonnage </w:t>
            </w:r>
            <w:r w:rsidRPr="007D0DC5">
              <w:t>of international trading ship</w:t>
            </w:r>
          </w:p>
        </w:tc>
      </w:tr>
      <w:tr w:rsidR="00CB3E34" w14:paraId="20F0461D" w14:textId="77777777" w:rsidTr="0080377C">
        <w:trPr>
          <w:gridBefore w:val="1"/>
          <w:wBefore w:w="454" w:type="dxa"/>
        </w:trPr>
        <w:tc>
          <w:tcPr>
            <w:tcW w:w="2105" w:type="dxa"/>
            <w:shd w:val="clear" w:color="auto" w:fill="auto"/>
          </w:tcPr>
          <w:p w14:paraId="2E9AC94B" w14:textId="3CC041EF" w:rsidR="00CB3E34" w:rsidRDefault="00CB3E34" w:rsidP="00CB3E34">
            <w:pPr>
              <w:pStyle w:val="Tablelistbullet"/>
            </w:pPr>
            <w:r w:rsidRPr="00F42A9A">
              <w:t>LPG tankers</w:t>
            </w:r>
          </w:p>
        </w:tc>
        <w:tc>
          <w:tcPr>
            <w:tcW w:w="2410" w:type="dxa"/>
            <w:shd w:val="clear" w:color="auto" w:fill="auto"/>
          </w:tcPr>
          <w:p w14:paraId="032918CB" w14:textId="4125AF46" w:rsidR="00CB3E34" w:rsidRDefault="00CB3E34" w:rsidP="00CB3E34">
            <w:pPr>
              <w:pStyle w:val="Tabletext"/>
            </w:pPr>
            <w:r>
              <w:t>$</w:t>
            </w:r>
            <w:r w:rsidR="00773DF9">
              <w:t>10</w:t>
            </w:r>
            <w:r>
              <w:t> million</w:t>
            </w:r>
          </w:p>
        </w:tc>
        <w:tc>
          <w:tcPr>
            <w:tcW w:w="1134" w:type="dxa"/>
            <w:shd w:val="clear" w:color="auto" w:fill="auto"/>
          </w:tcPr>
          <w:p w14:paraId="5AA8CF5A" w14:textId="5776ED09" w:rsidR="00CB3E34" w:rsidRDefault="00CB3E34" w:rsidP="00CB3E34">
            <w:pPr>
              <w:pStyle w:val="Tabletext"/>
            </w:pPr>
            <w:r w:rsidRPr="00364D93">
              <w:t>ACIL Allen</w:t>
            </w:r>
          </w:p>
        </w:tc>
        <w:tc>
          <w:tcPr>
            <w:tcW w:w="4391" w:type="dxa"/>
            <w:gridSpan w:val="2"/>
            <w:shd w:val="clear" w:color="auto" w:fill="auto"/>
          </w:tcPr>
          <w:p w14:paraId="1927A4F7" w14:textId="72F6586C" w:rsidR="00CB3E34" w:rsidRDefault="00CB3E34" w:rsidP="00CB3E34">
            <w:pPr>
              <w:pStyle w:val="Tabletext"/>
            </w:pPr>
            <w:r w:rsidRPr="007D0DC5">
              <w:t>Based on</w:t>
            </w:r>
            <w:r w:rsidR="0024532C">
              <w:t xml:space="preserve"> average</w:t>
            </w:r>
            <w:r w:rsidRPr="007D0DC5">
              <w:t xml:space="preserve"> </w:t>
            </w:r>
            <w:r w:rsidR="0024532C">
              <w:t xml:space="preserve">gross tonnage </w:t>
            </w:r>
            <w:r w:rsidRPr="007D0DC5">
              <w:t>of international trading ship</w:t>
            </w:r>
          </w:p>
        </w:tc>
      </w:tr>
      <w:tr w:rsidR="00CB3E34" w14:paraId="3D6B65EB" w14:textId="77777777" w:rsidTr="0080377C">
        <w:trPr>
          <w:gridBefore w:val="1"/>
          <w:wBefore w:w="454" w:type="dxa"/>
        </w:trPr>
        <w:tc>
          <w:tcPr>
            <w:tcW w:w="2105" w:type="dxa"/>
            <w:shd w:val="clear" w:color="auto" w:fill="auto"/>
          </w:tcPr>
          <w:p w14:paraId="74DC99EB" w14:textId="538ABE43" w:rsidR="00CB3E34" w:rsidRDefault="00CB3E34" w:rsidP="00CB3E34">
            <w:pPr>
              <w:pStyle w:val="Tablelistbullet"/>
            </w:pPr>
            <w:r w:rsidRPr="00F42A9A">
              <w:t>Livestock carriers</w:t>
            </w:r>
          </w:p>
        </w:tc>
        <w:tc>
          <w:tcPr>
            <w:tcW w:w="2410" w:type="dxa"/>
            <w:shd w:val="clear" w:color="auto" w:fill="auto"/>
          </w:tcPr>
          <w:p w14:paraId="4E09CDD9" w14:textId="32F8B019" w:rsidR="00CB3E34" w:rsidRDefault="00CB3E34" w:rsidP="00CB3E34">
            <w:pPr>
              <w:pStyle w:val="Tabletext"/>
            </w:pPr>
            <w:r>
              <w:t>$</w:t>
            </w:r>
            <w:r w:rsidRPr="009C4D98">
              <w:t>20</w:t>
            </w:r>
            <w:r>
              <w:t> million</w:t>
            </w:r>
          </w:p>
        </w:tc>
        <w:tc>
          <w:tcPr>
            <w:tcW w:w="1134" w:type="dxa"/>
            <w:shd w:val="clear" w:color="auto" w:fill="auto"/>
          </w:tcPr>
          <w:p w14:paraId="692AD2E0" w14:textId="08704DE9" w:rsidR="00CB3E34" w:rsidRDefault="00CB3E34" w:rsidP="00CB3E34">
            <w:pPr>
              <w:pStyle w:val="Tabletext"/>
            </w:pPr>
            <w:r w:rsidRPr="00364D93">
              <w:t>ACIL Allen</w:t>
            </w:r>
          </w:p>
        </w:tc>
        <w:tc>
          <w:tcPr>
            <w:tcW w:w="4391" w:type="dxa"/>
            <w:gridSpan w:val="2"/>
            <w:shd w:val="clear" w:color="auto" w:fill="auto"/>
          </w:tcPr>
          <w:p w14:paraId="2AE8BB6F" w14:textId="3F81B0A3" w:rsidR="00CB3E34" w:rsidRDefault="00CB3E34" w:rsidP="00CB3E34">
            <w:pPr>
              <w:pStyle w:val="Tabletext"/>
            </w:pPr>
            <w:r w:rsidRPr="007D0DC5">
              <w:t>Based on</w:t>
            </w:r>
            <w:r w:rsidR="0024532C">
              <w:t xml:space="preserve"> average</w:t>
            </w:r>
            <w:r w:rsidRPr="007D0DC5">
              <w:t xml:space="preserve"> </w:t>
            </w:r>
            <w:r w:rsidR="0024532C">
              <w:t xml:space="preserve">gross tonnage </w:t>
            </w:r>
            <w:r w:rsidRPr="007D0DC5">
              <w:t>of international trading ship</w:t>
            </w:r>
          </w:p>
        </w:tc>
      </w:tr>
      <w:tr w:rsidR="00CB3E34" w14:paraId="211B9F95" w14:textId="77777777" w:rsidTr="0080377C">
        <w:trPr>
          <w:gridBefore w:val="1"/>
          <w:wBefore w:w="454" w:type="dxa"/>
        </w:trPr>
        <w:tc>
          <w:tcPr>
            <w:tcW w:w="2105" w:type="dxa"/>
            <w:shd w:val="clear" w:color="auto" w:fill="auto"/>
          </w:tcPr>
          <w:p w14:paraId="2D224943" w14:textId="0CB1ED08" w:rsidR="00CB3E34" w:rsidRPr="0007417F" w:rsidRDefault="00CB3E34" w:rsidP="00CB3E34">
            <w:pPr>
              <w:pStyle w:val="Tablelistbullet"/>
            </w:pPr>
            <w:r w:rsidRPr="00F42A9A">
              <w:t>Tankers</w:t>
            </w:r>
          </w:p>
        </w:tc>
        <w:tc>
          <w:tcPr>
            <w:tcW w:w="2410" w:type="dxa"/>
            <w:shd w:val="clear" w:color="auto" w:fill="auto"/>
          </w:tcPr>
          <w:p w14:paraId="17616B6E" w14:textId="323C518C" w:rsidR="00CB3E34" w:rsidRDefault="00CB3E34" w:rsidP="00CB3E34">
            <w:pPr>
              <w:pStyle w:val="Tabletext"/>
            </w:pPr>
            <w:r>
              <w:t>$</w:t>
            </w:r>
            <w:r w:rsidRPr="009C4D98">
              <w:t>25</w:t>
            </w:r>
            <w:r>
              <w:t> million</w:t>
            </w:r>
          </w:p>
        </w:tc>
        <w:tc>
          <w:tcPr>
            <w:tcW w:w="1134" w:type="dxa"/>
            <w:shd w:val="clear" w:color="auto" w:fill="auto"/>
          </w:tcPr>
          <w:p w14:paraId="0F631782" w14:textId="74FF5E43" w:rsidR="00CB3E34" w:rsidRPr="00364D93" w:rsidRDefault="00CB3E34" w:rsidP="00CB3E34">
            <w:pPr>
              <w:pStyle w:val="Tabletext"/>
            </w:pPr>
            <w:r w:rsidRPr="00364D93">
              <w:t>ACIL Allen</w:t>
            </w:r>
          </w:p>
        </w:tc>
        <w:tc>
          <w:tcPr>
            <w:tcW w:w="4391" w:type="dxa"/>
            <w:gridSpan w:val="2"/>
            <w:shd w:val="clear" w:color="auto" w:fill="auto"/>
          </w:tcPr>
          <w:p w14:paraId="678980B5" w14:textId="20DAE892" w:rsidR="00CB3E34" w:rsidRPr="007D0DC5" w:rsidRDefault="00CB3E34" w:rsidP="0024532C">
            <w:pPr>
              <w:pStyle w:val="Tabletext"/>
            </w:pPr>
            <w:r w:rsidRPr="007D0DC5">
              <w:t>Based on</w:t>
            </w:r>
            <w:r w:rsidR="0024532C">
              <w:t xml:space="preserve"> average</w:t>
            </w:r>
            <w:r w:rsidRPr="007D0DC5">
              <w:t xml:space="preserve"> </w:t>
            </w:r>
            <w:r w:rsidR="0024532C">
              <w:t xml:space="preserve">gross tonnage </w:t>
            </w:r>
            <w:r w:rsidRPr="007D0DC5">
              <w:t>of international trading ship</w:t>
            </w:r>
          </w:p>
        </w:tc>
      </w:tr>
      <w:tr w:rsidR="00CB3E34" w14:paraId="7F091A73" w14:textId="77777777" w:rsidTr="0080377C">
        <w:trPr>
          <w:gridBefore w:val="1"/>
          <w:wBefore w:w="454" w:type="dxa"/>
        </w:trPr>
        <w:tc>
          <w:tcPr>
            <w:tcW w:w="2105" w:type="dxa"/>
            <w:shd w:val="clear" w:color="auto" w:fill="auto"/>
          </w:tcPr>
          <w:p w14:paraId="5D5A1E35" w14:textId="20DEF378" w:rsidR="00CB3E34" w:rsidRPr="0007417F" w:rsidRDefault="00CB3E34" w:rsidP="00CB3E34">
            <w:pPr>
              <w:pStyle w:val="Tablelistbullet"/>
            </w:pPr>
            <w:r w:rsidRPr="00F42A9A">
              <w:t>Vehicle carriers</w:t>
            </w:r>
          </w:p>
        </w:tc>
        <w:tc>
          <w:tcPr>
            <w:tcW w:w="2410" w:type="dxa"/>
            <w:shd w:val="clear" w:color="auto" w:fill="auto"/>
          </w:tcPr>
          <w:p w14:paraId="6545C64C" w14:textId="44CE2912" w:rsidR="00CB3E34" w:rsidRDefault="00CB3E34" w:rsidP="00CB3E34">
            <w:pPr>
              <w:pStyle w:val="Tabletext"/>
            </w:pPr>
            <w:r>
              <w:t>$</w:t>
            </w:r>
            <w:r w:rsidRPr="009C4D98">
              <w:t>20</w:t>
            </w:r>
            <w:r>
              <w:t> million</w:t>
            </w:r>
          </w:p>
        </w:tc>
        <w:tc>
          <w:tcPr>
            <w:tcW w:w="1134" w:type="dxa"/>
            <w:shd w:val="clear" w:color="auto" w:fill="auto"/>
          </w:tcPr>
          <w:p w14:paraId="40D532CB" w14:textId="6392C572" w:rsidR="00CB3E34" w:rsidRPr="00364D93" w:rsidRDefault="00CB3E34" w:rsidP="00CB3E34">
            <w:pPr>
              <w:pStyle w:val="Tabletext"/>
            </w:pPr>
            <w:r w:rsidRPr="00364D93">
              <w:t>ACIL Allen</w:t>
            </w:r>
          </w:p>
        </w:tc>
        <w:tc>
          <w:tcPr>
            <w:tcW w:w="4391" w:type="dxa"/>
            <w:gridSpan w:val="2"/>
            <w:shd w:val="clear" w:color="auto" w:fill="auto"/>
          </w:tcPr>
          <w:p w14:paraId="4E0A5FC6" w14:textId="53ACFCE9" w:rsidR="00CB3E34" w:rsidRPr="007D0DC5" w:rsidRDefault="00CB3E34" w:rsidP="0024532C">
            <w:pPr>
              <w:pStyle w:val="Tabletext"/>
            </w:pPr>
            <w:r w:rsidRPr="007D0DC5">
              <w:t>Based o</w:t>
            </w:r>
            <w:r w:rsidR="0024532C">
              <w:t>n average</w:t>
            </w:r>
            <w:r w:rsidRPr="007D0DC5">
              <w:t xml:space="preserve"> </w:t>
            </w:r>
            <w:r w:rsidR="0024532C">
              <w:t xml:space="preserve">gross tonnage </w:t>
            </w:r>
            <w:r w:rsidRPr="007D0DC5">
              <w:t>of international trading ship</w:t>
            </w:r>
          </w:p>
        </w:tc>
      </w:tr>
      <w:tr w:rsidR="00225087" w14:paraId="4C14E851" w14:textId="77777777" w:rsidTr="0080377C">
        <w:trPr>
          <w:gridBefore w:val="1"/>
          <w:wBefore w:w="454" w:type="dxa"/>
        </w:trPr>
        <w:tc>
          <w:tcPr>
            <w:tcW w:w="2105" w:type="dxa"/>
            <w:shd w:val="clear" w:color="auto" w:fill="auto"/>
          </w:tcPr>
          <w:p w14:paraId="7C5EBE80" w14:textId="60691B82" w:rsidR="00225087" w:rsidRDefault="00225087" w:rsidP="00225087">
            <w:pPr>
              <w:pStyle w:val="Tablelistbullet"/>
            </w:pPr>
            <w:r w:rsidRPr="0007417F">
              <w:t>DCV</w:t>
            </w:r>
          </w:p>
        </w:tc>
        <w:tc>
          <w:tcPr>
            <w:tcW w:w="2410" w:type="dxa"/>
            <w:shd w:val="clear" w:color="auto" w:fill="auto"/>
          </w:tcPr>
          <w:p w14:paraId="59BF353A" w14:textId="07426875" w:rsidR="00225087" w:rsidRDefault="00225087" w:rsidP="00225087">
            <w:pPr>
              <w:pStyle w:val="Tabletext"/>
            </w:pPr>
            <w:r>
              <w:t>$</w:t>
            </w:r>
            <w:r w:rsidR="007D2144">
              <w:t>0.015</w:t>
            </w:r>
            <w:r>
              <w:t> million</w:t>
            </w:r>
          </w:p>
        </w:tc>
        <w:tc>
          <w:tcPr>
            <w:tcW w:w="1134" w:type="dxa"/>
            <w:shd w:val="clear" w:color="auto" w:fill="auto"/>
          </w:tcPr>
          <w:p w14:paraId="1769CE4F" w14:textId="136F460F" w:rsidR="00225087" w:rsidRDefault="008D419C" w:rsidP="00225087">
            <w:pPr>
              <w:pStyle w:val="Tabletext"/>
            </w:pPr>
            <w:r>
              <w:t>MSQ</w:t>
            </w:r>
          </w:p>
        </w:tc>
        <w:tc>
          <w:tcPr>
            <w:tcW w:w="4391" w:type="dxa"/>
            <w:gridSpan w:val="2"/>
            <w:shd w:val="clear" w:color="auto" w:fill="auto"/>
          </w:tcPr>
          <w:p w14:paraId="511C772D" w14:textId="48949D1A" w:rsidR="00225087" w:rsidRDefault="0070035D" w:rsidP="00225087">
            <w:pPr>
              <w:pStyle w:val="Tabletext"/>
            </w:pPr>
            <w:r>
              <w:t>Maritime</w:t>
            </w:r>
            <w:r w:rsidR="008D419C">
              <w:t xml:space="preserve"> Safety Queensland (MSQ), Report on War on Wrecks 2019</w:t>
            </w:r>
          </w:p>
        </w:tc>
      </w:tr>
      <w:tr w:rsidR="00CB3E34" w14:paraId="6ECB2745" w14:textId="77777777" w:rsidTr="0080377C">
        <w:trPr>
          <w:gridBefore w:val="1"/>
          <w:gridAfter w:val="1"/>
          <w:wBefore w:w="454" w:type="dxa"/>
          <w:wAfter w:w="6" w:type="dxa"/>
        </w:trPr>
        <w:tc>
          <w:tcPr>
            <w:tcW w:w="10034" w:type="dxa"/>
            <w:gridSpan w:val="4"/>
            <w:shd w:val="clear" w:color="auto" w:fill="D5EBDA" w:themeFill="accent6" w:themeFillTint="33"/>
          </w:tcPr>
          <w:p w14:paraId="13062BCE" w14:textId="323C3C7C" w:rsidR="00CB3E34" w:rsidRDefault="00CB3E34" w:rsidP="001A2E8E">
            <w:pPr>
              <w:pStyle w:val="Tabletext"/>
            </w:pPr>
            <w:r w:rsidRPr="001A2E8E">
              <w:rPr>
                <w:b/>
                <w:bCs/>
              </w:rPr>
              <w:t>Average cost of wreck removal</w:t>
            </w:r>
            <w:r>
              <w:rPr>
                <w:b/>
                <w:bCs/>
              </w:rPr>
              <w:t xml:space="preserve"> </w:t>
            </w:r>
            <w:r w:rsidR="00D410E5">
              <w:rPr>
                <w:b/>
                <w:bCs/>
              </w:rPr>
              <w:t xml:space="preserve">operations </w:t>
            </w:r>
            <w:r>
              <w:rPr>
                <w:b/>
                <w:bCs/>
              </w:rPr>
              <w:t>by location</w:t>
            </w:r>
          </w:p>
        </w:tc>
      </w:tr>
      <w:tr w:rsidR="00B13663" w14:paraId="3426AAB0" w14:textId="77777777" w:rsidTr="0080377C">
        <w:trPr>
          <w:gridBefore w:val="1"/>
          <w:wBefore w:w="454" w:type="dxa"/>
        </w:trPr>
        <w:tc>
          <w:tcPr>
            <w:tcW w:w="2105" w:type="dxa"/>
            <w:shd w:val="clear" w:color="auto" w:fill="auto"/>
          </w:tcPr>
          <w:p w14:paraId="789AE756" w14:textId="5224B1AB" w:rsidR="00B13663" w:rsidRDefault="00AC39D4" w:rsidP="00B13663">
            <w:pPr>
              <w:pStyle w:val="Tablelistbullet"/>
            </w:pPr>
            <w:r>
              <w:t xml:space="preserve">Territorial Sea </w:t>
            </w:r>
            <w:r w:rsidR="00B13663" w:rsidRPr="009F2DE3">
              <w:t>(12nm)</w:t>
            </w:r>
          </w:p>
        </w:tc>
        <w:tc>
          <w:tcPr>
            <w:tcW w:w="2410" w:type="dxa"/>
            <w:shd w:val="clear" w:color="auto" w:fill="auto"/>
          </w:tcPr>
          <w:p w14:paraId="69A9B6FE" w14:textId="4E42B03D" w:rsidR="00B13663" w:rsidRDefault="003F0DB9" w:rsidP="00B13663">
            <w:pPr>
              <w:pStyle w:val="Tabletext"/>
            </w:pPr>
            <w:r>
              <w:t>1</w:t>
            </w:r>
            <w:r w:rsidR="00500230">
              <w:t>0</w:t>
            </w:r>
            <w:r>
              <w:t>0%</w:t>
            </w:r>
          </w:p>
        </w:tc>
        <w:tc>
          <w:tcPr>
            <w:tcW w:w="1134" w:type="dxa"/>
            <w:shd w:val="clear" w:color="auto" w:fill="auto"/>
          </w:tcPr>
          <w:p w14:paraId="2EDE1CA5" w14:textId="752DBC21" w:rsidR="00B13663" w:rsidRDefault="00B13663" w:rsidP="00B13663">
            <w:pPr>
              <w:pStyle w:val="Tabletext"/>
            </w:pPr>
            <w:r w:rsidRPr="00364D93">
              <w:t>ACIL Allen</w:t>
            </w:r>
          </w:p>
        </w:tc>
        <w:tc>
          <w:tcPr>
            <w:tcW w:w="4391" w:type="dxa"/>
            <w:gridSpan w:val="2"/>
            <w:shd w:val="clear" w:color="auto" w:fill="auto"/>
          </w:tcPr>
          <w:p w14:paraId="19FDAEC6" w14:textId="57D53742" w:rsidR="00B13663" w:rsidRDefault="00B13663" w:rsidP="00B13663">
            <w:pPr>
              <w:pStyle w:val="Tabletext"/>
            </w:pPr>
            <w:r>
              <w:t>More sensitive areas and higher levels of marine traffic</w:t>
            </w:r>
          </w:p>
        </w:tc>
      </w:tr>
      <w:tr w:rsidR="00B13663" w14:paraId="27094B45" w14:textId="77777777" w:rsidTr="0080377C">
        <w:trPr>
          <w:gridBefore w:val="1"/>
          <w:wBefore w:w="454" w:type="dxa"/>
        </w:trPr>
        <w:tc>
          <w:tcPr>
            <w:tcW w:w="2105" w:type="dxa"/>
            <w:shd w:val="clear" w:color="auto" w:fill="auto"/>
          </w:tcPr>
          <w:p w14:paraId="1B231C7B" w14:textId="0C1FEE5E" w:rsidR="00B13663" w:rsidRDefault="00B13663" w:rsidP="00B13663">
            <w:pPr>
              <w:pStyle w:val="Tablelistbullet"/>
            </w:pPr>
            <w:r w:rsidRPr="009F2DE3">
              <w:t>EEZ (200nm)</w:t>
            </w:r>
          </w:p>
        </w:tc>
        <w:tc>
          <w:tcPr>
            <w:tcW w:w="2410" w:type="dxa"/>
            <w:shd w:val="clear" w:color="auto" w:fill="auto"/>
          </w:tcPr>
          <w:p w14:paraId="2D086038" w14:textId="45BF5C54" w:rsidR="00B13663" w:rsidRDefault="00500230" w:rsidP="00B13663">
            <w:pPr>
              <w:pStyle w:val="Tabletext"/>
            </w:pPr>
            <w:r>
              <w:t>1</w:t>
            </w:r>
            <w:r w:rsidR="002A0687">
              <w:t>2</w:t>
            </w:r>
            <w:r w:rsidR="003F0DB9">
              <w:t>0%</w:t>
            </w:r>
          </w:p>
        </w:tc>
        <w:tc>
          <w:tcPr>
            <w:tcW w:w="1134" w:type="dxa"/>
            <w:shd w:val="clear" w:color="auto" w:fill="auto"/>
          </w:tcPr>
          <w:p w14:paraId="35600D66" w14:textId="769746CE" w:rsidR="00B13663" w:rsidRDefault="00B13663" w:rsidP="00B13663">
            <w:pPr>
              <w:pStyle w:val="Tabletext"/>
            </w:pPr>
            <w:r w:rsidRPr="00364D93">
              <w:t>ACIL Allen</w:t>
            </w:r>
          </w:p>
        </w:tc>
        <w:tc>
          <w:tcPr>
            <w:tcW w:w="4391" w:type="dxa"/>
            <w:gridSpan w:val="2"/>
            <w:shd w:val="clear" w:color="auto" w:fill="auto"/>
          </w:tcPr>
          <w:p w14:paraId="40EEDFB7" w14:textId="6DA7D723" w:rsidR="00B13663" w:rsidRDefault="00B003DB" w:rsidP="0070035D">
            <w:pPr>
              <w:pStyle w:val="Tabletext"/>
            </w:pPr>
            <w:r w:rsidRPr="00B003DB">
              <w:t>Relatively fewer sensitive areas and lower levels of marine traffic but larger area and distance from coast. Foreign vessels currently require financial security for the potential costs that might arise from a wreck. Financial security costs are assumed 1% of total costs</w:t>
            </w:r>
          </w:p>
        </w:tc>
      </w:tr>
      <w:tr w:rsidR="00D410E5" w14:paraId="77063536" w14:textId="77777777" w:rsidTr="0080377C">
        <w:trPr>
          <w:gridBefore w:val="1"/>
          <w:wBefore w:w="454" w:type="dxa"/>
        </w:trPr>
        <w:tc>
          <w:tcPr>
            <w:tcW w:w="4515" w:type="dxa"/>
            <w:gridSpan w:val="2"/>
            <w:shd w:val="clear" w:color="auto" w:fill="D5EBDA" w:themeFill="accent6" w:themeFillTint="33"/>
          </w:tcPr>
          <w:p w14:paraId="76F9DF78" w14:textId="1756321D" w:rsidR="00D410E5" w:rsidRDefault="00773DF9" w:rsidP="003F0DB9">
            <w:pPr>
              <w:pStyle w:val="Tabletext"/>
            </w:pPr>
            <w:r>
              <w:rPr>
                <w:b/>
                <w:bCs/>
              </w:rPr>
              <w:t>Australian Government’s</w:t>
            </w:r>
            <w:r w:rsidR="00D410E5">
              <w:rPr>
                <w:b/>
                <w:bCs/>
              </w:rPr>
              <w:t xml:space="preserve"> cost recovery from shipowner</w:t>
            </w:r>
            <w:r w:rsidR="00E14F73">
              <w:rPr>
                <w:b/>
                <w:bCs/>
              </w:rPr>
              <w:t xml:space="preserve"> </w:t>
            </w:r>
          </w:p>
        </w:tc>
        <w:tc>
          <w:tcPr>
            <w:tcW w:w="1134" w:type="dxa"/>
            <w:shd w:val="clear" w:color="auto" w:fill="D5EBDA" w:themeFill="accent6" w:themeFillTint="33"/>
          </w:tcPr>
          <w:p w14:paraId="6AFF083C" w14:textId="77777777" w:rsidR="00D410E5" w:rsidRDefault="00D410E5" w:rsidP="003F0DB9">
            <w:pPr>
              <w:pStyle w:val="Tabletext"/>
            </w:pPr>
          </w:p>
        </w:tc>
        <w:tc>
          <w:tcPr>
            <w:tcW w:w="4391" w:type="dxa"/>
            <w:gridSpan w:val="2"/>
            <w:shd w:val="clear" w:color="auto" w:fill="D5EBDA" w:themeFill="accent6" w:themeFillTint="33"/>
          </w:tcPr>
          <w:p w14:paraId="54EBD98F" w14:textId="77777777" w:rsidR="00D410E5" w:rsidRDefault="00D410E5" w:rsidP="003F0DB9">
            <w:pPr>
              <w:pStyle w:val="Tabletext"/>
            </w:pPr>
          </w:p>
        </w:tc>
      </w:tr>
      <w:tr w:rsidR="000B2550" w14:paraId="6C2EAA53" w14:textId="77777777" w:rsidTr="0080377C">
        <w:trPr>
          <w:gridBefore w:val="1"/>
          <w:wBefore w:w="454" w:type="dxa"/>
        </w:trPr>
        <w:tc>
          <w:tcPr>
            <w:tcW w:w="2105" w:type="dxa"/>
            <w:shd w:val="clear" w:color="auto" w:fill="auto"/>
          </w:tcPr>
          <w:p w14:paraId="274321D5" w14:textId="75993B6A" w:rsidR="000B2550" w:rsidRDefault="000B2550" w:rsidP="001A2E8E">
            <w:pPr>
              <w:pStyle w:val="Tabletext"/>
            </w:pPr>
            <w:r>
              <w:t>Option 1</w:t>
            </w:r>
          </w:p>
        </w:tc>
        <w:tc>
          <w:tcPr>
            <w:tcW w:w="2410" w:type="dxa"/>
            <w:shd w:val="clear" w:color="auto" w:fill="auto"/>
          </w:tcPr>
          <w:p w14:paraId="5575BDA5" w14:textId="64044C53" w:rsidR="000B2550" w:rsidRDefault="000B2550" w:rsidP="001A2E8E">
            <w:pPr>
              <w:pStyle w:val="Tabletext"/>
            </w:pPr>
            <w:r>
              <w:t>70%</w:t>
            </w:r>
          </w:p>
        </w:tc>
        <w:tc>
          <w:tcPr>
            <w:tcW w:w="1134" w:type="dxa"/>
            <w:shd w:val="clear" w:color="auto" w:fill="auto"/>
          </w:tcPr>
          <w:p w14:paraId="20F957E8" w14:textId="747E473F" w:rsidR="000B2550" w:rsidRDefault="000B2550" w:rsidP="001A2E8E">
            <w:pPr>
              <w:pStyle w:val="Tabletext"/>
            </w:pPr>
            <w:r>
              <w:t>ACIL Allen</w:t>
            </w:r>
          </w:p>
        </w:tc>
        <w:tc>
          <w:tcPr>
            <w:tcW w:w="4391" w:type="dxa"/>
            <w:gridSpan w:val="2"/>
            <w:vMerge w:val="restart"/>
            <w:shd w:val="clear" w:color="auto" w:fill="auto"/>
          </w:tcPr>
          <w:p w14:paraId="18AE2784" w14:textId="5BEF3440" w:rsidR="000B2550" w:rsidRDefault="000B2550" w:rsidP="001A2E8E">
            <w:pPr>
              <w:pStyle w:val="Tabletext"/>
            </w:pPr>
            <w:r>
              <w:t>Based on 2010 UK study.</w:t>
            </w:r>
          </w:p>
        </w:tc>
      </w:tr>
      <w:tr w:rsidR="000B2550" w14:paraId="2CC6338A" w14:textId="77777777" w:rsidTr="0080377C">
        <w:trPr>
          <w:gridBefore w:val="1"/>
          <w:wBefore w:w="454" w:type="dxa"/>
        </w:trPr>
        <w:tc>
          <w:tcPr>
            <w:tcW w:w="2105" w:type="dxa"/>
            <w:shd w:val="clear" w:color="auto" w:fill="auto"/>
          </w:tcPr>
          <w:p w14:paraId="6FB3F1B4" w14:textId="4F55A2BD" w:rsidR="000B2550" w:rsidRDefault="00DD3442" w:rsidP="003F0DB9">
            <w:pPr>
              <w:pStyle w:val="Tabletext"/>
            </w:pPr>
            <w:r>
              <w:t>Option 3</w:t>
            </w:r>
          </w:p>
        </w:tc>
        <w:tc>
          <w:tcPr>
            <w:tcW w:w="2410" w:type="dxa"/>
            <w:shd w:val="clear" w:color="auto" w:fill="auto"/>
          </w:tcPr>
          <w:p w14:paraId="654C7608" w14:textId="71DE63FA" w:rsidR="000B2550" w:rsidRDefault="00EA0A77" w:rsidP="003F0DB9">
            <w:pPr>
              <w:pStyle w:val="Tabletext"/>
            </w:pPr>
            <w:r>
              <w:t>80</w:t>
            </w:r>
            <w:r w:rsidR="000B2550">
              <w:t>%</w:t>
            </w:r>
          </w:p>
        </w:tc>
        <w:tc>
          <w:tcPr>
            <w:tcW w:w="1134" w:type="dxa"/>
            <w:shd w:val="clear" w:color="auto" w:fill="auto"/>
          </w:tcPr>
          <w:p w14:paraId="4159039F" w14:textId="0C7C47BA" w:rsidR="000B2550" w:rsidRDefault="000B2550" w:rsidP="003F0DB9">
            <w:pPr>
              <w:pStyle w:val="Tabletext"/>
            </w:pPr>
            <w:r w:rsidRPr="005A6C8B">
              <w:t>ACIL Allen</w:t>
            </w:r>
          </w:p>
        </w:tc>
        <w:tc>
          <w:tcPr>
            <w:tcW w:w="4391" w:type="dxa"/>
            <w:gridSpan w:val="2"/>
            <w:vMerge/>
            <w:shd w:val="clear" w:color="auto" w:fill="auto"/>
          </w:tcPr>
          <w:p w14:paraId="0EECC820" w14:textId="77777777" w:rsidR="000B2550" w:rsidRDefault="000B2550" w:rsidP="003F0DB9">
            <w:pPr>
              <w:pStyle w:val="Tabletext"/>
            </w:pPr>
          </w:p>
        </w:tc>
      </w:tr>
      <w:tr w:rsidR="000B2550" w14:paraId="3F756735" w14:textId="77777777" w:rsidTr="0080377C">
        <w:trPr>
          <w:gridBefore w:val="1"/>
          <w:wBefore w:w="454" w:type="dxa"/>
        </w:trPr>
        <w:tc>
          <w:tcPr>
            <w:tcW w:w="2105" w:type="dxa"/>
            <w:shd w:val="clear" w:color="auto" w:fill="auto"/>
          </w:tcPr>
          <w:p w14:paraId="78561C23" w14:textId="09F2C9B9" w:rsidR="000B2550" w:rsidRDefault="00DD3442" w:rsidP="003F0DB9">
            <w:pPr>
              <w:pStyle w:val="Tabletext"/>
            </w:pPr>
            <w:r>
              <w:t>Option 4</w:t>
            </w:r>
          </w:p>
        </w:tc>
        <w:tc>
          <w:tcPr>
            <w:tcW w:w="2410" w:type="dxa"/>
            <w:shd w:val="clear" w:color="auto" w:fill="auto"/>
          </w:tcPr>
          <w:p w14:paraId="1A8250C5" w14:textId="5892CA88" w:rsidR="000B2550" w:rsidRDefault="000B2550" w:rsidP="003F0DB9">
            <w:pPr>
              <w:pStyle w:val="Tabletext"/>
            </w:pPr>
            <w:r>
              <w:t>8</w:t>
            </w:r>
            <w:r w:rsidR="00EA0A77">
              <w:t>5</w:t>
            </w:r>
            <w:r>
              <w:t>%</w:t>
            </w:r>
          </w:p>
        </w:tc>
        <w:tc>
          <w:tcPr>
            <w:tcW w:w="1134" w:type="dxa"/>
            <w:shd w:val="clear" w:color="auto" w:fill="auto"/>
          </w:tcPr>
          <w:p w14:paraId="14615855" w14:textId="16D86864" w:rsidR="000B2550" w:rsidRDefault="000B2550" w:rsidP="003F0DB9">
            <w:pPr>
              <w:pStyle w:val="Tabletext"/>
            </w:pPr>
            <w:r w:rsidRPr="005A6C8B">
              <w:t>ACIL Allen</w:t>
            </w:r>
          </w:p>
        </w:tc>
        <w:tc>
          <w:tcPr>
            <w:tcW w:w="4391" w:type="dxa"/>
            <w:gridSpan w:val="2"/>
            <w:vMerge/>
            <w:shd w:val="clear" w:color="auto" w:fill="auto"/>
          </w:tcPr>
          <w:p w14:paraId="75866248" w14:textId="77777777" w:rsidR="000B2550" w:rsidRDefault="000B2550" w:rsidP="003F0DB9">
            <w:pPr>
              <w:pStyle w:val="Tabletext"/>
            </w:pPr>
          </w:p>
        </w:tc>
      </w:tr>
      <w:tr w:rsidR="000B2550" w14:paraId="411B5E02" w14:textId="77777777" w:rsidTr="0080377C">
        <w:trPr>
          <w:gridBefore w:val="1"/>
          <w:wBefore w:w="454" w:type="dxa"/>
        </w:trPr>
        <w:tc>
          <w:tcPr>
            <w:tcW w:w="2105" w:type="dxa"/>
            <w:shd w:val="clear" w:color="auto" w:fill="auto"/>
          </w:tcPr>
          <w:p w14:paraId="5F32DCD3" w14:textId="6DDCDBCD" w:rsidR="000B2550" w:rsidRDefault="00DD3442" w:rsidP="003F0DB9">
            <w:pPr>
              <w:pStyle w:val="Tabletext"/>
            </w:pPr>
            <w:r>
              <w:t>Sub-option 1</w:t>
            </w:r>
          </w:p>
        </w:tc>
        <w:tc>
          <w:tcPr>
            <w:tcW w:w="2410" w:type="dxa"/>
            <w:shd w:val="clear" w:color="auto" w:fill="auto"/>
          </w:tcPr>
          <w:p w14:paraId="3D4E62FE" w14:textId="24815FD3" w:rsidR="000B2550" w:rsidRDefault="000B2550" w:rsidP="003F0DB9">
            <w:pPr>
              <w:pStyle w:val="Tabletext"/>
            </w:pPr>
            <w:r>
              <w:t>90%</w:t>
            </w:r>
          </w:p>
        </w:tc>
        <w:tc>
          <w:tcPr>
            <w:tcW w:w="1134" w:type="dxa"/>
            <w:shd w:val="clear" w:color="auto" w:fill="auto"/>
          </w:tcPr>
          <w:p w14:paraId="03388A09" w14:textId="07297230" w:rsidR="000B2550" w:rsidRDefault="000B2550" w:rsidP="003F0DB9">
            <w:pPr>
              <w:pStyle w:val="Tabletext"/>
            </w:pPr>
            <w:r w:rsidRPr="005A6C8B">
              <w:t>ACIL Allen</w:t>
            </w:r>
          </w:p>
        </w:tc>
        <w:tc>
          <w:tcPr>
            <w:tcW w:w="4391" w:type="dxa"/>
            <w:gridSpan w:val="2"/>
            <w:vMerge/>
            <w:shd w:val="clear" w:color="auto" w:fill="auto"/>
          </w:tcPr>
          <w:p w14:paraId="2B1433FE" w14:textId="77777777" w:rsidR="000B2550" w:rsidRDefault="000B2550" w:rsidP="003F0DB9">
            <w:pPr>
              <w:pStyle w:val="Tabletext"/>
            </w:pPr>
          </w:p>
        </w:tc>
      </w:tr>
      <w:tr w:rsidR="008351EC" w14:paraId="1E476363" w14:textId="77777777" w:rsidTr="0080377C">
        <w:trPr>
          <w:gridBefore w:val="1"/>
          <w:wBefore w:w="454" w:type="dxa"/>
        </w:trPr>
        <w:tc>
          <w:tcPr>
            <w:tcW w:w="2105" w:type="dxa"/>
            <w:shd w:val="clear" w:color="auto" w:fill="D5EBDA" w:themeFill="accent6" w:themeFillTint="33"/>
          </w:tcPr>
          <w:p w14:paraId="42BE80E9" w14:textId="470A384C" w:rsidR="008351EC" w:rsidRPr="008351EC" w:rsidRDefault="008351EC" w:rsidP="003F0DB9">
            <w:pPr>
              <w:pStyle w:val="Tabletext"/>
              <w:rPr>
                <w:b/>
                <w:bCs/>
              </w:rPr>
            </w:pPr>
            <w:r w:rsidRPr="008351EC">
              <w:rPr>
                <w:b/>
                <w:bCs/>
              </w:rPr>
              <w:t>Administrative costs</w:t>
            </w:r>
          </w:p>
        </w:tc>
        <w:tc>
          <w:tcPr>
            <w:tcW w:w="2410" w:type="dxa"/>
            <w:shd w:val="clear" w:color="auto" w:fill="D5EBDA" w:themeFill="accent6" w:themeFillTint="33"/>
          </w:tcPr>
          <w:p w14:paraId="21643341" w14:textId="77777777" w:rsidR="008351EC" w:rsidRPr="008351EC" w:rsidRDefault="008351EC" w:rsidP="003F0DB9">
            <w:pPr>
              <w:pStyle w:val="Tabletext"/>
              <w:rPr>
                <w:b/>
                <w:bCs/>
              </w:rPr>
            </w:pPr>
          </w:p>
        </w:tc>
        <w:tc>
          <w:tcPr>
            <w:tcW w:w="1134" w:type="dxa"/>
            <w:shd w:val="clear" w:color="auto" w:fill="D5EBDA" w:themeFill="accent6" w:themeFillTint="33"/>
          </w:tcPr>
          <w:p w14:paraId="1C0EF877" w14:textId="77777777" w:rsidR="008351EC" w:rsidRPr="008351EC" w:rsidRDefault="008351EC" w:rsidP="003F0DB9">
            <w:pPr>
              <w:pStyle w:val="Tabletext"/>
              <w:rPr>
                <w:b/>
                <w:bCs/>
              </w:rPr>
            </w:pPr>
          </w:p>
        </w:tc>
        <w:tc>
          <w:tcPr>
            <w:tcW w:w="4391" w:type="dxa"/>
            <w:gridSpan w:val="2"/>
            <w:shd w:val="clear" w:color="auto" w:fill="D5EBDA" w:themeFill="accent6" w:themeFillTint="33"/>
          </w:tcPr>
          <w:p w14:paraId="055EBB62" w14:textId="77777777" w:rsidR="008351EC" w:rsidRPr="008351EC" w:rsidRDefault="008351EC" w:rsidP="003F0DB9">
            <w:pPr>
              <w:pStyle w:val="Tabletext"/>
              <w:rPr>
                <w:b/>
                <w:bCs/>
              </w:rPr>
            </w:pPr>
          </w:p>
        </w:tc>
      </w:tr>
      <w:tr w:rsidR="008351EC" w14:paraId="5CF041BE" w14:textId="77777777" w:rsidTr="0080377C">
        <w:trPr>
          <w:gridBefore w:val="1"/>
          <w:wBefore w:w="454" w:type="dxa"/>
          <w:trHeight w:val="831"/>
        </w:trPr>
        <w:tc>
          <w:tcPr>
            <w:tcW w:w="2105" w:type="dxa"/>
            <w:shd w:val="clear" w:color="auto" w:fill="auto"/>
          </w:tcPr>
          <w:p w14:paraId="2C760B59" w14:textId="7008527D" w:rsidR="008351EC" w:rsidRDefault="008351EC" w:rsidP="008351EC">
            <w:pPr>
              <w:pStyle w:val="Tabletext"/>
            </w:pPr>
            <w:r>
              <w:t>Costs of making, keeping and providing records</w:t>
            </w:r>
          </w:p>
        </w:tc>
        <w:tc>
          <w:tcPr>
            <w:tcW w:w="2410" w:type="dxa"/>
            <w:shd w:val="clear" w:color="auto" w:fill="auto"/>
          </w:tcPr>
          <w:p w14:paraId="22486227" w14:textId="694F25F0" w:rsidR="008351EC" w:rsidRDefault="00D65971" w:rsidP="003F0DB9">
            <w:pPr>
              <w:pStyle w:val="Tabletext"/>
            </w:pPr>
            <w:r>
              <w:t>7hrs/year/vessel</w:t>
            </w:r>
          </w:p>
          <w:p w14:paraId="479E213C" w14:textId="08CE811A" w:rsidR="00D65971" w:rsidRDefault="00D65971" w:rsidP="001C1457">
            <w:pPr>
              <w:pStyle w:val="Tabletext"/>
            </w:pPr>
            <w:r>
              <w:t>Median wage is $106,000/year</w:t>
            </w:r>
          </w:p>
        </w:tc>
        <w:tc>
          <w:tcPr>
            <w:tcW w:w="1134" w:type="dxa"/>
            <w:shd w:val="clear" w:color="auto" w:fill="auto"/>
          </w:tcPr>
          <w:p w14:paraId="186DD4B7" w14:textId="507089F3" w:rsidR="008351EC" w:rsidRPr="005A6C8B" w:rsidRDefault="008351EC" w:rsidP="003F0DB9">
            <w:pPr>
              <w:pStyle w:val="Tabletext"/>
            </w:pPr>
            <w:r>
              <w:t>ACIL Allen</w:t>
            </w:r>
          </w:p>
        </w:tc>
        <w:tc>
          <w:tcPr>
            <w:tcW w:w="4391" w:type="dxa"/>
            <w:gridSpan w:val="2"/>
            <w:shd w:val="clear" w:color="auto" w:fill="auto"/>
          </w:tcPr>
          <w:p w14:paraId="488622C2" w14:textId="0B4E49C5" w:rsidR="008351EC" w:rsidRDefault="008351EC" w:rsidP="003F0DB9">
            <w:pPr>
              <w:pStyle w:val="Tabletext"/>
            </w:pPr>
            <w:r>
              <w:t>Calculation based on average wage</w:t>
            </w:r>
            <w:r w:rsidR="00D65971">
              <w:t>,</w:t>
            </w:r>
            <w:r w:rsidR="00D65971">
              <w:rPr>
                <w:rStyle w:val="FootnoteReference"/>
              </w:rPr>
              <w:footnoteReference w:id="17"/>
            </w:r>
            <w:r w:rsidR="00D65971">
              <w:t xml:space="preserve"> average number of voyages in a year</w:t>
            </w:r>
            <w:r>
              <w:t xml:space="preserve"> and time involved</w:t>
            </w:r>
          </w:p>
        </w:tc>
      </w:tr>
      <w:tr w:rsidR="00D65971" w14:paraId="4F2E831A" w14:textId="77777777" w:rsidTr="0080377C">
        <w:trPr>
          <w:gridBefore w:val="1"/>
          <w:wBefore w:w="454" w:type="dxa"/>
        </w:trPr>
        <w:tc>
          <w:tcPr>
            <w:tcW w:w="2105" w:type="dxa"/>
            <w:shd w:val="clear" w:color="auto" w:fill="auto"/>
          </w:tcPr>
          <w:p w14:paraId="2EF6F7B3" w14:textId="0BBF4259" w:rsidR="00D65971" w:rsidRDefault="00625E61" w:rsidP="008351EC">
            <w:pPr>
              <w:pStyle w:val="Tabletext"/>
            </w:pPr>
            <w:r>
              <w:t>Insurance</w:t>
            </w:r>
            <w:r w:rsidR="001C1457">
              <w:t xml:space="preserve"> certificate cost</w:t>
            </w:r>
          </w:p>
        </w:tc>
        <w:tc>
          <w:tcPr>
            <w:tcW w:w="2410" w:type="dxa"/>
            <w:shd w:val="clear" w:color="auto" w:fill="auto"/>
          </w:tcPr>
          <w:p w14:paraId="53895C1A" w14:textId="509355B9" w:rsidR="00D65971" w:rsidRDefault="00526621" w:rsidP="002E1F9C">
            <w:pPr>
              <w:pStyle w:val="Tabletext"/>
            </w:pPr>
            <w:r>
              <w:t>A fee of A$70 is payable for the issue of a first certificate or, in the case of certificate renewal, when substantial changes are made.</w:t>
            </w:r>
            <w:r w:rsidR="002E1F9C">
              <w:t xml:space="preserve"> </w:t>
            </w:r>
            <w:r>
              <w:t>A fee of A$40 is payable on annual renewal of the certificate where existing insurance arrangements continue, or are not substantially changed.</w:t>
            </w:r>
            <w:r>
              <w:rPr>
                <w:rStyle w:val="FootnoteReference"/>
              </w:rPr>
              <w:footnoteReference w:id="18"/>
            </w:r>
          </w:p>
        </w:tc>
        <w:tc>
          <w:tcPr>
            <w:tcW w:w="1134" w:type="dxa"/>
            <w:shd w:val="clear" w:color="auto" w:fill="auto"/>
          </w:tcPr>
          <w:p w14:paraId="579F35A0" w14:textId="77777777" w:rsidR="00D65971" w:rsidRDefault="00D65971" w:rsidP="003F0DB9">
            <w:pPr>
              <w:pStyle w:val="Tabletext"/>
            </w:pPr>
          </w:p>
        </w:tc>
        <w:tc>
          <w:tcPr>
            <w:tcW w:w="4391" w:type="dxa"/>
            <w:gridSpan w:val="2"/>
            <w:shd w:val="clear" w:color="auto" w:fill="auto"/>
          </w:tcPr>
          <w:p w14:paraId="11D90F59" w14:textId="3F94461D" w:rsidR="00D65971" w:rsidRDefault="00B003DB" w:rsidP="00625E61">
            <w:pPr>
              <w:pStyle w:val="Tabletext"/>
            </w:pPr>
            <w:r w:rsidRPr="00B003DB">
              <w:t xml:space="preserve">The Convention impacts vessel owners that are over 1,000 GT, flagged under or entering the ports of any signatory state. These vessels must carry and produce </w:t>
            </w:r>
            <w:r w:rsidR="00625E61">
              <w:t xml:space="preserve">a </w:t>
            </w:r>
            <w:r w:rsidRPr="00B003DB">
              <w:t>certificate, issued by the applicable Flag State, certifying that the ship has evidenced proper insurance or other financial security to cover the liability of the registered owner for wreck in an amount equal to the limits of liability under the applicable national or international regime. This would be annual cost, similar to the annual premiums. This certificate can be issued by AMSA if a certificate has not already been obtained from another party.</w:t>
            </w:r>
          </w:p>
        </w:tc>
      </w:tr>
      <w:tr w:rsidR="008351EC" w14:paraId="3466A4D0" w14:textId="77777777" w:rsidTr="0080377C">
        <w:trPr>
          <w:gridBefore w:val="1"/>
          <w:wBefore w:w="454" w:type="dxa"/>
        </w:trPr>
        <w:tc>
          <w:tcPr>
            <w:tcW w:w="2105" w:type="dxa"/>
            <w:shd w:val="clear" w:color="auto" w:fill="auto"/>
          </w:tcPr>
          <w:p w14:paraId="1D8164FD" w14:textId="58C4F374" w:rsidR="008351EC" w:rsidRDefault="008351EC" w:rsidP="008351EC">
            <w:pPr>
              <w:pStyle w:val="Tabletext"/>
            </w:pPr>
            <w:r>
              <w:t>Average P&amp;I insurance premiums</w:t>
            </w:r>
            <w:r w:rsidR="00D65971">
              <w:t xml:space="preserve"> </w:t>
            </w:r>
          </w:p>
          <w:p w14:paraId="631CD970" w14:textId="6339CA16" w:rsidR="008351EC" w:rsidRDefault="008351EC" w:rsidP="008351EC">
            <w:pPr>
              <w:pStyle w:val="Tabletext"/>
            </w:pPr>
          </w:p>
        </w:tc>
        <w:tc>
          <w:tcPr>
            <w:tcW w:w="2410" w:type="dxa"/>
            <w:shd w:val="clear" w:color="auto" w:fill="auto"/>
          </w:tcPr>
          <w:p w14:paraId="64CE81B7" w14:textId="6AFBBD22" w:rsidR="008351EC" w:rsidRDefault="008351EC" w:rsidP="008351EC">
            <w:pPr>
              <w:pStyle w:val="Tabletext"/>
            </w:pPr>
            <w:r>
              <w:t>$2.3/GT</w:t>
            </w:r>
          </w:p>
        </w:tc>
        <w:tc>
          <w:tcPr>
            <w:tcW w:w="1134" w:type="dxa"/>
            <w:shd w:val="clear" w:color="auto" w:fill="auto"/>
          </w:tcPr>
          <w:p w14:paraId="61533620" w14:textId="29E5C661" w:rsidR="008351EC" w:rsidRPr="005A6C8B" w:rsidRDefault="008351EC" w:rsidP="008351EC">
            <w:pPr>
              <w:pStyle w:val="Tabletext"/>
            </w:pPr>
            <w:r>
              <w:t>Marsh Ltd</w:t>
            </w:r>
            <w:r>
              <w:rPr>
                <w:rStyle w:val="FootnoteReference"/>
              </w:rPr>
              <w:footnoteReference w:id="19"/>
            </w:r>
          </w:p>
        </w:tc>
        <w:tc>
          <w:tcPr>
            <w:tcW w:w="4391" w:type="dxa"/>
            <w:gridSpan w:val="2"/>
            <w:shd w:val="clear" w:color="auto" w:fill="auto"/>
          </w:tcPr>
          <w:p w14:paraId="50505200" w14:textId="7710AEB4" w:rsidR="008351EC" w:rsidRDefault="00B003DB" w:rsidP="008351EC">
            <w:pPr>
              <w:pStyle w:val="Tabletext"/>
            </w:pPr>
            <w:r w:rsidRPr="00B003DB">
              <w:t>Compliance costs associated with financial costs, including the insurance costs incurred in complying with the Nairobi Convention It is unclear whether they differ by trading zone or country.</w:t>
            </w:r>
          </w:p>
        </w:tc>
      </w:tr>
      <w:tr w:rsidR="00CB3E34" w14:paraId="6C7078F7" w14:textId="77777777" w:rsidTr="0080377C">
        <w:trPr>
          <w:gridBefore w:val="1"/>
          <w:gridAfter w:val="1"/>
          <w:wBefore w:w="454" w:type="dxa"/>
          <w:wAfter w:w="6" w:type="dxa"/>
        </w:trPr>
        <w:tc>
          <w:tcPr>
            <w:tcW w:w="10034" w:type="dxa"/>
            <w:gridSpan w:val="4"/>
            <w:shd w:val="clear" w:color="auto" w:fill="D5EBDA" w:themeFill="accent6" w:themeFillTint="33"/>
          </w:tcPr>
          <w:p w14:paraId="5E9099FD" w14:textId="4E8D5C3D" w:rsidR="00CB3E34" w:rsidRPr="003F0DB9" w:rsidRDefault="00B03763" w:rsidP="001A2E8E">
            <w:pPr>
              <w:pStyle w:val="Tabletext"/>
              <w:rPr>
                <w:b/>
                <w:bCs/>
              </w:rPr>
            </w:pPr>
            <w:r>
              <w:rPr>
                <w:b/>
                <w:bCs/>
              </w:rPr>
              <w:lastRenderedPageBreak/>
              <w:t xml:space="preserve">Reduction in legal costs </w:t>
            </w:r>
            <w:r w:rsidR="00CB3E34" w:rsidRPr="003F0DB9">
              <w:rPr>
                <w:b/>
                <w:bCs/>
              </w:rPr>
              <w:t>relative to Option 1</w:t>
            </w:r>
          </w:p>
        </w:tc>
      </w:tr>
      <w:tr w:rsidR="00D05B91" w14:paraId="63827569" w14:textId="77777777" w:rsidTr="0080377C">
        <w:trPr>
          <w:gridBefore w:val="1"/>
          <w:wBefore w:w="454" w:type="dxa"/>
          <w:trHeight w:val="419"/>
        </w:trPr>
        <w:tc>
          <w:tcPr>
            <w:tcW w:w="2105" w:type="dxa"/>
            <w:shd w:val="clear" w:color="auto" w:fill="auto"/>
          </w:tcPr>
          <w:p w14:paraId="1D15D89D" w14:textId="02DE38C8" w:rsidR="00D05B91" w:rsidRDefault="00DD3442" w:rsidP="003F0DB9">
            <w:pPr>
              <w:pStyle w:val="Tabletext"/>
            </w:pPr>
            <w:r>
              <w:t>Option 3</w:t>
            </w:r>
          </w:p>
        </w:tc>
        <w:tc>
          <w:tcPr>
            <w:tcW w:w="2410" w:type="dxa"/>
            <w:shd w:val="clear" w:color="auto" w:fill="auto"/>
          </w:tcPr>
          <w:p w14:paraId="6A23AE8A" w14:textId="20186E0C" w:rsidR="00D05B91" w:rsidRDefault="00EB64B3" w:rsidP="003F0DB9">
            <w:pPr>
              <w:pStyle w:val="Tabletext"/>
            </w:pPr>
            <w:r>
              <w:t>2.5</w:t>
            </w:r>
            <w:r w:rsidR="00D05B91">
              <w:t xml:space="preserve">% </w:t>
            </w:r>
            <w:r w:rsidR="004D6284">
              <w:t xml:space="preserve">of wreck removal </w:t>
            </w:r>
            <w:r w:rsidR="00D05B91">
              <w:t>costs</w:t>
            </w:r>
            <w:r w:rsidR="004D6284">
              <w:t xml:space="preserve"> </w:t>
            </w:r>
            <w:r w:rsidR="00F16069">
              <w:t xml:space="preserve">per year for </w:t>
            </w:r>
            <w:r w:rsidR="00E629B6">
              <w:t>five</w:t>
            </w:r>
            <w:r w:rsidR="00F16069">
              <w:t xml:space="preserve"> years</w:t>
            </w:r>
          </w:p>
        </w:tc>
        <w:tc>
          <w:tcPr>
            <w:tcW w:w="1134" w:type="dxa"/>
            <w:shd w:val="clear" w:color="auto" w:fill="auto"/>
          </w:tcPr>
          <w:p w14:paraId="75EBC41D" w14:textId="2A459F30" w:rsidR="00D05B91" w:rsidRDefault="00D05B91" w:rsidP="003F0DB9">
            <w:pPr>
              <w:pStyle w:val="Tabletext"/>
            </w:pPr>
            <w:r w:rsidRPr="005A6C8B">
              <w:t>ACIL Allen</w:t>
            </w:r>
          </w:p>
        </w:tc>
        <w:tc>
          <w:tcPr>
            <w:tcW w:w="4391" w:type="dxa"/>
            <w:gridSpan w:val="2"/>
            <w:vMerge w:val="restart"/>
            <w:shd w:val="clear" w:color="auto" w:fill="auto"/>
          </w:tcPr>
          <w:p w14:paraId="70CF8086" w14:textId="594380DC" w:rsidR="00D05B91" w:rsidRDefault="00B003DB" w:rsidP="003F0DB9">
            <w:pPr>
              <w:pStyle w:val="Tabletext"/>
            </w:pPr>
            <w:r w:rsidRPr="00B003DB">
              <w:t>Based on review of literature and stakeholder consultations related consistency, simplicity and uniformity of regulations and procedures under Nairobi Convention. It is assumed 50% will be incurred by shipowners and 50% by AMSA.</w:t>
            </w:r>
          </w:p>
        </w:tc>
      </w:tr>
      <w:tr w:rsidR="00CB3E34" w14:paraId="6C2450CA" w14:textId="77777777" w:rsidTr="0080377C">
        <w:trPr>
          <w:gridBefore w:val="1"/>
          <w:wBefore w:w="454" w:type="dxa"/>
          <w:trHeight w:val="75"/>
        </w:trPr>
        <w:tc>
          <w:tcPr>
            <w:tcW w:w="2105" w:type="dxa"/>
            <w:shd w:val="clear" w:color="auto" w:fill="auto"/>
          </w:tcPr>
          <w:p w14:paraId="2AA297C3" w14:textId="6295C33E" w:rsidR="00CB3E34" w:rsidRDefault="00CB3E34" w:rsidP="003F0DB9">
            <w:pPr>
              <w:pStyle w:val="Tabletext"/>
            </w:pPr>
            <w:r>
              <w:t xml:space="preserve">Option </w:t>
            </w:r>
            <w:r w:rsidR="00DD3442">
              <w:t>4</w:t>
            </w:r>
          </w:p>
        </w:tc>
        <w:tc>
          <w:tcPr>
            <w:tcW w:w="2410" w:type="dxa"/>
            <w:shd w:val="clear" w:color="auto" w:fill="auto"/>
          </w:tcPr>
          <w:p w14:paraId="3AA4E80F" w14:textId="73DE0AEF" w:rsidR="00CB3E34" w:rsidRDefault="00773DF9" w:rsidP="003F0DB9">
            <w:pPr>
              <w:pStyle w:val="Tabletext"/>
            </w:pPr>
            <w:r>
              <w:t>5</w:t>
            </w:r>
            <w:r w:rsidR="00CB3E34">
              <w:t>%</w:t>
            </w:r>
            <w:r w:rsidR="008D5070">
              <w:t xml:space="preserve"> </w:t>
            </w:r>
            <w:r w:rsidR="00F16069">
              <w:t xml:space="preserve">of wreck removal </w:t>
            </w:r>
            <w:r w:rsidR="008D5070">
              <w:t>costs</w:t>
            </w:r>
            <w:r w:rsidR="00F16069">
              <w:t xml:space="preserve"> per year for </w:t>
            </w:r>
            <w:r w:rsidR="001271EC">
              <w:t xml:space="preserve">five </w:t>
            </w:r>
            <w:r w:rsidR="00F16069">
              <w:t>years</w:t>
            </w:r>
          </w:p>
        </w:tc>
        <w:tc>
          <w:tcPr>
            <w:tcW w:w="1134" w:type="dxa"/>
            <w:shd w:val="clear" w:color="auto" w:fill="auto"/>
          </w:tcPr>
          <w:p w14:paraId="63676795" w14:textId="2202F77F" w:rsidR="00CB3E34" w:rsidRDefault="00CB3E34" w:rsidP="003F0DB9">
            <w:pPr>
              <w:pStyle w:val="Tabletext"/>
            </w:pPr>
            <w:r w:rsidRPr="005A6C8B">
              <w:t>ACIL Allen</w:t>
            </w:r>
          </w:p>
        </w:tc>
        <w:tc>
          <w:tcPr>
            <w:tcW w:w="4391" w:type="dxa"/>
            <w:gridSpan w:val="2"/>
            <w:vMerge/>
            <w:shd w:val="clear" w:color="auto" w:fill="auto"/>
          </w:tcPr>
          <w:p w14:paraId="10FD9AB2" w14:textId="19C16C57" w:rsidR="00CB3E34" w:rsidRDefault="00CB3E34" w:rsidP="003F0DB9">
            <w:pPr>
              <w:pStyle w:val="Tabletext"/>
            </w:pPr>
          </w:p>
        </w:tc>
      </w:tr>
      <w:tr w:rsidR="0011414D" w14:paraId="0922B4A9" w14:textId="77777777" w:rsidTr="0080377C">
        <w:trPr>
          <w:gridBefore w:val="1"/>
          <w:gridAfter w:val="1"/>
          <w:wBefore w:w="454" w:type="dxa"/>
          <w:wAfter w:w="6" w:type="dxa"/>
        </w:trPr>
        <w:tc>
          <w:tcPr>
            <w:tcW w:w="10034" w:type="dxa"/>
            <w:gridSpan w:val="4"/>
            <w:shd w:val="clear" w:color="auto" w:fill="D5EBDA" w:themeFill="accent6" w:themeFillTint="33"/>
          </w:tcPr>
          <w:p w14:paraId="5F66E316" w14:textId="33DCD40F" w:rsidR="0011414D" w:rsidRDefault="00BB7A66" w:rsidP="00877BDF">
            <w:pPr>
              <w:pStyle w:val="Tabletext"/>
            </w:pPr>
            <w:r>
              <w:rPr>
                <w:b/>
                <w:bCs/>
              </w:rPr>
              <w:t>F</w:t>
            </w:r>
            <w:r w:rsidR="0011414D">
              <w:rPr>
                <w:b/>
                <w:bCs/>
              </w:rPr>
              <w:t xml:space="preserve">inancial security costs </w:t>
            </w:r>
          </w:p>
        </w:tc>
      </w:tr>
      <w:tr w:rsidR="00506B97" w:rsidRPr="00506B97" w14:paraId="4D11DAB7" w14:textId="77777777" w:rsidTr="0080377C">
        <w:trPr>
          <w:gridBefore w:val="1"/>
          <w:wBefore w:w="454" w:type="dxa"/>
        </w:trPr>
        <w:tc>
          <w:tcPr>
            <w:tcW w:w="2105" w:type="dxa"/>
            <w:shd w:val="clear" w:color="auto" w:fill="auto"/>
          </w:tcPr>
          <w:p w14:paraId="6D063DAE" w14:textId="009FFBF7" w:rsidR="00506B97" w:rsidRPr="00506B97" w:rsidRDefault="00BB7A66" w:rsidP="003F0DB9">
            <w:pPr>
              <w:pStyle w:val="Tabletext"/>
            </w:pPr>
            <w:r>
              <w:t>Option 1</w:t>
            </w:r>
          </w:p>
        </w:tc>
        <w:tc>
          <w:tcPr>
            <w:tcW w:w="2410" w:type="dxa"/>
            <w:shd w:val="clear" w:color="auto" w:fill="auto"/>
          </w:tcPr>
          <w:p w14:paraId="23792171" w14:textId="4EC0B956" w:rsidR="00506B97" w:rsidRDefault="00077C4C" w:rsidP="003F0DB9">
            <w:pPr>
              <w:pStyle w:val="Tabletext"/>
            </w:pPr>
            <w:r>
              <w:t xml:space="preserve">50% of disputes result in asset seizure </w:t>
            </w:r>
            <w:r w:rsidR="004F2C38">
              <w:t xml:space="preserve">for three years </w:t>
            </w:r>
            <w:r>
              <w:t xml:space="preserve">with annual </w:t>
            </w:r>
            <w:r w:rsidR="003A23CA">
              <w:t xml:space="preserve">opportunity </w:t>
            </w:r>
            <w:r>
              <w:t xml:space="preserve">cost of </w:t>
            </w:r>
            <w:r w:rsidR="006B457C">
              <w:t>10</w:t>
            </w:r>
            <w:r w:rsidR="003A23CA">
              <w:t>% of wreck removal costs</w:t>
            </w:r>
            <w:r w:rsidR="00DC2994">
              <w:t>.</w:t>
            </w:r>
          </w:p>
        </w:tc>
        <w:tc>
          <w:tcPr>
            <w:tcW w:w="1134" w:type="dxa"/>
            <w:shd w:val="clear" w:color="auto" w:fill="auto"/>
          </w:tcPr>
          <w:p w14:paraId="7904AECF" w14:textId="582558A8" w:rsidR="00506B97" w:rsidRPr="005A6C8B" w:rsidRDefault="004F2C38" w:rsidP="003F0DB9">
            <w:pPr>
              <w:pStyle w:val="Tabletext"/>
            </w:pPr>
            <w:r>
              <w:t>ACIL Allen</w:t>
            </w:r>
          </w:p>
        </w:tc>
        <w:tc>
          <w:tcPr>
            <w:tcW w:w="4391" w:type="dxa"/>
            <w:gridSpan w:val="2"/>
            <w:shd w:val="clear" w:color="auto" w:fill="auto"/>
          </w:tcPr>
          <w:p w14:paraId="43B33555" w14:textId="28A9CDF2" w:rsidR="00506B97" w:rsidRDefault="00EC4505" w:rsidP="00CF7739">
            <w:pPr>
              <w:pStyle w:val="Tabletext"/>
            </w:pPr>
            <w:r>
              <w:t xml:space="preserve">Based on historical use of </w:t>
            </w:r>
            <w:r w:rsidR="00CF7739">
              <w:t>detention</w:t>
            </w:r>
            <w:r>
              <w:t xml:space="preserve"> powers </w:t>
            </w:r>
            <w:r w:rsidR="006B457C">
              <w:t>and opportunity cost of capital.</w:t>
            </w:r>
          </w:p>
        </w:tc>
      </w:tr>
      <w:tr w:rsidR="00B3405D" w14:paraId="5F6B7635" w14:textId="77777777" w:rsidTr="0080377C">
        <w:trPr>
          <w:gridBefore w:val="1"/>
          <w:wBefore w:w="454" w:type="dxa"/>
        </w:trPr>
        <w:tc>
          <w:tcPr>
            <w:tcW w:w="2105" w:type="dxa"/>
            <w:shd w:val="clear" w:color="auto" w:fill="D5EBDA" w:themeFill="accent6" w:themeFillTint="33"/>
          </w:tcPr>
          <w:p w14:paraId="63321E30" w14:textId="09EBE261" w:rsidR="00B3405D" w:rsidRPr="00B3405D" w:rsidRDefault="00B3405D" w:rsidP="003F0DB9">
            <w:pPr>
              <w:pStyle w:val="Tabletext"/>
              <w:rPr>
                <w:b/>
                <w:bCs/>
              </w:rPr>
            </w:pPr>
            <w:r w:rsidRPr="00B3405D">
              <w:rPr>
                <w:b/>
                <w:bCs/>
              </w:rPr>
              <w:t>Other items</w:t>
            </w:r>
          </w:p>
        </w:tc>
        <w:tc>
          <w:tcPr>
            <w:tcW w:w="2410" w:type="dxa"/>
            <w:shd w:val="clear" w:color="auto" w:fill="D5EBDA" w:themeFill="accent6" w:themeFillTint="33"/>
          </w:tcPr>
          <w:p w14:paraId="14BD0788" w14:textId="77777777" w:rsidR="00B3405D" w:rsidRDefault="00B3405D" w:rsidP="003F0DB9">
            <w:pPr>
              <w:pStyle w:val="Tabletext"/>
            </w:pPr>
          </w:p>
        </w:tc>
        <w:tc>
          <w:tcPr>
            <w:tcW w:w="1134" w:type="dxa"/>
            <w:shd w:val="clear" w:color="auto" w:fill="D5EBDA" w:themeFill="accent6" w:themeFillTint="33"/>
          </w:tcPr>
          <w:p w14:paraId="32D6BC0E" w14:textId="77777777" w:rsidR="00B3405D" w:rsidRPr="005A6C8B" w:rsidRDefault="00B3405D" w:rsidP="003F0DB9">
            <w:pPr>
              <w:pStyle w:val="Tabletext"/>
            </w:pPr>
          </w:p>
        </w:tc>
        <w:tc>
          <w:tcPr>
            <w:tcW w:w="4391" w:type="dxa"/>
            <w:gridSpan w:val="2"/>
            <w:shd w:val="clear" w:color="auto" w:fill="D5EBDA" w:themeFill="accent6" w:themeFillTint="33"/>
          </w:tcPr>
          <w:p w14:paraId="72F94225" w14:textId="77777777" w:rsidR="00B3405D" w:rsidRDefault="00B3405D" w:rsidP="003F0DB9">
            <w:pPr>
              <w:pStyle w:val="Tabletext"/>
            </w:pPr>
          </w:p>
        </w:tc>
      </w:tr>
      <w:tr w:rsidR="00B72016" w14:paraId="3B1DC2A1" w14:textId="77777777" w:rsidTr="0080377C">
        <w:trPr>
          <w:gridBefore w:val="1"/>
          <w:wBefore w:w="454" w:type="dxa"/>
        </w:trPr>
        <w:tc>
          <w:tcPr>
            <w:tcW w:w="2105" w:type="dxa"/>
            <w:shd w:val="clear" w:color="auto" w:fill="auto"/>
          </w:tcPr>
          <w:p w14:paraId="384B392F" w14:textId="32EB3167" w:rsidR="00B72016" w:rsidRDefault="00B72016" w:rsidP="001A2E8E">
            <w:pPr>
              <w:pStyle w:val="Tabletext"/>
            </w:pPr>
            <w:r>
              <w:t>Discount rates</w:t>
            </w:r>
          </w:p>
        </w:tc>
        <w:tc>
          <w:tcPr>
            <w:tcW w:w="2410" w:type="dxa"/>
            <w:shd w:val="clear" w:color="auto" w:fill="auto"/>
          </w:tcPr>
          <w:p w14:paraId="443DFD71" w14:textId="77777777" w:rsidR="00B72016" w:rsidRDefault="00B72016" w:rsidP="001A2E8E">
            <w:pPr>
              <w:pStyle w:val="Tabletext"/>
            </w:pPr>
            <w:r>
              <w:t>7%</w:t>
            </w:r>
            <w:r w:rsidR="00CB3E34">
              <w:t xml:space="preserve"> (central)</w:t>
            </w:r>
          </w:p>
          <w:p w14:paraId="38DD9605" w14:textId="0ACD906B" w:rsidR="00CB3E34" w:rsidRDefault="00CB3E34" w:rsidP="001A2E8E">
            <w:pPr>
              <w:pStyle w:val="Tabletext"/>
            </w:pPr>
          </w:p>
        </w:tc>
        <w:tc>
          <w:tcPr>
            <w:tcW w:w="1134" w:type="dxa"/>
            <w:shd w:val="clear" w:color="auto" w:fill="auto"/>
          </w:tcPr>
          <w:p w14:paraId="27D0FE68" w14:textId="0E859ACA" w:rsidR="00B72016" w:rsidRDefault="00B72016" w:rsidP="0080377C">
            <w:pPr>
              <w:pStyle w:val="Tabletext"/>
            </w:pPr>
            <w:r>
              <w:t>Australian Governmen</w:t>
            </w:r>
            <w:r w:rsidR="0080377C">
              <w:t>t</w:t>
            </w:r>
          </w:p>
        </w:tc>
        <w:tc>
          <w:tcPr>
            <w:tcW w:w="4391" w:type="dxa"/>
            <w:gridSpan w:val="2"/>
            <w:shd w:val="clear" w:color="auto" w:fill="auto"/>
          </w:tcPr>
          <w:p w14:paraId="2A7C3E1D" w14:textId="49AC5606" w:rsidR="00773DF9" w:rsidRDefault="00B72016" w:rsidP="00773DF9">
            <w:pPr>
              <w:pStyle w:val="Tabletext"/>
            </w:pPr>
            <w:r>
              <w:t>OBPR Guidelines</w:t>
            </w:r>
            <w:r w:rsidR="00CB3E34">
              <w:t xml:space="preserve">. </w:t>
            </w:r>
          </w:p>
          <w:p w14:paraId="17BCA54A" w14:textId="2F2B9D89" w:rsidR="00B72016" w:rsidRDefault="00B72016" w:rsidP="00CB3E34">
            <w:pPr>
              <w:pStyle w:val="Tabletext"/>
            </w:pPr>
          </w:p>
        </w:tc>
      </w:tr>
      <w:tr w:rsidR="00CB3E34" w14:paraId="1AC52B3D" w14:textId="77777777" w:rsidTr="0080377C">
        <w:trPr>
          <w:gridBefore w:val="1"/>
          <w:wBefore w:w="454" w:type="dxa"/>
        </w:trPr>
        <w:tc>
          <w:tcPr>
            <w:tcW w:w="2105" w:type="dxa"/>
            <w:shd w:val="clear" w:color="auto" w:fill="auto"/>
          </w:tcPr>
          <w:p w14:paraId="195AC3B8" w14:textId="4DFEB68E" w:rsidR="00CB3E34" w:rsidRDefault="00CB3E34" w:rsidP="001A2E8E">
            <w:pPr>
              <w:pStyle w:val="Tabletext"/>
            </w:pPr>
            <w:r>
              <w:t>An indicative incident year</w:t>
            </w:r>
          </w:p>
        </w:tc>
        <w:tc>
          <w:tcPr>
            <w:tcW w:w="2410" w:type="dxa"/>
            <w:shd w:val="clear" w:color="auto" w:fill="auto"/>
          </w:tcPr>
          <w:p w14:paraId="4A1333DF" w14:textId="4DD984F3" w:rsidR="00CB3E34" w:rsidRDefault="00CB3E34" w:rsidP="001A2E8E">
            <w:pPr>
              <w:pStyle w:val="Tabletext"/>
            </w:pPr>
            <w:r>
              <w:t>2021</w:t>
            </w:r>
          </w:p>
        </w:tc>
        <w:tc>
          <w:tcPr>
            <w:tcW w:w="1134" w:type="dxa"/>
            <w:shd w:val="clear" w:color="auto" w:fill="auto"/>
          </w:tcPr>
          <w:p w14:paraId="5DB9DD88" w14:textId="47AFD96A" w:rsidR="00CB3E34" w:rsidRDefault="00CB3E34" w:rsidP="001A2E8E">
            <w:pPr>
              <w:pStyle w:val="Tabletext"/>
            </w:pPr>
            <w:r>
              <w:t>ACIL Allen</w:t>
            </w:r>
          </w:p>
        </w:tc>
        <w:tc>
          <w:tcPr>
            <w:tcW w:w="4391" w:type="dxa"/>
            <w:gridSpan w:val="2"/>
            <w:shd w:val="clear" w:color="auto" w:fill="auto"/>
          </w:tcPr>
          <w:p w14:paraId="3E749D59" w14:textId="45B19586" w:rsidR="00CB3E34" w:rsidRDefault="00CB3E34" w:rsidP="001A2E8E">
            <w:pPr>
              <w:pStyle w:val="Tabletext"/>
            </w:pPr>
            <w:r>
              <w:t>This can be treated as a year 1</w:t>
            </w:r>
          </w:p>
        </w:tc>
      </w:tr>
      <w:tr w:rsidR="00CB3E34" w14:paraId="6E7EDD38" w14:textId="77777777" w:rsidTr="0080377C">
        <w:trPr>
          <w:gridBefore w:val="1"/>
          <w:wBefore w:w="454" w:type="dxa"/>
        </w:trPr>
        <w:tc>
          <w:tcPr>
            <w:tcW w:w="2105" w:type="dxa"/>
            <w:shd w:val="clear" w:color="auto" w:fill="auto"/>
          </w:tcPr>
          <w:p w14:paraId="34209367" w14:textId="30305CB6" w:rsidR="00CB3E34" w:rsidRDefault="00CB3E34" w:rsidP="001A2E8E">
            <w:pPr>
              <w:pStyle w:val="Tabletext"/>
            </w:pPr>
            <w:r>
              <w:t>Time period of evaluation</w:t>
            </w:r>
          </w:p>
        </w:tc>
        <w:tc>
          <w:tcPr>
            <w:tcW w:w="2410" w:type="dxa"/>
            <w:shd w:val="clear" w:color="auto" w:fill="auto"/>
          </w:tcPr>
          <w:p w14:paraId="60C398BA" w14:textId="7D4DB408" w:rsidR="00CB3E34" w:rsidRDefault="00CB3E34" w:rsidP="001A2E8E">
            <w:pPr>
              <w:pStyle w:val="Tabletext"/>
            </w:pPr>
            <w:r>
              <w:t xml:space="preserve">10 years </w:t>
            </w:r>
          </w:p>
        </w:tc>
        <w:tc>
          <w:tcPr>
            <w:tcW w:w="1134" w:type="dxa"/>
            <w:shd w:val="clear" w:color="auto" w:fill="auto"/>
          </w:tcPr>
          <w:p w14:paraId="4AC70E42" w14:textId="25E33E3A" w:rsidR="00CB3E34" w:rsidRDefault="00CB3E34" w:rsidP="001A2E8E">
            <w:pPr>
              <w:pStyle w:val="Tabletext"/>
            </w:pPr>
            <w:r>
              <w:t>ACIL Allen</w:t>
            </w:r>
          </w:p>
        </w:tc>
        <w:tc>
          <w:tcPr>
            <w:tcW w:w="4391" w:type="dxa"/>
            <w:gridSpan w:val="2"/>
            <w:shd w:val="clear" w:color="auto" w:fill="auto"/>
          </w:tcPr>
          <w:p w14:paraId="517AC906" w14:textId="2CB5EA96" w:rsidR="00CB3E34" w:rsidRDefault="00F16069" w:rsidP="001A2E8E">
            <w:pPr>
              <w:pStyle w:val="Tabletext"/>
            </w:pPr>
            <w:r>
              <w:t xml:space="preserve">Disputed wreck </w:t>
            </w:r>
            <w:r w:rsidR="0004109A">
              <w:t xml:space="preserve">removal operations costs are incurred in year 1, with </w:t>
            </w:r>
            <w:r w:rsidR="00837065">
              <w:t xml:space="preserve">legal and financial security </w:t>
            </w:r>
            <w:r w:rsidR="0004109A">
              <w:t xml:space="preserve">costs </w:t>
            </w:r>
            <w:r w:rsidR="00837065">
              <w:t xml:space="preserve">associated with the dispute </w:t>
            </w:r>
            <w:r w:rsidR="00155A51">
              <w:t xml:space="preserve">incurred </w:t>
            </w:r>
            <w:r w:rsidR="00A22777">
              <w:t>in subsequent</w:t>
            </w:r>
            <w:r w:rsidR="00155A51">
              <w:t xml:space="preserve">. </w:t>
            </w:r>
          </w:p>
        </w:tc>
      </w:tr>
      <w:tr w:rsidR="001A2E8E" w14:paraId="14A9B85F" w14:textId="77777777" w:rsidTr="0080377C">
        <w:trPr>
          <w:gridBefore w:val="1"/>
          <w:gridAfter w:val="1"/>
          <w:wBefore w:w="454" w:type="dxa"/>
          <w:wAfter w:w="6" w:type="dxa"/>
        </w:trPr>
        <w:tc>
          <w:tcPr>
            <w:tcW w:w="10034" w:type="dxa"/>
            <w:gridSpan w:val="4"/>
            <w:tcBorders>
              <w:bottom w:val="single" w:sz="4" w:space="0" w:color="646464"/>
            </w:tcBorders>
            <w:shd w:val="clear" w:color="auto" w:fill="auto"/>
          </w:tcPr>
          <w:p w14:paraId="48CA519C" w14:textId="14AB5B50" w:rsidR="001A2E8E" w:rsidRDefault="001A2E8E" w:rsidP="00AC5FAA">
            <w:pPr>
              <w:pStyle w:val="Source"/>
            </w:pPr>
            <w:r>
              <w:t>Source</w:t>
            </w:r>
            <w:r w:rsidR="00AC5FAA">
              <w:t>: ACIL Allen and various.</w:t>
            </w:r>
          </w:p>
        </w:tc>
      </w:tr>
      <w:tr w:rsidR="001A2E8E" w14:paraId="20CAB6CB" w14:textId="77777777" w:rsidTr="0080377C">
        <w:trPr>
          <w:gridBefore w:val="1"/>
          <w:gridAfter w:val="1"/>
          <w:wBefore w:w="454" w:type="dxa"/>
          <w:wAfter w:w="6" w:type="dxa"/>
          <w:trHeight w:hRule="exact" w:val="160"/>
        </w:trPr>
        <w:tc>
          <w:tcPr>
            <w:tcW w:w="10034" w:type="dxa"/>
            <w:gridSpan w:val="4"/>
            <w:tcBorders>
              <w:top w:val="single" w:sz="4" w:space="0" w:color="646464"/>
              <w:bottom w:val="nil"/>
            </w:tcBorders>
            <w:shd w:val="clear" w:color="auto" w:fill="auto"/>
          </w:tcPr>
          <w:p w14:paraId="555B0B3B" w14:textId="77777777" w:rsidR="001A2E8E" w:rsidRDefault="001A2E8E" w:rsidP="001A2E8E">
            <w:pPr>
              <w:pStyle w:val="spacer"/>
            </w:pPr>
          </w:p>
        </w:tc>
      </w:tr>
    </w:tbl>
    <w:bookmarkEnd w:id="53"/>
    <w:p w14:paraId="3EB082F1" w14:textId="7581A94F" w:rsidR="002E1F9C" w:rsidRDefault="002E1F9C" w:rsidP="00B72016">
      <w:pPr>
        <w:pStyle w:val="BodyText"/>
      </w:pPr>
      <w:r>
        <w:t>It is evident</w:t>
      </w:r>
      <w:r w:rsidR="00B72016">
        <w:t xml:space="preserve"> from </w:t>
      </w:r>
      <w:r>
        <w:t xml:space="preserve">the </w:t>
      </w:r>
      <w:r w:rsidR="00B72016">
        <w:t>above discussion</w:t>
      </w:r>
      <w:r w:rsidR="000908D6">
        <w:t xml:space="preserve"> that</w:t>
      </w:r>
      <w:r w:rsidR="00B72016">
        <w:t xml:space="preserve"> the wreck removal cost depends on the location and type of vessel</w:t>
      </w:r>
      <w:r w:rsidR="000908D6">
        <w:t xml:space="preserve"> (</w:t>
      </w:r>
      <w:r w:rsidR="000908D6">
        <w:fldChar w:fldCharType="begin"/>
      </w:r>
      <w:r w:rsidR="000908D6">
        <w:instrText xml:space="preserve"> REF _Ref73958717 \h </w:instrText>
      </w:r>
      <w:r w:rsidR="000908D6">
        <w:fldChar w:fldCharType="separate"/>
      </w:r>
      <w:r w:rsidR="00966CD2" w:rsidRPr="005E0FAF">
        <w:rPr>
          <w:rStyle w:val="CaptionLabel"/>
        </w:rPr>
        <w:t>Table </w:t>
      </w:r>
      <w:r w:rsidR="00966CD2">
        <w:rPr>
          <w:rStyle w:val="CaptionLabel"/>
          <w:noProof/>
        </w:rPr>
        <w:t>3</w:t>
      </w:r>
      <w:r w:rsidR="00966CD2" w:rsidRPr="005E0FAF">
        <w:rPr>
          <w:rStyle w:val="CaptionLabel"/>
        </w:rPr>
        <w:t>.</w:t>
      </w:r>
      <w:r w:rsidR="00966CD2">
        <w:rPr>
          <w:rStyle w:val="CaptionLabel"/>
          <w:noProof/>
        </w:rPr>
        <w:t>5</w:t>
      </w:r>
      <w:r w:rsidR="000908D6">
        <w:fldChar w:fldCharType="end"/>
      </w:r>
      <w:r w:rsidR="000908D6">
        <w:t>)</w:t>
      </w:r>
      <w:r w:rsidR="00B72016">
        <w:t xml:space="preserve">. </w:t>
      </w:r>
    </w:p>
    <w:p w14:paraId="5E95DFBB" w14:textId="30EF74CE" w:rsidR="005C72CC" w:rsidRDefault="008D419C" w:rsidP="00B72016">
      <w:pPr>
        <w:pStyle w:val="BodyText"/>
      </w:pPr>
      <w:r>
        <w:t xml:space="preserve">The </w:t>
      </w:r>
      <w:r w:rsidR="00B72016">
        <w:t xml:space="preserve">AMSA data indicates recovery </w:t>
      </w:r>
      <w:r w:rsidR="008E1CCE">
        <w:t xml:space="preserve">operations associated with </w:t>
      </w:r>
      <w:r w:rsidR="00A46C49">
        <w:t xml:space="preserve">the </w:t>
      </w:r>
      <w:r w:rsidR="00B72016">
        <w:t>wreck of a containership in Australia was around $2</w:t>
      </w:r>
      <w:r w:rsidR="000908D6">
        <w:t>0</w:t>
      </w:r>
      <w:r w:rsidR="00B72016">
        <w:t xml:space="preserve"> million. </w:t>
      </w:r>
      <w:r w:rsidR="00D56C7A">
        <w:t xml:space="preserve">Given that the </w:t>
      </w:r>
      <w:r w:rsidR="000908D6">
        <w:t>estimated a</w:t>
      </w:r>
      <w:r w:rsidR="00B72016">
        <w:t xml:space="preserve">verage </w:t>
      </w:r>
      <w:r w:rsidR="0024532C">
        <w:t xml:space="preserve">gross tonnage </w:t>
      </w:r>
      <w:r w:rsidR="00B72016">
        <w:t xml:space="preserve">of the containership </w:t>
      </w:r>
      <w:r w:rsidR="000908D6">
        <w:t>in the Australian trading fleet is around 32,000</w:t>
      </w:r>
      <w:r w:rsidR="002E1F9C">
        <w:t> </w:t>
      </w:r>
      <w:r w:rsidR="000908D6">
        <w:t>GT</w:t>
      </w:r>
      <w:r w:rsidR="00D56C7A">
        <w:t>,</w:t>
      </w:r>
      <w:r w:rsidR="000908D6">
        <w:t xml:space="preserve"> </w:t>
      </w:r>
      <w:r w:rsidR="00D56C7A">
        <w:t xml:space="preserve">this implies </w:t>
      </w:r>
      <w:r w:rsidR="000222A7">
        <w:t xml:space="preserve">that the </w:t>
      </w:r>
      <w:r w:rsidR="000908D6">
        <w:t xml:space="preserve">cost </w:t>
      </w:r>
      <w:r w:rsidR="000222A7">
        <w:t xml:space="preserve">of recovery operations </w:t>
      </w:r>
      <w:r w:rsidR="002E1F9C">
        <w:t>per</w:t>
      </w:r>
      <w:r w:rsidR="000908D6">
        <w:t xml:space="preserve"> GT of </w:t>
      </w:r>
      <w:r w:rsidR="002E1F9C">
        <w:t>ship</w:t>
      </w:r>
      <w:r w:rsidR="005C72CC">
        <w:t xml:space="preserve"> is around $</w:t>
      </w:r>
      <w:r w:rsidR="000908D6">
        <w:t xml:space="preserve">630. Due to the lack of actual data on each vessel type </w:t>
      </w:r>
      <w:r w:rsidR="002073EB">
        <w:t>this average cost</w:t>
      </w:r>
      <w:r w:rsidR="000908D6">
        <w:t xml:space="preserve"> </w:t>
      </w:r>
      <w:r w:rsidR="000222A7">
        <w:t xml:space="preserve">has been </w:t>
      </w:r>
      <w:r w:rsidR="000908D6">
        <w:t xml:space="preserve">used to calculate an indicative cost of wreck removal </w:t>
      </w:r>
      <w:r w:rsidR="00C97CC5">
        <w:t xml:space="preserve">operations </w:t>
      </w:r>
      <w:r w:rsidR="000908D6">
        <w:t>by vessel type</w:t>
      </w:r>
      <w:r>
        <w:t xml:space="preserve"> reported in </w:t>
      </w:r>
      <w:r w:rsidR="002073EB">
        <w:fldChar w:fldCharType="begin"/>
      </w:r>
      <w:r w:rsidR="002073EB">
        <w:instrText xml:space="preserve"> REF _Ref75159176 \h </w:instrText>
      </w:r>
      <w:r w:rsidR="002073EB">
        <w:fldChar w:fldCharType="separate"/>
      </w:r>
      <w:r w:rsidR="00966CD2" w:rsidRPr="002073EB">
        <w:rPr>
          <w:rStyle w:val="CaptionLabel"/>
        </w:rPr>
        <w:t>Table </w:t>
      </w:r>
      <w:r w:rsidR="00966CD2">
        <w:rPr>
          <w:rStyle w:val="CaptionLabel"/>
          <w:noProof/>
        </w:rPr>
        <w:t>3</w:t>
      </w:r>
      <w:r w:rsidR="00966CD2" w:rsidRPr="002073EB">
        <w:rPr>
          <w:rStyle w:val="CaptionLabel"/>
        </w:rPr>
        <w:t>.</w:t>
      </w:r>
      <w:r w:rsidR="00966CD2">
        <w:rPr>
          <w:rStyle w:val="CaptionLabel"/>
          <w:noProof/>
        </w:rPr>
        <w:t>7</w:t>
      </w:r>
      <w:r w:rsidR="002073EB">
        <w:fldChar w:fldCharType="end"/>
      </w:r>
      <w:r w:rsidR="000908D6">
        <w:t>.</w:t>
      </w:r>
      <w:r w:rsidR="00967ABC">
        <w:t xml:space="preserve"> </w:t>
      </w:r>
    </w:p>
    <w:p w14:paraId="53F4B345" w14:textId="61FDBF04" w:rsidR="00B72016" w:rsidRDefault="00967ABC" w:rsidP="00B72016">
      <w:pPr>
        <w:pStyle w:val="BodyText"/>
      </w:pPr>
      <w:r>
        <w:t>The minimum and maximum cost of each vessel incident is not modelled, and the averages are only illustrative.</w:t>
      </w:r>
    </w:p>
    <w:p w14:paraId="2BED46BB" w14:textId="448E7C5D" w:rsidR="00B03EF0" w:rsidRDefault="002073EB" w:rsidP="002073EB">
      <w:pPr>
        <w:pStyle w:val="Caption"/>
      </w:pPr>
      <w:bookmarkStart w:id="54" w:name="_Ref75159176"/>
      <w:bookmarkStart w:id="55" w:name="_Toc99543758"/>
      <w:r w:rsidRPr="002073EB">
        <w:rPr>
          <w:rStyle w:val="CaptionLabel"/>
        </w:rPr>
        <w:t>Table </w:t>
      </w:r>
      <w:r w:rsidRPr="002073EB">
        <w:rPr>
          <w:rStyle w:val="CaptionLabel"/>
        </w:rPr>
        <w:fldChar w:fldCharType="begin"/>
      </w:r>
      <w:r w:rsidRPr="002073EB">
        <w:rPr>
          <w:rStyle w:val="CaptionLabel"/>
        </w:rPr>
        <w:instrText xml:space="preserve"> STYLEREF 1 \S \* MERGEFORMAT </w:instrText>
      </w:r>
      <w:r w:rsidRPr="002073EB">
        <w:rPr>
          <w:rStyle w:val="CaptionLabel"/>
        </w:rPr>
        <w:fldChar w:fldCharType="separate"/>
      </w:r>
      <w:r w:rsidR="00966CD2">
        <w:rPr>
          <w:rStyle w:val="CaptionLabel"/>
          <w:noProof/>
        </w:rPr>
        <w:t>3</w:t>
      </w:r>
      <w:r w:rsidRPr="002073EB">
        <w:rPr>
          <w:rStyle w:val="CaptionLabel"/>
        </w:rPr>
        <w:fldChar w:fldCharType="end"/>
      </w:r>
      <w:r w:rsidRPr="002073EB">
        <w:rPr>
          <w:rStyle w:val="CaptionLabel"/>
        </w:rPr>
        <w:t>.</w:t>
      </w:r>
      <w:r w:rsidRPr="002073EB">
        <w:rPr>
          <w:rStyle w:val="CaptionLabel"/>
        </w:rPr>
        <w:fldChar w:fldCharType="begin"/>
      </w:r>
      <w:r w:rsidRPr="002073EB">
        <w:rPr>
          <w:rStyle w:val="CaptionLabel"/>
        </w:rPr>
        <w:instrText xml:space="preserve"> SEQ Table \* ARABIC \S 1 \* MERGEFORMAT </w:instrText>
      </w:r>
      <w:r w:rsidRPr="002073EB">
        <w:rPr>
          <w:rStyle w:val="CaptionLabel"/>
        </w:rPr>
        <w:fldChar w:fldCharType="separate"/>
      </w:r>
      <w:r w:rsidR="00966CD2">
        <w:rPr>
          <w:rStyle w:val="CaptionLabel"/>
          <w:noProof/>
        </w:rPr>
        <w:t>7</w:t>
      </w:r>
      <w:r w:rsidRPr="002073EB">
        <w:rPr>
          <w:rStyle w:val="CaptionLabel"/>
        </w:rPr>
        <w:fldChar w:fldCharType="end"/>
      </w:r>
      <w:bookmarkEnd w:id="54"/>
      <w:r>
        <w:tab/>
      </w:r>
      <w:r w:rsidR="005C72CC">
        <w:t xml:space="preserve">Average </w:t>
      </w:r>
      <w:r w:rsidR="008D419C">
        <w:t>wreck removal cost by type of vessel</w:t>
      </w:r>
      <w:r w:rsidR="00C80B09">
        <w:t xml:space="preserve"> in Territorial Sea</w:t>
      </w:r>
      <w:bookmarkEnd w:id="55"/>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645"/>
        <w:gridCol w:w="2645"/>
        <w:gridCol w:w="2646"/>
      </w:tblGrid>
      <w:tr w:rsidR="002073EB" w14:paraId="18D36414" w14:textId="77777777" w:rsidTr="00C80B09">
        <w:trPr>
          <w:tblHeader/>
        </w:trPr>
        <w:tc>
          <w:tcPr>
            <w:tcW w:w="3099" w:type="dxa"/>
            <w:gridSpan w:val="2"/>
            <w:tcBorders>
              <w:top w:val="nil"/>
              <w:bottom w:val="nil"/>
            </w:tcBorders>
            <w:shd w:val="clear" w:color="auto" w:fill="140034"/>
            <w:tcMar>
              <w:left w:w="454" w:type="dxa"/>
            </w:tcMar>
          </w:tcPr>
          <w:p w14:paraId="49B888DA" w14:textId="6E90EF23" w:rsidR="002073EB" w:rsidRDefault="008D419C" w:rsidP="002073EB">
            <w:pPr>
              <w:pStyle w:val="Tablecolumnheadings"/>
            </w:pPr>
            <w:r>
              <w:t>Vessel type</w:t>
            </w:r>
          </w:p>
        </w:tc>
        <w:tc>
          <w:tcPr>
            <w:tcW w:w="2645" w:type="dxa"/>
            <w:tcBorders>
              <w:top w:val="nil"/>
              <w:bottom w:val="nil"/>
            </w:tcBorders>
            <w:shd w:val="clear" w:color="auto" w:fill="140034"/>
          </w:tcPr>
          <w:p w14:paraId="4766E4B8" w14:textId="047FC152" w:rsidR="002073EB" w:rsidRDefault="008D419C" w:rsidP="0024532C">
            <w:pPr>
              <w:pStyle w:val="Tablecolumnheadings"/>
              <w:jc w:val="right"/>
            </w:pPr>
            <w:r>
              <w:t xml:space="preserve">Average </w:t>
            </w:r>
            <w:r w:rsidR="0024532C">
              <w:t>GT</w:t>
            </w:r>
            <w:r>
              <w:t xml:space="preserve"> </w:t>
            </w:r>
            <w:r w:rsidR="0024532C">
              <w:t>of</w:t>
            </w:r>
            <w:r>
              <w:t xml:space="preserve"> Australian trading fleet</w:t>
            </w:r>
            <w:r w:rsidR="00967ABC">
              <w:t xml:space="preserve"> (‘000 GT)</w:t>
            </w:r>
          </w:p>
        </w:tc>
        <w:tc>
          <w:tcPr>
            <w:tcW w:w="2646" w:type="dxa"/>
            <w:tcBorders>
              <w:top w:val="nil"/>
              <w:bottom w:val="nil"/>
              <w:right w:val="single" w:sz="6" w:space="0" w:color="140034"/>
            </w:tcBorders>
            <w:shd w:val="clear" w:color="auto" w:fill="140034"/>
          </w:tcPr>
          <w:p w14:paraId="5161324C" w14:textId="0900F1DD" w:rsidR="002073EB" w:rsidRDefault="008D419C" w:rsidP="005C72CC">
            <w:pPr>
              <w:pStyle w:val="Tablecolumnheadings"/>
              <w:jc w:val="right"/>
            </w:pPr>
            <w:r>
              <w:t>Estimated cost</w:t>
            </w:r>
            <w:r w:rsidR="00967ABC">
              <w:t xml:space="preserve"> ($m)</w:t>
            </w:r>
          </w:p>
        </w:tc>
      </w:tr>
      <w:tr w:rsidR="00967ABC" w14:paraId="39253898" w14:textId="77777777" w:rsidTr="00C80B09">
        <w:trPr>
          <w:gridBefore w:val="1"/>
          <w:wBefore w:w="454" w:type="dxa"/>
        </w:trPr>
        <w:tc>
          <w:tcPr>
            <w:tcW w:w="2645" w:type="dxa"/>
            <w:tcBorders>
              <w:top w:val="nil"/>
            </w:tcBorders>
            <w:shd w:val="clear" w:color="auto" w:fill="auto"/>
          </w:tcPr>
          <w:p w14:paraId="00B31E46" w14:textId="540CFEE8" w:rsidR="00967ABC" w:rsidRDefault="00967ABC" w:rsidP="00967ABC">
            <w:pPr>
              <w:pStyle w:val="Tabletext"/>
            </w:pPr>
            <w:r w:rsidRPr="00B43211">
              <w:t>Bulk carriers</w:t>
            </w:r>
          </w:p>
        </w:tc>
        <w:tc>
          <w:tcPr>
            <w:tcW w:w="2645" w:type="dxa"/>
            <w:tcBorders>
              <w:top w:val="nil"/>
            </w:tcBorders>
            <w:shd w:val="clear" w:color="auto" w:fill="auto"/>
          </w:tcPr>
          <w:p w14:paraId="729D1016" w14:textId="0E57ABA1" w:rsidR="00967ABC" w:rsidRDefault="00967ABC" w:rsidP="00C80B09">
            <w:pPr>
              <w:pStyle w:val="Tabletext"/>
              <w:jc w:val="right"/>
            </w:pPr>
            <w:r w:rsidRPr="00DA6F80">
              <w:t>159</w:t>
            </w:r>
          </w:p>
        </w:tc>
        <w:tc>
          <w:tcPr>
            <w:tcW w:w="2646" w:type="dxa"/>
            <w:tcBorders>
              <w:top w:val="nil"/>
            </w:tcBorders>
            <w:shd w:val="clear" w:color="auto" w:fill="auto"/>
          </w:tcPr>
          <w:p w14:paraId="0E7EFFBA" w14:textId="60CE4492" w:rsidR="00967ABC" w:rsidRDefault="00967ABC" w:rsidP="00C80B09">
            <w:pPr>
              <w:pStyle w:val="Tabletext"/>
              <w:jc w:val="right"/>
            </w:pPr>
            <w:r w:rsidRPr="00B43211">
              <w:t>100</w:t>
            </w:r>
          </w:p>
        </w:tc>
      </w:tr>
      <w:tr w:rsidR="00967ABC" w14:paraId="0950DD0B" w14:textId="77777777" w:rsidTr="00C80B09">
        <w:trPr>
          <w:gridBefore w:val="1"/>
          <w:wBefore w:w="454" w:type="dxa"/>
        </w:trPr>
        <w:tc>
          <w:tcPr>
            <w:tcW w:w="2645" w:type="dxa"/>
            <w:shd w:val="clear" w:color="auto" w:fill="auto"/>
          </w:tcPr>
          <w:p w14:paraId="63F8F7A2" w14:textId="24D047D5" w:rsidR="00967ABC" w:rsidRDefault="00967ABC" w:rsidP="00967ABC">
            <w:pPr>
              <w:pStyle w:val="Tabletext"/>
            </w:pPr>
            <w:r w:rsidRPr="00B43211">
              <w:t>Chemical tankers</w:t>
            </w:r>
          </w:p>
        </w:tc>
        <w:tc>
          <w:tcPr>
            <w:tcW w:w="2645" w:type="dxa"/>
            <w:shd w:val="clear" w:color="auto" w:fill="auto"/>
          </w:tcPr>
          <w:p w14:paraId="6140E894" w14:textId="545FE720" w:rsidR="00967ABC" w:rsidRDefault="00967ABC" w:rsidP="00C80B09">
            <w:pPr>
              <w:pStyle w:val="Tabletext"/>
              <w:jc w:val="right"/>
            </w:pPr>
            <w:r w:rsidRPr="00DA6F80">
              <w:t>24</w:t>
            </w:r>
          </w:p>
        </w:tc>
        <w:tc>
          <w:tcPr>
            <w:tcW w:w="2646" w:type="dxa"/>
            <w:shd w:val="clear" w:color="auto" w:fill="auto"/>
          </w:tcPr>
          <w:p w14:paraId="122750BB" w14:textId="6429843B" w:rsidR="00967ABC" w:rsidRDefault="00967ABC" w:rsidP="00C80B09">
            <w:pPr>
              <w:pStyle w:val="Tabletext"/>
              <w:jc w:val="right"/>
            </w:pPr>
            <w:r w:rsidRPr="00B43211">
              <w:t>15</w:t>
            </w:r>
          </w:p>
        </w:tc>
      </w:tr>
      <w:tr w:rsidR="00967ABC" w14:paraId="3E91470B" w14:textId="77777777" w:rsidTr="00C80B09">
        <w:trPr>
          <w:gridBefore w:val="1"/>
          <w:wBefore w:w="454" w:type="dxa"/>
        </w:trPr>
        <w:tc>
          <w:tcPr>
            <w:tcW w:w="2645" w:type="dxa"/>
            <w:shd w:val="clear" w:color="auto" w:fill="auto"/>
          </w:tcPr>
          <w:p w14:paraId="7E3CB0EE" w14:textId="41256D12" w:rsidR="00967ABC" w:rsidRDefault="00967ABC" w:rsidP="00967ABC">
            <w:pPr>
              <w:pStyle w:val="Tabletext"/>
            </w:pPr>
            <w:r w:rsidRPr="00B43211">
              <w:t>Container carriers</w:t>
            </w:r>
          </w:p>
        </w:tc>
        <w:tc>
          <w:tcPr>
            <w:tcW w:w="2645" w:type="dxa"/>
            <w:shd w:val="clear" w:color="auto" w:fill="auto"/>
          </w:tcPr>
          <w:p w14:paraId="795C94AA" w14:textId="7E3293D5" w:rsidR="00967ABC" w:rsidRDefault="00967ABC" w:rsidP="00C80B09">
            <w:pPr>
              <w:pStyle w:val="Tabletext"/>
              <w:jc w:val="right"/>
            </w:pPr>
            <w:r w:rsidRPr="00DA6F80">
              <w:t>32</w:t>
            </w:r>
          </w:p>
        </w:tc>
        <w:tc>
          <w:tcPr>
            <w:tcW w:w="2646" w:type="dxa"/>
            <w:shd w:val="clear" w:color="auto" w:fill="auto"/>
          </w:tcPr>
          <w:p w14:paraId="6FC047D9" w14:textId="27C2BA8E" w:rsidR="00967ABC" w:rsidRDefault="00967ABC" w:rsidP="00C80B09">
            <w:pPr>
              <w:pStyle w:val="Tabletext"/>
              <w:jc w:val="right"/>
            </w:pPr>
            <w:r w:rsidRPr="00B43211">
              <w:t>20</w:t>
            </w:r>
          </w:p>
        </w:tc>
      </w:tr>
      <w:tr w:rsidR="00967ABC" w14:paraId="71B1A10A" w14:textId="77777777" w:rsidTr="00C80B09">
        <w:trPr>
          <w:gridBefore w:val="1"/>
          <w:wBefore w:w="454" w:type="dxa"/>
        </w:trPr>
        <w:tc>
          <w:tcPr>
            <w:tcW w:w="2645" w:type="dxa"/>
            <w:shd w:val="clear" w:color="auto" w:fill="auto"/>
          </w:tcPr>
          <w:p w14:paraId="665F4A89" w14:textId="5BDD2F75" w:rsidR="00967ABC" w:rsidRDefault="00967ABC" w:rsidP="00967ABC">
            <w:pPr>
              <w:pStyle w:val="Tabletext"/>
            </w:pPr>
            <w:r w:rsidRPr="00B43211">
              <w:t>General cargo ships</w:t>
            </w:r>
          </w:p>
        </w:tc>
        <w:tc>
          <w:tcPr>
            <w:tcW w:w="2645" w:type="dxa"/>
            <w:shd w:val="clear" w:color="auto" w:fill="auto"/>
          </w:tcPr>
          <w:p w14:paraId="70BB45EE" w14:textId="755E5114" w:rsidR="00967ABC" w:rsidRDefault="00967ABC" w:rsidP="00C80B09">
            <w:pPr>
              <w:pStyle w:val="Tabletext"/>
              <w:jc w:val="right"/>
            </w:pPr>
            <w:r w:rsidRPr="00DA6F80">
              <w:t>32</w:t>
            </w:r>
          </w:p>
        </w:tc>
        <w:tc>
          <w:tcPr>
            <w:tcW w:w="2646" w:type="dxa"/>
            <w:shd w:val="clear" w:color="auto" w:fill="auto"/>
          </w:tcPr>
          <w:p w14:paraId="5B76A555" w14:textId="747B9B5F" w:rsidR="00967ABC" w:rsidRDefault="00967ABC" w:rsidP="00C80B09">
            <w:pPr>
              <w:pStyle w:val="Tabletext"/>
              <w:jc w:val="right"/>
            </w:pPr>
            <w:r w:rsidRPr="00B43211">
              <w:t>20</w:t>
            </w:r>
          </w:p>
        </w:tc>
      </w:tr>
      <w:tr w:rsidR="00967ABC" w14:paraId="333B7EA3" w14:textId="77777777" w:rsidTr="00C80B09">
        <w:trPr>
          <w:gridBefore w:val="1"/>
          <w:wBefore w:w="454" w:type="dxa"/>
        </w:trPr>
        <w:tc>
          <w:tcPr>
            <w:tcW w:w="2645" w:type="dxa"/>
            <w:shd w:val="clear" w:color="auto" w:fill="auto"/>
          </w:tcPr>
          <w:p w14:paraId="467C03CE" w14:textId="7717AB1A" w:rsidR="00967ABC" w:rsidRDefault="00967ABC" w:rsidP="00967ABC">
            <w:pPr>
              <w:pStyle w:val="Tabletext"/>
            </w:pPr>
            <w:r w:rsidRPr="00B43211">
              <w:t>LNG tankers</w:t>
            </w:r>
          </w:p>
        </w:tc>
        <w:tc>
          <w:tcPr>
            <w:tcW w:w="2645" w:type="dxa"/>
            <w:shd w:val="clear" w:color="auto" w:fill="auto"/>
          </w:tcPr>
          <w:p w14:paraId="1EAAC364" w14:textId="3E597276" w:rsidR="00967ABC" w:rsidRDefault="00967ABC" w:rsidP="00C80B09">
            <w:pPr>
              <w:pStyle w:val="Tabletext"/>
              <w:jc w:val="right"/>
            </w:pPr>
            <w:r w:rsidRPr="00DA6F80">
              <w:t>72</w:t>
            </w:r>
          </w:p>
        </w:tc>
        <w:tc>
          <w:tcPr>
            <w:tcW w:w="2646" w:type="dxa"/>
            <w:shd w:val="clear" w:color="auto" w:fill="auto"/>
          </w:tcPr>
          <w:p w14:paraId="181686BB" w14:textId="450477C8" w:rsidR="00967ABC" w:rsidRDefault="00967ABC" w:rsidP="00C80B09">
            <w:pPr>
              <w:pStyle w:val="Tabletext"/>
              <w:jc w:val="right"/>
            </w:pPr>
            <w:r w:rsidRPr="00B43211">
              <w:t>45</w:t>
            </w:r>
          </w:p>
        </w:tc>
      </w:tr>
      <w:tr w:rsidR="00967ABC" w14:paraId="5AD3C6CF" w14:textId="77777777" w:rsidTr="00C80B09">
        <w:trPr>
          <w:gridBefore w:val="1"/>
          <w:wBefore w:w="454" w:type="dxa"/>
        </w:trPr>
        <w:tc>
          <w:tcPr>
            <w:tcW w:w="2645" w:type="dxa"/>
            <w:shd w:val="clear" w:color="auto" w:fill="auto"/>
          </w:tcPr>
          <w:p w14:paraId="0C7610BB" w14:textId="7EDF4B4B" w:rsidR="00967ABC" w:rsidRDefault="00967ABC" w:rsidP="00967ABC">
            <w:pPr>
              <w:pStyle w:val="Tabletext"/>
            </w:pPr>
            <w:r w:rsidRPr="00B43211">
              <w:t>LPG tankers</w:t>
            </w:r>
          </w:p>
        </w:tc>
        <w:tc>
          <w:tcPr>
            <w:tcW w:w="2645" w:type="dxa"/>
            <w:shd w:val="clear" w:color="auto" w:fill="auto"/>
          </w:tcPr>
          <w:p w14:paraId="286C7D6C" w14:textId="0888FF00" w:rsidR="00967ABC" w:rsidRDefault="00967ABC" w:rsidP="00C80B09">
            <w:pPr>
              <w:pStyle w:val="Tabletext"/>
              <w:jc w:val="right"/>
            </w:pPr>
            <w:r w:rsidRPr="00DA6F80">
              <w:t>8</w:t>
            </w:r>
          </w:p>
        </w:tc>
        <w:tc>
          <w:tcPr>
            <w:tcW w:w="2646" w:type="dxa"/>
            <w:shd w:val="clear" w:color="auto" w:fill="auto"/>
          </w:tcPr>
          <w:p w14:paraId="65146782" w14:textId="57741FA0" w:rsidR="00967ABC" w:rsidRDefault="00967ABC" w:rsidP="00C80B09">
            <w:pPr>
              <w:pStyle w:val="Tabletext"/>
              <w:jc w:val="right"/>
            </w:pPr>
            <w:r w:rsidRPr="00B43211">
              <w:t>5</w:t>
            </w:r>
          </w:p>
        </w:tc>
      </w:tr>
      <w:tr w:rsidR="00967ABC" w14:paraId="70A6AAC9" w14:textId="77777777" w:rsidTr="00C80B09">
        <w:trPr>
          <w:gridBefore w:val="1"/>
          <w:wBefore w:w="454" w:type="dxa"/>
        </w:trPr>
        <w:tc>
          <w:tcPr>
            <w:tcW w:w="2645" w:type="dxa"/>
            <w:shd w:val="clear" w:color="auto" w:fill="auto"/>
          </w:tcPr>
          <w:p w14:paraId="097ED236" w14:textId="7949327C" w:rsidR="00967ABC" w:rsidRDefault="00967ABC" w:rsidP="00967ABC">
            <w:pPr>
              <w:pStyle w:val="Tabletext"/>
            </w:pPr>
            <w:r w:rsidRPr="00B43211">
              <w:t>Livestock carriers</w:t>
            </w:r>
          </w:p>
        </w:tc>
        <w:tc>
          <w:tcPr>
            <w:tcW w:w="2645" w:type="dxa"/>
            <w:shd w:val="clear" w:color="auto" w:fill="auto"/>
          </w:tcPr>
          <w:p w14:paraId="61532161" w14:textId="0AAB4638" w:rsidR="00967ABC" w:rsidRDefault="00967ABC" w:rsidP="00C80B09">
            <w:pPr>
              <w:pStyle w:val="Tabletext"/>
              <w:jc w:val="right"/>
            </w:pPr>
            <w:r w:rsidRPr="00DA6F80">
              <w:t>32</w:t>
            </w:r>
          </w:p>
        </w:tc>
        <w:tc>
          <w:tcPr>
            <w:tcW w:w="2646" w:type="dxa"/>
            <w:shd w:val="clear" w:color="auto" w:fill="auto"/>
          </w:tcPr>
          <w:p w14:paraId="4D34762E" w14:textId="1CEE3384" w:rsidR="00967ABC" w:rsidRDefault="00967ABC" w:rsidP="00C80B09">
            <w:pPr>
              <w:pStyle w:val="Tabletext"/>
              <w:jc w:val="right"/>
            </w:pPr>
            <w:r w:rsidRPr="00B43211">
              <w:t>20</w:t>
            </w:r>
          </w:p>
        </w:tc>
      </w:tr>
      <w:tr w:rsidR="00967ABC" w14:paraId="1CD6B0EC" w14:textId="77777777" w:rsidTr="00C80B09">
        <w:trPr>
          <w:gridBefore w:val="1"/>
          <w:wBefore w:w="454" w:type="dxa"/>
        </w:trPr>
        <w:tc>
          <w:tcPr>
            <w:tcW w:w="2645" w:type="dxa"/>
            <w:shd w:val="clear" w:color="auto" w:fill="auto"/>
          </w:tcPr>
          <w:p w14:paraId="44F2C653" w14:textId="34DC90EE" w:rsidR="00967ABC" w:rsidRDefault="00967ABC" w:rsidP="00967ABC">
            <w:pPr>
              <w:pStyle w:val="Tabletext"/>
            </w:pPr>
            <w:r w:rsidRPr="00B43211">
              <w:t>Tankers</w:t>
            </w:r>
          </w:p>
        </w:tc>
        <w:tc>
          <w:tcPr>
            <w:tcW w:w="2645" w:type="dxa"/>
            <w:shd w:val="clear" w:color="auto" w:fill="auto"/>
          </w:tcPr>
          <w:p w14:paraId="30AF27CF" w14:textId="67B1940E" w:rsidR="00967ABC" w:rsidRDefault="00967ABC" w:rsidP="00C80B09">
            <w:pPr>
              <w:pStyle w:val="Tabletext"/>
              <w:jc w:val="right"/>
            </w:pPr>
            <w:r w:rsidRPr="00DA6F80">
              <w:t>40</w:t>
            </w:r>
          </w:p>
        </w:tc>
        <w:tc>
          <w:tcPr>
            <w:tcW w:w="2646" w:type="dxa"/>
            <w:shd w:val="clear" w:color="auto" w:fill="auto"/>
          </w:tcPr>
          <w:p w14:paraId="4A96F8E1" w14:textId="793B0220" w:rsidR="00967ABC" w:rsidRDefault="00967ABC" w:rsidP="00C80B09">
            <w:pPr>
              <w:pStyle w:val="Tabletext"/>
              <w:jc w:val="right"/>
            </w:pPr>
            <w:r w:rsidRPr="00B43211">
              <w:t>25</w:t>
            </w:r>
          </w:p>
        </w:tc>
      </w:tr>
      <w:tr w:rsidR="00967ABC" w14:paraId="6FE49E8E" w14:textId="77777777" w:rsidTr="00C80B09">
        <w:trPr>
          <w:gridBefore w:val="1"/>
          <w:wBefore w:w="454" w:type="dxa"/>
        </w:trPr>
        <w:tc>
          <w:tcPr>
            <w:tcW w:w="2645" w:type="dxa"/>
            <w:shd w:val="clear" w:color="auto" w:fill="auto"/>
          </w:tcPr>
          <w:p w14:paraId="734E17C3" w14:textId="769C81D7" w:rsidR="00967ABC" w:rsidRDefault="00967ABC" w:rsidP="00967ABC">
            <w:pPr>
              <w:pStyle w:val="Tabletext"/>
            </w:pPr>
            <w:r w:rsidRPr="00B43211">
              <w:t>Vehicle carriers</w:t>
            </w:r>
          </w:p>
        </w:tc>
        <w:tc>
          <w:tcPr>
            <w:tcW w:w="2645" w:type="dxa"/>
            <w:shd w:val="clear" w:color="auto" w:fill="auto"/>
          </w:tcPr>
          <w:p w14:paraId="15F27F5D" w14:textId="2289C264" w:rsidR="00967ABC" w:rsidRDefault="00967ABC" w:rsidP="00C80B09">
            <w:pPr>
              <w:pStyle w:val="Tabletext"/>
              <w:jc w:val="right"/>
            </w:pPr>
            <w:r w:rsidRPr="00DA6F80">
              <w:t>32</w:t>
            </w:r>
          </w:p>
        </w:tc>
        <w:tc>
          <w:tcPr>
            <w:tcW w:w="2646" w:type="dxa"/>
            <w:shd w:val="clear" w:color="auto" w:fill="auto"/>
          </w:tcPr>
          <w:p w14:paraId="130CDF71" w14:textId="67CD8826" w:rsidR="00967ABC" w:rsidRDefault="00967ABC" w:rsidP="00C80B09">
            <w:pPr>
              <w:pStyle w:val="Tabletext"/>
              <w:jc w:val="right"/>
            </w:pPr>
            <w:r w:rsidRPr="00B43211">
              <w:t>20</w:t>
            </w:r>
          </w:p>
        </w:tc>
      </w:tr>
      <w:tr w:rsidR="00967ABC" w14:paraId="1AD0EF7D" w14:textId="67FAF8A3" w:rsidTr="00C80B09">
        <w:trPr>
          <w:gridBefore w:val="1"/>
          <w:wBefore w:w="454" w:type="dxa"/>
        </w:trPr>
        <w:tc>
          <w:tcPr>
            <w:tcW w:w="2645" w:type="dxa"/>
            <w:shd w:val="clear" w:color="auto" w:fill="auto"/>
          </w:tcPr>
          <w:p w14:paraId="30A3A9BE" w14:textId="00C5F51D" w:rsidR="00967ABC" w:rsidRDefault="00967ABC" w:rsidP="00967ABC">
            <w:pPr>
              <w:pStyle w:val="Tabletext"/>
            </w:pPr>
            <w:r w:rsidRPr="00B43211">
              <w:t>DCV</w:t>
            </w:r>
            <w:r w:rsidR="00C80B09">
              <w:t>s</w:t>
            </w:r>
          </w:p>
        </w:tc>
        <w:tc>
          <w:tcPr>
            <w:tcW w:w="2645" w:type="dxa"/>
            <w:shd w:val="clear" w:color="auto" w:fill="auto"/>
          </w:tcPr>
          <w:p w14:paraId="11B3B71E" w14:textId="4C0D434E" w:rsidR="00967ABC" w:rsidRDefault="00967ABC" w:rsidP="00C80B09">
            <w:pPr>
              <w:pStyle w:val="Tabletext"/>
              <w:jc w:val="right"/>
            </w:pPr>
          </w:p>
        </w:tc>
        <w:tc>
          <w:tcPr>
            <w:tcW w:w="2646" w:type="dxa"/>
            <w:shd w:val="clear" w:color="auto" w:fill="auto"/>
          </w:tcPr>
          <w:p w14:paraId="3684AC40" w14:textId="13DEDE18" w:rsidR="00967ABC" w:rsidRDefault="00967ABC" w:rsidP="00C80B09">
            <w:pPr>
              <w:pStyle w:val="Tabletext"/>
              <w:jc w:val="right"/>
            </w:pPr>
            <w:r w:rsidRPr="00B43211">
              <w:t>0.015</w:t>
            </w:r>
          </w:p>
        </w:tc>
      </w:tr>
      <w:tr w:rsidR="002073EB" w14:paraId="3EC50B49" w14:textId="77777777" w:rsidTr="00877BDF">
        <w:trPr>
          <w:gridBefore w:val="1"/>
          <w:wBefore w:w="454" w:type="dxa"/>
        </w:trPr>
        <w:tc>
          <w:tcPr>
            <w:tcW w:w="7936" w:type="dxa"/>
            <w:gridSpan w:val="3"/>
            <w:tcBorders>
              <w:bottom w:val="single" w:sz="4" w:space="0" w:color="646464"/>
            </w:tcBorders>
            <w:shd w:val="clear" w:color="auto" w:fill="auto"/>
          </w:tcPr>
          <w:p w14:paraId="7CFADB89" w14:textId="0AA7FCFC" w:rsidR="002073EB" w:rsidRDefault="002073EB" w:rsidP="008D419C">
            <w:pPr>
              <w:pStyle w:val="Source"/>
            </w:pPr>
            <w:r>
              <w:t>Source</w:t>
            </w:r>
            <w:r w:rsidR="008D419C">
              <w:t xml:space="preserve">: ACIL Allen estimates based on previous incidents, BITRE (2019) Sea Freight 2016-17 and </w:t>
            </w:r>
            <w:r w:rsidR="00C80B09">
              <w:t>MSQ</w:t>
            </w:r>
          </w:p>
        </w:tc>
      </w:tr>
      <w:tr w:rsidR="002073EB" w14:paraId="586351B2" w14:textId="77777777" w:rsidTr="002073EB">
        <w:trPr>
          <w:gridBefore w:val="1"/>
          <w:wBefore w:w="454" w:type="dxa"/>
          <w:trHeight w:hRule="exact" w:val="160"/>
        </w:trPr>
        <w:tc>
          <w:tcPr>
            <w:tcW w:w="7936" w:type="dxa"/>
            <w:gridSpan w:val="3"/>
            <w:tcBorders>
              <w:top w:val="single" w:sz="4" w:space="0" w:color="646464"/>
              <w:bottom w:val="nil"/>
            </w:tcBorders>
            <w:shd w:val="clear" w:color="auto" w:fill="auto"/>
          </w:tcPr>
          <w:p w14:paraId="10F9C0BA" w14:textId="77777777" w:rsidR="002073EB" w:rsidRDefault="002073EB" w:rsidP="002073EB">
            <w:pPr>
              <w:pStyle w:val="spacer"/>
            </w:pPr>
          </w:p>
        </w:tc>
      </w:tr>
    </w:tbl>
    <w:p w14:paraId="5F27454B" w14:textId="2171A455" w:rsidR="00967ABC" w:rsidRDefault="00B003DB" w:rsidP="00967ABC">
      <w:pPr>
        <w:pStyle w:val="BodyText"/>
      </w:pPr>
      <w:r w:rsidRPr="00B003DB">
        <w:lastRenderedPageBreak/>
        <w:t xml:space="preserve">For DCVs, the data from </w:t>
      </w:r>
      <w:r>
        <w:t>Maritime</w:t>
      </w:r>
      <w:r w:rsidRPr="00B003DB">
        <w:t xml:space="preserve"> Safety Queensland (MSQ) is used. The Report on War on Wrecks 2019, published by the MSQ reported that 96 vessels were removed at a total cost of $1.4 million, implying an average cost of $15,000 per wreck</w:t>
      </w:r>
      <w:r w:rsidR="00967ABC">
        <w:t>.</w:t>
      </w:r>
      <w:r w:rsidR="00C80B09">
        <w:rPr>
          <w:rStyle w:val="FootnoteReference"/>
        </w:rPr>
        <w:footnoteReference w:id="20"/>
      </w:r>
    </w:p>
    <w:p w14:paraId="1109BAC0" w14:textId="19A4DCCB" w:rsidR="005A5533" w:rsidRDefault="005A5533" w:rsidP="005A5533">
      <w:pPr>
        <w:pStyle w:val="Heading3"/>
      </w:pPr>
      <w:r>
        <w:t>S</w:t>
      </w:r>
      <w:r w:rsidRPr="001A2E8E">
        <w:t xml:space="preserve">hipwreck removal </w:t>
      </w:r>
      <w:r>
        <w:t>by location</w:t>
      </w:r>
    </w:p>
    <w:p w14:paraId="4CD423B6" w14:textId="2B4D2173" w:rsidR="00C80B09" w:rsidRDefault="002E1F9C" w:rsidP="00B72016">
      <w:pPr>
        <w:pStyle w:val="BodyText"/>
      </w:pPr>
      <w:r>
        <w:t>There are r</w:t>
      </w:r>
      <w:r w:rsidR="00C80B09">
        <w:t xml:space="preserve">elatively fewer sensitive areas and lower levels of marine traffic in </w:t>
      </w:r>
      <w:r>
        <w:t xml:space="preserve">the </w:t>
      </w:r>
      <w:r w:rsidR="00C80B09">
        <w:t>EEZ compared with the Territorial Sea. However, it has a larger area and</w:t>
      </w:r>
      <w:r>
        <w:t xml:space="preserve"> a</w:t>
      </w:r>
      <w:r w:rsidR="00C80B09">
        <w:t xml:space="preserve"> longer distance from </w:t>
      </w:r>
      <w:r w:rsidR="00EB289D">
        <w:t xml:space="preserve">the </w:t>
      </w:r>
      <w:r w:rsidR="00C80B09">
        <w:t xml:space="preserve">coast. Therefore, it is assumed that the cost of wreck removal in </w:t>
      </w:r>
      <w:r>
        <w:t xml:space="preserve">the </w:t>
      </w:r>
      <w:r w:rsidR="00C80B09">
        <w:t>EEZ is broadly 20</w:t>
      </w:r>
      <w:r w:rsidR="005C72CC">
        <w:t>%</w:t>
      </w:r>
      <w:r w:rsidR="00C80B09">
        <w:t xml:space="preserve"> higher than in the Territorial Sea. </w:t>
      </w:r>
    </w:p>
    <w:p w14:paraId="04E9BCEE" w14:textId="40D5FD91" w:rsidR="005A5533" w:rsidRDefault="000B2550" w:rsidP="000B2550">
      <w:pPr>
        <w:pStyle w:val="Heading3"/>
      </w:pPr>
      <w:r>
        <w:t>Cost recovery</w:t>
      </w:r>
    </w:p>
    <w:p w14:paraId="1C899153" w14:textId="47608FD7" w:rsidR="005A5533" w:rsidRDefault="00CE5238" w:rsidP="00B72016">
      <w:pPr>
        <w:pStyle w:val="BodyText"/>
      </w:pPr>
      <w:r>
        <w:t>The main benefit to the Australian Government from accession to the Nairobi Convention is increased cost recovery</w:t>
      </w:r>
      <w:r w:rsidR="00EC303A">
        <w:t xml:space="preserve"> from shipowners</w:t>
      </w:r>
      <w:r>
        <w:t>. It would simplify the wreck removal process, placing liability on shipowners and their respective insurers and facilitate the possibility of full recovery of costs if AMSA is involved in the locating, marking, clean-up or removal of shipwrecks.</w:t>
      </w:r>
    </w:p>
    <w:p w14:paraId="72127B20" w14:textId="77777777" w:rsidR="006E508F" w:rsidRPr="006E508F" w:rsidRDefault="006E508F" w:rsidP="006E508F">
      <w:pPr>
        <w:pStyle w:val="BodyText"/>
      </w:pPr>
      <w:r w:rsidRPr="006E508F">
        <w:t>Currently, the average cost recovery rate by AMSA (on behalf of the Australian Government) is unknown and obviously it varies by incident.</w:t>
      </w:r>
    </w:p>
    <w:p w14:paraId="3B465981" w14:textId="4C23F97C" w:rsidR="00CE5238" w:rsidRDefault="00CE5238" w:rsidP="00B72016">
      <w:pPr>
        <w:pStyle w:val="BodyText"/>
      </w:pPr>
      <w:r>
        <w:t>A UK study</w:t>
      </w:r>
      <w:r>
        <w:rPr>
          <w:rStyle w:val="FootnoteReference"/>
        </w:rPr>
        <w:footnoteReference w:id="21"/>
      </w:r>
      <w:r>
        <w:t xml:space="preserve"> reported that:</w:t>
      </w:r>
    </w:p>
    <w:p w14:paraId="1B26E0AB" w14:textId="05639A59" w:rsidR="00CE5238" w:rsidRDefault="00CE5238" w:rsidP="00CE5238">
      <w:pPr>
        <w:pStyle w:val="Quote"/>
      </w:pPr>
      <w:r>
        <w:t xml:space="preserve">Over the past 17 years on average, 70% of costs incurred by Government in wreck clean-up and removal operations have been recovered. </w:t>
      </w:r>
    </w:p>
    <w:p w14:paraId="11C35309" w14:textId="0FC6D258" w:rsidR="000B2550" w:rsidRDefault="00CE5238" w:rsidP="00CE5238">
      <w:pPr>
        <w:pStyle w:val="QuoteSource"/>
        <w:rPr>
          <w:lang w:val="en-US"/>
        </w:rPr>
      </w:pPr>
      <w:r>
        <w:rPr>
          <w:lang w:val="en-US"/>
        </w:rPr>
        <w:t>Department of Transport (2010), Impact Assessment of the Wreck Removal Convention Bill, p.15.</w:t>
      </w:r>
    </w:p>
    <w:p w14:paraId="2CEE49EB" w14:textId="6F607001" w:rsidR="006E508F" w:rsidRDefault="006E508F" w:rsidP="00D7619D">
      <w:pPr>
        <w:pStyle w:val="BodyText"/>
        <w:rPr>
          <w:lang w:val="en-US"/>
        </w:rPr>
      </w:pPr>
      <w:r w:rsidRPr="006E508F">
        <w:rPr>
          <w:lang w:val="en-US"/>
        </w:rPr>
        <w:t>The Australian Government’s average cost recovery rate could be higher or lower under current regulatory arrangements. Due to the lack of data, this study assumes the Australian Government’s cost recovery from the ship owner under Option 1 is around 70% and this will be</w:t>
      </w:r>
      <w:r w:rsidR="00DD3442">
        <w:rPr>
          <w:lang w:val="en-US"/>
        </w:rPr>
        <w:t xml:space="preserve"> increased to 80% under Option 3, 85% under Option 4</w:t>
      </w:r>
      <w:r w:rsidRPr="006E508F">
        <w:rPr>
          <w:lang w:val="en-US"/>
        </w:rPr>
        <w:t xml:space="preserve"> and 90%</w:t>
      </w:r>
      <w:r w:rsidR="00DD3442">
        <w:rPr>
          <w:lang w:val="en-US"/>
        </w:rPr>
        <w:t xml:space="preserve"> if including Sub-option 1.</w:t>
      </w:r>
    </w:p>
    <w:p w14:paraId="09C7DFFD" w14:textId="2F7EC23C" w:rsidR="00EC303A" w:rsidRPr="0079315A" w:rsidRDefault="000B2431" w:rsidP="00D7619D">
      <w:pPr>
        <w:pStyle w:val="BodyText"/>
      </w:pPr>
      <w:r>
        <w:t>Critically, this assumption relates to cost recovery</w:t>
      </w:r>
      <w:r w:rsidR="00210E8F">
        <w:t xml:space="preserve"> from the </w:t>
      </w:r>
      <w:r w:rsidR="00210E8F" w:rsidRPr="00210E8F">
        <w:rPr>
          <w:i/>
          <w:iCs/>
        </w:rPr>
        <w:t>shipowner</w:t>
      </w:r>
      <w:r w:rsidR="00210E8F">
        <w:t xml:space="preserve"> (including the shipowner’s insurer, if relevant), and not cost recovery from the </w:t>
      </w:r>
      <w:r w:rsidR="00210E8F" w:rsidRPr="0079315A">
        <w:rPr>
          <w:i/>
          <w:iCs/>
        </w:rPr>
        <w:t>shipping industry</w:t>
      </w:r>
      <w:r w:rsidR="0079315A">
        <w:t>. The shipping industry pays levies to AMSA</w:t>
      </w:r>
      <w:r w:rsidR="00EB368A">
        <w:t xml:space="preserve"> (including the Protection of the Sea Levy)</w:t>
      </w:r>
      <w:r w:rsidR="008B4AE6">
        <w:t xml:space="preserve"> which is </w:t>
      </w:r>
      <w:r w:rsidR="00EF4417">
        <w:t xml:space="preserve">used to recover costs associated with incidents where the relevant shipowner cannot be found or where the costs are not fully recovered from the shipowner. </w:t>
      </w:r>
      <w:r w:rsidR="00241FF5">
        <w:t xml:space="preserve">Hence, the general Australian taxpayer is not being taxed to </w:t>
      </w:r>
      <w:r w:rsidR="0016741F">
        <w:t>pay for wreck removal operations.</w:t>
      </w:r>
      <w:r w:rsidR="003745C1">
        <w:t xml:space="preserve"> </w:t>
      </w:r>
    </w:p>
    <w:p w14:paraId="6D882A7C" w14:textId="29DB36BD" w:rsidR="00B03EF0" w:rsidRDefault="006E508F" w:rsidP="00D7619D">
      <w:pPr>
        <w:pStyle w:val="BodyText"/>
      </w:pPr>
      <w:r w:rsidRPr="006E508F">
        <w:t>Using the above assumptions, Chapter 4 provides an indicative cost benefit analysis of proposed options.</w:t>
      </w:r>
    </w:p>
    <w:p w14:paraId="71CB1895" w14:textId="77777777" w:rsidR="00D7619D" w:rsidRDefault="00D7619D" w:rsidP="00D7619D">
      <w:pPr>
        <w:pStyle w:val="BodyText"/>
        <w:sectPr w:rsidR="00D7619D" w:rsidSect="00DB3235">
          <w:headerReference w:type="even" r:id="rId68"/>
          <w:headerReference w:type="default" r:id="rId69"/>
          <w:footerReference w:type="even" r:id="rId70"/>
          <w:footerReference w:type="default" r:id="rId71"/>
          <w:headerReference w:type="first" r:id="rId72"/>
          <w:footerReference w:type="first" r:id="rId73"/>
          <w:pgSz w:w="11906" w:h="16838" w:code="9"/>
          <w:pgMar w:top="1134" w:right="851" w:bottom="1134" w:left="3119" w:header="454" w:footer="15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5570"/>
        <w:gridCol w:w="2366"/>
      </w:tblGrid>
      <w:tr w:rsidR="00826E33" w14:paraId="0D2C0124" w14:textId="77777777" w:rsidTr="00826E33">
        <w:trPr>
          <w:trHeight w:hRule="exact" w:val="382"/>
        </w:trPr>
        <w:tc>
          <w:tcPr>
            <w:tcW w:w="5570" w:type="dxa"/>
          </w:tcPr>
          <w:p w14:paraId="68354BF8" w14:textId="3FA6614E" w:rsidR="00826E33" w:rsidRDefault="00826E33" w:rsidP="00826E33">
            <w:pPr>
              <w:pStyle w:val="tagchapterBanner"/>
            </w:pPr>
            <w:r>
              <w:rPr>
                <w:noProof/>
                <w:lang w:eastAsia="en-AU"/>
              </w:rPr>
              <w:lastRenderedPageBreak/>
              <w:drawing>
                <wp:anchor distT="0" distB="0" distL="114300" distR="114300" simplePos="0" relativeHeight="251659264" behindDoc="1" locked="1" layoutInCell="1" allowOverlap="1" wp14:anchorId="6CEFCC91" wp14:editId="159F370A">
                  <wp:simplePos x="0" y="0"/>
                  <wp:positionH relativeFrom="page">
                    <wp:posOffset>0</wp:posOffset>
                  </wp:positionH>
                  <wp:positionV relativeFrom="page">
                    <wp:posOffset>0</wp:posOffset>
                  </wp:positionV>
                  <wp:extent cx="5039360" cy="1995170"/>
                  <wp:effectExtent l="0" t="0" r="8890" b="5080"/>
                  <wp:wrapNone/>
                  <wp:docPr id="54" name="chpt_banner_std" descr="A picture containing dark, light, looking, l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chpt_banner_std" descr="A picture containing dark, light, looking, l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360" cy="1995170"/>
                          </a:xfrm>
                          <a:prstGeom prst="rect">
                            <a:avLst/>
                          </a:prstGeom>
                        </pic:spPr>
                      </pic:pic>
                    </a:graphicData>
                  </a:graphic>
                  <wp14:sizeRelH relativeFrom="margin">
                    <wp14:pctWidth>0</wp14:pctWidth>
                  </wp14:sizeRelH>
                  <wp14:sizeRelV relativeFrom="margin">
                    <wp14:pctHeight>0</wp14:pctHeight>
                  </wp14:sizeRelV>
                </wp:anchor>
              </w:drawing>
            </w:r>
          </w:p>
        </w:tc>
        <w:tc>
          <w:tcPr>
            <w:tcW w:w="2366" w:type="dxa"/>
          </w:tcPr>
          <w:p w14:paraId="5FB06553" w14:textId="77777777" w:rsidR="00826E33" w:rsidRDefault="00826E33" w:rsidP="00826E33">
            <w:pPr>
              <w:pStyle w:val="spacer"/>
            </w:pPr>
          </w:p>
        </w:tc>
      </w:tr>
      <w:tr w:rsidR="00826E33" w14:paraId="49EB4343" w14:textId="77777777" w:rsidTr="00826E33">
        <w:trPr>
          <w:trHeight w:hRule="exact" w:val="2760"/>
        </w:trPr>
        <w:tc>
          <w:tcPr>
            <w:tcW w:w="5570" w:type="dxa"/>
            <w:vAlign w:val="bottom"/>
          </w:tcPr>
          <w:p w14:paraId="6C346957" w14:textId="1557AEE2" w:rsidR="00826E33" w:rsidRDefault="00826E33" w:rsidP="00826E33">
            <w:pPr>
              <w:pStyle w:val="Heading1"/>
            </w:pPr>
            <w:bookmarkStart w:id="56" w:name="_Toc99543733"/>
            <w:r>
              <w:t>Cost benefit analysis</w:t>
            </w:r>
            <w:bookmarkEnd w:id="56"/>
          </w:p>
        </w:tc>
        <w:tc>
          <w:tcPr>
            <w:tcW w:w="2366" w:type="dxa"/>
            <w:tcMar>
              <w:right w:w="224" w:type="dxa"/>
            </w:tcMar>
            <w:vAlign w:val="bottom"/>
          </w:tcPr>
          <w:p w14:paraId="31BA0F57" w14:textId="4F693402" w:rsidR="00826E33" w:rsidRDefault="008C3AD9" w:rsidP="00826E33">
            <w:pPr>
              <w:pStyle w:val="HeadingChapter"/>
            </w:pPr>
            <w:r>
              <w:fldChar w:fldCharType="begin"/>
            </w:r>
            <w:r>
              <w:instrText xml:space="preserve"> SEQ ChptNum \* ARABIC </w:instrText>
            </w:r>
            <w:r>
              <w:fldChar w:fldCharType="separate"/>
            </w:r>
            <w:r w:rsidR="00966CD2">
              <w:rPr>
                <w:noProof/>
              </w:rPr>
              <w:t>4</w:t>
            </w:r>
            <w:r>
              <w:rPr>
                <w:noProof/>
              </w:rPr>
              <w:fldChar w:fldCharType="end"/>
            </w:r>
          </w:p>
        </w:tc>
      </w:tr>
      <w:tr w:rsidR="00826E33" w14:paraId="6EF4C7EA" w14:textId="77777777" w:rsidTr="00826E33">
        <w:trPr>
          <w:trHeight w:hRule="exact" w:val="228"/>
        </w:trPr>
        <w:tc>
          <w:tcPr>
            <w:tcW w:w="5570" w:type="dxa"/>
          </w:tcPr>
          <w:p w14:paraId="61804631" w14:textId="77777777" w:rsidR="00826E33" w:rsidRDefault="00826E33" w:rsidP="00826E33">
            <w:pPr>
              <w:pStyle w:val="spacer"/>
            </w:pPr>
          </w:p>
        </w:tc>
        <w:tc>
          <w:tcPr>
            <w:tcW w:w="2366" w:type="dxa"/>
          </w:tcPr>
          <w:p w14:paraId="1111B260" w14:textId="77777777" w:rsidR="00826E33" w:rsidRDefault="00826E33" w:rsidP="00826E33">
            <w:pPr>
              <w:pStyle w:val="spacer"/>
            </w:pPr>
          </w:p>
        </w:tc>
      </w:tr>
    </w:tbl>
    <w:p w14:paraId="566BB8AA" w14:textId="77777777" w:rsidR="00B72016" w:rsidRDefault="00B72016" w:rsidP="00B72016">
      <w:pPr>
        <w:pStyle w:val="Heading2"/>
      </w:pPr>
      <w:bookmarkStart w:id="57" w:name="_Ref75509791"/>
      <w:bookmarkStart w:id="58" w:name="_Toc99543734"/>
      <w:r>
        <w:t>Analysis framework</w:t>
      </w:r>
      <w:bookmarkEnd w:id="57"/>
      <w:bookmarkEnd w:id="58"/>
    </w:p>
    <w:p w14:paraId="5FEB9655" w14:textId="4DD72C47" w:rsidR="00C054C4" w:rsidRDefault="003C0833" w:rsidP="00B72016">
      <w:pPr>
        <w:pStyle w:val="BodyText"/>
      </w:pPr>
      <w:r>
        <w:t>I</w:t>
      </w:r>
      <w:r w:rsidR="00C054C4">
        <w:t xml:space="preserve">t is difficult to undertake a </w:t>
      </w:r>
      <w:r w:rsidR="00D63AB9">
        <w:t xml:space="preserve">typical </w:t>
      </w:r>
      <w:r w:rsidR="00C054C4">
        <w:t xml:space="preserve">cost benefit analysis </w:t>
      </w:r>
      <w:r w:rsidR="00D63AB9">
        <w:t xml:space="preserve">of accession </w:t>
      </w:r>
      <w:r w:rsidR="000C1DE0">
        <w:t>of the Nairobi Convention</w:t>
      </w:r>
      <w:r w:rsidR="00B16B69">
        <w:t>. This</w:t>
      </w:r>
      <w:r w:rsidR="009728CB">
        <w:t xml:space="preserve"> is primarily because </w:t>
      </w:r>
      <w:r w:rsidR="000C1DE0">
        <w:t xml:space="preserve">of the rare number of incidents </w:t>
      </w:r>
      <w:r w:rsidR="0024459B">
        <w:t xml:space="preserve">which </w:t>
      </w:r>
      <w:r w:rsidR="00C978EA">
        <w:t>will be affected by accession,</w:t>
      </w:r>
      <w:r w:rsidR="00A16A72">
        <w:t xml:space="preserve"> thereby making it </w:t>
      </w:r>
      <w:r w:rsidR="000B3005">
        <w:t xml:space="preserve">difficult </w:t>
      </w:r>
      <w:r w:rsidR="002C7D32">
        <w:t xml:space="preserve">to quantify many of the key </w:t>
      </w:r>
      <w:r w:rsidR="00A26580">
        <w:t>benefits</w:t>
      </w:r>
      <w:r w:rsidR="00506F84">
        <w:t xml:space="preserve">, </w:t>
      </w:r>
      <w:r w:rsidR="00506F84" w:rsidRPr="00506F84">
        <w:t>most of which are related to if an incident occurs</w:t>
      </w:r>
      <w:r w:rsidR="00A26580">
        <w:t>.</w:t>
      </w:r>
      <w:r w:rsidR="00CC482C">
        <w:t xml:space="preserve"> </w:t>
      </w:r>
    </w:p>
    <w:p w14:paraId="59E404BD" w14:textId="0C97BB76" w:rsidR="00506F84" w:rsidRDefault="00D04AB3" w:rsidP="00B72016">
      <w:pPr>
        <w:pStyle w:val="BodyText"/>
      </w:pPr>
      <w:r w:rsidRPr="00D04AB3">
        <w:rPr>
          <w:b/>
        </w:rPr>
        <w:t>Figure 4.1</w:t>
      </w:r>
      <w:r w:rsidR="00B1590A">
        <w:t xml:space="preserve"> summarises the </w:t>
      </w:r>
      <w:r w:rsidR="00506F84" w:rsidRPr="00506F84">
        <w:t>key impacts of accession that have been identified by ACIL Allen, with the elements split between those that are associated with ongoing expenses, and those that are related to when a wreck incident occurs which currently results in a dispute regarding the Australian Government’s powers to recover costs. If such an incident happens, this is when key economic benefits associated with accession will arise. Many other impacts are associated with movements of costs between parties (that is, distributional effects) rather than providing net economic benefits.</w:t>
      </w:r>
    </w:p>
    <w:tbl>
      <w:tblPr>
        <w:tblW w:w="0" w:type="auto"/>
        <w:tblLayout w:type="fixed"/>
        <w:tblCellMar>
          <w:left w:w="0" w:type="dxa"/>
          <w:right w:w="0" w:type="dxa"/>
        </w:tblCellMar>
        <w:tblLook w:val="0000" w:firstRow="0" w:lastRow="0" w:firstColumn="0" w:lastColumn="0" w:noHBand="0" w:noVBand="0"/>
      </w:tblPr>
      <w:tblGrid>
        <w:gridCol w:w="7936"/>
      </w:tblGrid>
      <w:tr w:rsidR="00506F84" w14:paraId="44A25076" w14:textId="77777777" w:rsidTr="00506F84">
        <w:tc>
          <w:tcPr>
            <w:tcW w:w="7936" w:type="dxa"/>
            <w:tcBorders>
              <w:bottom w:val="single" w:sz="4" w:space="0" w:color="000100"/>
            </w:tcBorders>
            <w:shd w:val="clear" w:color="auto" w:fill="auto"/>
            <w:tcMar>
              <w:top w:w="160" w:type="dxa"/>
              <w:bottom w:w="8" w:type="dxa"/>
            </w:tcMar>
          </w:tcPr>
          <w:p w14:paraId="790EB77E" w14:textId="7ECB8565" w:rsidR="00506F84" w:rsidRDefault="00506F84" w:rsidP="003233BC">
            <w:pPr>
              <w:pStyle w:val="Caption"/>
            </w:pPr>
            <w:bookmarkStart w:id="59" w:name="_Toc99543746"/>
            <w:r w:rsidRPr="00E21622">
              <w:rPr>
                <w:rStyle w:val="CaptionLabel"/>
              </w:rPr>
              <w:t>Figure </w:t>
            </w:r>
            <w:r w:rsidRPr="00E21622">
              <w:rPr>
                <w:rStyle w:val="CaptionLabel"/>
              </w:rPr>
              <w:fldChar w:fldCharType="begin"/>
            </w:r>
            <w:r w:rsidRPr="00E21622">
              <w:rPr>
                <w:rStyle w:val="CaptionLabel"/>
              </w:rPr>
              <w:instrText xml:space="preserve"> STYLEREF 1 \S \* MERGEFORMAT </w:instrText>
            </w:r>
            <w:r w:rsidRPr="00E21622">
              <w:rPr>
                <w:rStyle w:val="CaptionLabel"/>
              </w:rPr>
              <w:fldChar w:fldCharType="separate"/>
            </w:r>
            <w:r w:rsidR="00966CD2">
              <w:rPr>
                <w:rStyle w:val="CaptionLabel"/>
                <w:noProof/>
              </w:rPr>
              <w:t>4</w:t>
            </w:r>
            <w:r w:rsidRPr="00E21622">
              <w:rPr>
                <w:rStyle w:val="CaptionLabel"/>
              </w:rPr>
              <w:fldChar w:fldCharType="end"/>
            </w:r>
            <w:r w:rsidRPr="00E21622">
              <w:rPr>
                <w:rStyle w:val="CaptionLabel"/>
              </w:rPr>
              <w:t>.</w:t>
            </w:r>
            <w:r w:rsidRPr="00E21622">
              <w:rPr>
                <w:rStyle w:val="CaptionLabel"/>
              </w:rPr>
              <w:fldChar w:fldCharType="begin"/>
            </w:r>
            <w:r w:rsidRPr="00E21622">
              <w:rPr>
                <w:rStyle w:val="CaptionLabel"/>
              </w:rPr>
              <w:instrText xml:space="preserve"> SEQ Figure \* ARABIC \S 1 \* MERGEFORMAT </w:instrText>
            </w:r>
            <w:r w:rsidRPr="00E21622">
              <w:rPr>
                <w:rStyle w:val="CaptionLabel"/>
              </w:rPr>
              <w:fldChar w:fldCharType="separate"/>
            </w:r>
            <w:r w:rsidR="00966CD2">
              <w:rPr>
                <w:rStyle w:val="CaptionLabel"/>
                <w:noProof/>
              </w:rPr>
              <w:t>1</w:t>
            </w:r>
            <w:r w:rsidRPr="00E21622">
              <w:rPr>
                <w:rStyle w:val="CaptionLabel"/>
              </w:rPr>
              <w:fldChar w:fldCharType="end"/>
            </w:r>
            <w:r>
              <w:tab/>
              <w:t>Analytical framework</w:t>
            </w:r>
            <w:bookmarkEnd w:id="59"/>
          </w:p>
        </w:tc>
      </w:tr>
      <w:tr w:rsidR="00506F84" w14:paraId="39420A9F" w14:textId="77777777" w:rsidTr="00506F84">
        <w:tc>
          <w:tcPr>
            <w:tcW w:w="7936" w:type="dxa"/>
            <w:tcBorders>
              <w:top w:val="single" w:sz="4" w:space="0" w:color="000100"/>
            </w:tcBorders>
            <w:shd w:val="clear" w:color="auto" w:fill="auto"/>
            <w:tcMar>
              <w:top w:w="0" w:type="dxa"/>
              <w:bottom w:w="0" w:type="dxa"/>
              <w:right w:w="0" w:type="dxa"/>
            </w:tcMar>
          </w:tcPr>
          <w:p w14:paraId="21F5AA17" w14:textId="77777777" w:rsidR="00506F84" w:rsidRDefault="00506F84" w:rsidP="003233BC">
            <w:pPr>
              <w:pStyle w:val="Figure"/>
              <w:rPr>
                <w:b/>
                <w:bCs/>
                <w:noProof/>
                <w:highlight w:val="yellow"/>
              </w:rPr>
            </w:pPr>
          </w:p>
          <w:p w14:paraId="688B0B6C" w14:textId="77777777" w:rsidR="00506F84" w:rsidRPr="00773DF9" w:rsidRDefault="00506F84" w:rsidP="003233BC">
            <w:pPr>
              <w:pStyle w:val="Figure"/>
              <w:rPr>
                <w:b/>
                <w:bCs/>
                <w:noProof/>
                <w:highlight w:val="yellow"/>
              </w:rPr>
            </w:pPr>
            <w:r>
              <w:rPr>
                <w:noProof/>
                <w:lang w:eastAsia="en-AU"/>
              </w:rPr>
              <w:drawing>
                <wp:inline distT="0" distB="0" distL="0" distR="0" wp14:anchorId="1875C75B" wp14:editId="0C3E5915">
                  <wp:extent cx="5039360" cy="2774315"/>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50639" cy="2780524"/>
                          </a:xfrm>
                          <a:prstGeom prst="rect">
                            <a:avLst/>
                          </a:prstGeom>
                        </pic:spPr>
                      </pic:pic>
                    </a:graphicData>
                  </a:graphic>
                </wp:inline>
              </w:drawing>
            </w:r>
          </w:p>
        </w:tc>
      </w:tr>
      <w:tr w:rsidR="00506F84" w14:paraId="15AB6DEB" w14:textId="77777777" w:rsidTr="00506F84">
        <w:tc>
          <w:tcPr>
            <w:tcW w:w="7936" w:type="dxa"/>
            <w:shd w:val="clear" w:color="auto" w:fill="auto"/>
            <w:tcMar>
              <w:top w:w="0" w:type="dxa"/>
              <w:bottom w:w="0" w:type="dxa"/>
              <w:right w:w="0" w:type="dxa"/>
            </w:tcMar>
          </w:tcPr>
          <w:p w14:paraId="3A381C88" w14:textId="77777777" w:rsidR="00506F84" w:rsidRDefault="00506F84" w:rsidP="003233BC">
            <w:pPr>
              <w:pStyle w:val="Figure"/>
              <w:rPr>
                <w:b/>
                <w:bCs/>
                <w:noProof/>
                <w:highlight w:val="yellow"/>
              </w:rPr>
            </w:pPr>
          </w:p>
        </w:tc>
      </w:tr>
      <w:tr w:rsidR="00506F84" w14:paraId="1529FB14" w14:textId="77777777" w:rsidTr="003233BC">
        <w:trPr>
          <w:trHeight w:val="135"/>
        </w:trPr>
        <w:tc>
          <w:tcPr>
            <w:tcW w:w="7936" w:type="dxa"/>
            <w:tcBorders>
              <w:bottom w:val="single" w:sz="4" w:space="0" w:color="000100"/>
            </w:tcBorders>
            <w:shd w:val="clear" w:color="auto" w:fill="auto"/>
            <w:tcMar>
              <w:top w:w="12" w:type="dxa"/>
              <w:bottom w:w="113" w:type="dxa"/>
            </w:tcMar>
          </w:tcPr>
          <w:p w14:paraId="359E4E2E" w14:textId="77777777" w:rsidR="00506F84" w:rsidRDefault="00506F84" w:rsidP="003233BC">
            <w:pPr>
              <w:pStyle w:val="Source"/>
            </w:pPr>
            <w:r>
              <w:t>Source: ACIL Allen</w:t>
            </w:r>
          </w:p>
        </w:tc>
      </w:tr>
      <w:tr w:rsidR="00506F84" w14:paraId="25B925C2" w14:textId="77777777" w:rsidTr="003233BC">
        <w:trPr>
          <w:trHeight w:hRule="exact" w:val="160"/>
        </w:trPr>
        <w:tc>
          <w:tcPr>
            <w:tcW w:w="7936" w:type="dxa"/>
            <w:tcBorders>
              <w:top w:val="single" w:sz="4" w:space="0" w:color="000100"/>
            </w:tcBorders>
            <w:shd w:val="clear" w:color="auto" w:fill="auto"/>
            <w:tcMar>
              <w:top w:w="0" w:type="dxa"/>
              <w:bottom w:w="40" w:type="dxa"/>
            </w:tcMar>
          </w:tcPr>
          <w:p w14:paraId="0691E2DE" w14:textId="77777777" w:rsidR="00506F84" w:rsidRDefault="00506F84" w:rsidP="003233BC">
            <w:pPr>
              <w:pStyle w:val="spacer"/>
            </w:pPr>
          </w:p>
        </w:tc>
      </w:tr>
    </w:tbl>
    <w:p w14:paraId="059E01E8" w14:textId="1A949756" w:rsidR="00506F84" w:rsidRDefault="00506F84" w:rsidP="00506F84">
      <w:pPr>
        <w:autoSpaceDE w:val="0"/>
        <w:autoSpaceDN w:val="0"/>
        <w:adjustRightInd w:val="0"/>
        <w:snapToGrid w:val="0"/>
        <w:spacing w:before="0" w:after="0" w:line="240" w:lineRule="auto"/>
      </w:pPr>
      <w:r w:rsidRPr="00506F84">
        <w:t xml:space="preserve">On the cost side, there are a range of ongoing expenses associated with accession that can be estimated with a medium to high level of certainty. These expenses differ based on the specific Option but involve the number of ships that will need to purchase compulsory insurance, maintain </w:t>
      </w:r>
      <w:r w:rsidR="00625E61">
        <w:t xml:space="preserve">an </w:t>
      </w:r>
      <w:r w:rsidR="00625E61" w:rsidRPr="00625E61">
        <w:t>annual insurance certificate from a Member State</w:t>
      </w:r>
      <w:r w:rsidRPr="00506F84">
        <w:t>, and incur additional administrative costs associated with demonstrating compliance. These costs will fall primarily on the shipping industry.</w:t>
      </w:r>
    </w:p>
    <w:p w14:paraId="5754DA28" w14:textId="77777777" w:rsidR="00506F84" w:rsidRPr="00506F84" w:rsidRDefault="00506F84" w:rsidP="00506F84">
      <w:pPr>
        <w:pStyle w:val="BodyText"/>
      </w:pPr>
      <w:r w:rsidRPr="00506F84">
        <w:lastRenderedPageBreak/>
        <w:t>The costs that are very uncertain, relate to those that would be incurred in wreck removal operations in the future. These expenses are highly uncertain due to the variation in number, type, scale and location of wrecks each year in Australian coastal waters, territorial sea and EEZ. The impact of accession to the Nairobi Convention on these costs, however, is primarily related to transfers between the Australian Government, insurers and shipowners, and the general shipping industry. That is, it is highly likely that the total cost of wreck removal operations will be unchanged at the first order under all options. Who would incur those costs, however, would change as result of the accession to the Nairobi Convention. The cost neutrality assumption of accession to the Nairobi Convention compared to the existing framework could be impacted:</w:t>
      </w:r>
    </w:p>
    <w:p w14:paraId="10F9C1A9" w14:textId="77777777" w:rsidR="00BE1909" w:rsidRDefault="003D129B" w:rsidP="003B2EB8">
      <w:pPr>
        <w:pStyle w:val="ListBullet"/>
      </w:pPr>
      <w:r w:rsidRPr="00345E0F">
        <w:rPr>
          <w:i/>
          <w:iCs/>
        </w:rPr>
        <w:t>P</w:t>
      </w:r>
      <w:r w:rsidR="00586C84" w:rsidRPr="00345E0F">
        <w:rPr>
          <w:i/>
          <w:iCs/>
        </w:rPr>
        <w:t>ositively</w:t>
      </w:r>
      <w:r w:rsidR="00586C84">
        <w:t xml:space="preserve"> </w:t>
      </w:r>
      <w:r w:rsidR="009642D0">
        <w:t xml:space="preserve">by the increased involvement of insurers in </w:t>
      </w:r>
      <w:r w:rsidR="009F3FF4">
        <w:t xml:space="preserve">salvage operations. That is, </w:t>
      </w:r>
      <w:r w:rsidR="00C61C90">
        <w:t xml:space="preserve">the </w:t>
      </w:r>
      <w:r w:rsidR="00704908">
        <w:t xml:space="preserve">compulsory insurance requirement </w:t>
      </w:r>
      <w:r w:rsidR="002A07DB">
        <w:t xml:space="preserve">may facilitate </w:t>
      </w:r>
      <w:r w:rsidR="00262738">
        <w:t>additional</w:t>
      </w:r>
      <w:r w:rsidR="002A07DB">
        <w:t xml:space="preserve"> transfer of </w:t>
      </w:r>
      <w:r w:rsidR="00262738">
        <w:t xml:space="preserve">knowledge and technology </w:t>
      </w:r>
      <w:r w:rsidR="0097032C">
        <w:t xml:space="preserve">related </w:t>
      </w:r>
      <w:r w:rsidR="00AB2BBA">
        <w:t xml:space="preserve">to </w:t>
      </w:r>
      <w:r w:rsidR="0097032C">
        <w:t xml:space="preserve">how to undertake </w:t>
      </w:r>
      <w:r w:rsidR="00AB2BBA">
        <w:t>cost-effective clean-up operations</w:t>
      </w:r>
      <w:r>
        <w:t xml:space="preserve"> for </w:t>
      </w:r>
      <w:r w:rsidR="00B45322">
        <w:t>rare events</w:t>
      </w:r>
      <w:r>
        <w:t>.</w:t>
      </w:r>
    </w:p>
    <w:p w14:paraId="739F3892" w14:textId="30449E30" w:rsidR="00B72016" w:rsidRDefault="00BE1909" w:rsidP="00602E94">
      <w:pPr>
        <w:pStyle w:val="ListBullet"/>
      </w:pPr>
      <w:r w:rsidRPr="005E2B84">
        <w:rPr>
          <w:i/>
          <w:iCs/>
        </w:rPr>
        <w:t xml:space="preserve">Negatively </w:t>
      </w:r>
      <w:r>
        <w:t xml:space="preserve">if </w:t>
      </w:r>
      <w:r w:rsidR="00D267B0">
        <w:t xml:space="preserve">the time limits </w:t>
      </w:r>
      <w:r w:rsidR="009A1B88">
        <w:t xml:space="preserve">on cost recovery actions under the Nairobi Convention </w:t>
      </w:r>
      <w:r w:rsidR="00125EEA">
        <w:t xml:space="preserve">(compared to no time limits currently under the Navigation Act), resulted in </w:t>
      </w:r>
      <w:r w:rsidR="00A31393">
        <w:t xml:space="preserve">AMSA </w:t>
      </w:r>
      <w:r w:rsidR="003108CE">
        <w:t xml:space="preserve">being extra cautious in </w:t>
      </w:r>
      <w:r w:rsidR="00AE6437">
        <w:t>determining that a wreck is a hazard</w:t>
      </w:r>
      <w:r w:rsidR="000C068D">
        <w:t>,</w:t>
      </w:r>
      <w:r w:rsidR="00EF5EEE">
        <w:t xml:space="preserve"> thereby ordering more removals than would otherwise occur. </w:t>
      </w:r>
      <w:r w:rsidR="0072396F">
        <w:t xml:space="preserve"> </w:t>
      </w:r>
    </w:p>
    <w:p w14:paraId="550EC08E" w14:textId="77777777" w:rsidR="00506F84" w:rsidRDefault="00506F84" w:rsidP="00506F84">
      <w:pPr>
        <w:pStyle w:val="BodyText"/>
      </w:pPr>
      <w:r>
        <w:t>Unlike the cost side, quantitative estimates of the benefits, either by specific parties or in total, are all highly uncertain and are linked to wreck incidents that result in a legal dispute under the current regulatory regime. For example, a key benefit of accession to the Nairobi Convention is related to an expected reduction in legal costs because of strict liability rules, compulsory insurance, and a broader definition of what constitutes a ‘wreck’ in the Nairobi Convention. In particular, the extra clarity around what powers the Australian Government has and who is liable in the event of a wreck in the EEZ will reduce the number of disputes, which, in turn, should reduce the cost of dealing with future wrecks by reducing the amount of legal costs associated with disputes.</w:t>
      </w:r>
    </w:p>
    <w:p w14:paraId="31FDDB22" w14:textId="5FC2F8D1" w:rsidR="00506F84" w:rsidRDefault="00506F84" w:rsidP="00506F84">
      <w:pPr>
        <w:pStyle w:val="BodyText"/>
      </w:pPr>
      <w:r>
        <w:t xml:space="preserve">Another key benefit of the reduction in the number of disputes associated with accession to the Nairobi Convention, is that the Australian Government should be less likely to need to use its powers to seize and hold assets of the shipowner as collateral until the dispute is resolved. In the case of a sister ship being seized as collateral, for example, this can result in significant costs for the shipowner due to the inability to transport cargos for a potentially significant amount of time. Similar to the expected reduction in legal costs, estimating such costs is very difficult as it will only occur in particular circumstances, and the nature of the assets </w:t>
      </w:r>
      <w:r w:rsidR="00CF7739">
        <w:t>detained</w:t>
      </w:r>
      <w:r>
        <w:t xml:space="preserve"> and held can vary substantially.</w:t>
      </w:r>
    </w:p>
    <w:p w14:paraId="32D5DFC9" w14:textId="21C52340" w:rsidR="00506F84" w:rsidRDefault="00506F84" w:rsidP="00506F84">
      <w:pPr>
        <w:pStyle w:val="BodyText"/>
      </w:pPr>
      <w:r>
        <w:t>For the purposes of the economic analysis, the ongoing costs associated with accession to the Nairobi Convention have been calculated over a ten year time frame. These have been compared to the potential benefits over the same timeframe that could arise in the event of a single incident (in the first year) involving different vessel types based on the assumptions reported in the previous chapter.</w:t>
      </w:r>
    </w:p>
    <w:p w14:paraId="3425CD49" w14:textId="51430FBF" w:rsidR="00A50952" w:rsidRDefault="00A50952" w:rsidP="00A50952">
      <w:pPr>
        <w:pStyle w:val="Heading2"/>
      </w:pPr>
      <w:bookmarkStart w:id="60" w:name="_Toc99543735"/>
      <w:r>
        <w:t xml:space="preserve">Expected </w:t>
      </w:r>
      <w:r w:rsidR="00985169">
        <w:t xml:space="preserve">ongoing </w:t>
      </w:r>
      <w:r w:rsidR="009510E8">
        <w:t xml:space="preserve">compliance </w:t>
      </w:r>
      <w:r w:rsidR="00985169">
        <w:t>costs under Option</w:t>
      </w:r>
      <w:r w:rsidR="00EC39EF">
        <w:t>s</w:t>
      </w:r>
      <w:r w:rsidR="00DD3442">
        <w:t xml:space="preserve"> 3</w:t>
      </w:r>
      <w:r w:rsidR="00985169">
        <w:t xml:space="preserve"> and </w:t>
      </w:r>
      <w:r w:rsidR="00DD3442">
        <w:t>4</w:t>
      </w:r>
      <w:bookmarkEnd w:id="60"/>
    </w:p>
    <w:p w14:paraId="2C6D9A9F" w14:textId="2906766A" w:rsidR="00664A52" w:rsidRDefault="005E617D" w:rsidP="00664A52">
      <w:pPr>
        <w:pStyle w:val="BodyText"/>
      </w:pPr>
      <w:r>
        <w:t>O</w:t>
      </w:r>
      <w:r w:rsidR="00DD3442">
        <w:t>ption 3</w:t>
      </w:r>
      <w:r>
        <w:t xml:space="preserve"> is a</w:t>
      </w:r>
      <w:r w:rsidRPr="00EA43A0">
        <w:t>cceding to the Nairobi Convention, and applying it to the EEZ while maintaining the Navigation Act</w:t>
      </w:r>
      <w:r>
        <w:t xml:space="preserve"> 2012</w:t>
      </w:r>
      <w:r w:rsidRPr="00EA43A0">
        <w:rPr>
          <w:i/>
          <w:iCs/>
        </w:rPr>
        <w:t xml:space="preserve"> </w:t>
      </w:r>
      <w:r w:rsidRPr="00EA43A0">
        <w:t xml:space="preserve">in the </w:t>
      </w:r>
      <w:r>
        <w:t>Territorial Sea</w:t>
      </w:r>
      <w:r w:rsidRPr="00EA43A0">
        <w:t xml:space="preserve">. </w:t>
      </w:r>
      <w:r w:rsidR="00DD3442">
        <w:t>Option 4</w:t>
      </w:r>
      <w:r w:rsidR="00664A52">
        <w:t xml:space="preserve"> is a</w:t>
      </w:r>
      <w:r w:rsidR="00664A52" w:rsidRPr="00EA43A0">
        <w:t xml:space="preserve">cceding to the Nairobi Convention, and applying it to the EEZ </w:t>
      </w:r>
      <w:r w:rsidR="00664A52">
        <w:t>and</w:t>
      </w:r>
      <w:r w:rsidR="00664A52" w:rsidRPr="00EA43A0">
        <w:t xml:space="preserve"> </w:t>
      </w:r>
      <w:r w:rsidR="00664A52">
        <w:t>T</w:t>
      </w:r>
      <w:r w:rsidR="00664A52" w:rsidRPr="00EA43A0">
        <w:t xml:space="preserve">erritorial </w:t>
      </w:r>
      <w:r w:rsidR="00664A52">
        <w:t>S</w:t>
      </w:r>
      <w:r w:rsidR="00664A52" w:rsidRPr="00EA43A0">
        <w:t>ea</w:t>
      </w:r>
      <w:r w:rsidR="00664A52">
        <w:t xml:space="preserve"> </w:t>
      </w:r>
      <w:r w:rsidR="00664A52" w:rsidRPr="00EA43A0">
        <w:t>replacing the current legislative framework</w:t>
      </w:r>
      <w:r w:rsidR="00664A52">
        <w:t>.</w:t>
      </w:r>
    </w:p>
    <w:p w14:paraId="698F2648" w14:textId="37293652" w:rsidR="005E617D" w:rsidRDefault="005E617D" w:rsidP="005E617D">
      <w:pPr>
        <w:pStyle w:val="BodyText"/>
      </w:pPr>
      <w:r>
        <w:t xml:space="preserve">Introducing any new regulation </w:t>
      </w:r>
      <w:r w:rsidR="009E2B80">
        <w:t xml:space="preserve">typically </w:t>
      </w:r>
      <w:r>
        <w:t>incur</w:t>
      </w:r>
      <w:r w:rsidR="009E2B80">
        <w:t>s</w:t>
      </w:r>
      <w:r>
        <w:t xml:space="preserve"> costs to both the Government and the industry. Consultation with AMSA indicates that the additional costs to the Australian Government could be negligible due to the reallocation of resources within AMSA. ACIL Allen has assumed this is correct for the purposes of this analysis.</w:t>
      </w:r>
    </w:p>
    <w:p w14:paraId="33BC8793" w14:textId="6B18BD9E" w:rsidR="005E617D" w:rsidRDefault="005E617D" w:rsidP="005E617D">
      <w:pPr>
        <w:pStyle w:val="BodyText"/>
      </w:pPr>
      <w:r>
        <w:t xml:space="preserve">However, shipowners would incur some </w:t>
      </w:r>
      <w:r w:rsidR="00BB0AD9">
        <w:t xml:space="preserve">compliance </w:t>
      </w:r>
      <w:r>
        <w:t>costs on an ongoing basis. They include:</w:t>
      </w:r>
    </w:p>
    <w:p w14:paraId="62A9F010" w14:textId="77777777" w:rsidR="005E617D" w:rsidRDefault="005E617D" w:rsidP="005E617D">
      <w:pPr>
        <w:pStyle w:val="ListBullet"/>
      </w:pPr>
      <w:r>
        <w:lastRenderedPageBreak/>
        <w:t>Administrative costs – costs of marking, showing and keeping various records</w:t>
      </w:r>
    </w:p>
    <w:p w14:paraId="2C6B719A" w14:textId="202450DD" w:rsidR="005E617D" w:rsidRDefault="005E617D" w:rsidP="005E617D">
      <w:pPr>
        <w:pStyle w:val="ListBullet"/>
      </w:pPr>
      <w:r>
        <w:t xml:space="preserve">Maintaining annual </w:t>
      </w:r>
      <w:r w:rsidR="00625E61">
        <w:t>certificate of insurance</w:t>
      </w:r>
      <w:r>
        <w:t xml:space="preserve"> and its fee</w:t>
      </w:r>
    </w:p>
    <w:p w14:paraId="30F1E7FB" w14:textId="3A94E218" w:rsidR="005E617D" w:rsidRDefault="005E617D" w:rsidP="005E617D">
      <w:pPr>
        <w:pStyle w:val="ListBullet"/>
      </w:pPr>
      <w:r>
        <w:t>Compulsory insurance and additional annual premiums</w:t>
      </w:r>
      <w:r w:rsidR="00DD3442">
        <w:t xml:space="preserve"> (Option 4</w:t>
      </w:r>
      <w:r w:rsidR="00C3649C">
        <w:t xml:space="preserve"> only)</w:t>
      </w:r>
      <w:r w:rsidR="00091091">
        <w:t>.</w:t>
      </w:r>
    </w:p>
    <w:p w14:paraId="0CC867EF" w14:textId="79EFF4C4" w:rsidR="00091091" w:rsidRDefault="00091091" w:rsidP="007104B7">
      <w:pPr>
        <w:pStyle w:val="BodyText"/>
      </w:pPr>
      <w:r>
        <w:fldChar w:fldCharType="begin"/>
      </w:r>
      <w:r>
        <w:instrText xml:space="preserve"> REF _Ref75811345 \h </w:instrText>
      </w:r>
      <w:r>
        <w:fldChar w:fldCharType="separate"/>
      </w:r>
      <w:r w:rsidR="00966CD2" w:rsidRPr="00ED2D4E">
        <w:rPr>
          <w:rStyle w:val="CaptionLabel"/>
        </w:rPr>
        <w:t>Table </w:t>
      </w:r>
      <w:r w:rsidR="00966CD2">
        <w:rPr>
          <w:rStyle w:val="CaptionLabel"/>
          <w:noProof/>
        </w:rPr>
        <w:t>4</w:t>
      </w:r>
      <w:r w:rsidR="00966CD2" w:rsidRPr="00ED2D4E">
        <w:rPr>
          <w:rStyle w:val="CaptionLabel"/>
        </w:rPr>
        <w:t>.</w:t>
      </w:r>
      <w:r w:rsidR="00966CD2">
        <w:rPr>
          <w:rStyle w:val="CaptionLabel"/>
          <w:noProof/>
        </w:rPr>
        <w:t>1</w:t>
      </w:r>
      <w:r>
        <w:fldChar w:fldCharType="end"/>
      </w:r>
      <w:r>
        <w:t xml:space="preserve"> presents the </w:t>
      </w:r>
      <w:r w:rsidR="00506F84" w:rsidRPr="00506F84">
        <w:t>anticipated c</w:t>
      </w:r>
      <w:r w:rsidR="00DD3442">
        <w:t>ompliance costs under Options 3 and 4</w:t>
      </w:r>
      <w:r w:rsidR="00506F84" w:rsidRPr="00506F84">
        <w:t xml:space="preserve">, with details regarding the calculations provided in the following sections. In total, over the first ten years, </w:t>
      </w:r>
      <w:r w:rsidR="00DD3442">
        <w:t>compliance costs under Option 3 and 4</w:t>
      </w:r>
      <w:r w:rsidR="00506F84" w:rsidRPr="00506F84">
        <w:t xml:space="preserve">, relative to Option 1, are estimated to be $2.6 million and </w:t>
      </w:r>
      <w:r w:rsidR="00506F84">
        <w:t>$</w:t>
      </w:r>
      <w:r w:rsidR="00506F84" w:rsidRPr="00506F84">
        <w:t>3.0 million, respectively (or $1.8 million and $2.1 million in net present value terms using a 7% discount rate).</w:t>
      </w:r>
    </w:p>
    <w:p w14:paraId="3756671A" w14:textId="571F42AB" w:rsidR="00091091" w:rsidRDefault="00091091" w:rsidP="00091091">
      <w:pPr>
        <w:pStyle w:val="Caption"/>
        <w:ind w:left="725"/>
      </w:pPr>
      <w:bookmarkStart w:id="61" w:name="_Ref75811345"/>
      <w:bookmarkStart w:id="62" w:name="_Toc99543759"/>
      <w:r w:rsidRPr="00ED2D4E">
        <w:rPr>
          <w:rStyle w:val="CaptionLabel"/>
        </w:rPr>
        <w:t>Table </w:t>
      </w:r>
      <w:r w:rsidRPr="00ED2D4E">
        <w:rPr>
          <w:rStyle w:val="CaptionLabel"/>
        </w:rPr>
        <w:fldChar w:fldCharType="begin"/>
      </w:r>
      <w:r w:rsidRPr="00ED2D4E">
        <w:rPr>
          <w:rStyle w:val="CaptionLabel"/>
        </w:rPr>
        <w:instrText xml:space="preserve"> STYLEREF 1 \S \* MERGEFORMAT </w:instrText>
      </w:r>
      <w:r w:rsidRPr="00ED2D4E">
        <w:rPr>
          <w:rStyle w:val="CaptionLabel"/>
        </w:rPr>
        <w:fldChar w:fldCharType="separate"/>
      </w:r>
      <w:r w:rsidR="00966CD2">
        <w:rPr>
          <w:rStyle w:val="CaptionLabel"/>
          <w:noProof/>
        </w:rPr>
        <w:t>4</w:t>
      </w:r>
      <w:r w:rsidRPr="00ED2D4E">
        <w:rPr>
          <w:rStyle w:val="CaptionLabel"/>
        </w:rPr>
        <w:fldChar w:fldCharType="end"/>
      </w:r>
      <w:r w:rsidRPr="00ED2D4E">
        <w:rPr>
          <w:rStyle w:val="CaptionLabel"/>
        </w:rPr>
        <w:t>.</w:t>
      </w:r>
      <w:r w:rsidRPr="00ED2D4E">
        <w:rPr>
          <w:rStyle w:val="CaptionLabel"/>
        </w:rPr>
        <w:fldChar w:fldCharType="begin"/>
      </w:r>
      <w:r w:rsidRPr="00ED2D4E">
        <w:rPr>
          <w:rStyle w:val="CaptionLabel"/>
        </w:rPr>
        <w:instrText xml:space="preserve"> SEQ Table \* ARABIC \S 1 \* MERGEFORMAT </w:instrText>
      </w:r>
      <w:r w:rsidRPr="00ED2D4E">
        <w:rPr>
          <w:rStyle w:val="CaptionLabel"/>
        </w:rPr>
        <w:fldChar w:fldCharType="separate"/>
      </w:r>
      <w:r w:rsidR="00966CD2">
        <w:rPr>
          <w:rStyle w:val="CaptionLabel"/>
          <w:noProof/>
        </w:rPr>
        <w:t>1</w:t>
      </w:r>
      <w:r w:rsidRPr="00ED2D4E">
        <w:rPr>
          <w:rStyle w:val="CaptionLabel"/>
        </w:rPr>
        <w:fldChar w:fldCharType="end"/>
      </w:r>
      <w:bookmarkEnd w:id="61"/>
      <w:r>
        <w:tab/>
      </w:r>
      <w:r w:rsidR="00506F84">
        <w:t>C</w:t>
      </w:r>
      <w:r w:rsidR="00755AD3">
        <w:t>ompliance costs under Options 3 and 4</w:t>
      </w:r>
      <w:r>
        <w:t>, relative to Option 1 over a ten-year period</w:t>
      </w:r>
      <w:bookmarkEnd w:id="62"/>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439"/>
        <w:gridCol w:w="1374"/>
        <w:gridCol w:w="1374"/>
        <w:gridCol w:w="1374"/>
        <w:gridCol w:w="1375"/>
      </w:tblGrid>
      <w:tr w:rsidR="00091091" w14:paraId="5DA4D70C" w14:textId="77777777" w:rsidTr="00602E94">
        <w:trPr>
          <w:tblHeader/>
        </w:trPr>
        <w:tc>
          <w:tcPr>
            <w:tcW w:w="2893" w:type="dxa"/>
            <w:gridSpan w:val="2"/>
            <w:tcBorders>
              <w:top w:val="nil"/>
              <w:bottom w:val="nil"/>
            </w:tcBorders>
            <w:shd w:val="clear" w:color="auto" w:fill="140034"/>
            <w:tcMar>
              <w:left w:w="454" w:type="dxa"/>
            </w:tcMar>
          </w:tcPr>
          <w:p w14:paraId="08BE3035" w14:textId="77777777" w:rsidR="00091091" w:rsidRDefault="00091091" w:rsidP="00602E94">
            <w:pPr>
              <w:pStyle w:val="Tablecolumnheadings"/>
            </w:pPr>
            <w:r>
              <w:t>Heading</w:t>
            </w:r>
          </w:p>
        </w:tc>
        <w:tc>
          <w:tcPr>
            <w:tcW w:w="2748" w:type="dxa"/>
            <w:gridSpan w:val="2"/>
            <w:tcBorders>
              <w:top w:val="nil"/>
              <w:bottom w:val="nil"/>
            </w:tcBorders>
            <w:shd w:val="clear" w:color="auto" w:fill="140034"/>
          </w:tcPr>
          <w:p w14:paraId="034C19FB" w14:textId="6D472FAF" w:rsidR="00091091" w:rsidRDefault="00DD3442" w:rsidP="00602E94">
            <w:pPr>
              <w:pStyle w:val="Tablecolumnheadings"/>
              <w:jc w:val="center"/>
            </w:pPr>
            <w:r>
              <w:t>Option 3</w:t>
            </w:r>
          </w:p>
        </w:tc>
        <w:tc>
          <w:tcPr>
            <w:tcW w:w="2749" w:type="dxa"/>
            <w:gridSpan w:val="2"/>
            <w:tcBorders>
              <w:top w:val="nil"/>
              <w:bottom w:val="nil"/>
              <w:right w:val="single" w:sz="6" w:space="0" w:color="140034"/>
            </w:tcBorders>
            <w:shd w:val="clear" w:color="auto" w:fill="140034"/>
          </w:tcPr>
          <w:p w14:paraId="198D528E" w14:textId="70647A68" w:rsidR="00091091" w:rsidRDefault="00DD3442" w:rsidP="00602E94">
            <w:pPr>
              <w:pStyle w:val="Tablecolumnheadings"/>
              <w:jc w:val="center"/>
            </w:pPr>
            <w:r>
              <w:t>Option 4</w:t>
            </w:r>
          </w:p>
        </w:tc>
      </w:tr>
      <w:tr w:rsidR="00091091" w14:paraId="086DA829" w14:textId="77777777" w:rsidTr="00602E94">
        <w:trPr>
          <w:tblHeader/>
        </w:trPr>
        <w:tc>
          <w:tcPr>
            <w:tcW w:w="2893" w:type="dxa"/>
            <w:gridSpan w:val="2"/>
            <w:tcBorders>
              <w:top w:val="nil"/>
              <w:bottom w:val="nil"/>
            </w:tcBorders>
            <w:shd w:val="clear" w:color="auto" w:fill="140034"/>
            <w:tcMar>
              <w:left w:w="454" w:type="dxa"/>
            </w:tcMar>
          </w:tcPr>
          <w:p w14:paraId="17DAC074" w14:textId="77777777" w:rsidR="00091091" w:rsidRDefault="00091091" w:rsidP="00602E94">
            <w:pPr>
              <w:pStyle w:val="Tablecolumnheadings"/>
            </w:pPr>
          </w:p>
        </w:tc>
        <w:tc>
          <w:tcPr>
            <w:tcW w:w="1374" w:type="dxa"/>
            <w:tcBorders>
              <w:top w:val="nil"/>
              <w:bottom w:val="nil"/>
            </w:tcBorders>
            <w:shd w:val="clear" w:color="auto" w:fill="140034"/>
          </w:tcPr>
          <w:p w14:paraId="3E15D47E" w14:textId="77777777" w:rsidR="00091091" w:rsidRDefault="00091091" w:rsidP="00602E94">
            <w:pPr>
              <w:pStyle w:val="Tablecolumnheadings"/>
              <w:jc w:val="right"/>
            </w:pPr>
            <w:r>
              <w:t>Undiscounted</w:t>
            </w:r>
          </w:p>
        </w:tc>
        <w:tc>
          <w:tcPr>
            <w:tcW w:w="1374" w:type="dxa"/>
            <w:tcBorders>
              <w:top w:val="nil"/>
              <w:bottom w:val="nil"/>
            </w:tcBorders>
            <w:shd w:val="clear" w:color="auto" w:fill="140034"/>
          </w:tcPr>
          <w:p w14:paraId="6685C202" w14:textId="77777777" w:rsidR="00091091" w:rsidRDefault="00091091" w:rsidP="00602E94">
            <w:pPr>
              <w:pStyle w:val="Tablecolumnheadings"/>
              <w:jc w:val="right"/>
            </w:pPr>
            <w:r>
              <w:t>NPV (7% discount rate)</w:t>
            </w:r>
          </w:p>
        </w:tc>
        <w:tc>
          <w:tcPr>
            <w:tcW w:w="1374" w:type="dxa"/>
            <w:tcBorders>
              <w:top w:val="nil"/>
              <w:bottom w:val="nil"/>
            </w:tcBorders>
            <w:shd w:val="clear" w:color="auto" w:fill="140034"/>
          </w:tcPr>
          <w:p w14:paraId="3470B792" w14:textId="77777777" w:rsidR="00091091" w:rsidRDefault="00091091" w:rsidP="00602E94">
            <w:pPr>
              <w:pStyle w:val="Tablecolumnheadings"/>
              <w:jc w:val="right"/>
            </w:pPr>
            <w:r>
              <w:t>Undiscounted</w:t>
            </w:r>
          </w:p>
        </w:tc>
        <w:tc>
          <w:tcPr>
            <w:tcW w:w="1375" w:type="dxa"/>
            <w:tcBorders>
              <w:top w:val="nil"/>
              <w:bottom w:val="nil"/>
              <w:right w:val="single" w:sz="6" w:space="0" w:color="140034"/>
            </w:tcBorders>
            <w:shd w:val="clear" w:color="auto" w:fill="140034"/>
          </w:tcPr>
          <w:p w14:paraId="633F24A5" w14:textId="77777777" w:rsidR="00091091" w:rsidRDefault="00091091" w:rsidP="00602E94">
            <w:pPr>
              <w:pStyle w:val="Tablecolumnheadings"/>
              <w:jc w:val="right"/>
            </w:pPr>
            <w:r>
              <w:t>NPV (7% discount rate)</w:t>
            </w:r>
          </w:p>
        </w:tc>
      </w:tr>
      <w:tr w:rsidR="00091091" w14:paraId="0FC34BF5" w14:textId="77777777" w:rsidTr="00602E94">
        <w:trPr>
          <w:gridBefore w:val="1"/>
          <w:wBefore w:w="454" w:type="dxa"/>
        </w:trPr>
        <w:tc>
          <w:tcPr>
            <w:tcW w:w="2439" w:type="dxa"/>
            <w:tcBorders>
              <w:top w:val="nil"/>
            </w:tcBorders>
            <w:shd w:val="clear" w:color="auto" w:fill="C8C8C8"/>
          </w:tcPr>
          <w:p w14:paraId="71D8D4AE" w14:textId="77777777" w:rsidR="00091091" w:rsidRDefault="00091091" w:rsidP="00602E94">
            <w:pPr>
              <w:pStyle w:val="Tableunitsrow"/>
              <w:keepNext/>
            </w:pPr>
          </w:p>
        </w:tc>
        <w:tc>
          <w:tcPr>
            <w:tcW w:w="1374" w:type="dxa"/>
            <w:tcBorders>
              <w:top w:val="nil"/>
            </w:tcBorders>
            <w:shd w:val="clear" w:color="auto" w:fill="C8C8C8"/>
          </w:tcPr>
          <w:p w14:paraId="2664025C" w14:textId="528AEEDE" w:rsidR="00091091" w:rsidRDefault="00FD11C1" w:rsidP="00602E94">
            <w:pPr>
              <w:pStyle w:val="Tableunitsrow"/>
              <w:keepNext/>
              <w:jc w:val="right"/>
            </w:pPr>
            <w:r>
              <w:t xml:space="preserve">2020 real </w:t>
            </w:r>
            <w:r w:rsidR="00091091">
              <w:t>$m</w:t>
            </w:r>
          </w:p>
        </w:tc>
        <w:tc>
          <w:tcPr>
            <w:tcW w:w="1374" w:type="dxa"/>
            <w:tcBorders>
              <w:top w:val="nil"/>
            </w:tcBorders>
            <w:shd w:val="clear" w:color="auto" w:fill="C8C8C8"/>
          </w:tcPr>
          <w:p w14:paraId="65BB53AB" w14:textId="0F813411" w:rsidR="00091091" w:rsidRDefault="00FD11C1" w:rsidP="00602E94">
            <w:pPr>
              <w:pStyle w:val="Tableunitsrow"/>
              <w:keepNext/>
              <w:jc w:val="right"/>
            </w:pPr>
            <w:r>
              <w:t xml:space="preserve">2020 real </w:t>
            </w:r>
            <w:r w:rsidR="00091091">
              <w:t>$m</w:t>
            </w:r>
          </w:p>
        </w:tc>
        <w:tc>
          <w:tcPr>
            <w:tcW w:w="1374" w:type="dxa"/>
            <w:tcBorders>
              <w:top w:val="nil"/>
            </w:tcBorders>
            <w:shd w:val="clear" w:color="auto" w:fill="C8C8C8"/>
          </w:tcPr>
          <w:p w14:paraId="5E85B590" w14:textId="4FFBCA88" w:rsidR="00091091" w:rsidRDefault="00FD11C1" w:rsidP="00602E94">
            <w:pPr>
              <w:pStyle w:val="Tableunitsrow"/>
              <w:keepNext/>
              <w:jc w:val="right"/>
            </w:pPr>
            <w:r>
              <w:t xml:space="preserve">2020 real </w:t>
            </w:r>
            <w:r w:rsidR="00091091">
              <w:t>$m</w:t>
            </w:r>
          </w:p>
        </w:tc>
        <w:tc>
          <w:tcPr>
            <w:tcW w:w="1375" w:type="dxa"/>
            <w:tcBorders>
              <w:top w:val="nil"/>
            </w:tcBorders>
            <w:shd w:val="clear" w:color="auto" w:fill="C8C8C8"/>
          </w:tcPr>
          <w:p w14:paraId="4A934B79" w14:textId="04617A8E" w:rsidR="00091091" w:rsidRDefault="00FD11C1" w:rsidP="00FD11C1">
            <w:pPr>
              <w:pStyle w:val="Tableunitsrow"/>
              <w:keepNext/>
              <w:jc w:val="right"/>
            </w:pPr>
            <w:r>
              <w:t xml:space="preserve">2020 real </w:t>
            </w:r>
            <w:r w:rsidR="00091091">
              <w:t>$m</w:t>
            </w:r>
          </w:p>
        </w:tc>
      </w:tr>
      <w:tr w:rsidR="00091091" w14:paraId="0B35698B" w14:textId="77777777" w:rsidTr="00602E94">
        <w:trPr>
          <w:gridBefore w:val="1"/>
          <w:wBefore w:w="454" w:type="dxa"/>
        </w:trPr>
        <w:tc>
          <w:tcPr>
            <w:tcW w:w="2439" w:type="dxa"/>
            <w:shd w:val="clear" w:color="auto" w:fill="auto"/>
          </w:tcPr>
          <w:p w14:paraId="5245B82A" w14:textId="77777777" w:rsidR="00091091" w:rsidRDefault="00091091" w:rsidP="00602E94">
            <w:pPr>
              <w:pStyle w:val="Tabletext"/>
              <w:keepNext/>
            </w:pPr>
            <w:r>
              <w:t>Administration costs</w:t>
            </w:r>
          </w:p>
        </w:tc>
        <w:tc>
          <w:tcPr>
            <w:tcW w:w="1374" w:type="dxa"/>
            <w:shd w:val="clear" w:color="auto" w:fill="auto"/>
          </w:tcPr>
          <w:p w14:paraId="57B70C02" w14:textId="77777777" w:rsidR="00091091" w:rsidRDefault="00091091" w:rsidP="00602E94">
            <w:pPr>
              <w:pStyle w:val="Tabletext"/>
              <w:keepNext/>
              <w:jc w:val="right"/>
            </w:pPr>
            <w:r>
              <w:t>2.3</w:t>
            </w:r>
          </w:p>
        </w:tc>
        <w:tc>
          <w:tcPr>
            <w:tcW w:w="1374" w:type="dxa"/>
            <w:shd w:val="clear" w:color="auto" w:fill="auto"/>
          </w:tcPr>
          <w:p w14:paraId="24548005" w14:textId="77777777" w:rsidR="00091091" w:rsidRDefault="00091091" w:rsidP="00602E94">
            <w:pPr>
              <w:pStyle w:val="Tabletext"/>
              <w:keepNext/>
              <w:jc w:val="right"/>
            </w:pPr>
            <w:r>
              <w:t>1.6</w:t>
            </w:r>
          </w:p>
        </w:tc>
        <w:tc>
          <w:tcPr>
            <w:tcW w:w="1374" w:type="dxa"/>
            <w:shd w:val="clear" w:color="auto" w:fill="auto"/>
          </w:tcPr>
          <w:p w14:paraId="58C00ABE" w14:textId="77777777" w:rsidR="00091091" w:rsidRDefault="00091091" w:rsidP="00602E94">
            <w:pPr>
              <w:pStyle w:val="Tabletext"/>
              <w:keepNext/>
              <w:jc w:val="right"/>
            </w:pPr>
            <w:r>
              <w:t>2.3</w:t>
            </w:r>
          </w:p>
        </w:tc>
        <w:tc>
          <w:tcPr>
            <w:tcW w:w="1375" w:type="dxa"/>
            <w:shd w:val="clear" w:color="auto" w:fill="auto"/>
          </w:tcPr>
          <w:p w14:paraId="5A690D70" w14:textId="77777777" w:rsidR="00091091" w:rsidRDefault="00091091" w:rsidP="00602E94">
            <w:pPr>
              <w:pStyle w:val="Tabletext"/>
              <w:keepNext/>
              <w:jc w:val="right"/>
            </w:pPr>
            <w:r>
              <w:t>1.6</w:t>
            </w:r>
          </w:p>
        </w:tc>
      </w:tr>
      <w:tr w:rsidR="00091091" w14:paraId="2969D1AD" w14:textId="77777777" w:rsidTr="00602E94">
        <w:trPr>
          <w:gridBefore w:val="1"/>
          <w:wBefore w:w="454" w:type="dxa"/>
        </w:trPr>
        <w:tc>
          <w:tcPr>
            <w:tcW w:w="2439" w:type="dxa"/>
            <w:shd w:val="clear" w:color="auto" w:fill="auto"/>
          </w:tcPr>
          <w:p w14:paraId="1B1EA389" w14:textId="77777777" w:rsidR="00091091" w:rsidRDefault="00091091" w:rsidP="00602E94">
            <w:pPr>
              <w:pStyle w:val="Tabletext"/>
              <w:keepNext/>
            </w:pPr>
            <w:r>
              <w:t>Certificate costs</w:t>
            </w:r>
          </w:p>
        </w:tc>
        <w:tc>
          <w:tcPr>
            <w:tcW w:w="1374" w:type="dxa"/>
            <w:shd w:val="clear" w:color="auto" w:fill="auto"/>
          </w:tcPr>
          <w:p w14:paraId="01746E6E" w14:textId="0241A753" w:rsidR="00091091" w:rsidRDefault="00506F84" w:rsidP="00602E94">
            <w:pPr>
              <w:pStyle w:val="Tabletext"/>
              <w:keepNext/>
              <w:jc w:val="right"/>
            </w:pPr>
            <w:r>
              <w:t>0.3</w:t>
            </w:r>
          </w:p>
        </w:tc>
        <w:tc>
          <w:tcPr>
            <w:tcW w:w="1374" w:type="dxa"/>
            <w:shd w:val="clear" w:color="auto" w:fill="auto"/>
          </w:tcPr>
          <w:p w14:paraId="6ABD1327" w14:textId="0A1986DD" w:rsidR="00091091" w:rsidRDefault="00506F84" w:rsidP="00602E94">
            <w:pPr>
              <w:pStyle w:val="Tabletext"/>
              <w:keepNext/>
              <w:jc w:val="right"/>
            </w:pPr>
            <w:r>
              <w:t>0.2</w:t>
            </w:r>
          </w:p>
        </w:tc>
        <w:tc>
          <w:tcPr>
            <w:tcW w:w="1374" w:type="dxa"/>
            <w:shd w:val="clear" w:color="auto" w:fill="auto"/>
          </w:tcPr>
          <w:p w14:paraId="7294AAEA" w14:textId="0E157565" w:rsidR="00091091" w:rsidRDefault="00506F84" w:rsidP="00602E94">
            <w:pPr>
              <w:pStyle w:val="Tabletext"/>
              <w:keepNext/>
              <w:jc w:val="right"/>
            </w:pPr>
            <w:r>
              <w:t>0.3</w:t>
            </w:r>
          </w:p>
        </w:tc>
        <w:tc>
          <w:tcPr>
            <w:tcW w:w="1375" w:type="dxa"/>
            <w:shd w:val="clear" w:color="auto" w:fill="auto"/>
          </w:tcPr>
          <w:p w14:paraId="4C6DBFF4" w14:textId="50BD407C" w:rsidR="00091091" w:rsidRDefault="00506F84" w:rsidP="00602E94">
            <w:pPr>
              <w:pStyle w:val="Tabletext"/>
              <w:keepNext/>
              <w:jc w:val="right"/>
            </w:pPr>
            <w:r>
              <w:t>0.2</w:t>
            </w:r>
          </w:p>
        </w:tc>
      </w:tr>
      <w:tr w:rsidR="00091091" w14:paraId="5F8D11E8" w14:textId="77777777" w:rsidTr="00602E94">
        <w:trPr>
          <w:gridBefore w:val="1"/>
          <w:wBefore w:w="454" w:type="dxa"/>
        </w:trPr>
        <w:tc>
          <w:tcPr>
            <w:tcW w:w="2439" w:type="dxa"/>
            <w:shd w:val="clear" w:color="auto" w:fill="auto"/>
          </w:tcPr>
          <w:p w14:paraId="5B9DB21D" w14:textId="77777777" w:rsidR="00091091" w:rsidRDefault="00091091" w:rsidP="00602E94">
            <w:pPr>
              <w:pStyle w:val="Tabletext"/>
              <w:keepNext/>
            </w:pPr>
            <w:r>
              <w:t>Mandatory insurance costs</w:t>
            </w:r>
          </w:p>
        </w:tc>
        <w:tc>
          <w:tcPr>
            <w:tcW w:w="1374" w:type="dxa"/>
            <w:shd w:val="clear" w:color="auto" w:fill="auto"/>
          </w:tcPr>
          <w:p w14:paraId="4BC6DB53" w14:textId="77777777" w:rsidR="00091091" w:rsidRDefault="00091091" w:rsidP="00602E94">
            <w:pPr>
              <w:pStyle w:val="Tabletext"/>
              <w:keepNext/>
              <w:jc w:val="right"/>
            </w:pPr>
            <w:r>
              <w:t>0</w:t>
            </w:r>
          </w:p>
        </w:tc>
        <w:tc>
          <w:tcPr>
            <w:tcW w:w="1374" w:type="dxa"/>
            <w:shd w:val="clear" w:color="auto" w:fill="auto"/>
          </w:tcPr>
          <w:p w14:paraId="26D8E25C" w14:textId="77777777" w:rsidR="00091091" w:rsidRDefault="00091091" w:rsidP="00602E94">
            <w:pPr>
              <w:pStyle w:val="Tabletext"/>
              <w:keepNext/>
              <w:jc w:val="right"/>
            </w:pPr>
            <w:r>
              <w:t>0</w:t>
            </w:r>
          </w:p>
        </w:tc>
        <w:tc>
          <w:tcPr>
            <w:tcW w:w="1374" w:type="dxa"/>
            <w:shd w:val="clear" w:color="auto" w:fill="auto"/>
          </w:tcPr>
          <w:p w14:paraId="6970A9C7" w14:textId="3C71D418" w:rsidR="00091091" w:rsidRDefault="00506F84" w:rsidP="00602E94">
            <w:pPr>
              <w:pStyle w:val="Tabletext"/>
              <w:keepNext/>
              <w:jc w:val="right"/>
            </w:pPr>
            <w:r>
              <w:t>0.4</w:t>
            </w:r>
          </w:p>
        </w:tc>
        <w:tc>
          <w:tcPr>
            <w:tcW w:w="1375" w:type="dxa"/>
            <w:shd w:val="clear" w:color="auto" w:fill="auto"/>
          </w:tcPr>
          <w:p w14:paraId="222E26A3" w14:textId="7F425B1F" w:rsidR="00091091" w:rsidRDefault="00091091" w:rsidP="00506F84">
            <w:pPr>
              <w:pStyle w:val="Tabletext"/>
              <w:keepNext/>
              <w:jc w:val="right"/>
            </w:pPr>
            <w:r>
              <w:t>0.</w:t>
            </w:r>
            <w:r w:rsidR="00506F84">
              <w:t>3</w:t>
            </w:r>
          </w:p>
        </w:tc>
      </w:tr>
      <w:tr w:rsidR="00091091" w14:paraId="0893F021" w14:textId="77777777" w:rsidTr="00602E94">
        <w:trPr>
          <w:gridBefore w:val="1"/>
          <w:wBefore w:w="454" w:type="dxa"/>
        </w:trPr>
        <w:tc>
          <w:tcPr>
            <w:tcW w:w="2439" w:type="dxa"/>
            <w:shd w:val="clear" w:color="auto" w:fill="auto"/>
          </w:tcPr>
          <w:p w14:paraId="41F4D131" w14:textId="77777777" w:rsidR="00091091" w:rsidRPr="0099269B" w:rsidRDefault="00091091" w:rsidP="00602E94">
            <w:pPr>
              <w:pStyle w:val="Tabletext"/>
              <w:keepNext/>
              <w:rPr>
                <w:b/>
                <w:bCs/>
              </w:rPr>
            </w:pPr>
            <w:r w:rsidRPr="0099269B">
              <w:rPr>
                <w:b/>
                <w:bCs/>
              </w:rPr>
              <w:t>Total compliance costs</w:t>
            </w:r>
          </w:p>
        </w:tc>
        <w:tc>
          <w:tcPr>
            <w:tcW w:w="1374" w:type="dxa"/>
            <w:shd w:val="clear" w:color="auto" w:fill="auto"/>
          </w:tcPr>
          <w:p w14:paraId="680A0B75" w14:textId="0FAECF9C" w:rsidR="00091091" w:rsidRPr="0099269B" w:rsidRDefault="00506F84" w:rsidP="00602E94">
            <w:pPr>
              <w:pStyle w:val="Tabletext"/>
              <w:keepNext/>
              <w:jc w:val="right"/>
              <w:rPr>
                <w:b/>
                <w:bCs/>
              </w:rPr>
            </w:pPr>
            <w:r>
              <w:rPr>
                <w:b/>
                <w:bCs/>
              </w:rPr>
              <w:t>2.6</w:t>
            </w:r>
          </w:p>
        </w:tc>
        <w:tc>
          <w:tcPr>
            <w:tcW w:w="1374" w:type="dxa"/>
            <w:shd w:val="clear" w:color="auto" w:fill="auto"/>
          </w:tcPr>
          <w:p w14:paraId="64666C5B" w14:textId="054EA14F" w:rsidR="00091091" w:rsidRPr="0099269B" w:rsidRDefault="00506F84" w:rsidP="00602E94">
            <w:pPr>
              <w:pStyle w:val="Tabletext"/>
              <w:keepNext/>
              <w:jc w:val="right"/>
              <w:rPr>
                <w:b/>
                <w:bCs/>
              </w:rPr>
            </w:pPr>
            <w:r>
              <w:rPr>
                <w:b/>
                <w:bCs/>
              </w:rPr>
              <w:t>1.8</w:t>
            </w:r>
          </w:p>
        </w:tc>
        <w:tc>
          <w:tcPr>
            <w:tcW w:w="1374" w:type="dxa"/>
            <w:shd w:val="clear" w:color="auto" w:fill="auto"/>
          </w:tcPr>
          <w:p w14:paraId="4857CBA1" w14:textId="7F6DB085" w:rsidR="00091091" w:rsidRPr="0099269B" w:rsidRDefault="00506F84" w:rsidP="00602E94">
            <w:pPr>
              <w:pStyle w:val="Tabletext"/>
              <w:keepNext/>
              <w:jc w:val="right"/>
              <w:rPr>
                <w:b/>
                <w:bCs/>
              </w:rPr>
            </w:pPr>
            <w:r>
              <w:rPr>
                <w:b/>
                <w:bCs/>
              </w:rPr>
              <w:t>3</w:t>
            </w:r>
            <w:r w:rsidR="00091091">
              <w:rPr>
                <w:b/>
                <w:bCs/>
              </w:rPr>
              <w:t>.0</w:t>
            </w:r>
          </w:p>
        </w:tc>
        <w:tc>
          <w:tcPr>
            <w:tcW w:w="1375" w:type="dxa"/>
            <w:shd w:val="clear" w:color="auto" w:fill="auto"/>
          </w:tcPr>
          <w:p w14:paraId="6B2BC0E5" w14:textId="396C8EB9" w:rsidR="00091091" w:rsidRPr="0099269B" w:rsidRDefault="00506F84" w:rsidP="00602E94">
            <w:pPr>
              <w:pStyle w:val="Tabletext"/>
              <w:keepNext/>
              <w:jc w:val="right"/>
              <w:rPr>
                <w:b/>
                <w:bCs/>
              </w:rPr>
            </w:pPr>
            <w:r>
              <w:rPr>
                <w:b/>
                <w:bCs/>
              </w:rPr>
              <w:t>2.1</w:t>
            </w:r>
          </w:p>
        </w:tc>
      </w:tr>
      <w:tr w:rsidR="00091091" w14:paraId="76D2CA6F" w14:textId="77777777" w:rsidTr="00602E94">
        <w:trPr>
          <w:gridBefore w:val="1"/>
          <w:wBefore w:w="454" w:type="dxa"/>
        </w:trPr>
        <w:tc>
          <w:tcPr>
            <w:tcW w:w="7936" w:type="dxa"/>
            <w:gridSpan w:val="5"/>
            <w:tcBorders>
              <w:bottom w:val="single" w:sz="4" w:space="0" w:color="646464"/>
            </w:tcBorders>
            <w:shd w:val="clear" w:color="auto" w:fill="auto"/>
          </w:tcPr>
          <w:p w14:paraId="2E6FDADC" w14:textId="77777777" w:rsidR="00091091" w:rsidRDefault="00091091" w:rsidP="00602E94">
            <w:pPr>
              <w:pStyle w:val="Source"/>
              <w:keepNext/>
            </w:pPr>
            <w:r>
              <w:t>Note: Totals may not add due to rounding</w:t>
            </w:r>
          </w:p>
          <w:p w14:paraId="142BFE98" w14:textId="77777777" w:rsidR="00091091" w:rsidRDefault="00091091" w:rsidP="00602E94">
            <w:pPr>
              <w:pStyle w:val="Source"/>
              <w:keepNext/>
            </w:pPr>
            <w:r>
              <w:t>Source: ACIL Allen</w:t>
            </w:r>
          </w:p>
        </w:tc>
      </w:tr>
      <w:tr w:rsidR="00091091" w14:paraId="7821086A" w14:textId="77777777" w:rsidTr="00602E94">
        <w:trPr>
          <w:gridBefore w:val="1"/>
          <w:wBefore w:w="454" w:type="dxa"/>
          <w:trHeight w:hRule="exact" w:val="160"/>
        </w:trPr>
        <w:tc>
          <w:tcPr>
            <w:tcW w:w="7936" w:type="dxa"/>
            <w:gridSpan w:val="5"/>
            <w:tcBorders>
              <w:top w:val="single" w:sz="4" w:space="0" w:color="646464"/>
              <w:bottom w:val="nil"/>
            </w:tcBorders>
            <w:shd w:val="clear" w:color="auto" w:fill="auto"/>
          </w:tcPr>
          <w:p w14:paraId="0FACED87" w14:textId="77777777" w:rsidR="00091091" w:rsidRDefault="00091091" w:rsidP="00602E94">
            <w:pPr>
              <w:pStyle w:val="spacer"/>
            </w:pPr>
          </w:p>
        </w:tc>
      </w:tr>
    </w:tbl>
    <w:p w14:paraId="45022D92" w14:textId="46805E97" w:rsidR="00D528FA" w:rsidRPr="00B17C7A" w:rsidRDefault="00D528FA" w:rsidP="003C0833">
      <w:pPr>
        <w:pStyle w:val="Heading4"/>
      </w:pPr>
      <w:r w:rsidRPr="00B17C7A">
        <w:t>Administrative costs</w:t>
      </w:r>
    </w:p>
    <w:p w14:paraId="5ECCA787" w14:textId="31D8DE31" w:rsidR="00B7175D" w:rsidRDefault="00B7175D" w:rsidP="00B7175D">
      <w:pPr>
        <w:pStyle w:val="BodyText"/>
      </w:pPr>
      <w:r>
        <w:t>AMSA provided ACIL Allen with detailed (unpublished) data from the</w:t>
      </w:r>
      <w:r w:rsidR="009C2084">
        <w:t>ir</w:t>
      </w:r>
      <w:r>
        <w:t xml:space="preserve"> </w:t>
      </w:r>
      <w:r w:rsidR="009C2084">
        <w:t xml:space="preserve">Protection of the Sea levy </w:t>
      </w:r>
      <w:r>
        <w:t>database</w:t>
      </w:r>
      <w:r w:rsidR="00530151">
        <w:t xml:space="preserve">, which </w:t>
      </w:r>
      <w:r>
        <w:t>includes information regarding the country where the vessels are flagged. Based on ACIL Allen analysis</w:t>
      </w:r>
      <w:r w:rsidR="00B17C7A">
        <w:t>, over the past two years, 89.9%</w:t>
      </w:r>
      <w:r>
        <w:t xml:space="preserve"> of all vessels which paid the levy were flagged in countries which are current signatories to the Nairobi Convention. For the calculations it has been assumed that these vessels are already familiar with the Nairobi Convention compliance arrangements. Consequently, they are not assumed to incur any additional administrative burden associated with Australia becoming </w:t>
      </w:r>
      <w:r w:rsidR="00B17C7A">
        <w:t>a signatory. The remaining 10.1%</w:t>
      </w:r>
      <w:r>
        <w:t xml:space="preserve"> (equal to 583 vessels), are assumed to incur additional administrative expenses of 7 hours per year to understand and demonstrate compliance with the Nairobi Convention rules. At the average wage rate assumed in </w:t>
      </w:r>
      <w:r>
        <w:fldChar w:fldCharType="begin"/>
      </w:r>
      <w:r>
        <w:instrText xml:space="preserve"> REF _Ref73971915 \h </w:instrText>
      </w:r>
      <w:r>
        <w:fldChar w:fldCharType="separate"/>
      </w:r>
      <w:r w:rsidR="00966CD2" w:rsidRPr="001A2E8E">
        <w:rPr>
          <w:rStyle w:val="CaptionLabel"/>
        </w:rPr>
        <w:t>Table </w:t>
      </w:r>
      <w:r w:rsidR="00966CD2">
        <w:rPr>
          <w:rStyle w:val="CaptionLabel"/>
          <w:noProof/>
        </w:rPr>
        <w:t>3</w:t>
      </w:r>
      <w:r w:rsidR="00966CD2" w:rsidRPr="001A2E8E">
        <w:rPr>
          <w:rStyle w:val="CaptionLabel"/>
        </w:rPr>
        <w:t>.</w:t>
      </w:r>
      <w:r w:rsidR="00966CD2">
        <w:rPr>
          <w:rStyle w:val="CaptionLabel"/>
          <w:noProof/>
        </w:rPr>
        <w:t>6</w:t>
      </w:r>
      <w:r>
        <w:fldChar w:fldCharType="end"/>
      </w:r>
      <w:r>
        <w:t>, this implies an additional administrative cost burden</w:t>
      </w:r>
      <w:r w:rsidR="001A583F">
        <w:t xml:space="preserve"> to shipowners</w:t>
      </w:r>
      <w:r>
        <w:t xml:space="preserve"> of $396</w:t>
      </w:r>
      <w:r w:rsidR="003C0833">
        <w:t xml:space="preserve"> per </w:t>
      </w:r>
      <w:r>
        <w:t>ship</w:t>
      </w:r>
      <w:r w:rsidR="003C0833">
        <w:t xml:space="preserve"> per year</w:t>
      </w:r>
      <w:r>
        <w:t xml:space="preserve"> (equal to $2.3 million</w:t>
      </w:r>
      <w:r w:rsidR="00BF548A">
        <w:t>, undiscounted,</w:t>
      </w:r>
      <w:r>
        <w:t xml:space="preserve"> </w:t>
      </w:r>
      <w:r w:rsidR="00BF548A">
        <w:t>over the first 10 years</w:t>
      </w:r>
      <w:r>
        <w:t>).</w:t>
      </w:r>
      <w:r w:rsidR="00313099">
        <w:t xml:space="preserve"> Thi</w:t>
      </w:r>
      <w:r w:rsidR="00DD3442">
        <w:t>s cost applies to both Option 3 and 4</w:t>
      </w:r>
      <w:r w:rsidR="00313099">
        <w:t>.</w:t>
      </w:r>
    </w:p>
    <w:p w14:paraId="1FF6CFE2" w14:textId="07003E66" w:rsidR="00313099" w:rsidRDefault="00C80C22" w:rsidP="003C0833">
      <w:pPr>
        <w:pStyle w:val="Heading4"/>
      </w:pPr>
      <w:r>
        <w:t>Certificate costs</w:t>
      </w:r>
    </w:p>
    <w:p w14:paraId="23988F71" w14:textId="6F61F530" w:rsidR="00B17C7A" w:rsidRDefault="00B17C7A" w:rsidP="00313099">
      <w:pPr>
        <w:pStyle w:val="BodyText"/>
      </w:pPr>
      <w:r w:rsidRPr="00B17C7A">
        <w:t xml:space="preserve">AMSA would still be required to issue </w:t>
      </w:r>
      <w:r w:rsidR="00625E61">
        <w:t>insurance certificates</w:t>
      </w:r>
      <w:r w:rsidRPr="00B17C7A">
        <w:t xml:space="preserve"> to Australian vessels and foreign vessels whose state has been ratified under the Nairobi Convention. However, Australia recognises certificates issued by other </w:t>
      </w:r>
      <w:r>
        <w:t>State Parties</w:t>
      </w:r>
      <w:r>
        <w:rPr>
          <w:rStyle w:val="FootnoteReference"/>
        </w:rPr>
        <w:footnoteReference w:id="22"/>
      </w:r>
      <w:r w:rsidRPr="00B17C7A">
        <w:t xml:space="preserve"> which means that Australia only has to issue certificates attesting that Australian flagged ships (equal to 590 vessels) have wreck insurance.</w:t>
      </w:r>
      <w:r>
        <w:rPr>
          <w:rStyle w:val="FootnoteReference"/>
        </w:rPr>
        <w:footnoteReference w:id="23"/>
      </w:r>
      <w:r>
        <w:t xml:space="preserve"> </w:t>
      </w:r>
    </w:p>
    <w:p w14:paraId="0E68948B" w14:textId="1F4D9E74" w:rsidR="00313099" w:rsidRDefault="00B17C7A" w:rsidP="00313099">
      <w:pPr>
        <w:pStyle w:val="BodyText"/>
      </w:pPr>
      <w:r w:rsidRPr="00B17C7A">
        <w:t>It is unclear what the annual certificate price is for vessels.</w:t>
      </w:r>
      <w:r>
        <w:t xml:space="preserve"> </w:t>
      </w:r>
      <w:r w:rsidR="00313099">
        <w:t xml:space="preserve">As noted in assumptions </w:t>
      </w:r>
      <w:r w:rsidR="00313099">
        <w:fldChar w:fldCharType="begin"/>
      </w:r>
      <w:r w:rsidR="00313099">
        <w:instrText xml:space="preserve"> REF _Ref73971915 \h </w:instrText>
      </w:r>
      <w:r w:rsidR="00313099">
        <w:fldChar w:fldCharType="separate"/>
      </w:r>
      <w:r w:rsidR="00966CD2" w:rsidRPr="001A2E8E">
        <w:rPr>
          <w:rStyle w:val="CaptionLabel"/>
        </w:rPr>
        <w:t>Table </w:t>
      </w:r>
      <w:r w:rsidR="00966CD2">
        <w:rPr>
          <w:rStyle w:val="CaptionLabel"/>
          <w:noProof/>
        </w:rPr>
        <w:t>3</w:t>
      </w:r>
      <w:r w:rsidR="00966CD2" w:rsidRPr="001A2E8E">
        <w:rPr>
          <w:rStyle w:val="CaptionLabel"/>
        </w:rPr>
        <w:t>.</w:t>
      </w:r>
      <w:r w:rsidR="00966CD2">
        <w:rPr>
          <w:rStyle w:val="CaptionLabel"/>
          <w:noProof/>
        </w:rPr>
        <w:t>6</w:t>
      </w:r>
      <w:r w:rsidR="00313099">
        <w:fldChar w:fldCharType="end"/>
      </w:r>
      <w:r w:rsidR="00313099">
        <w:t xml:space="preserve">, it is likely they would be between $40 for renewing and $70 for a new certificate similar to the Bunker Fuel Convention Certificates. </w:t>
      </w:r>
      <w:r w:rsidRPr="00B17C7A">
        <w:t xml:space="preserve">For calculation purposes, </w:t>
      </w:r>
      <w:r w:rsidR="00625E61">
        <w:t>an insurance c</w:t>
      </w:r>
      <w:r w:rsidRPr="00B17C7A">
        <w:t xml:space="preserve">ertificate is assumed to be issued to all 590 vessels from current non-signatory States for $70 in the first year, with all of these ships paying a renewal fee of $40 (in real terms) in following years. This implies a total cost to </w:t>
      </w:r>
      <w:r w:rsidRPr="00B17C7A">
        <w:lastRenderedPageBreak/>
        <w:t>shipowners of $0.3 million, undiscounted, over the first 10 years. Thi</w:t>
      </w:r>
      <w:r w:rsidR="00DD3442">
        <w:t>s cost applies to both Option 3 and 4</w:t>
      </w:r>
      <w:r w:rsidRPr="00B17C7A">
        <w:t>.</w:t>
      </w:r>
    </w:p>
    <w:p w14:paraId="1F45A466" w14:textId="340AD7A4" w:rsidR="00E54F58" w:rsidRDefault="00E54F58" w:rsidP="003C0833">
      <w:pPr>
        <w:pStyle w:val="Heading4"/>
      </w:pPr>
      <w:r>
        <w:t>Compulsory insurance</w:t>
      </w:r>
      <w:r w:rsidR="00E43AED">
        <w:t xml:space="preserve"> costs</w:t>
      </w:r>
    </w:p>
    <w:p w14:paraId="4B5D4327" w14:textId="6E2785A2" w:rsidR="005E617D" w:rsidRDefault="00DD3442" w:rsidP="005E617D">
      <w:pPr>
        <w:pStyle w:val="BodyText"/>
      </w:pPr>
      <w:r>
        <w:t>Under Option 3</w:t>
      </w:r>
      <w:r w:rsidR="005E617D">
        <w:t>, the Regulated Australian Vessels (RAV’s) that do not operate outside the Territorial Sea would not require additional insurance. Foreign vessels and RAVs that are over 300 GT and operate in the EEZ would require adequate insurance whether compulsory under the Nairobi Convention or on a voluntary basis. However, ACIL Allen co</w:t>
      </w:r>
      <w:r>
        <w:t>nsultations reported in Chapter </w:t>
      </w:r>
      <w:r w:rsidR="005E617D">
        <w:t xml:space="preserve">2 and the review of literature suggest that vessels over 1,000 GT already have coverage of wreck removal in their insurance. </w:t>
      </w:r>
      <w:r w:rsidR="00CD0AA5">
        <w:t>Consequently, m</w:t>
      </w:r>
      <w:r w:rsidR="005E617D">
        <w:t xml:space="preserve">ost of the foreign vessels </w:t>
      </w:r>
      <w:r w:rsidR="005E617D" w:rsidRPr="00B72E65">
        <w:rPr>
          <w:lang w:val="en-US"/>
        </w:rPr>
        <w:t>that called at Australian ports</w:t>
      </w:r>
      <w:r w:rsidR="005E617D">
        <w:t xml:space="preserve"> would already have adequate insurance since they </w:t>
      </w:r>
      <w:r w:rsidR="00F13F8D">
        <w:t xml:space="preserve">are </w:t>
      </w:r>
      <w:r w:rsidR="005E617D">
        <w:t>more than 1,000 GT and most of them are State Parties under the Nairobi Convention. Therefore, it is considered that the number of vessels which will require additional insurance would be negligible under Option</w:t>
      </w:r>
      <w:r>
        <w:t xml:space="preserve"> 3</w:t>
      </w:r>
      <w:r w:rsidR="005E617D">
        <w:t>.</w:t>
      </w:r>
    </w:p>
    <w:p w14:paraId="5520830D" w14:textId="38278937" w:rsidR="008F17F0" w:rsidRDefault="008F17F0" w:rsidP="008F17F0">
      <w:pPr>
        <w:pStyle w:val="BodyText"/>
      </w:pPr>
      <w:r>
        <w:t xml:space="preserve">Under the Nairobi Convention, all shipowners would be liable for costs associated with locating, marking and removing wrecks. However, the compulsory insurance provisions would apply only to ships of 300 GT and above. The owners of ships of 300 GT and above must maintain insurance or other financial security to cover their liabilities in the event of wreck and obtain a Certificate attesting to the effectiveness of the insurance or financial security. </w:t>
      </w:r>
    </w:p>
    <w:p w14:paraId="12F3EDA1" w14:textId="77777777" w:rsidR="003C0833" w:rsidRDefault="008F17F0" w:rsidP="008F17F0">
      <w:pPr>
        <w:pStyle w:val="BodyText"/>
      </w:pPr>
      <w:r>
        <w:t xml:space="preserve">All vessels over 1,000GT entering or leaving Australian ports </w:t>
      </w:r>
      <w:r w:rsidR="00515801">
        <w:t xml:space="preserve">are </w:t>
      </w:r>
      <w:r>
        <w:t xml:space="preserve">already required to have </w:t>
      </w:r>
      <w:r w:rsidR="00515801">
        <w:t xml:space="preserve">a </w:t>
      </w:r>
      <w:r>
        <w:t>Certificate attesting to the maintenance of insurance to meet the requirements of the Bunker Convention. Therefore, the only ships that would be liable once the Nairobi Convention enter</w:t>
      </w:r>
      <w:r w:rsidR="00515801">
        <w:t>s</w:t>
      </w:r>
      <w:r>
        <w:t xml:space="preserve"> into force </w:t>
      </w:r>
      <w:r w:rsidR="00CC6288">
        <w:t xml:space="preserve">which </w:t>
      </w:r>
      <w:r>
        <w:t xml:space="preserve">are currently not required to hold maritime liability insurance would be those of between 300GT and 1,000GT. </w:t>
      </w:r>
    </w:p>
    <w:p w14:paraId="5B507B76" w14:textId="7B023EED" w:rsidR="008F17F0" w:rsidRDefault="00E71852" w:rsidP="008F17F0">
      <w:pPr>
        <w:pStyle w:val="BodyText"/>
      </w:pPr>
      <w:r>
        <w:t>T</w:t>
      </w:r>
      <w:r w:rsidR="000417A4">
        <w:t xml:space="preserve">here are currently </w:t>
      </w:r>
      <w:r w:rsidR="008F17F0">
        <w:t xml:space="preserve">around </w:t>
      </w:r>
      <w:r w:rsidR="00130817">
        <w:t>31</w:t>
      </w:r>
      <w:r w:rsidR="008F17F0">
        <w:t xml:space="preserve"> </w:t>
      </w:r>
      <w:r w:rsidR="00FA53C4">
        <w:t xml:space="preserve">Australian owned </w:t>
      </w:r>
      <w:r w:rsidR="008F17F0">
        <w:t xml:space="preserve">vessels </w:t>
      </w:r>
      <w:r w:rsidR="007E5C3A">
        <w:t xml:space="preserve">(all of which are general cargo ships) </w:t>
      </w:r>
      <w:r w:rsidR="008F17F0">
        <w:t xml:space="preserve">which </w:t>
      </w:r>
      <w:r w:rsidR="00841DF7">
        <w:t xml:space="preserve">do not have </w:t>
      </w:r>
      <w:r w:rsidR="008F17F0">
        <w:t>compulsory insurance requirements.</w:t>
      </w:r>
      <w:r w:rsidR="00FA53C4">
        <w:t xml:space="preserve"> </w:t>
      </w:r>
      <w:r w:rsidR="00853EED">
        <w:t xml:space="preserve">Whether these vessels </w:t>
      </w:r>
      <w:r w:rsidR="00182D97">
        <w:t xml:space="preserve">currently </w:t>
      </w:r>
      <w:r w:rsidR="00853EED">
        <w:t xml:space="preserve">have similar </w:t>
      </w:r>
      <w:r w:rsidR="00380321">
        <w:t xml:space="preserve">maritime liability </w:t>
      </w:r>
      <w:r w:rsidR="00853EED">
        <w:t xml:space="preserve">insurances which could be </w:t>
      </w:r>
      <w:r w:rsidR="00380321">
        <w:t>converted into</w:t>
      </w:r>
      <w:r w:rsidR="00182D97">
        <w:t xml:space="preserve"> the insurance required under the Nairobi Convention is unknown.</w:t>
      </w:r>
      <w:r w:rsidR="00380321">
        <w:t xml:space="preserve"> </w:t>
      </w:r>
      <w:r w:rsidR="00FA53C4">
        <w:t>For the purposes</w:t>
      </w:r>
      <w:r w:rsidR="00182D97">
        <w:t xml:space="preserve"> of </w:t>
      </w:r>
      <w:r w:rsidR="00093E5C">
        <w:t xml:space="preserve">calculations, it has been </w:t>
      </w:r>
      <w:r w:rsidR="004C6680">
        <w:t xml:space="preserve">conservatively </w:t>
      </w:r>
      <w:r w:rsidR="00093E5C">
        <w:t>assumed that</w:t>
      </w:r>
      <w:r w:rsidR="00DD3442">
        <w:t>, under Option 4</w:t>
      </w:r>
      <w:r w:rsidR="009B32EA">
        <w:t>,</w:t>
      </w:r>
      <w:r w:rsidR="00093E5C">
        <w:t xml:space="preserve"> all of these vessels will have to acquire additional insurance</w:t>
      </w:r>
      <w:r w:rsidR="009D60D2">
        <w:t xml:space="preserve"> </w:t>
      </w:r>
      <w:r w:rsidR="00643166">
        <w:t xml:space="preserve">at a real cost of $2.3/GT (see </w:t>
      </w:r>
      <w:r w:rsidR="00643166">
        <w:fldChar w:fldCharType="begin"/>
      </w:r>
      <w:r w:rsidR="00643166">
        <w:instrText xml:space="preserve"> REF _Ref73971915 \h </w:instrText>
      </w:r>
      <w:r w:rsidR="00643166">
        <w:fldChar w:fldCharType="separate"/>
      </w:r>
      <w:r w:rsidR="00966CD2" w:rsidRPr="001A2E8E">
        <w:rPr>
          <w:rStyle w:val="CaptionLabel"/>
        </w:rPr>
        <w:t>Table </w:t>
      </w:r>
      <w:r w:rsidR="00966CD2">
        <w:rPr>
          <w:rStyle w:val="CaptionLabel"/>
          <w:noProof/>
        </w:rPr>
        <w:t>3</w:t>
      </w:r>
      <w:r w:rsidR="00966CD2" w:rsidRPr="001A2E8E">
        <w:rPr>
          <w:rStyle w:val="CaptionLabel"/>
        </w:rPr>
        <w:t>.</w:t>
      </w:r>
      <w:r w:rsidR="00966CD2">
        <w:rPr>
          <w:rStyle w:val="CaptionLabel"/>
          <w:noProof/>
        </w:rPr>
        <w:t>6</w:t>
      </w:r>
      <w:r w:rsidR="00643166">
        <w:fldChar w:fldCharType="end"/>
      </w:r>
      <w:r w:rsidR="00643166">
        <w:t>).</w:t>
      </w:r>
      <w:r w:rsidR="0028332C">
        <w:t xml:space="preserve"> This implies a total cost to shipowners </w:t>
      </w:r>
      <w:r w:rsidR="00DD3442">
        <w:t>under Option 4</w:t>
      </w:r>
      <w:r w:rsidR="001A583F">
        <w:t xml:space="preserve"> </w:t>
      </w:r>
      <w:r w:rsidR="0028332C">
        <w:t xml:space="preserve">of </w:t>
      </w:r>
      <w:r w:rsidR="00604AA3">
        <w:t>$0</w:t>
      </w:r>
      <w:r w:rsidR="00FD11C1">
        <w:t>.4</w:t>
      </w:r>
      <w:r w:rsidR="00604AA3">
        <w:t xml:space="preserve"> million, undiscounted, over the first 10 years.</w:t>
      </w:r>
    </w:p>
    <w:p w14:paraId="74A295F8" w14:textId="5E3BD82A" w:rsidR="003C0833" w:rsidRDefault="003C0833" w:rsidP="000E53B2">
      <w:pPr>
        <w:pStyle w:val="Heading2"/>
      </w:pPr>
      <w:bookmarkStart w:id="63" w:name="_Toc99543736"/>
      <w:r>
        <w:t>Costs and benefits in the event of an incident</w:t>
      </w:r>
      <w:bookmarkEnd w:id="63"/>
    </w:p>
    <w:p w14:paraId="38E0A63D" w14:textId="6E7276ED" w:rsidR="003C0833" w:rsidRPr="003C0833" w:rsidRDefault="003C0833" w:rsidP="003C0833">
      <w:pPr>
        <w:pStyle w:val="BodyText"/>
      </w:pPr>
      <w:r>
        <w:t xml:space="preserve">This section compares the costs and benefits if a </w:t>
      </w:r>
      <w:r w:rsidR="008E6060">
        <w:t xml:space="preserve">shipwreck </w:t>
      </w:r>
      <w:r>
        <w:t>incident happens that results in a legal dispute regarding the powers of the Australian Government (delegated through AMSA) which results in the shipowner not paying for some or all of the costs of the clean-up operations.</w:t>
      </w:r>
    </w:p>
    <w:p w14:paraId="393B54C9" w14:textId="1D9B94A7" w:rsidR="00B72016" w:rsidRDefault="000E53B2" w:rsidP="003C0833">
      <w:pPr>
        <w:pStyle w:val="Heading3"/>
      </w:pPr>
      <w:r>
        <w:t>Option 1 (counterfactual) costs</w:t>
      </w:r>
    </w:p>
    <w:p w14:paraId="57A90493" w14:textId="77777777" w:rsidR="00B17C7A" w:rsidRDefault="00B17C7A" w:rsidP="00B72016">
      <w:pPr>
        <w:pStyle w:val="BodyText"/>
      </w:pPr>
      <w:r w:rsidRPr="00B17C7A">
        <w:t xml:space="preserve">If an incident happens in the current regulatory regime that results in a legal dispute, a number of hidden costs will be incurred both by the Australian Government and vessel owners. Foreign vessel owners may have to provide a financial security of some sort while the legal dispute is being resolved. Providing such financial security incurs costs to the shipowners over and above the wreck removal costs. </w:t>
      </w:r>
    </w:p>
    <w:p w14:paraId="7634A576" w14:textId="7DFC6B30" w:rsidR="000E53B2" w:rsidRDefault="0099418A" w:rsidP="00B72016">
      <w:pPr>
        <w:pStyle w:val="BodyText"/>
      </w:pPr>
      <w:r>
        <w:t xml:space="preserve">In </w:t>
      </w:r>
      <w:r w:rsidR="005826F3">
        <w:t xml:space="preserve">some </w:t>
      </w:r>
      <w:r>
        <w:t xml:space="preserve">incidents, </w:t>
      </w:r>
      <w:r w:rsidR="006E6611">
        <w:t xml:space="preserve">it is possible that </w:t>
      </w:r>
      <w:r w:rsidR="003C0833">
        <w:t>Government</w:t>
      </w:r>
      <w:r>
        <w:t xml:space="preserve"> </w:t>
      </w:r>
      <w:r w:rsidR="006E6611">
        <w:t xml:space="preserve">will not be able to </w:t>
      </w:r>
      <w:r>
        <w:t>find a</w:t>
      </w:r>
      <w:r w:rsidR="006E6611">
        <w:t>n appropriate</w:t>
      </w:r>
      <w:r>
        <w:t xml:space="preserve"> financial security in Australia</w:t>
      </w:r>
      <w:r w:rsidR="00860336">
        <w:t>’s</w:t>
      </w:r>
      <w:r>
        <w:t xml:space="preserve"> </w:t>
      </w:r>
      <w:r w:rsidR="00860336">
        <w:t>legal jurisdiction</w:t>
      </w:r>
      <w:r>
        <w:t xml:space="preserve">. </w:t>
      </w:r>
      <w:r w:rsidR="00BD088F">
        <w:t xml:space="preserve">This occurred, for </w:t>
      </w:r>
      <w:r>
        <w:t xml:space="preserve">example, in the </w:t>
      </w:r>
      <w:r w:rsidRPr="00A03C4E">
        <w:rPr>
          <w:i/>
          <w:iCs/>
        </w:rPr>
        <w:t>MV Tycoon</w:t>
      </w:r>
      <w:r>
        <w:rPr>
          <w:i/>
          <w:iCs/>
        </w:rPr>
        <w:t xml:space="preserve"> </w:t>
      </w:r>
      <w:r w:rsidR="00BD088F">
        <w:t xml:space="preserve">incident </w:t>
      </w:r>
      <w:r w:rsidRPr="00BD088F">
        <w:t>at</w:t>
      </w:r>
      <w:r>
        <w:rPr>
          <w:i/>
          <w:iCs/>
        </w:rPr>
        <w:t xml:space="preserve"> </w:t>
      </w:r>
      <w:r w:rsidRPr="0099418A">
        <w:t>Christmas Island</w:t>
      </w:r>
      <w:r>
        <w:t xml:space="preserve"> in 2012.</w:t>
      </w:r>
    </w:p>
    <w:p w14:paraId="31F45073" w14:textId="77777777" w:rsidR="00B17C7A" w:rsidRDefault="00B17C7A" w:rsidP="003C0833">
      <w:pPr>
        <w:pStyle w:val="BodyText"/>
        <w:keepNext/>
      </w:pPr>
      <w:r w:rsidRPr="00B17C7A">
        <w:t xml:space="preserve">The Government (through AMSA) would be still responsible for locating, marking and removal of wrecks under the Navigation Act with the costs of disputed wreck removal operations falling initially </w:t>
      </w:r>
      <w:r w:rsidRPr="00B17C7A">
        <w:lastRenderedPageBreak/>
        <w:t xml:space="preserve">to AMSA with the need to recover costs not paid by the shipowner from the general shipping industry through the Protection of the Sea levy. </w:t>
      </w:r>
    </w:p>
    <w:p w14:paraId="1A7B1BA6" w14:textId="01EB10E8" w:rsidR="004C6D6F" w:rsidRDefault="004C6D6F" w:rsidP="003C0833">
      <w:pPr>
        <w:pStyle w:val="BodyText"/>
        <w:keepNext/>
      </w:pPr>
      <w:r>
        <w:t xml:space="preserve">Retaining the existing framework would continually incur </w:t>
      </w:r>
      <w:r w:rsidR="00902B51">
        <w:t xml:space="preserve">the </w:t>
      </w:r>
      <w:r>
        <w:t>following costs</w:t>
      </w:r>
      <w:r w:rsidR="003C0833">
        <w:t>:</w:t>
      </w:r>
    </w:p>
    <w:p w14:paraId="3721C2A6" w14:textId="03598304" w:rsidR="004C6D6F" w:rsidRDefault="00020B9B" w:rsidP="00FB537E">
      <w:pPr>
        <w:pStyle w:val="ListBullet"/>
      </w:pPr>
      <w:r>
        <w:t>W</w:t>
      </w:r>
      <w:r w:rsidR="004C6D6F">
        <w:t xml:space="preserve">reck removal costs </w:t>
      </w:r>
      <w:r>
        <w:t>not recovered from shipowners (and borne by the general shipping industry instead)</w:t>
      </w:r>
    </w:p>
    <w:p w14:paraId="132963D8" w14:textId="1C03F2FE" w:rsidR="004C6D6F" w:rsidRDefault="004C6D6F" w:rsidP="00FB537E">
      <w:pPr>
        <w:pStyle w:val="ListBullet"/>
      </w:pPr>
      <w:r>
        <w:t xml:space="preserve">Financial security costs to foreign vessel owners </w:t>
      </w:r>
      <w:r w:rsidR="00020B9B">
        <w:t>involved in disputes</w:t>
      </w:r>
    </w:p>
    <w:p w14:paraId="7CF57F22" w14:textId="73774225" w:rsidR="00374A47" w:rsidRDefault="004C6D6F" w:rsidP="00877BDF">
      <w:pPr>
        <w:pStyle w:val="ListBullet"/>
      </w:pPr>
      <w:r>
        <w:t>Judicial, legal and court related costs to both the Australian Government and the shipowners</w:t>
      </w:r>
      <w:r w:rsidR="00A83A14">
        <w:t xml:space="preserve">, can extend more than </w:t>
      </w:r>
      <w:r w:rsidR="008E6060">
        <w:t>6</w:t>
      </w:r>
      <w:r w:rsidR="00020B9B">
        <w:t xml:space="preserve"> </w:t>
      </w:r>
      <w:r w:rsidR="00A83A14">
        <w:t>years (ongoing costs)</w:t>
      </w:r>
      <w:r w:rsidR="003C0833">
        <w:t>.</w:t>
      </w:r>
    </w:p>
    <w:p w14:paraId="1A6ADB98" w14:textId="2DB2D8D2" w:rsidR="00826E33" w:rsidRDefault="00DD3442" w:rsidP="007743F4">
      <w:pPr>
        <w:pStyle w:val="Heading3"/>
      </w:pPr>
      <w:r>
        <w:t>Option 3</w:t>
      </w:r>
      <w:r w:rsidR="008976FA">
        <w:t xml:space="preserve"> relative to Option</w:t>
      </w:r>
      <w:r w:rsidR="00235833">
        <w:t xml:space="preserve"> </w:t>
      </w:r>
      <w:r w:rsidR="008976FA">
        <w:t>1</w:t>
      </w:r>
    </w:p>
    <w:p w14:paraId="74014109" w14:textId="12EE50FD" w:rsidR="009E0FE0" w:rsidRDefault="009E0FE0" w:rsidP="009E0FE0">
      <w:pPr>
        <w:pStyle w:val="BodyText"/>
      </w:pPr>
      <w:r>
        <w:t xml:space="preserve">Accession to </w:t>
      </w:r>
      <w:r w:rsidR="00020B9B">
        <w:t xml:space="preserve">the </w:t>
      </w:r>
      <w:r>
        <w:t>Nairobi Convention would reduce or eliminate the costs reported in Section 4.2. These avoided costs would be benefits of accession to the Nairobi Convention.</w:t>
      </w:r>
    </w:p>
    <w:p w14:paraId="4AAF568D" w14:textId="77777777" w:rsidR="00B17C7A" w:rsidRPr="00B17C7A" w:rsidRDefault="00B17C7A" w:rsidP="00B17C7A">
      <w:pPr>
        <w:pStyle w:val="BodyText"/>
        <w:rPr>
          <w:b/>
        </w:rPr>
      </w:pPr>
      <w:r w:rsidRPr="00B17C7A">
        <w:rPr>
          <w:b/>
        </w:rPr>
        <w:t>Avoided legal costs</w:t>
      </w:r>
    </w:p>
    <w:p w14:paraId="43983457" w14:textId="77777777" w:rsidR="00B17C7A" w:rsidRDefault="00B17C7A" w:rsidP="00B17C7A">
      <w:pPr>
        <w:pStyle w:val="BodyText"/>
      </w:pPr>
      <w:r>
        <w:t>Both the Australian Government and the shipowner incur legal costs if a dispute arises under current regulatory arrangements. These costs have been assumed to be proportional to the value of the wreck removal costs which differ based on vessel type and the location of the incident.</w:t>
      </w:r>
    </w:p>
    <w:p w14:paraId="411CD4A2" w14:textId="35DBECED" w:rsidR="00B17C7A" w:rsidRDefault="00B17C7A" w:rsidP="00B17C7A">
      <w:pPr>
        <w:pStyle w:val="BodyText"/>
      </w:pPr>
      <w:r>
        <w:t xml:space="preserve">As per assumptions in </w:t>
      </w:r>
      <w:r w:rsidRPr="00B17C7A">
        <w:rPr>
          <w:b/>
        </w:rPr>
        <w:t>Table 3.6</w:t>
      </w:r>
      <w:r>
        <w:t xml:space="preserve">, the estimated legal costs under Option </w:t>
      </w:r>
      <w:r w:rsidR="00DD3442">
        <w:t>3</w:t>
      </w:r>
      <w:r>
        <w:t xml:space="preserve"> are calculated as 2.5% of the wreck removal costs each year for six years after the incident. In this study, it is assumed that the legal costs are equally borne by the Australian Government and the shipowner. For example, wreck removal costs of a container vessel in the EEZ are assumed to average around $24 million (as reported in </w:t>
      </w:r>
      <w:r w:rsidRPr="00B17C7A">
        <w:rPr>
          <w:b/>
        </w:rPr>
        <w:t>Table 3.6</w:t>
      </w:r>
      <w:r>
        <w:t>). Total avo</w:t>
      </w:r>
      <w:r w:rsidR="00DD3442">
        <w:t>ided legal costs under Option 3</w:t>
      </w:r>
      <w:r>
        <w:t xml:space="preserve"> are therefore $0.60 million per year (of which $0.3 million per year is avoided legal cost by the Australian Government and $0.3 million per year is avoided legal costs by the shipowner). Over the assessment period for this study, this gives total avoided legal costs of $3.6 million (undiscounted), split equally between the Australian Government and the shipowner.</w:t>
      </w:r>
    </w:p>
    <w:p w14:paraId="0A161B54" w14:textId="77777777" w:rsidR="00B17C7A" w:rsidRPr="00B17C7A" w:rsidRDefault="00B17C7A" w:rsidP="00B17C7A">
      <w:pPr>
        <w:pStyle w:val="BodyText"/>
        <w:rPr>
          <w:b/>
        </w:rPr>
      </w:pPr>
      <w:r w:rsidRPr="00B17C7A">
        <w:rPr>
          <w:b/>
        </w:rPr>
        <w:t>Financial security benefits</w:t>
      </w:r>
    </w:p>
    <w:p w14:paraId="5BA5B481" w14:textId="08AA48A2" w:rsidR="00B17C7A" w:rsidRDefault="00B17C7A" w:rsidP="00B17C7A">
      <w:pPr>
        <w:pStyle w:val="BodyText"/>
      </w:pPr>
      <w:r>
        <w:t>It is assumed in this study that one in two wreck incidents will require financial security under the current regulatory arrangements and holding of the financial security by the Australian Government, would incur an opportunity cost to the shipowner involved in the dispute of 10% per year. It is assumed that the financial security is held by the Australian Government for three years. These costs would be avoided under accession to the Nairobi Convention under Option</w:t>
      </w:r>
      <w:r w:rsidR="00DD3442">
        <w:t xml:space="preserve"> 3</w:t>
      </w:r>
      <w:r>
        <w:t xml:space="preserve">. For example, wreck removal costs of a container vessel in the EEZ are assumed to be $24 million as reported in </w:t>
      </w:r>
      <w:r w:rsidRPr="00B17C7A">
        <w:rPr>
          <w:b/>
        </w:rPr>
        <w:t>Table 3.6</w:t>
      </w:r>
      <w:r>
        <w:t xml:space="preserve">. Total avoided financial security costs are therefore $1.2 million per year (50% x 10% x $24 million). Over the assessment period, this gives a total avoided </w:t>
      </w:r>
      <w:r w:rsidR="00DD3442">
        <w:t>financial security cost of $3.6 </w:t>
      </w:r>
      <w:r>
        <w:t>million (undiscounted), which accrues directly to the shipowner.</w:t>
      </w:r>
    </w:p>
    <w:p w14:paraId="3DABA1A0" w14:textId="77777777" w:rsidR="00B17C7A" w:rsidRPr="00B17C7A" w:rsidRDefault="00B17C7A" w:rsidP="00B17C7A">
      <w:pPr>
        <w:pStyle w:val="BodyText"/>
        <w:rPr>
          <w:b/>
        </w:rPr>
      </w:pPr>
      <w:r w:rsidRPr="00B17C7A">
        <w:rPr>
          <w:b/>
        </w:rPr>
        <w:t>Cost recovery transfers</w:t>
      </w:r>
    </w:p>
    <w:p w14:paraId="5778ACD6" w14:textId="4505C8E9" w:rsidR="00B17C7A" w:rsidRDefault="00B17C7A" w:rsidP="00B17C7A">
      <w:pPr>
        <w:pStyle w:val="BodyText"/>
      </w:pPr>
      <w:r>
        <w:t>Consistent with stakeholder consultations, it is assumed that the Australian Government will improve its cost recovery directly from the shipowner involved in the incident from 70% under current regulatory arr</w:t>
      </w:r>
      <w:r w:rsidR="00DD3442">
        <w:t>angements to 80% under Option 3</w:t>
      </w:r>
      <w:r>
        <w:t>. As discussed in Section 3.10.2, the cost recovery represents a reduction in the amount of transfers from the general shipping industry rather than a financial benefit to the Australian Government or the Australian taxpayer.</w:t>
      </w:r>
    </w:p>
    <w:p w14:paraId="4B8B6C87" w14:textId="5E624C7F" w:rsidR="00B17C7A" w:rsidRDefault="00B17C7A" w:rsidP="00B17C7A">
      <w:pPr>
        <w:pStyle w:val="BodyText"/>
      </w:pPr>
      <w:r>
        <w:t>Based on the assumed cost recovery rates, for a wreck incident involving a container vessel, responsible shipowners will pay an additional $2.4 million with the general shipping industry receiving a benefit of $2.4 million as a result of accession to the Na</w:t>
      </w:r>
      <w:r w:rsidR="00DD3442">
        <w:t>irobi Convention under Option 3</w:t>
      </w:r>
      <w:r>
        <w:t>. That is, in net terms, there is no economic benefit. Rather there is a distributional effect.</w:t>
      </w:r>
    </w:p>
    <w:p w14:paraId="1C692C50" w14:textId="659DEAF5" w:rsidR="00B17C7A" w:rsidRDefault="00B17C7A" w:rsidP="00B17C7A">
      <w:pPr>
        <w:pStyle w:val="BodyText"/>
      </w:pPr>
      <w:r>
        <w:lastRenderedPageBreak/>
        <w:t>An estimated net benefi</w:t>
      </w:r>
      <w:r w:rsidR="00DD3442">
        <w:t>t of Option 3</w:t>
      </w:r>
      <w:r>
        <w:t xml:space="preserve"> relative to Option 1 is summarised in </w:t>
      </w:r>
      <w:r w:rsidRPr="00B17C7A">
        <w:rPr>
          <w:b/>
        </w:rPr>
        <w:t>Figure 4.2.</w:t>
      </w:r>
      <w:r>
        <w:t xml:space="preserve"> This indicates if a wreck incident happens to a vessel in Year 1 in the EEZ, the estimated net benefits of accession to the N</w:t>
      </w:r>
      <w:r w:rsidR="00DD3442">
        <w:t>airobi Convention under Option 3</w:t>
      </w:r>
      <w:r>
        <w:t xml:space="preserve"> relative to Option 1 for Bulk carriers would be around $33.4 million ($27.3 million at 7% discount rate) and for Container carriers would be around $4.6 million ($4 million at 7% discount rate). As can be seen, a disputed incident involving all vessel types are expected to result in a net benefit to the economy.</w:t>
      </w:r>
    </w:p>
    <w:tbl>
      <w:tblPr>
        <w:tblW w:w="0" w:type="auto"/>
        <w:tblLayout w:type="fixed"/>
        <w:tblCellMar>
          <w:left w:w="0" w:type="dxa"/>
          <w:right w:w="0" w:type="dxa"/>
        </w:tblCellMar>
        <w:tblLook w:val="0000" w:firstRow="0" w:lastRow="0" w:firstColumn="0" w:lastColumn="0" w:noHBand="0" w:noVBand="0"/>
      </w:tblPr>
      <w:tblGrid>
        <w:gridCol w:w="7936"/>
      </w:tblGrid>
      <w:tr w:rsidR="00335BD3" w14:paraId="08823F1B" w14:textId="77777777" w:rsidTr="00335BD3">
        <w:tc>
          <w:tcPr>
            <w:tcW w:w="7936" w:type="dxa"/>
            <w:tcBorders>
              <w:bottom w:val="single" w:sz="4" w:space="0" w:color="000100"/>
            </w:tcBorders>
            <w:shd w:val="clear" w:color="auto" w:fill="auto"/>
            <w:tcMar>
              <w:top w:w="160" w:type="dxa"/>
              <w:bottom w:w="8" w:type="dxa"/>
            </w:tcMar>
          </w:tcPr>
          <w:p w14:paraId="4B6BFAD3" w14:textId="1AD912F4" w:rsidR="00335BD3" w:rsidRDefault="00335BD3" w:rsidP="00DD3442">
            <w:pPr>
              <w:pStyle w:val="Caption"/>
            </w:pPr>
            <w:bookmarkStart w:id="64" w:name="_Ref74212022"/>
            <w:bookmarkStart w:id="65" w:name="_Toc99543747"/>
            <w:r w:rsidRPr="00335BD3">
              <w:rPr>
                <w:rStyle w:val="CaptionLabel"/>
              </w:rPr>
              <w:t>Figure </w:t>
            </w:r>
            <w:r w:rsidRPr="00335BD3">
              <w:rPr>
                <w:rStyle w:val="CaptionLabel"/>
              </w:rPr>
              <w:fldChar w:fldCharType="begin"/>
            </w:r>
            <w:r w:rsidRPr="00335BD3">
              <w:rPr>
                <w:rStyle w:val="CaptionLabel"/>
              </w:rPr>
              <w:instrText xml:space="preserve"> STYLEREF 1 \S \* MERGEFORMAT </w:instrText>
            </w:r>
            <w:r w:rsidRPr="00335BD3">
              <w:rPr>
                <w:rStyle w:val="CaptionLabel"/>
              </w:rPr>
              <w:fldChar w:fldCharType="separate"/>
            </w:r>
            <w:r w:rsidR="00966CD2">
              <w:rPr>
                <w:rStyle w:val="CaptionLabel"/>
                <w:noProof/>
              </w:rPr>
              <w:t>4</w:t>
            </w:r>
            <w:r w:rsidRPr="00335BD3">
              <w:rPr>
                <w:rStyle w:val="CaptionLabel"/>
              </w:rPr>
              <w:fldChar w:fldCharType="end"/>
            </w:r>
            <w:r w:rsidRPr="00335BD3">
              <w:rPr>
                <w:rStyle w:val="CaptionLabel"/>
              </w:rPr>
              <w:t>.</w:t>
            </w:r>
            <w:r w:rsidRPr="00335BD3">
              <w:rPr>
                <w:rStyle w:val="CaptionLabel"/>
              </w:rPr>
              <w:fldChar w:fldCharType="begin"/>
            </w:r>
            <w:r w:rsidRPr="00335BD3">
              <w:rPr>
                <w:rStyle w:val="CaptionLabel"/>
              </w:rPr>
              <w:instrText xml:space="preserve"> SEQ Figure \* ARABIC \S 1 \* MERGEFORMAT </w:instrText>
            </w:r>
            <w:r w:rsidRPr="00335BD3">
              <w:rPr>
                <w:rStyle w:val="CaptionLabel"/>
              </w:rPr>
              <w:fldChar w:fldCharType="separate"/>
            </w:r>
            <w:r w:rsidR="00966CD2">
              <w:rPr>
                <w:rStyle w:val="CaptionLabel"/>
                <w:noProof/>
              </w:rPr>
              <w:t>2</w:t>
            </w:r>
            <w:r w:rsidRPr="00335BD3">
              <w:rPr>
                <w:rStyle w:val="CaptionLabel"/>
              </w:rPr>
              <w:fldChar w:fldCharType="end"/>
            </w:r>
            <w:bookmarkEnd w:id="64"/>
            <w:r>
              <w:tab/>
              <w:t>Net benefits of Option</w:t>
            </w:r>
            <w:r w:rsidR="00020B9B">
              <w:t xml:space="preserve"> </w:t>
            </w:r>
            <w:r w:rsidR="00DD3442">
              <w:t>3</w:t>
            </w:r>
            <w:r>
              <w:t xml:space="preserve"> relative to Option </w:t>
            </w:r>
            <w:r w:rsidR="0049455E">
              <w:t>1</w:t>
            </w:r>
            <w:r w:rsidR="0013533F">
              <w:t xml:space="preserve"> over a ten-year period</w:t>
            </w:r>
            <w:bookmarkEnd w:id="65"/>
          </w:p>
        </w:tc>
      </w:tr>
      <w:tr w:rsidR="00335BD3" w14:paraId="4553306C" w14:textId="77777777" w:rsidTr="00104FB6">
        <w:tblPrEx>
          <w:tblCellMar>
            <w:left w:w="108" w:type="dxa"/>
            <w:right w:w="108" w:type="dxa"/>
          </w:tblCellMar>
        </w:tblPrEx>
        <w:tc>
          <w:tcPr>
            <w:tcW w:w="7936" w:type="dxa"/>
            <w:tcBorders>
              <w:top w:val="single" w:sz="4" w:space="0" w:color="000100"/>
            </w:tcBorders>
            <w:shd w:val="clear" w:color="auto" w:fill="auto"/>
          </w:tcPr>
          <w:p w14:paraId="07BBA91B" w14:textId="72E68137" w:rsidR="00335BD3" w:rsidRDefault="00020B9B" w:rsidP="00335BD3">
            <w:pPr>
              <w:pStyle w:val="Figure"/>
            </w:pPr>
            <w:r>
              <w:t xml:space="preserve"> </w:t>
            </w:r>
            <w:r w:rsidR="00B17C7A">
              <w:rPr>
                <w:noProof/>
                <w:lang w:eastAsia="en-AU"/>
              </w:rPr>
              <w:drawing>
                <wp:inline distT="0" distB="0" distL="0" distR="0" wp14:anchorId="0FF81198" wp14:editId="3AC7BC60">
                  <wp:extent cx="4902200" cy="193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02200" cy="1932940"/>
                          </a:xfrm>
                          <a:prstGeom prst="rect">
                            <a:avLst/>
                          </a:prstGeom>
                        </pic:spPr>
                      </pic:pic>
                    </a:graphicData>
                  </a:graphic>
                </wp:inline>
              </w:drawing>
            </w:r>
          </w:p>
        </w:tc>
      </w:tr>
      <w:tr w:rsidR="00335BD3" w14:paraId="6DEBF17A" w14:textId="77777777" w:rsidTr="00335BD3">
        <w:trPr>
          <w:trHeight w:val="135"/>
        </w:trPr>
        <w:tc>
          <w:tcPr>
            <w:tcW w:w="7936" w:type="dxa"/>
            <w:tcBorders>
              <w:bottom w:val="single" w:sz="4" w:space="0" w:color="000100"/>
            </w:tcBorders>
            <w:shd w:val="clear" w:color="auto" w:fill="auto"/>
            <w:tcMar>
              <w:top w:w="12" w:type="dxa"/>
              <w:bottom w:w="113" w:type="dxa"/>
            </w:tcMar>
          </w:tcPr>
          <w:p w14:paraId="2375813E" w14:textId="44BD6574" w:rsidR="00335BD3" w:rsidRDefault="00335BD3" w:rsidP="00335BD3">
            <w:pPr>
              <w:pStyle w:val="Source"/>
            </w:pPr>
            <w:r>
              <w:t>Source: ACIL Allen estimates from various assumptions</w:t>
            </w:r>
          </w:p>
        </w:tc>
      </w:tr>
      <w:tr w:rsidR="00335BD3" w14:paraId="1128D578" w14:textId="77777777" w:rsidTr="00335BD3">
        <w:trPr>
          <w:trHeight w:hRule="exact" w:val="160"/>
        </w:trPr>
        <w:tc>
          <w:tcPr>
            <w:tcW w:w="7936" w:type="dxa"/>
            <w:tcBorders>
              <w:top w:val="single" w:sz="4" w:space="0" w:color="000100"/>
            </w:tcBorders>
            <w:shd w:val="clear" w:color="auto" w:fill="auto"/>
            <w:tcMar>
              <w:top w:w="0" w:type="dxa"/>
              <w:bottom w:w="40" w:type="dxa"/>
            </w:tcMar>
          </w:tcPr>
          <w:p w14:paraId="13BE9362" w14:textId="77777777" w:rsidR="00335BD3" w:rsidRDefault="00335BD3" w:rsidP="00335BD3">
            <w:pPr>
              <w:pStyle w:val="spacer"/>
            </w:pPr>
          </w:p>
        </w:tc>
      </w:tr>
    </w:tbl>
    <w:p w14:paraId="5B1C7FC7" w14:textId="2BA6CD1B" w:rsidR="00B17C7A" w:rsidRDefault="00B17C7A" w:rsidP="00B17C7A">
      <w:pPr>
        <w:pStyle w:val="BodyText"/>
      </w:pPr>
      <w:r>
        <w:t>The estimated incidence of</w:t>
      </w:r>
      <w:r w:rsidR="00DD3442">
        <w:t xml:space="preserve"> costs and benefits of Option 3</w:t>
      </w:r>
      <w:r>
        <w:t xml:space="preserve"> relative to Option 1 are summarised in </w:t>
      </w:r>
      <w:r w:rsidRPr="00B17C7A">
        <w:rPr>
          <w:b/>
        </w:rPr>
        <w:t>Table 4.2</w:t>
      </w:r>
      <w:r>
        <w:t>. A key distributional benefit is that the direct shipowners (or their insurers) involved in the incident are expected to directly bear the cost of clean-up operations rather than these costs being borne by the shipping industry more generally.</w:t>
      </w:r>
    </w:p>
    <w:p w14:paraId="6F5ECDEE" w14:textId="6EA0EF62" w:rsidR="00B17C7A" w:rsidRDefault="00B17C7A" w:rsidP="00B17C7A">
      <w:pPr>
        <w:pStyle w:val="BodyText"/>
      </w:pPr>
      <w:r>
        <w:t>Due to the avoided legal costs, the Australian Government is expected to be a net beneficiary of accession to the Na</w:t>
      </w:r>
      <w:r w:rsidR="00DD3442">
        <w:t>irobi Convention under Option 3</w:t>
      </w:r>
      <w:r>
        <w:t>, relative to Option 1.</w:t>
      </w:r>
    </w:p>
    <w:p w14:paraId="230F1F18" w14:textId="76E7F99B" w:rsidR="00B17C7A" w:rsidRDefault="00B17C7A" w:rsidP="00B17C7A">
      <w:pPr>
        <w:pStyle w:val="BodyText"/>
      </w:pPr>
      <w:r>
        <w:t>Similarly, due to the avoided legal costs but also due to the financial security benefits, the shipping industry is expected to be a net beneficiary of accession to the Na</w:t>
      </w:r>
      <w:r w:rsidR="00DD3442">
        <w:t>irobi Convention under Option 3</w:t>
      </w:r>
      <w:r>
        <w:t>, relative to Option 1. However, there will be some transfers from specific shipping owners involved in incidents to the shipping industry in general.</w:t>
      </w:r>
    </w:p>
    <w:p w14:paraId="1C0EBFB7" w14:textId="2D543F6D" w:rsidR="00B17C7A" w:rsidRDefault="00B17C7A" w:rsidP="00B17C7A">
      <w:pPr>
        <w:pStyle w:val="BodyText"/>
      </w:pPr>
      <w:r>
        <w:t>The estimated quantifiable Benefit Cost Ratio (BCR) varies between 1.4 and 13.9 (undiscounted), depending on the nature of the vessel involved in the disputed incident.</w:t>
      </w:r>
    </w:p>
    <w:p w14:paraId="1412076D" w14:textId="77777777" w:rsidR="000C5461" w:rsidRDefault="000C5461" w:rsidP="00B17C7A">
      <w:pPr>
        <w:pStyle w:val="BodyText"/>
      </w:pPr>
    </w:p>
    <w:p w14:paraId="66691BA5" w14:textId="12452F4A" w:rsidR="00B076B7" w:rsidRDefault="00B076B7" w:rsidP="00B076B7">
      <w:pPr>
        <w:pStyle w:val="Caption"/>
        <w:ind w:left="-784"/>
      </w:pPr>
      <w:bookmarkStart w:id="66" w:name="_Ref74212343"/>
      <w:bookmarkStart w:id="67" w:name="_Toc99543760"/>
      <w:r w:rsidRPr="00B076B7">
        <w:rPr>
          <w:rStyle w:val="CaptionLabel"/>
        </w:rPr>
        <w:t>Table </w:t>
      </w:r>
      <w:r w:rsidRPr="00B076B7">
        <w:rPr>
          <w:rStyle w:val="CaptionLabel"/>
        </w:rPr>
        <w:fldChar w:fldCharType="begin"/>
      </w:r>
      <w:r w:rsidRPr="00B076B7">
        <w:rPr>
          <w:rStyle w:val="CaptionLabel"/>
        </w:rPr>
        <w:instrText xml:space="preserve"> STYLEREF 1 \S \* MERGEFORMAT </w:instrText>
      </w:r>
      <w:r w:rsidRPr="00B076B7">
        <w:rPr>
          <w:rStyle w:val="CaptionLabel"/>
        </w:rPr>
        <w:fldChar w:fldCharType="separate"/>
      </w:r>
      <w:r w:rsidR="00966CD2">
        <w:rPr>
          <w:rStyle w:val="CaptionLabel"/>
          <w:noProof/>
        </w:rPr>
        <w:t>4</w:t>
      </w:r>
      <w:r w:rsidRPr="00B076B7">
        <w:rPr>
          <w:rStyle w:val="CaptionLabel"/>
        </w:rPr>
        <w:fldChar w:fldCharType="end"/>
      </w:r>
      <w:r w:rsidRPr="00B076B7">
        <w:rPr>
          <w:rStyle w:val="CaptionLabel"/>
        </w:rPr>
        <w:t>.</w:t>
      </w:r>
      <w:r w:rsidRPr="00B076B7">
        <w:rPr>
          <w:rStyle w:val="CaptionLabel"/>
        </w:rPr>
        <w:fldChar w:fldCharType="begin"/>
      </w:r>
      <w:r w:rsidRPr="00B076B7">
        <w:rPr>
          <w:rStyle w:val="CaptionLabel"/>
        </w:rPr>
        <w:instrText xml:space="preserve"> SEQ Table \* ARABIC \S 1 \* MERGEFORMAT </w:instrText>
      </w:r>
      <w:r w:rsidRPr="00B076B7">
        <w:rPr>
          <w:rStyle w:val="CaptionLabel"/>
        </w:rPr>
        <w:fldChar w:fldCharType="separate"/>
      </w:r>
      <w:r w:rsidR="00966CD2">
        <w:rPr>
          <w:rStyle w:val="CaptionLabel"/>
          <w:noProof/>
        </w:rPr>
        <w:t>2</w:t>
      </w:r>
      <w:r w:rsidRPr="00B076B7">
        <w:rPr>
          <w:rStyle w:val="CaptionLabel"/>
        </w:rPr>
        <w:fldChar w:fldCharType="end"/>
      </w:r>
      <w:bookmarkEnd w:id="66"/>
      <w:r>
        <w:tab/>
      </w:r>
      <w:r w:rsidR="00975556">
        <w:t>C</w:t>
      </w:r>
      <w:r w:rsidR="00F07666">
        <w:t>o</w:t>
      </w:r>
      <w:r w:rsidR="00DD3442">
        <w:t>sts and benefits under Option 3</w:t>
      </w:r>
      <w:r w:rsidR="00F07666">
        <w:t xml:space="preserve"> relative to Option 1</w:t>
      </w:r>
      <w:r w:rsidR="0013533F">
        <w:t xml:space="preserve"> over a ten-year period</w:t>
      </w:r>
      <w:bookmarkEnd w:id="67"/>
    </w:p>
    <w:tbl>
      <w:tblPr>
        <w:tblW w:w="1120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247"/>
        <w:gridCol w:w="850"/>
        <w:gridCol w:w="850"/>
        <w:gridCol w:w="850"/>
        <w:gridCol w:w="850"/>
        <w:gridCol w:w="850"/>
        <w:gridCol w:w="850"/>
        <w:gridCol w:w="850"/>
        <w:gridCol w:w="850"/>
        <w:gridCol w:w="851"/>
        <w:gridCol w:w="850"/>
      </w:tblGrid>
      <w:tr w:rsidR="00F955B7" w14:paraId="40EB9B6D" w14:textId="77777777" w:rsidTr="009A19DE">
        <w:trPr>
          <w:gridAfter w:val="1"/>
          <w:wAfter w:w="850" w:type="dxa"/>
          <w:tblHeader/>
        </w:trPr>
        <w:tc>
          <w:tcPr>
            <w:tcW w:w="2701" w:type="dxa"/>
            <w:gridSpan w:val="2"/>
            <w:tcBorders>
              <w:top w:val="nil"/>
              <w:bottom w:val="nil"/>
            </w:tcBorders>
            <w:shd w:val="clear" w:color="auto" w:fill="140034"/>
            <w:tcMar>
              <w:left w:w="454" w:type="dxa"/>
            </w:tcMar>
          </w:tcPr>
          <w:p w14:paraId="210D7C28" w14:textId="5E0F3070" w:rsidR="00F955B7" w:rsidRDefault="00F955B7" w:rsidP="00F955B7">
            <w:pPr>
              <w:pStyle w:val="Tablecolumnheadings"/>
            </w:pPr>
          </w:p>
        </w:tc>
        <w:tc>
          <w:tcPr>
            <w:tcW w:w="850" w:type="dxa"/>
            <w:tcBorders>
              <w:top w:val="nil"/>
              <w:bottom w:val="nil"/>
            </w:tcBorders>
            <w:shd w:val="clear" w:color="auto" w:fill="140034"/>
          </w:tcPr>
          <w:p w14:paraId="1686D6BE" w14:textId="7BBD0432" w:rsidR="00F955B7" w:rsidRPr="0014439F" w:rsidRDefault="00F955B7" w:rsidP="00F955B7">
            <w:pPr>
              <w:pStyle w:val="Tablecolumnheadings"/>
              <w:jc w:val="right"/>
              <w:rPr>
                <w:sz w:val="18"/>
                <w:szCs w:val="20"/>
              </w:rPr>
            </w:pPr>
            <w:r w:rsidRPr="0014439F">
              <w:rPr>
                <w:sz w:val="18"/>
                <w:szCs w:val="20"/>
              </w:rPr>
              <w:t>Bulk carriers</w:t>
            </w:r>
          </w:p>
        </w:tc>
        <w:tc>
          <w:tcPr>
            <w:tcW w:w="850" w:type="dxa"/>
            <w:tcBorders>
              <w:top w:val="nil"/>
              <w:bottom w:val="nil"/>
            </w:tcBorders>
            <w:shd w:val="clear" w:color="auto" w:fill="140034"/>
          </w:tcPr>
          <w:p w14:paraId="1D60D96F" w14:textId="1D56FB83" w:rsidR="00F955B7" w:rsidRPr="0014439F" w:rsidRDefault="00F955B7" w:rsidP="00F955B7">
            <w:pPr>
              <w:pStyle w:val="Tablecolumnheadings"/>
              <w:jc w:val="right"/>
              <w:rPr>
                <w:sz w:val="18"/>
                <w:szCs w:val="20"/>
              </w:rPr>
            </w:pPr>
            <w:r w:rsidRPr="0014439F">
              <w:rPr>
                <w:sz w:val="18"/>
                <w:szCs w:val="20"/>
              </w:rPr>
              <w:t>Chemical tankers</w:t>
            </w:r>
          </w:p>
        </w:tc>
        <w:tc>
          <w:tcPr>
            <w:tcW w:w="850" w:type="dxa"/>
            <w:tcBorders>
              <w:top w:val="nil"/>
              <w:bottom w:val="nil"/>
            </w:tcBorders>
            <w:shd w:val="clear" w:color="auto" w:fill="140034"/>
          </w:tcPr>
          <w:p w14:paraId="4DBD0450" w14:textId="2CFB821E" w:rsidR="00F955B7" w:rsidRPr="0014439F" w:rsidRDefault="00F955B7" w:rsidP="00F955B7">
            <w:pPr>
              <w:pStyle w:val="Tablecolumnheadings"/>
              <w:jc w:val="right"/>
              <w:rPr>
                <w:sz w:val="18"/>
                <w:szCs w:val="20"/>
              </w:rPr>
            </w:pPr>
            <w:r w:rsidRPr="0014439F">
              <w:rPr>
                <w:sz w:val="18"/>
                <w:szCs w:val="20"/>
              </w:rPr>
              <w:t>Container carriers</w:t>
            </w:r>
          </w:p>
        </w:tc>
        <w:tc>
          <w:tcPr>
            <w:tcW w:w="850" w:type="dxa"/>
            <w:tcBorders>
              <w:top w:val="nil"/>
              <w:bottom w:val="nil"/>
            </w:tcBorders>
            <w:shd w:val="clear" w:color="auto" w:fill="140034"/>
          </w:tcPr>
          <w:p w14:paraId="27823511" w14:textId="47BB9536" w:rsidR="00F955B7" w:rsidRPr="0014439F" w:rsidRDefault="00F955B7" w:rsidP="00F955B7">
            <w:pPr>
              <w:pStyle w:val="Tablecolumnheadings"/>
              <w:jc w:val="right"/>
              <w:rPr>
                <w:sz w:val="18"/>
                <w:szCs w:val="20"/>
              </w:rPr>
            </w:pPr>
            <w:r w:rsidRPr="0014439F">
              <w:rPr>
                <w:sz w:val="18"/>
                <w:szCs w:val="20"/>
              </w:rPr>
              <w:t>General cargo ships</w:t>
            </w:r>
          </w:p>
        </w:tc>
        <w:tc>
          <w:tcPr>
            <w:tcW w:w="850" w:type="dxa"/>
            <w:tcBorders>
              <w:top w:val="nil"/>
              <w:bottom w:val="nil"/>
            </w:tcBorders>
            <w:shd w:val="clear" w:color="auto" w:fill="140034"/>
          </w:tcPr>
          <w:p w14:paraId="493A9A6D" w14:textId="02580A11" w:rsidR="00F955B7" w:rsidRPr="0014439F" w:rsidRDefault="00F955B7" w:rsidP="00F955B7">
            <w:pPr>
              <w:pStyle w:val="Tablecolumnheadings"/>
              <w:jc w:val="right"/>
              <w:rPr>
                <w:sz w:val="18"/>
                <w:szCs w:val="20"/>
              </w:rPr>
            </w:pPr>
            <w:r w:rsidRPr="0014439F">
              <w:rPr>
                <w:sz w:val="18"/>
                <w:szCs w:val="20"/>
              </w:rPr>
              <w:t>LNG tankers</w:t>
            </w:r>
          </w:p>
        </w:tc>
        <w:tc>
          <w:tcPr>
            <w:tcW w:w="850" w:type="dxa"/>
            <w:tcBorders>
              <w:top w:val="nil"/>
              <w:bottom w:val="nil"/>
            </w:tcBorders>
            <w:shd w:val="clear" w:color="auto" w:fill="140034"/>
          </w:tcPr>
          <w:p w14:paraId="68432BD9" w14:textId="0686F2AA" w:rsidR="00F955B7" w:rsidRPr="0014439F" w:rsidRDefault="00F955B7" w:rsidP="00F955B7">
            <w:pPr>
              <w:pStyle w:val="Tablecolumnheadings"/>
              <w:jc w:val="right"/>
              <w:rPr>
                <w:sz w:val="18"/>
                <w:szCs w:val="20"/>
              </w:rPr>
            </w:pPr>
            <w:r w:rsidRPr="0014439F">
              <w:rPr>
                <w:sz w:val="18"/>
                <w:szCs w:val="20"/>
              </w:rPr>
              <w:t>LPG tankers</w:t>
            </w:r>
          </w:p>
        </w:tc>
        <w:tc>
          <w:tcPr>
            <w:tcW w:w="850" w:type="dxa"/>
            <w:tcBorders>
              <w:top w:val="nil"/>
              <w:bottom w:val="nil"/>
            </w:tcBorders>
            <w:shd w:val="clear" w:color="auto" w:fill="140034"/>
          </w:tcPr>
          <w:p w14:paraId="73F62561" w14:textId="021817FD" w:rsidR="00F955B7" w:rsidRPr="0014439F" w:rsidRDefault="00F955B7" w:rsidP="00F955B7">
            <w:pPr>
              <w:pStyle w:val="Tablecolumnheadings"/>
              <w:jc w:val="right"/>
              <w:rPr>
                <w:sz w:val="18"/>
                <w:szCs w:val="20"/>
              </w:rPr>
            </w:pPr>
            <w:r w:rsidRPr="0014439F">
              <w:rPr>
                <w:sz w:val="18"/>
                <w:szCs w:val="20"/>
              </w:rPr>
              <w:t>Livestock carriers</w:t>
            </w:r>
          </w:p>
        </w:tc>
        <w:tc>
          <w:tcPr>
            <w:tcW w:w="850" w:type="dxa"/>
            <w:tcBorders>
              <w:top w:val="nil"/>
              <w:bottom w:val="nil"/>
            </w:tcBorders>
            <w:shd w:val="clear" w:color="auto" w:fill="140034"/>
          </w:tcPr>
          <w:p w14:paraId="4504FC9D" w14:textId="715D002B" w:rsidR="00F955B7" w:rsidRPr="0014439F" w:rsidRDefault="00F955B7" w:rsidP="00F955B7">
            <w:pPr>
              <w:pStyle w:val="Tablecolumnheadings"/>
              <w:jc w:val="right"/>
              <w:rPr>
                <w:sz w:val="18"/>
                <w:szCs w:val="20"/>
              </w:rPr>
            </w:pPr>
            <w:r w:rsidRPr="0014439F">
              <w:rPr>
                <w:sz w:val="18"/>
                <w:szCs w:val="20"/>
              </w:rPr>
              <w:t>Tankers</w:t>
            </w:r>
          </w:p>
        </w:tc>
        <w:tc>
          <w:tcPr>
            <w:tcW w:w="851" w:type="dxa"/>
            <w:tcBorders>
              <w:top w:val="nil"/>
              <w:bottom w:val="nil"/>
              <w:right w:val="single" w:sz="6" w:space="0" w:color="140034"/>
            </w:tcBorders>
            <w:shd w:val="clear" w:color="auto" w:fill="140034"/>
          </w:tcPr>
          <w:p w14:paraId="6B5BEEF8" w14:textId="17DC5635" w:rsidR="00F955B7" w:rsidRPr="0014439F" w:rsidRDefault="00F955B7" w:rsidP="00F955B7">
            <w:pPr>
              <w:pStyle w:val="Tablecolumnheadings"/>
              <w:jc w:val="right"/>
              <w:rPr>
                <w:sz w:val="18"/>
                <w:szCs w:val="20"/>
              </w:rPr>
            </w:pPr>
            <w:r w:rsidRPr="0014439F">
              <w:rPr>
                <w:sz w:val="18"/>
                <w:szCs w:val="20"/>
              </w:rPr>
              <w:t>Vehicle carriers</w:t>
            </w:r>
          </w:p>
        </w:tc>
      </w:tr>
      <w:tr w:rsidR="00F955B7" w14:paraId="01D6CDF8" w14:textId="77777777" w:rsidTr="009A19DE">
        <w:trPr>
          <w:gridBefore w:val="1"/>
          <w:gridAfter w:val="1"/>
          <w:wBefore w:w="454" w:type="dxa"/>
          <w:wAfter w:w="850" w:type="dxa"/>
        </w:trPr>
        <w:tc>
          <w:tcPr>
            <w:tcW w:w="2247" w:type="dxa"/>
            <w:tcBorders>
              <w:top w:val="nil"/>
            </w:tcBorders>
            <w:shd w:val="clear" w:color="auto" w:fill="auto"/>
          </w:tcPr>
          <w:p w14:paraId="59066165" w14:textId="77777777" w:rsidR="00F955B7" w:rsidRDefault="00F955B7" w:rsidP="00140853">
            <w:pPr>
              <w:pStyle w:val="Tabletext"/>
            </w:pPr>
          </w:p>
        </w:tc>
        <w:tc>
          <w:tcPr>
            <w:tcW w:w="850" w:type="dxa"/>
            <w:tcBorders>
              <w:top w:val="nil"/>
            </w:tcBorders>
            <w:shd w:val="clear" w:color="auto" w:fill="auto"/>
          </w:tcPr>
          <w:p w14:paraId="6535143E" w14:textId="4540B0CB" w:rsidR="00F955B7" w:rsidRDefault="00F955B7" w:rsidP="00140853">
            <w:pPr>
              <w:pStyle w:val="Tabletext"/>
              <w:jc w:val="right"/>
            </w:pPr>
            <w:r>
              <w:t>$m</w:t>
            </w:r>
          </w:p>
        </w:tc>
        <w:tc>
          <w:tcPr>
            <w:tcW w:w="850" w:type="dxa"/>
            <w:tcBorders>
              <w:top w:val="nil"/>
            </w:tcBorders>
            <w:shd w:val="clear" w:color="auto" w:fill="auto"/>
          </w:tcPr>
          <w:p w14:paraId="64D333AF" w14:textId="33F8D414" w:rsidR="00F955B7" w:rsidRDefault="00F955B7" w:rsidP="00140853">
            <w:pPr>
              <w:pStyle w:val="Tabletext"/>
              <w:jc w:val="right"/>
            </w:pPr>
            <w:r>
              <w:t>$m</w:t>
            </w:r>
          </w:p>
        </w:tc>
        <w:tc>
          <w:tcPr>
            <w:tcW w:w="850" w:type="dxa"/>
            <w:tcBorders>
              <w:top w:val="nil"/>
            </w:tcBorders>
            <w:shd w:val="clear" w:color="auto" w:fill="auto"/>
          </w:tcPr>
          <w:p w14:paraId="46223D57" w14:textId="048C2BD3" w:rsidR="00F955B7" w:rsidRDefault="00F955B7" w:rsidP="00140853">
            <w:pPr>
              <w:pStyle w:val="Tabletext"/>
              <w:jc w:val="right"/>
            </w:pPr>
            <w:r>
              <w:t>$m</w:t>
            </w:r>
          </w:p>
        </w:tc>
        <w:tc>
          <w:tcPr>
            <w:tcW w:w="850" w:type="dxa"/>
            <w:tcBorders>
              <w:top w:val="nil"/>
            </w:tcBorders>
            <w:shd w:val="clear" w:color="auto" w:fill="auto"/>
          </w:tcPr>
          <w:p w14:paraId="1572B22B" w14:textId="0623CB18" w:rsidR="00F955B7" w:rsidRDefault="00F955B7" w:rsidP="00140853">
            <w:pPr>
              <w:pStyle w:val="Tabletext"/>
              <w:jc w:val="right"/>
            </w:pPr>
            <w:r>
              <w:t>$m</w:t>
            </w:r>
          </w:p>
        </w:tc>
        <w:tc>
          <w:tcPr>
            <w:tcW w:w="850" w:type="dxa"/>
            <w:tcBorders>
              <w:top w:val="nil"/>
            </w:tcBorders>
            <w:shd w:val="clear" w:color="auto" w:fill="auto"/>
          </w:tcPr>
          <w:p w14:paraId="6C29DD2E" w14:textId="7167A20E" w:rsidR="00F955B7" w:rsidRDefault="00F955B7" w:rsidP="00140853">
            <w:pPr>
              <w:pStyle w:val="Tabletext"/>
              <w:jc w:val="right"/>
            </w:pPr>
            <w:r>
              <w:t>$m</w:t>
            </w:r>
          </w:p>
        </w:tc>
        <w:tc>
          <w:tcPr>
            <w:tcW w:w="850" w:type="dxa"/>
            <w:tcBorders>
              <w:top w:val="nil"/>
            </w:tcBorders>
            <w:shd w:val="clear" w:color="auto" w:fill="auto"/>
          </w:tcPr>
          <w:p w14:paraId="1D172B71" w14:textId="6E86528B" w:rsidR="00F955B7" w:rsidRDefault="00F955B7" w:rsidP="00140853">
            <w:pPr>
              <w:pStyle w:val="Tabletext"/>
              <w:jc w:val="right"/>
            </w:pPr>
            <w:r>
              <w:t>$m</w:t>
            </w:r>
          </w:p>
        </w:tc>
        <w:tc>
          <w:tcPr>
            <w:tcW w:w="850" w:type="dxa"/>
            <w:tcBorders>
              <w:top w:val="nil"/>
            </w:tcBorders>
            <w:shd w:val="clear" w:color="auto" w:fill="auto"/>
          </w:tcPr>
          <w:p w14:paraId="1CEA601A" w14:textId="3875140A" w:rsidR="00F955B7" w:rsidRDefault="00F955B7" w:rsidP="00140853">
            <w:pPr>
              <w:pStyle w:val="Tabletext"/>
              <w:jc w:val="right"/>
            </w:pPr>
            <w:r>
              <w:t>$m</w:t>
            </w:r>
          </w:p>
        </w:tc>
        <w:tc>
          <w:tcPr>
            <w:tcW w:w="850" w:type="dxa"/>
            <w:tcBorders>
              <w:top w:val="nil"/>
            </w:tcBorders>
            <w:shd w:val="clear" w:color="auto" w:fill="auto"/>
          </w:tcPr>
          <w:p w14:paraId="667574F3" w14:textId="4B6F478E" w:rsidR="00F955B7" w:rsidRDefault="00F955B7" w:rsidP="00140853">
            <w:pPr>
              <w:pStyle w:val="Tabletext"/>
              <w:jc w:val="right"/>
            </w:pPr>
            <w:r>
              <w:t>$m</w:t>
            </w:r>
          </w:p>
        </w:tc>
        <w:tc>
          <w:tcPr>
            <w:tcW w:w="851" w:type="dxa"/>
            <w:tcBorders>
              <w:top w:val="nil"/>
            </w:tcBorders>
            <w:shd w:val="clear" w:color="auto" w:fill="auto"/>
          </w:tcPr>
          <w:p w14:paraId="43146E43" w14:textId="5AF73A9F" w:rsidR="00F955B7" w:rsidRDefault="00F955B7" w:rsidP="00140853">
            <w:pPr>
              <w:pStyle w:val="Tabletext"/>
              <w:jc w:val="right"/>
            </w:pPr>
            <w:r>
              <w:t>$m</w:t>
            </w:r>
          </w:p>
        </w:tc>
      </w:tr>
      <w:tr w:rsidR="00F955B7" w14:paraId="491C6329" w14:textId="77777777" w:rsidTr="009A19DE">
        <w:trPr>
          <w:gridBefore w:val="1"/>
          <w:gridAfter w:val="1"/>
          <w:wBefore w:w="454" w:type="dxa"/>
          <w:wAfter w:w="850" w:type="dxa"/>
        </w:trPr>
        <w:tc>
          <w:tcPr>
            <w:tcW w:w="2247" w:type="dxa"/>
            <w:tcBorders>
              <w:top w:val="nil"/>
            </w:tcBorders>
            <w:shd w:val="clear" w:color="auto" w:fill="D5EBDA" w:themeFill="accent6" w:themeFillTint="33"/>
          </w:tcPr>
          <w:p w14:paraId="7B2593D7" w14:textId="131EBB5C" w:rsidR="00F955B7" w:rsidRPr="00F955B7" w:rsidRDefault="00F955B7" w:rsidP="00140853">
            <w:pPr>
              <w:pStyle w:val="Tabletext"/>
              <w:rPr>
                <w:b/>
                <w:bCs/>
              </w:rPr>
            </w:pPr>
            <w:r w:rsidRPr="00F955B7">
              <w:rPr>
                <w:b/>
                <w:bCs/>
              </w:rPr>
              <w:t>Australian Government</w:t>
            </w:r>
          </w:p>
        </w:tc>
        <w:tc>
          <w:tcPr>
            <w:tcW w:w="850" w:type="dxa"/>
            <w:tcBorders>
              <w:top w:val="nil"/>
            </w:tcBorders>
            <w:shd w:val="clear" w:color="auto" w:fill="D5EBDA" w:themeFill="accent6" w:themeFillTint="33"/>
          </w:tcPr>
          <w:p w14:paraId="6BA58AED"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48CF8E9F"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5D9F5296"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443022C1"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05B20CED"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1AA6862A"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0175B73A" w14:textId="77777777" w:rsidR="00F955B7" w:rsidRPr="00F955B7" w:rsidRDefault="00F955B7" w:rsidP="00140853">
            <w:pPr>
              <w:pStyle w:val="Tabletext"/>
              <w:jc w:val="right"/>
              <w:rPr>
                <w:b/>
                <w:bCs/>
              </w:rPr>
            </w:pPr>
          </w:p>
        </w:tc>
        <w:tc>
          <w:tcPr>
            <w:tcW w:w="850" w:type="dxa"/>
            <w:tcBorders>
              <w:top w:val="nil"/>
            </w:tcBorders>
            <w:shd w:val="clear" w:color="auto" w:fill="D5EBDA" w:themeFill="accent6" w:themeFillTint="33"/>
          </w:tcPr>
          <w:p w14:paraId="1C02E7DE" w14:textId="77777777" w:rsidR="00F955B7" w:rsidRPr="00F955B7" w:rsidRDefault="00F955B7" w:rsidP="00140853">
            <w:pPr>
              <w:pStyle w:val="Tabletext"/>
              <w:jc w:val="right"/>
              <w:rPr>
                <w:b/>
                <w:bCs/>
              </w:rPr>
            </w:pPr>
          </w:p>
        </w:tc>
        <w:tc>
          <w:tcPr>
            <w:tcW w:w="851" w:type="dxa"/>
            <w:tcBorders>
              <w:top w:val="nil"/>
            </w:tcBorders>
            <w:shd w:val="clear" w:color="auto" w:fill="D5EBDA" w:themeFill="accent6" w:themeFillTint="33"/>
          </w:tcPr>
          <w:p w14:paraId="3685E12E" w14:textId="77777777" w:rsidR="00F955B7" w:rsidRPr="00F955B7" w:rsidRDefault="00F955B7" w:rsidP="00140853">
            <w:pPr>
              <w:pStyle w:val="Tabletext"/>
              <w:jc w:val="right"/>
              <w:rPr>
                <w:b/>
                <w:bCs/>
              </w:rPr>
            </w:pPr>
          </w:p>
        </w:tc>
      </w:tr>
      <w:tr w:rsidR="00193D3E" w14:paraId="39EF0FA6" w14:textId="77777777" w:rsidTr="009A19DE">
        <w:trPr>
          <w:gridBefore w:val="1"/>
          <w:gridAfter w:val="1"/>
          <w:wBefore w:w="454" w:type="dxa"/>
          <w:wAfter w:w="850" w:type="dxa"/>
        </w:trPr>
        <w:tc>
          <w:tcPr>
            <w:tcW w:w="2247" w:type="dxa"/>
            <w:tcBorders>
              <w:top w:val="nil"/>
            </w:tcBorders>
            <w:shd w:val="clear" w:color="auto" w:fill="auto"/>
          </w:tcPr>
          <w:p w14:paraId="16587267" w14:textId="6DFD6DFC" w:rsidR="00193D3E" w:rsidRDefault="00193D3E" w:rsidP="00193D3E">
            <w:pPr>
              <w:pStyle w:val="Tablelistbullet"/>
            </w:pPr>
            <w:r>
              <w:t>avoided legal costs</w:t>
            </w:r>
          </w:p>
        </w:tc>
        <w:tc>
          <w:tcPr>
            <w:tcW w:w="850" w:type="dxa"/>
            <w:tcBorders>
              <w:top w:val="nil"/>
            </w:tcBorders>
            <w:shd w:val="clear" w:color="auto" w:fill="auto"/>
            <w:vAlign w:val="bottom"/>
          </w:tcPr>
          <w:p w14:paraId="5A29889F" w14:textId="593469F4" w:rsidR="00193D3E" w:rsidRPr="00193D3E" w:rsidRDefault="00193D3E" w:rsidP="00193D3E">
            <w:pPr>
              <w:pStyle w:val="Tabletext"/>
              <w:jc w:val="right"/>
            </w:pPr>
            <w:r>
              <w:rPr>
                <w:szCs w:val="20"/>
              </w:rPr>
              <w:t>9.0</w:t>
            </w:r>
          </w:p>
        </w:tc>
        <w:tc>
          <w:tcPr>
            <w:tcW w:w="850" w:type="dxa"/>
            <w:tcBorders>
              <w:top w:val="nil"/>
            </w:tcBorders>
            <w:shd w:val="clear" w:color="auto" w:fill="auto"/>
            <w:vAlign w:val="bottom"/>
          </w:tcPr>
          <w:p w14:paraId="066B263D" w14:textId="64EA4E4F" w:rsidR="00193D3E" w:rsidRPr="00193D3E" w:rsidRDefault="00193D3E" w:rsidP="00193D3E">
            <w:pPr>
              <w:pStyle w:val="Tabletext"/>
              <w:jc w:val="right"/>
            </w:pPr>
            <w:r>
              <w:rPr>
                <w:szCs w:val="20"/>
              </w:rPr>
              <w:t>1.4</w:t>
            </w:r>
          </w:p>
        </w:tc>
        <w:tc>
          <w:tcPr>
            <w:tcW w:w="850" w:type="dxa"/>
            <w:tcBorders>
              <w:top w:val="nil"/>
            </w:tcBorders>
            <w:shd w:val="clear" w:color="auto" w:fill="auto"/>
            <w:vAlign w:val="bottom"/>
          </w:tcPr>
          <w:p w14:paraId="57A6A9E8" w14:textId="0B5E58EA" w:rsidR="00193D3E" w:rsidRPr="00193D3E" w:rsidRDefault="00193D3E" w:rsidP="00193D3E">
            <w:pPr>
              <w:pStyle w:val="Tabletext"/>
              <w:jc w:val="right"/>
            </w:pPr>
            <w:r>
              <w:rPr>
                <w:szCs w:val="20"/>
              </w:rPr>
              <w:t>1.8</w:t>
            </w:r>
          </w:p>
        </w:tc>
        <w:tc>
          <w:tcPr>
            <w:tcW w:w="850" w:type="dxa"/>
            <w:tcBorders>
              <w:top w:val="nil"/>
            </w:tcBorders>
            <w:shd w:val="clear" w:color="auto" w:fill="auto"/>
            <w:vAlign w:val="bottom"/>
          </w:tcPr>
          <w:p w14:paraId="2FD10884" w14:textId="4EEA4F3A" w:rsidR="00193D3E" w:rsidRPr="00193D3E" w:rsidRDefault="00193D3E" w:rsidP="00193D3E">
            <w:pPr>
              <w:pStyle w:val="Tabletext"/>
              <w:jc w:val="right"/>
            </w:pPr>
            <w:r>
              <w:rPr>
                <w:szCs w:val="20"/>
              </w:rPr>
              <w:t>1.8</w:t>
            </w:r>
          </w:p>
        </w:tc>
        <w:tc>
          <w:tcPr>
            <w:tcW w:w="850" w:type="dxa"/>
            <w:tcBorders>
              <w:top w:val="nil"/>
            </w:tcBorders>
            <w:shd w:val="clear" w:color="auto" w:fill="auto"/>
            <w:vAlign w:val="bottom"/>
          </w:tcPr>
          <w:p w14:paraId="014084A0" w14:textId="084B3F80" w:rsidR="00193D3E" w:rsidRPr="00193D3E" w:rsidRDefault="00193D3E" w:rsidP="00193D3E">
            <w:pPr>
              <w:pStyle w:val="Tabletext"/>
              <w:jc w:val="right"/>
            </w:pPr>
            <w:r>
              <w:rPr>
                <w:szCs w:val="20"/>
              </w:rPr>
              <w:t>4.1</w:t>
            </w:r>
          </w:p>
        </w:tc>
        <w:tc>
          <w:tcPr>
            <w:tcW w:w="850" w:type="dxa"/>
            <w:tcBorders>
              <w:top w:val="nil"/>
            </w:tcBorders>
            <w:shd w:val="clear" w:color="auto" w:fill="auto"/>
            <w:vAlign w:val="bottom"/>
          </w:tcPr>
          <w:p w14:paraId="232CAB58" w14:textId="43A79247" w:rsidR="00193D3E" w:rsidRPr="00193D3E" w:rsidRDefault="00193D3E" w:rsidP="00193D3E">
            <w:pPr>
              <w:pStyle w:val="Tabletext"/>
              <w:jc w:val="right"/>
            </w:pPr>
            <w:r>
              <w:rPr>
                <w:szCs w:val="20"/>
              </w:rPr>
              <w:t>0.9</w:t>
            </w:r>
          </w:p>
        </w:tc>
        <w:tc>
          <w:tcPr>
            <w:tcW w:w="850" w:type="dxa"/>
            <w:tcBorders>
              <w:top w:val="nil"/>
            </w:tcBorders>
            <w:shd w:val="clear" w:color="auto" w:fill="auto"/>
            <w:vAlign w:val="bottom"/>
          </w:tcPr>
          <w:p w14:paraId="03B611CF" w14:textId="2FBA2481" w:rsidR="00193D3E" w:rsidRPr="00193D3E" w:rsidRDefault="00193D3E" w:rsidP="00193D3E">
            <w:pPr>
              <w:pStyle w:val="Tabletext"/>
              <w:jc w:val="right"/>
            </w:pPr>
            <w:r>
              <w:rPr>
                <w:szCs w:val="20"/>
              </w:rPr>
              <w:t>1.8</w:t>
            </w:r>
          </w:p>
        </w:tc>
        <w:tc>
          <w:tcPr>
            <w:tcW w:w="850" w:type="dxa"/>
            <w:tcBorders>
              <w:top w:val="nil"/>
            </w:tcBorders>
            <w:shd w:val="clear" w:color="auto" w:fill="auto"/>
            <w:vAlign w:val="bottom"/>
          </w:tcPr>
          <w:p w14:paraId="7AD5F213" w14:textId="7AD78E0E" w:rsidR="00193D3E" w:rsidRPr="00193D3E" w:rsidRDefault="00193D3E" w:rsidP="00193D3E">
            <w:pPr>
              <w:pStyle w:val="Tabletext"/>
              <w:jc w:val="right"/>
            </w:pPr>
            <w:r>
              <w:rPr>
                <w:szCs w:val="20"/>
              </w:rPr>
              <w:t>2.3</w:t>
            </w:r>
          </w:p>
        </w:tc>
        <w:tc>
          <w:tcPr>
            <w:tcW w:w="851" w:type="dxa"/>
            <w:tcBorders>
              <w:top w:val="nil"/>
            </w:tcBorders>
            <w:shd w:val="clear" w:color="auto" w:fill="auto"/>
            <w:vAlign w:val="bottom"/>
          </w:tcPr>
          <w:p w14:paraId="7CB4AA1D" w14:textId="369AD8D7" w:rsidR="00193D3E" w:rsidRPr="00193D3E" w:rsidRDefault="00193D3E" w:rsidP="00193D3E">
            <w:pPr>
              <w:pStyle w:val="Tabletext"/>
              <w:jc w:val="right"/>
            </w:pPr>
            <w:r>
              <w:rPr>
                <w:szCs w:val="20"/>
              </w:rPr>
              <w:t>1.8</w:t>
            </w:r>
          </w:p>
        </w:tc>
      </w:tr>
      <w:tr w:rsidR="00193D3E" w14:paraId="195E6460" w14:textId="77777777" w:rsidTr="009A19DE">
        <w:trPr>
          <w:gridBefore w:val="1"/>
          <w:gridAfter w:val="1"/>
          <w:wBefore w:w="454" w:type="dxa"/>
          <w:wAfter w:w="850" w:type="dxa"/>
        </w:trPr>
        <w:tc>
          <w:tcPr>
            <w:tcW w:w="2247" w:type="dxa"/>
            <w:tcBorders>
              <w:top w:val="nil"/>
            </w:tcBorders>
            <w:shd w:val="clear" w:color="auto" w:fill="auto"/>
          </w:tcPr>
          <w:p w14:paraId="4BADF59D" w14:textId="577F2367" w:rsidR="00193D3E" w:rsidRPr="00F955B7" w:rsidRDefault="00193D3E" w:rsidP="00193D3E">
            <w:pPr>
              <w:pStyle w:val="Tablelistbullet"/>
              <w:numPr>
                <w:ilvl w:val="0"/>
                <w:numId w:val="0"/>
              </w:numPr>
              <w:rPr>
                <w:i/>
                <w:iCs/>
              </w:rPr>
            </w:pPr>
            <w:r>
              <w:rPr>
                <w:i/>
                <w:iCs/>
              </w:rPr>
              <w:t>N</w:t>
            </w:r>
            <w:r w:rsidRPr="00F955B7">
              <w:rPr>
                <w:i/>
                <w:iCs/>
              </w:rPr>
              <w:t>et benefits</w:t>
            </w:r>
          </w:p>
        </w:tc>
        <w:tc>
          <w:tcPr>
            <w:tcW w:w="850" w:type="dxa"/>
            <w:tcBorders>
              <w:top w:val="nil"/>
            </w:tcBorders>
            <w:shd w:val="clear" w:color="auto" w:fill="auto"/>
            <w:vAlign w:val="bottom"/>
          </w:tcPr>
          <w:p w14:paraId="6BB45369" w14:textId="02980C4F" w:rsidR="00193D3E" w:rsidRPr="00193D3E" w:rsidRDefault="00193D3E" w:rsidP="00193D3E">
            <w:pPr>
              <w:pStyle w:val="Tabletext"/>
              <w:jc w:val="right"/>
              <w:rPr>
                <w:i/>
                <w:iCs/>
              </w:rPr>
            </w:pPr>
            <w:r>
              <w:rPr>
                <w:i/>
                <w:iCs/>
                <w:szCs w:val="20"/>
              </w:rPr>
              <w:t>9.0</w:t>
            </w:r>
          </w:p>
        </w:tc>
        <w:tc>
          <w:tcPr>
            <w:tcW w:w="850" w:type="dxa"/>
            <w:tcBorders>
              <w:top w:val="nil"/>
            </w:tcBorders>
            <w:shd w:val="clear" w:color="auto" w:fill="auto"/>
            <w:vAlign w:val="bottom"/>
          </w:tcPr>
          <w:p w14:paraId="7FF0D901" w14:textId="5407F16B" w:rsidR="00193D3E" w:rsidRPr="00193D3E" w:rsidRDefault="00193D3E" w:rsidP="00193D3E">
            <w:pPr>
              <w:pStyle w:val="Tabletext"/>
              <w:jc w:val="right"/>
              <w:rPr>
                <w:i/>
                <w:iCs/>
              </w:rPr>
            </w:pPr>
            <w:r>
              <w:rPr>
                <w:i/>
                <w:iCs/>
                <w:szCs w:val="20"/>
              </w:rPr>
              <w:t>1.4</w:t>
            </w:r>
          </w:p>
        </w:tc>
        <w:tc>
          <w:tcPr>
            <w:tcW w:w="850" w:type="dxa"/>
            <w:tcBorders>
              <w:top w:val="nil"/>
            </w:tcBorders>
            <w:shd w:val="clear" w:color="auto" w:fill="auto"/>
            <w:vAlign w:val="bottom"/>
          </w:tcPr>
          <w:p w14:paraId="55C1F0ED" w14:textId="68635C5C" w:rsidR="00193D3E" w:rsidRPr="00193D3E" w:rsidRDefault="00193D3E" w:rsidP="00193D3E">
            <w:pPr>
              <w:pStyle w:val="Tabletext"/>
              <w:jc w:val="right"/>
              <w:rPr>
                <w:i/>
                <w:iCs/>
              </w:rPr>
            </w:pPr>
            <w:r>
              <w:rPr>
                <w:i/>
                <w:iCs/>
                <w:szCs w:val="20"/>
              </w:rPr>
              <w:t>1.8</w:t>
            </w:r>
          </w:p>
        </w:tc>
        <w:tc>
          <w:tcPr>
            <w:tcW w:w="850" w:type="dxa"/>
            <w:tcBorders>
              <w:top w:val="nil"/>
            </w:tcBorders>
            <w:shd w:val="clear" w:color="auto" w:fill="auto"/>
            <w:vAlign w:val="bottom"/>
          </w:tcPr>
          <w:p w14:paraId="0C448DCA" w14:textId="5F5512F2" w:rsidR="00193D3E" w:rsidRPr="00193D3E" w:rsidRDefault="00193D3E" w:rsidP="00193D3E">
            <w:pPr>
              <w:pStyle w:val="Tabletext"/>
              <w:jc w:val="right"/>
              <w:rPr>
                <w:i/>
                <w:iCs/>
              </w:rPr>
            </w:pPr>
            <w:r>
              <w:rPr>
                <w:i/>
                <w:iCs/>
                <w:szCs w:val="20"/>
              </w:rPr>
              <w:t>1.8</w:t>
            </w:r>
          </w:p>
        </w:tc>
        <w:tc>
          <w:tcPr>
            <w:tcW w:w="850" w:type="dxa"/>
            <w:tcBorders>
              <w:top w:val="nil"/>
            </w:tcBorders>
            <w:shd w:val="clear" w:color="auto" w:fill="auto"/>
            <w:vAlign w:val="bottom"/>
          </w:tcPr>
          <w:p w14:paraId="3D00421E" w14:textId="6049DBE8" w:rsidR="00193D3E" w:rsidRPr="00193D3E" w:rsidRDefault="00193D3E" w:rsidP="00193D3E">
            <w:pPr>
              <w:pStyle w:val="Tabletext"/>
              <w:jc w:val="right"/>
              <w:rPr>
                <w:i/>
                <w:iCs/>
              </w:rPr>
            </w:pPr>
            <w:r>
              <w:rPr>
                <w:i/>
                <w:iCs/>
                <w:szCs w:val="20"/>
              </w:rPr>
              <w:t>4.1</w:t>
            </w:r>
          </w:p>
        </w:tc>
        <w:tc>
          <w:tcPr>
            <w:tcW w:w="850" w:type="dxa"/>
            <w:tcBorders>
              <w:top w:val="nil"/>
            </w:tcBorders>
            <w:shd w:val="clear" w:color="auto" w:fill="auto"/>
            <w:vAlign w:val="bottom"/>
          </w:tcPr>
          <w:p w14:paraId="4DF55A88" w14:textId="169700BC" w:rsidR="00193D3E" w:rsidRPr="00193D3E" w:rsidRDefault="00193D3E" w:rsidP="00193D3E">
            <w:pPr>
              <w:pStyle w:val="Tabletext"/>
              <w:jc w:val="right"/>
              <w:rPr>
                <w:i/>
                <w:iCs/>
              </w:rPr>
            </w:pPr>
            <w:r>
              <w:rPr>
                <w:i/>
                <w:iCs/>
                <w:szCs w:val="20"/>
              </w:rPr>
              <w:t>0.9</w:t>
            </w:r>
          </w:p>
        </w:tc>
        <w:tc>
          <w:tcPr>
            <w:tcW w:w="850" w:type="dxa"/>
            <w:tcBorders>
              <w:top w:val="nil"/>
            </w:tcBorders>
            <w:shd w:val="clear" w:color="auto" w:fill="auto"/>
            <w:vAlign w:val="bottom"/>
          </w:tcPr>
          <w:p w14:paraId="589EE0E2" w14:textId="4067AF37" w:rsidR="00193D3E" w:rsidRPr="00193D3E" w:rsidRDefault="00193D3E" w:rsidP="00193D3E">
            <w:pPr>
              <w:pStyle w:val="Tabletext"/>
              <w:jc w:val="right"/>
              <w:rPr>
                <w:i/>
                <w:iCs/>
              </w:rPr>
            </w:pPr>
            <w:r>
              <w:rPr>
                <w:i/>
                <w:iCs/>
                <w:szCs w:val="20"/>
              </w:rPr>
              <w:t>1.8</w:t>
            </w:r>
          </w:p>
        </w:tc>
        <w:tc>
          <w:tcPr>
            <w:tcW w:w="850" w:type="dxa"/>
            <w:tcBorders>
              <w:top w:val="nil"/>
            </w:tcBorders>
            <w:shd w:val="clear" w:color="auto" w:fill="auto"/>
            <w:vAlign w:val="bottom"/>
          </w:tcPr>
          <w:p w14:paraId="622610E5" w14:textId="4295E38E" w:rsidR="00193D3E" w:rsidRPr="00193D3E" w:rsidRDefault="00193D3E" w:rsidP="00193D3E">
            <w:pPr>
              <w:pStyle w:val="Tabletext"/>
              <w:jc w:val="right"/>
              <w:rPr>
                <w:i/>
                <w:iCs/>
              </w:rPr>
            </w:pPr>
            <w:r>
              <w:rPr>
                <w:i/>
                <w:iCs/>
                <w:szCs w:val="20"/>
              </w:rPr>
              <w:t>2.3</w:t>
            </w:r>
          </w:p>
        </w:tc>
        <w:tc>
          <w:tcPr>
            <w:tcW w:w="851" w:type="dxa"/>
            <w:tcBorders>
              <w:top w:val="nil"/>
            </w:tcBorders>
            <w:shd w:val="clear" w:color="auto" w:fill="auto"/>
            <w:vAlign w:val="bottom"/>
          </w:tcPr>
          <w:p w14:paraId="69631661" w14:textId="54B7FEE1" w:rsidR="00193D3E" w:rsidRPr="00193D3E" w:rsidRDefault="00193D3E" w:rsidP="00193D3E">
            <w:pPr>
              <w:pStyle w:val="Tabletext"/>
              <w:jc w:val="right"/>
              <w:rPr>
                <w:i/>
                <w:iCs/>
              </w:rPr>
            </w:pPr>
            <w:r>
              <w:rPr>
                <w:i/>
                <w:iCs/>
                <w:szCs w:val="20"/>
              </w:rPr>
              <w:t>1.8</w:t>
            </w:r>
          </w:p>
        </w:tc>
      </w:tr>
      <w:tr w:rsidR="00193D3E" w14:paraId="70C46BF2" w14:textId="77777777" w:rsidTr="009A19DE">
        <w:trPr>
          <w:gridBefore w:val="1"/>
          <w:gridAfter w:val="1"/>
          <w:wBefore w:w="454" w:type="dxa"/>
          <w:wAfter w:w="850" w:type="dxa"/>
        </w:trPr>
        <w:tc>
          <w:tcPr>
            <w:tcW w:w="2247" w:type="dxa"/>
            <w:tcBorders>
              <w:top w:val="nil"/>
            </w:tcBorders>
            <w:shd w:val="clear" w:color="auto" w:fill="auto"/>
          </w:tcPr>
          <w:p w14:paraId="382E8162" w14:textId="658570B6" w:rsidR="00193D3E" w:rsidRPr="00F955B7" w:rsidRDefault="00193D3E" w:rsidP="00193D3E">
            <w:pPr>
              <w:pStyle w:val="Tablelistbullet"/>
              <w:numPr>
                <w:ilvl w:val="0"/>
                <w:numId w:val="0"/>
              </w:numPr>
              <w:ind w:left="280" w:hanging="280"/>
              <w:rPr>
                <w:i/>
                <w:iCs/>
              </w:rPr>
            </w:pPr>
            <w:r>
              <w:rPr>
                <w:i/>
                <w:iCs/>
              </w:rPr>
              <w:t>NPV (</w:t>
            </w:r>
            <w:r w:rsidRPr="009F0927">
              <w:rPr>
                <w:i/>
                <w:iCs/>
              </w:rPr>
              <w:t xml:space="preserve">7% </w:t>
            </w:r>
            <w:r>
              <w:rPr>
                <w:i/>
                <w:iCs/>
              </w:rPr>
              <w:t>discount rate)</w:t>
            </w:r>
          </w:p>
        </w:tc>
        <w:tc>
          <w:tcPr>
            <w:tcW w:w="850" w:type="dxa"/>
            <w:tcBorders>
              <w:top w:val="nil"/>
            </w:tcBorders>
            <w:shd w:val="clear" w:color="auto" w:fill="auto"/>
            <w:vAlign w:val="bottom"/>
          </w:tcPr>
          <w:p w14:paraId="6B267187" w14:textId="45644E56" w:rsidR="00193D3E" w:rsidRPr="00193D3E" w:rsidRDefault="00193D3E" w:rsidP="00193D3E">
            <w:pPr>
              <w:pStyle w:val="Tabletext"/>
              <w:jc w:val="right"/>
              <w:rPr>
                <w:i/>
                <w:iCs/>
              </w:rPr>
            </w:pPr>
            <w:r>
              <w:rPr>
                <w:i/>
                <w:iCs/>
                <w:szCs w:val="20"/>
              </w:rPr>
              <w:t>6.7</w:t>
            </w:r>
          </w:p>
        </w:tc>
        <w:tc>
          <w:tcPr>
            <w:tcW w:w="850" w:type="dxa"/>
            <w:tcBorders>
              <w:top w:val="nil"/>
            </w:tcBorders>
            <w:shd w:val="clear" w:color="auto" w:fill="auto"/>
            <w:vAlign w:val="bottom"/>
          </w:tcPr>
          <w:p w14:paraId="3CDE3B95" w14:textId="02DCE6A3" w:rsidR="00193D3E" w:rsidRPr="00193D3E" w:rsidRDefault="00193D3E" w:rsidP="00193D3E">
            <w:pPr>
              <w:pStyle w:val="Tabletext"/>
              <w:jc w:val="right"/>
              <w:rPr>
                <w:i/>
                <w:iCs/>
              </w:rPr>
            </w:pPr>
            <w:r>
              <w:rPr>
                <w:i/>
                <w:iCs/>
                <w:szCs w:val="20"/>
              </w:rPr>
              <w:t>1.0</w:t>
            </w:r>
          </w:p>
        </w:tc>
        <w:tc>
          <w:tcPr>
            <w:tcW w:w="850" w:type="dxa"/>
            <w:tcBorders>
              <w:top w:val="nil"/>
            </w:tcBorders>
            <w:shd w:val="clear" w:color="auto" w:fill="auto"/>
            <w:vAlign w:val="bottom"/>
          </w:tcPr>
          <w:p w14:paraId="34A0A091" w14:textId="6B88581E" w:rsidR="00193D3E" w:rsidRPr="00193D3E" w:rsidRDefault="00193D3E" w:rsidP="00193D3E">
            <w:pPr>
              <w:pStyle w:val="Tabletext"/>
              <w:jc w:val="right"/>
              <w:rPr>
                <w:i/>
                <w:iCs/>
              </w:rPr>
            </w:pPr>
            <w:r>
              <w:rPr>
                <w:i/>
                <w:iCs/>
                <w:szCs w:val="20"/>
              </w:rPr>
              <w:t>1.3</w:t>
            </w:r>
          </w:p>
        </w:tc>
        <w:tc>
          <w:tcPr>
            <w:tcW w:w="850" w:type="dxa"/>
            <w:tcBorders>
              <w:top w:val="nil"/>
            </w:tcBorders>
            <w:shd w:val="clear" w:color="auto" w:fill="auto"/>
            <w:vAlign w:val="bottom"/>
          </w:tcPr>
          <w:p w14:paraId="113CA190" w14:textId="450957B2" w:rsidR="00193D3E" w:rsidRPr="00193D3E" w:rsidRDefault="00193D3E" w:rsidP="00193D3E">
            <w:pPr>
              <w:pStyle w:val="Tabletext"/>
              <w:jc w:val="right"/>
              <w:rPr>
                <w:i/>
                <w:iCs/>
              </w:rPr>
            </w:pPr>
            <w:r>
              <w:rPr>
                <w:i/>
                <w:iCs/>
                <w:szCs w:val="20"/>
              </w:rPr>
              <w:t>1.3</w:t>
            </w:r>
          </w:p>
        </w:tc>
        <w:tc>
          <w:tcPr>
            <w:tcW w:w="850" w:type="dxa"/>
            <w:tcBorders>
              <w:top w:val="nil"/>
            </w:tcBorders>
            <w:shd w:val="clear" w:color="auto" w:fill="auto"/>
            <w:vAlign w:val="bottom"/>
          </w:tcPr>
          <w:p w14:paraId="5E0EBE58" w14:textId="5ACA6E32" w:rsidR="00193D3E" w:rsidRPr="00193D3E" w:rsidRDefault="00193D3E" w:rsidP="00193D3E">
            <w:pPr>
              <w:pStyle w:val="Tabletext"/>
              <w:jc w:val="right"/>
              <w:rPr>
                <w:i/>
                <w:iCs/>
              </w:rPr>
            </w:pPr>
            <w:r>
              <w:rPr>
                <w:i/>
                <w:iCs/>
                <w:szCs w:val="20"/>
              </w:rPr>
              <w:t>3.0</w:t>
            </w:r>
          </w:p>
        </w:tc>
        <w:tc>
          <w:tcPr>
            <w:tcW w:w="850" w:type="dxa"/>
            <w:tcBorders>
              <w:top w:val="nil"/>
            </w:tcBorders>
            <w:shd w:val="clear" w:color="auto" w:fill="auto"/>
            <w:vAlign w:val="bottom"/>
          </w:tcPr>
          <w:p w14:paraId="76A9162C" w14:textId="462B5C93" w:rsidR="00193D3E" w:rsidRPr="00193D3E" w:rsidRDefault="00193D3E" w:rsidP="00193D3E">
            <w:pPr>
              <w:pStyle w:val="Tabletext"/>
              <w:jc w:val="right"/>
              <w:rPr>
                <w:i/>
                <w:iCs/>
              </w:rPr>
            </w:pPr>
            <w:r>
              <w:rPr>
                <w:i/>
                <w:iCs/>
                <w:szCs w:val="20"/>
              </w:rPr>
              <w:t>0.7</w:t>
            </w:r>
          </w:p>
        </w:tc>
        <w:tc>
          <w:tcPr>
            <w:tcW w:w="850" w:type="dxa"/>
            <w:tcBorders>
              <w:top w:val="nil"/>
            </w:tcBorders>
            <w:shd w:val="clear" w:color="auto" w:fill="auto"/>
            <w:vAlign w:val="bottom"/>
          </w:tcPr>
          <w:p w14:paraId="4FC49EE1" w14:textId="65EAD4FE" w:rsidR="00193D3E" w:rsidRPr="00193D3E" w:rsidRDefault="00193D3E" w:rsidP="00193D3E">
            <w:pPr>
              <w:pStyle w:val="Tabletext"/>
              <w:jc w:val="right"/>
              <w:rPr>
                <w:i/>
                <w:iCs/>
              </w:rPr>
            </w:pPr>
            <w:r>
              <w:rPr>
                <w:i/>
                <w:iCs/>
                <w:szCs w:val="20"/>
              </w:rPr>
              <w:t>1.3</w:t>
            </w:r>
          </w:p>
        </w:tc>
        <w:tc>
          <w:tcPr>
            <w:tcW w:w="850" w:type="dxa"/>
            <w:tcBorders>
              <w:top w:val="nil"/>
            </w:tcBorders>
            <w:shd w:val="clear" w:color="auto" w:fill="auto"/>
            <w:vAlign w:val="bottom"/>
          </w:tcPr>
          <w:p w14:paraId="450FF22F" w14:textId="1C92304D" w:rsidR="00193D3E" w:rsidRPr="00193D3E" w:rsidRDefault="00193D3E" w:rsidP="00193D3E">
            <w:pPr>
              <w:pStyle w:val="Tabletext"/>
              <w:jc w:val="right"/>
              <w:rPr>
                <w:i/>
                <w:iCs/>
              </w:rPr>
            </w:pPr>
            <w:r>
              <w:rPr>
                <w:i/>
                <w:iCs/>
                <w:szCs w:val="20"/>
              </w:rPr>
              <w:t>1.7</w:t>
            </w:r>
          </w:p>
        </w:tc>
        <w:tc>
          <w:tcPr>
            <w:tcW w:w="851" w:type="dxa"/>
            <w:tcBorders>
              <w:top w:val="nil"/>
            </w:tcBorders>
            <w:shd w:val="clear" w:color="auto" w:fill="auto"/>
            <w:vAlign w:val="bottom"/>
          </w:tcPr>
          <w:p w14:paraId="0FCAC3C1" w14:textId="3CA9F2FA" w:rsidR="00193D3E" w:rsidRPr="00193D3E" w:rsidRDefault="00193D3E" w:rsidP="00193D3E">
            <w:pPr>
              <w:pStyle w:val="Tabletext"/>
              <w:jc w:val="right"/>
              <w:rPr>
                <w:i/>
                <w:iCs/>
              </w:rPr>
            </w:pPr>
            <w:r>
              <w:rPr>
                <w:i/>
                <w:iCs/>
                <w:szCs w:val="20"/>
              </w:rPr>
              <w:t>1.3</w:t>
            </w:r>
          </w:p>
        </w:tc>
      </w:tr>
      <w:tr w:rsidR="00193D3E" w14:paraId="61DC95AF" w14:textId="77777777" w:rsidTr="009A19DE">
        <w:trPr>
          <w:gridBefore w:val="1"/>
          <w:gridAfter w:val="1"/>
          <w:wBefore w:w="454" w:type="dxa"/>
          <w:wAfter w:w="850" w:type="dxa"/>
        </w:trPr>
        <w:tc>
          <w:tcPr>
            <w:tcW w:w="2247" w:type="dxa"/>
            <w:tcBorders>
              <w:top w:val="nil"/>
            </w:tcBorders>
            <w:shd w:val="clear" w:color="auto" w:fill="D5EBDA" w:themeFill="accent6" w:themeFillTint="33"/>
          </w:tcPr>
          <w:p w14:paraId="012DE6E0" w14:textId="5F23E354" w:rsidR="00193D3E" w:rsidRPr="008B7DA8" w:rsidRDefault="00193D3E" w:rsidP="00193D3E">
            <w:pPr>
              <w:pStyle w:val="Tabletext"/>
              <w:rPr>
                <w:b/>
                <w:bCs/>
              </w:rPr>
            </w:pPr>
            <w:r>
              <w:rPr>
                <w:b/>
                <w:bCs/>
              </w:rPr>
              <w:t>Shipowners</w:t>
            </w:r>
            <w:r w:rsidRPr="008B7DA8">
              <w:rPr>
                <w:b/>
                <w:bCs/>
              </w:rPr>
              <w:t xml:space="preserve"> </w:t>
            </w:r>
            <w:r>
              <w:rPr>
                <w:b/>
                <w:bCs/>
              </w:rPr>
              <w:t>(directly)</w:t>
            </w:r>
          </w:p>
        </w:tc>
        <w:tc>
          <w:tcPr>
            <w:tcW w:w="850" w:type="dxa"/>
            <w:tcBorders>
              <w:top w:val="nil"/>
            </w:tcBorders>
            <w:shd w:val="clear" w:color="auto" w:fill="D5EBDA" w:themeFill="accent6" w:themeFillTint="33"/>
            <w:vAlign w:val="bottom"/>
          </w:tcPr>
          <w:p w14:paraId="58FEC5AA" w14:textId="1CBF278D"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40F1DDA1" w14:textId="475A013C"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19D04ABF" w14:textId="6532BC3C"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66D05262" w14:textId="5DDF330A"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60F56100" w14:textId="1E092A3F"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40973051" w14:textId="6E3866D9"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03255BD0" w14:textId="7FA74328" w:rsidR="00193D3E" w:rsidRPr="00193D3E" w:rsidRDefault="00193D3E" w:rsidP="00193D3E">
            <w:pPr>
              <w:pStyle w:val="Tabletext"/>
              <w:jc w:val="right"/>
            </w:pPr>
            <w:r>
              <w:rPr>
                <w:b/>
                <w:bCs/>
                <w:szCs w:val="20"/>
              </w:rPr>
              <w:t> </w:t>
            </w:r>
          </w:p>
        </w:tc>
        <w:tc>
          <w:tcPr>
            <w:tcW w:w="850" w:type="dxa"/>
            <w:tcBorders>
              <w:top w:val="nil"/>
            </w:tcBorders>
            <w:shd w:val="clear" w:color="auto" w:fill="D5EBDA" w:themeFill="accent6" w:themeFillTint="33"/>
            <w:vAlign w:val="bottom"/>
          </w:tcPr>
          <w:p w14:paraId="4B3FD982" w14:textId="767F7FC3" w:rsidR="00193D3E" w:rsidRPr="00193D3E" w:rsidRDefault="00193D3E" w:rsidP="00193D3E">
            <w:pPr>
              <w:pStyle w:val="Tabletext"/>
              <w:jc w:val="right"/>
            </w:pPr>
            <w:r>
              <w:rPr>
                <w:b/>
                <w:bCs/>
                <w:szCs w:val="20"/>
              </w:rPr>
              <w:t> </w:t>
            </w:r>
          </w:p>
        </w:tc>
        <w:tc>
          <w:tcPr>
            <w:tcW w:w="851" w:type="dxa"/>
            <w:tcBorders>
              <w:top w:val="nil"/>
            </w:tcBorders>
            <w:shd w:val="clear" w:color="auto" w:fill="D5EBDA" w:themeFill="accent6" w:themeFillTint="33"/>
            <w:vAlign w:val="bottom"/>
          </w:tcPr>
          <w:p w14:paraId="6B882ABD" w14:textId="29150B31" w:rsidR="00193D3E" w:rsidRPr="00193D3E" w:rsidRDefault="00193D3E" w:rsidP="00193D3E">
            <w:pPr>
              <w:pStyle w:val="Tabletext"/>
              <w:jc w:val="right"/>
            </w:pPr>
            <w:r>
              <w:rPr>
                <w:b/>
                <w:bCs/>
                <w:szCs w:val="20"/>
              </w:rPr>
              <w:t> </w:t>
            </w:r>
          </w:p>
        </w:tc>
      </w:tr>
      <w:tr w:rsidR="00975556" w:rsidRPr="00975556" w14:paraId="748F8D7C" w14:textId="77777777" w:rsidTr="009A19DE">
        <w:trPr>
          <w:gridBefore w:val="1"/>
          <w:gridAfter w:val="1"/>
          <w:wBefore w:w="454" w:type="dxa"/>
          <w:wAfter w:w="850" w:type="dxa"/>
        </w:trPr>
        <w:tc>
          <w:tcPr>
            <w:tcW w:w="2247" w:type="dxa"/>
            <w:tcBorders>
              <w:top w:val="nil"/>
            </w:tcBorders>
            <w:shd w:val="clear" w:color="auto" w:fill="auto"/>
          </w:tcPr>
          <w:p w14:paraId="7417C994" w14:textId="0F486491" w:rsidR="00975556" w:rsidRDefault="00975556" w:rsidP="00975556">
            <w:pPr>
              <w:pStyle w:val="Tablelistbullet"/>
            </w:pPr>
            <w:r>
              <w:t xml:space="preserve">compliance </w:t>
            </w:r>
            <w:r w:rsidRPr="00006FC6">
              <w:t>costs</w:t>
            </w:r>
            <w:r>
              <w:t xml:space="preserve"> (from Section 4.2)</w:t>
            </w:r>
          </w:p>
        </w:tc>
        <w:tc>
          <w:tcPr>
            <w:tcW w:w="850" w:type="dxa"/>
            <w:tcBorders>
              <w:top w:val="nil"/>
            </w:tcBorders>
            <w:shd w:val="clear" w:color="auto" w:fill="auto"/>
            <w:vAlign w:val="bottom"/>
          </w:tcPr>
          <w:p w14:paraId="4F9D276E" w14:textId="34B7D0B8" w:rsidR="00975556" w:rsidRPr="00193D3E" w:rsidRDefault="00975556" w:rsidP="00975556">
            <w:pPr>
              <w:pStyle w:val="Tabletext"/>
              <w:jc w:val="right"/>
              <w:rPr>
                <w:color w:val="FF0000"/>
              </w:rPr>
            </w:pPr>
            <w:r>
              <w:rPr>
                <w:color w:val="FF0000"/>
                <w:szCs w:val="20"/>
              </w:rPr>
              <w:t>–2.3</w:t>
            </w:r>
          </w:p>
        </w:tc>
        <w:tc>
          <w:tcPr>
            <w:tcW w:w="850" w:type="dxa"/>
            <w:tcBorders>
              <w:top w:val="nil"/>
            </w:tcBorders>
            <w:shd w:val="clear" w:color="auto" w:fill="auto"/>
            <w:vAlign w:val="bottom"/>
          </w:tcPr>
          <w:p w14:paraId="5AFE79C1" w14:textId="17205F2F"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6F91D64C" w14:textId="4FCA677D"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48D7251C" w14:textId="12AC0889"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00B774A0" w14:textId="0BB92D76"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1901BC40" w14:textId="775DD8D7"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729F9779" w14:textId="5B4449B4" w:rsidR="00975556" w:rsidRPr="00975556" w:rsidRDefault="00975556" w:rsidP="00975556">
            <w:pPr>
              <w:pStyle w:val="Tabletext"/>
              <w:jc w:val="right"/>
              <w:rPr>
                <w:color w:val="FF0000"/>
                <w:szCs w:val="20"/>
              </w:rPr>
            </w:pPr>
            <w:r w:rsidRPr="00336DA9">
              <w:rPr>
                <w:color w:val="FF0000"/>
                <w:szCs w:val="20"/>
              </w:rPr>
              <w:t>–2.3</w:t>
            </w:r>
          </w:p>
        </w:tc>
        <w:tc>
          <w:tcPr>
            <w:tcW w:w="850" w:type="dxa"/>
            <w:tcBorders>
              <w:top w:val="nil"/>
            </w:tcBorders>
            <w:shd w:val="clear" w:color="auto" w:fill="auto"/>
            <w:vAlign w:val="bottom"/>
          </w:tcPr>
          <w:p w14:paraId="6F82F973" w14:textId="6AF18626" w:rsidR="00975556" w:rsidRPr="00975556" w:rsidRDefault="00975556" w:rsidP="00975556">
            <w:pPr>
              <w:pStyle w:val="Tabletext"/>
              <w:jc w:val="right"/>
              <w:rPr>
                <w:color w:val="FF0000"/>
                <w:szCs w:val="20"/>
              </w:rPr>
            </w:pPr>
            <w:r w:rsidRPr="00336DA9">
              <w:rPr>
                <w:color w:val="FF0000"/>
                <w:szCs w:val="20"/>
              </w:rPr>
              <w:t>–2.3</w:t>
            </w:r>
          </w:p>
        </w:tc>
        <w:tc>
          <w:tcPr>
            <w:tcW w:w="851" w:type="dxa"/>
            <w:tcBorders>
              <w:top w:val="nil"/>
            </w:tcBorders>
            <w:shd w:val="clear" w:color="auto" w:fill="auto"/>
            <w:vAlign w:val="bottom"/>
          </w:tcPr>
          <w:p w14:paraId="0EA89602" w14:textId="7419D4FE" w:rsidR="00975556" w:rsidRPr="00975556" w:rsidRDefault="00975556" w:rsidP="00975556">
            <w:pPr>
              <w:pStyle w:val="Tabletext"/>
              <w:jc w:val="right"/>
              <w:rPr>
                <w:color w:val="FF0000"/>
                <w:szCs w:val="20"/>
              </w:rPr>
            </w:pPr>
            <w:r w:rsidRPr="00336DA9">
              <w:rPr>
                <w:color w:val="FF0000"/>
                <w:szCs w:val="20"/>
              </w:rPr>
              <w:t>–2.3</w:t>
            </w:r>
          </w:p>
        </w:tc>
      </w:tr>
      <w:tr w:rsidR="009A19DE" w:rsidRPr="00975556" w14:paraId="00E894EF" w14:textId="5EE41602" w:rsidTr="000C5461">
        <w:trPr>
          <w:gridBefore w:val="1"/>
          <w:wBefore w:w="454" w:type="dxa"/>
        </w:trPr>
        <w:tc>
          <w:tcPr>
            <w:tcW w:w="2247" w:type="dxa"/>
            <w:tcBorders>
              <w:top w:val="nil"/>
            </w:tcBorders>
            <w:shd w:val="clear" w:color="auto" w:fill="auto"/>
          </w:tcPr>
          <w:p w14:paraId="00430406" w14:textId="6C87035E" w:rsidR="009A19DE" w:rsidRDefault="009A19DE" w:rsidP="009A19DE">
            <w:pPr>
              <w:pStyle w:val="Tablelistbullet"/>
            </w:pPr>
            <w:r w:rsidRPr="00006FC6">
              <w:lastRenderedPageBreak/>
              <w:t>financial security benefits</w:t>
            </w:r>
          </w:p>
        </w:tc>
        <w:tc>
          <w:tcPr>
            <w:tcW w:w="850" w:type="dxa"/>
            <w:tcBorders>
              <w:top w:val="nil"/>
            </w:tcBorders>
            <w:shd w:val="clear" w:color="auto" w:fill="auto"/>
            <w:vAlign w:val="bottom"/>
          </w:tcPr>
          <w:p w14:paraId="25FE0AA9" w14:textId="7E3BA91F" w:rsidR="009A19DE"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1DEBBCE1" w14:textId="4E2C7735"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77B9D089" w14:textId="44C9D25D"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2E821EF1" w14:textId="323D7D6D"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50E9D11A" w14:textId="78F7B54F"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3507AC36" w14:textId="6E10A6C4"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02665E53" w14:textId="065BA07F" w:rsidR="009A19DE" w:rsidRPr="00336DA9" w:rsidRDefault="009A19DE" w:rsidP="009A19DE">
            <w:pPr>
              <w:pStyle w:val="Tabletext"/>
              <w:jc w:val="right"/>
              <w:rPr>
                <w:color w:val="FF0000"/>
                <w:szCs w:val="20"/>
              </w:rPr>
            </w:pPr>
            <w:r>
              <w:rPr>
                <w:color w:val="FF0000"/>
                <w:szCs w:val="20"/>
              </w:rPr>
              <w:t xml:space="preserve">-0.3 </w:t>
            </w:r>
          </w:p>
        </w:tc>
        <w:tc>
          <w:tcPr>
            <w:tcW w:w="850" w:type="dxa"/>
            <w:tcBorders>
              <w:top w:val="nil"/>
            </w:tcBorders>
            <w:shd w:val="clear" w:color="auto" w:fill="auto"/>
            <w:vAlign w:val="bottom"/>
          </w:tcPr>
          <w:p w14:paraId="2C3D4D4D" w14:textId="1D02F72C" w:rsidR="009A19DE" w:rsidRPr="00336DA9" w:rsidRDefault="009A19DE" w:rsidP="009A19DE">
            <w:pPr>
              <w:pStyle w:val="Tabletext"/>
              <w:jc w:val="right"/>
              <w:rPr>
                <w:color w:val="FF0000"/>
                <w:szCs w:val="20"/>
              </w:rPr>
            </w:pPr>
            <w:r>
              <w:rPr>
                <w:color w:val="FF0000"/>
                <w:szCs w:val="20"/>
              </w:rPr>
              <w:t xml:space="preserve">-0.3 </w:t>
            </w:r>
          </w:p>
        </w:tc>
        <w:tc>
          <w:tcPr>
            <w:tcW w:w="851" w:type="dxa"/>
            <w:tcBorders>
              <w:top w:val="nil"/>
            </w:tcBorders>
            <w:shd w:val="clear" w:color="auto" w:fill="auto"/>
            <w:vAlign w:val="bottom"/>
          </w:tcPr>
          <w:p w14:paraId="46CB50D3" w14:textId="32A70E6E" w:rsidR="009A19DE" w:rsidRPr="00336DA9" w:rsidRDefault="009A19DE" w:rsidP="009A19DE">
            <w:pPr>
              <w:pStyle w:val="Tabletext"/>
              <w:jc w:val="right"/>
              <w:rPr>
                <w:color w:val="FF0000"/>
                <w:szCs w:val="20"/>
              </w:rPr>
            </w:pPr>
            <w:r>
              <w:rPr>
                <w:color w:val="FF0000"/>
                <w:szCs w:val="20"/>
              </w:rPr>
              <w:t xml:space="preserve">-0.3 </w:t>
            </w:r>
          </w:p>
        </w:tc>
        <w:tc>
          <w:tcPr>
            <w:tcW w:w="850" w:type="dxa"/>
            <w:vAlign w:val="bottom"/>
          </w:tcPr>
          <w:p w14:paraId="6F2D29BC" w14:textId="77777777" w:rsidR="009A19DE" w:rsidRPr="00975556" w:rsidRDefault="009A19DE" w:rsidP="009A19DE">
            <w:pPr>
              <w:spacing w:before="0" w:after="160" w:line="259" w:lineRule="auto"/>
            </w:pPr>
          </w:p>
        </w:tc>
      </w:tr>
      <w:tr w:rsidR="009A19DE" w14:paraId="0C83F68E" w14:textId="77777777" w:rsidTr="009A19DE">
        <w:trPr>
          <w:gridBefore w:val="1"/>
          <w:gridAfter w:val="1"/>
          <w:wBefore w:w="454" w:type="dxa"/>
          <w:wAfter w:w="850" w:type="dxa"/>
        </w:trPr>
        <w:tc>
          <w:tcPr>
            <w:tcW w:w="2247" w:type="dxa"/>
            <w:tcBorders>
              <w:top w:val="nil"/>
            </w:tcBorders>
            <w:shd w:val="clear" w:color="auto" w:fill="auto"/>
          </w:tcPr>
          <w:p w14:paraId="31FDB492" w14:textId="1676006A" w:rsidR="009A19DE" w:rsidRDefault="009A19DE" w:rsidP="009A19DE">
            <w:pPr>
              <w:pStyle w:val="Tablelistbullet"/>
            </w:pPr>
            <w:r>
              <w:t>avoided legal costs</w:t>
            </w:r>
            <w:r w:rsidRPr="00006FC6" w:rsidDel="009A19DE">
              <w:t xml:space="preserve"> </w:t>
            </w:r>
          </w:p>
        </w:tc>
        <w:tc>
          <w:tcPr>
            <w:tcW w:w="850" w:type="dxa"/>
            <w:tcBorders>
              <w:top w:val="nil"/>
            </w:tcBorders>
            <w:shd w:val="clear" w:color="auto" w:fill="auto"/>
            <w:vAlign w:val="bottom"/>
          </w:tcPr>
          <w:p w14:paraId="6D050F37" w14:textId="042F9E27" w:rsidR="009A19DE" w:rsidRPr="00193D3E" w:rsidRDefault="009A19DE" w:rsidP="009A19DE">
            <w:pPr>
              <w:pStyle w:val="Tabletext"/>
              <w:jc w:val="right"/>
            </w:pPr>
            <w:r>
              <w:rPr>
                <w:szCs w:val="20"/>
              </w:rPr>
              <w:t>18.0</w:t>
            </w:r>
          </w:p>
        </w:tc>
        <w:tc>
          <w:tcPr>
            <w:tcW w:w="850" w:type="dxa"/>
            <w:tcBorders>
              <w:top w:val="nil"/>
            </w:tcBorders>
            <w:shd w:val="clear" w:color="auto" w:fill="auto"/>
            <w:vAlign w:val="bottom"/>
          </w:tcPr>
          <w:p w14:paraId="7625AA70" w14:textId="05163EF0" w:rsidR="009A19DE" w:rsidRPr="00193D3E" w:rsidRDefault="009A19DE" w:rsidP="009A19DE">
            <w:pPr>
              <w:pStyle w:val="Tabletext"/>
              <w:jc w:val="right"/>
            </w:pPr>
            <w:r>
              <w:rPr>
                <w:szCs w:val="20"/>
              </w:rPr>
              <w:t>2.7</w:t>
            </w:r>
          </w:p>
        </w:tc>
        <w:tc>
          <w:tcPr>
            <w:tcW w:w="850" w:type="dxa"/>
            <w:tcBorders>
              <w:top w:val="nil"/>
            </w:tcBorders>
            <w:shd w:val="clear" w:color="auto" w:fill="auto"/>
            <w:vAlign w:val="bottom"/>
          </w:tcPr>
          <w:p w14:paraId="1E087576" w14:textId="70EFC79E" w:rsidR="009A19DE" w:rsidRPr="00193D3E" w:rsidRDefault="009A19DE" w:rsidP="009A19DE">
            <w:pPr>
              <w:pStyle w:val="Tabletext"/>
              <w:jc w:val="right"/>
            </w:pPr>
            <w:r>
              <w:rPr>
                <w:szCs w:val="20"/>
              </w:rPr>
              <w:t>3.6</w:t>
            </w:r>
          </w:p>
        </w:tc>
        <w:tc>
          <w:tcPr>
            <w:tcW w:w="850" w:type="dxa"/>
            <w:tcBorders>
              <w:top w:val="nil"/>
            </w:tcBorders>
            <w:shd w:val="clear" w:color="auto" w:fill="auto"/>
            <w:vAlign w:val="bottom"/>
          </w:tcPr>
          <w:p w14:paraId="458F0390" w14:textId="40A3FBBB" w:rsidR="009A19DE" w:rsidRPr="00193D3E" w:rsidRDefault="009A19DE" w:rsidP="009A19DE">
            <w:pPr>
              <w:pStyle w:val="Tabletext"/>
              <w:jc w:val="right"/>
            </w:pPr>
            <w:r>
              <w:rPr>
                <w:szCs w:val="20"/>
              </w:rPr>
              <w:t>3.6</w:t>
            </w:r>
          </w:p>
        </w:tc>
        <w:tc>
          <w:tcPr>
            <w:tcW w:w="850" w:type="dxa"/>
            <w:tcBorders>
              <w:top w:val="nil"/>
            </w:tcBorders>
            <w:shd w:val="clear" w:color="auto" w:fill="auto"/>
            <w:vAlign w:val="bottom"/>
          </w:tcPr>
          <w:p w14:paraId="1A888108" w14:textId="1165559D" w:rsidR="009A19DE" w:rsidRPr="00193D3E" w:rsidRDefault="009A19DE" w:rsidP="009A19DE">
            <w:pPr>
              <w:pStyle w:val="Tabletext"/>
              <w:jc w:val="right"/>
            </w:pPr>
            <w:r>
              <w:rPr>
                <w:szCs w:val="20"/>
              </w:rPr>
              <w:t>8.1</w:t>
            </w:r>
          </w:p>
        </w:tc>
        <w:tc>
          <w:tcPr>
            <w:tcW w:w="850" w:type="dxa"/>
            <w:tcBorders>
              <w:top w:val="nil"/>
            </w:tcBorders>
            <w:shd w:val="clear" w:color="auto" w:fill="auto"/>
            <w:vAlign w:val="bottom"/>
          </w:tcPr>
          <w:p w14:paraId="01CAE1F5" w14:textId="50DB9FA0" w:rsidR="009A19DE" w:rsidRPr="00193D3E" w:rsidRDefault="009A19DE" w:rsidP="009A19DE">
            <w:pPr>
              <w:pStyle w:val="Tabletext"/>
              <w:jc w:val="right"/>
            </w:pPr>
            <w:r>
              <w:rPr>
                <w:szCs w:val="20"/>
              </w:rPr>
              <w:t>1.8</w:t>
            </w:r>
          </w:p>
        </w:tc>
        <w:tc>
          <w:tcPr>
            <w:tcW w:w="850" w:type="dxa"/>
            <w:tcBorders>
              <w:top w:val="nil"/>
            </w:tcBorders>
            <w:shd w:val="clear" w:color="auto" w:fill="auto"/>
            <w:vAlign w:val="bottom"/>
          </w:tcPr>
          <w:p w14:paraId="5F4B2382" w14:textId="1D115379" w:rsidR="009A19DE" w:rsidRPr="00193D3E" w:rsidRDefault="009A19DE" w:rsidP="009A19DE">
            <w:pPr>
              <w:pStyle w:val="Tabletext"/>
              <w:jc w:val="right"/>
            </w:pPr>
            <w:r>
              <w:rPr>
                <w:szCs w:val="20"/>
              </w:rPr>
              <w:t>3.6</w:t>
            </w:r>
          </w:p>
        </w:tc>
        <w:tc>
          <w:tcPr>
            <w:tcW w:w="850" w:type="dxa"/>
            <w:tcBorders>
              <w:top w:val="nil"/>
            </w:tcBorders>
            <w:shd w:val="clear" w:color="auto" w:fill="auto"/>
            <w:vAlign w:val="bottom"/>
          </w:tcPr>
          <w:p w14:paraId="609E1236" w14:textId="26458973" w:rsidR="009A19DE" w:rsidRPr="00193D3E" w:rsidRDefault="009A19DE" w:rsidP="009A19DE">
            <w:pPr>
              <w:pStyle w:val="Tabletext"/>
              <w:jc w:val="right"/>
            </w:pPr>
            <w:r>
              <w:rPr>
                <w:szCs w:val="20"/>
              </w:rPr>
              <w:t>4.5</w:t>
            </w:r>
          </w:p>
        </w:tc>
        <w:tc>
          <w:tcPr>
            <w:tcW w:w="851" w:type="dxa"/>
            <w:tcBorders>
              <w:top w:val="nil"/>
            </w:tcBorders>
            <w:shd w:val="clear" w:color="auto" w:fill="auto"/>
            <w:vAlign w:val="bottom"/>
          </w:tcPr>
          <w:p w14:paraId="2B2D863F" w14:textId="18DFFA54" w:rsidR="009A19DE" w:rsidRPr="00193D3E" w:rsidRDefault="009A19DE" w:rsidP="009A19DE">
            <w:pPr>
              <w:pStyle w:val="Tabletext"/>
              <w:jc w:val="right"/>
            </w:pPr>
            <w:r>
              <w:rPr>
                <w:szCs w:val="20"/>
              </w:rPr>
              <w:t>3.6</w:t>
            </w:r>
          </w:p>
        </w:tc>
      </w:tr>
      <w:tr w:rsidR="009A19DE" w14:paraId="56B31C9B" w14:textId="77777777" w:rsidTr="009A19DE">
        <w:trPr>
          <w:gridBefore w:val="1"/>
          <w:gridAfter w:val="1"/>
          <w:wBefore w:w="454" w:type="dxa"/>
          <w:wAfter w:w="850" w:type="dxa"/>
        </w:trPr>
        <w:tc>
          <w:tcPr>
            <w:tcW w:w="2247" w:type="dxa"/>
            <w:tcBorders>
              <w:top w:val="nil"/>
            </w:tcBorders>
            <w:shd w:val="clear" w:color="auto" w:fill="auto"/>
          </w:tcPr>
          <w:p w14:paraId="09220520" w14:textId="01F1BAA8" w:rsidR="009A19DE" w:rsidRDefault="009A19DE" w:rsidP="009A19DE">
            <w:pPr>
              <w:pStyle w:val="Tablelistbullet"/>
            </w:pPr>
            <w:r w:rsidRPr="003233BC">
              <w:t>increased cost recovery from owners</w:t>
            </w:r>
          </w:p>
        </w:tc>
        <w:tc>
          <w:tcPr>
            <w:tcW w:w="850" w:type="dxa"/>
            <w:tcBorders>
              <w:top w:val="nil"/>
            </w:tcBorders>
            <w:shd w:val="clear" w:color="auto" w:fill="auto"/>
            <w:vAlign w:val="bottom"/>
          </w:tcPr>
          <w:p w14:paraId="792B4F0C" w14:textId="2B347B9B" w:rsidR="009A19DE" w:rsidRPr="00193D3E" w:rsidRDefault="009A19DE" w:rsidP="009A19DE">
            <w:pPr>
              <w:pStyle w:val="Tabletext"/>
              <w:jc w:val="right"/>
            </w:pPr>
            <w:r>
              <w:rPr>
                <w:szCs w:val="20"/>
              </w:rPr>
              <w:t>9.0</w:t>
            </w:r>
          </w:p>
        </w:tc>
        <w:tc>
          <w:tcPr>
            <w:tcW w:w="850" w:type="dxa"/>
            <w:tcBorders>
              <w:top w:val="nil"/>
            </w:tcBorders>
            <w:shd w:val="clear" w:color="auto" w:fill="auto"/>
            <w:vAlign w:val="bottom"/>
          </w:tcPr>
          <w:p w14:paraId="0D8488EE" w14:textId="3FAB3730" w:rsidR="009A19DE" w:rsidRPr="00193D3E" w:rsidRDefault="009A19DE" w:rsidP="009A19DE">
            <w:pPr>
              <w:pStyle w:val="Tabletext"/>
              <w:jc w:val="right"/>
            </w:pPr>
            <w:r>
              <w:rPr>
                <w:szCs w:val="20"/>
              </w:rPr>
              <w:t>1.4</w:t>
            </w:r>
          </w:p>
        </w:tc>
        <w:tc>
          <w:tcPr>
            <w:tcW w:w="850" w:type="dxa"/>
            <w:tcBorders>
              <w:top w:val="nil"/>
            </w:tcBorders>
            <w:shd w:val="clear" w:color="auto" w:fill="auto"/>
            <w:vAlign w:val="bottom"/>
          </w:tcPr>
          <w:p w14:paraId="3085D8D2" w14:textId="58192E54" w:rsidR="009A19DE" w:rsidRPr="00193D3E" w:rsidRDefault="009A19DE" w:rsidP="009A19DE">
            <w:pPr>
              <w:pStyle w:val="Tabletext"/>
              <w:jc w:val="right"/>
            </w:pPr>
            <w:r>
              <w:rPr>
                <w:szCs w:val="20"/>
              </w:rPr>
              <w:t>1.8</w:t>
            </w:r>
          </w:p>
        </w:tc>
        <w:tc>
          <w:tcPr>
            <w:tcW w:w="850" w:type="dxa"/>
            <w:tcBorders>
              <w:top w:val="nil"/>
            </w:tcBorders>
            <w:shd w:val="clear" w:color="auto" w:fill="auto"/>
            <w:vAlign w:val="bottom"/>
          </w:tcPr>
          <w:p w14:paraId="19DBB946" w14:textId="4EC481F4" w:rsidR="009A19DE" w:rsidRPr="00193D3E" w:rsidRDefault="009A19DE" w:rsidP="009A19DE">
            <w:pPr>
              <w:pStyle w:val="Tabletext"/>
              <w:jc w:val="right"/>
            </w:pPr>
            <w:r>
              <w:rPr>
                <w:szCs w:val="20"/>
              </w:rPr>
              <w:t>1.8</w:t>
            </w:r>
          </w:p>
        </w:tc>
        <w:tc>
          <w:tcPr>
            <w:tcW w:w="850" w:type="dxa"/>
            <w:tcBorders>
              <w:top w:val="nil"/>
            </w:tcBorders>
            <w:shd w:val="clear" w:color="auto" w:fill="auto"/>
            <w:vAlign w:val="bottom"/>
          </w:tcPr>
          <w:p w14:paraId="1D5F62C3" w14:textId="7E4EF497" w:rsidR="009A19DE" w:rsidRPr="00193D3E" w:rsidRDefault="009A19DE" w:rsidP="009A19DE">
            <w:pPr>
              <w:pStyle w:val="Tabletext"/>
              <w:jc w:val="right"/>
            </w:pPr>
            <w:r>
              <w:rPr>
                <w:szCs w:val="20"/>
              </w:rPr>
              <w:t>4.1</w:t>
            </w:r>
          </w:p>
        </w:tc>
        <w:tc>
          <w:tcPr>
            <w:tcW w:w="850" w:type="dxa"/>
            <w:tcBorders>
              <w:top w:val="nil"/>
            </w:tcBorders>
            <w:shd w:val="clear" w:color="auto" w:fill="auto"/>
            <w:vAlign w:val="bottom"/>
          </w:tcPr>
          <w:p w14:paraId="6F5C8C62" w14:textId="4380DCC4" w:rsidR="009A19DE" w:rsidRPr="00193D3E" w:rsidRDefault="009A19DE" w:rsidP="009A19DE">
            <w:pPr>
              <w:pStyle w:val="Tabletext"/>
              <w:jc w:val="right"/>
            </w:pPr>
            <w:r>
              <w:rPr>
                <w:szCs w:val="20"/>
              </w:rPr>
              <w:t>0.9</w:t>
            </w:r>
          </w:p>
        </w:tc>
        <w:tc>
          <w:tcPr>
            <w:tcW w:w="850" w:type="dxa"/>
            <w:tcBorders>
              <w:top w:val="nil"/>
            </w:tcBorders>
            <w:shd w:val="clear" w:color="auto" w:fill="auto"/>
            <w:vAlign w:val="bottom"/>
          </w:tcPr>
          <w:p w14:paraId="4C82789F" w14:textId="027CDF4E" w:rsidR="009A19DE" w:rsidRPr="00193D3E" w:rsidRDefault="009A19DE" w:rsidP="009A19DE">
            <w:pPr>
              <w:pStyle w:val="Tabletext"/>
              <w:jc w:val="right"/>
            </w:pPr>
            <w:r>
              <w:rPr>
                <w:szCs w:val="20"/>
              </w:rPr>
              <w:t>1.8</w:t>
            </w:r>
          </w:p>
        </w:tc>
        <w:tc>
          <w:tcPr>
            <w:tcW w:w="850" w:type="dxa"/>
            <w:tcBorders>
              <w:top w:val="nil"/>
            </w:tcBorders>
            <w:shd w:val="clear" w:color="auto" w:fill="auto"/>
            <w:vAlign w:val="bottom"/>
          </w:tcPr>
          <w:p w14:paraId="445A50B1" w14:textId="162EB956" w:rsidR="009A19DE" w:rsidRPr="00193D3E" w:rsidRDefault="009A19DE" w:rsidP="009A19DE">
            <w:pPr>
              <w:pStyle w:val="Tabletext"/>
              <w:jc w:val="right"/>
            </w:pPr>
            <w:r>
              <w:rPr>
                <w:szCs w:val="20"/>
              </w:rPr>
              <w:t>2.3</w:t>
            </w:r>
          </w:p>
        </w:tc>
        <w:tc>
          <w:tcPr>
            <w:tcW w:w="851" w:type="dxa"/>
            <w:tcBorders>
              <w:top w:val="nil"/>
            </w:tcBorders>
            <w:shd w:val="clear" w:color="auto" w:fill="auto"/>
            <w:vAlign w:val="bottom"/>
          </w:tcPr>
          <w:p w14:paraId="57D6637A" w14:textId="31B0B3E3" w:rsidR="009A19DE" w:rsidRPr="00193D3E" w:rsidRDefault="009A19DE" w:rsidP="009A19DE">
            <w:pPr>
              <w:pStyle w:val="Tabletext"/>
              <w:jc w:val="right"/>
            </w:pPr>
            <w:r>
              <w:rPr>
                <w:szCs w:val="20"/>
              </w:rPr>
              <w:t>1.8</w:t>
            </w:r>
          </w:p>
        </w:tc>
      </w:tr>
      <w:tr w:rsidR="009A19DE" w14:paraId="104B896E" w14:textId="77777777" w:rsidTr="009A19DE">
        <w:trPr>
          <w:gridBefore w:val="1"/>
          <w:gridAfter w:val="1"/>
          <w:wBefore w:w="454" w:type="dxa"/>
          <w:wAfter w:w="850" w:type="dxa"/>
        </w:trPr>
        <w:tc>
          <w:tcPr>
            <w:tcW w:w="2247" w:type="dxa"/>
            <w:tcBorders>
              <w:top w:val="nil"/>
            </w:tcBorders>
            <w:shd w:val="clear" w:color="auto" w:fill="auto"/>
          </w:tcPr>
          <w:p w14:paraId="0F9C9D2F" w14:textId="5C6860FD" w:rsidR="009A19DE" w:rsidRDefault="009A19DE" w:rsidP="000C5461">
            <w:pPr>
              <w:pStyle w:val="Tablelistbullet"/>
              <w:numPr>
                <w:ilvl w:val="0"/>
                <w:numId w:val="0"/>
              </w:numPr>
              <w:ind w:left="280" w:hanging="280"/>
            </w:pPr>
            <w:r>
              <w:rPr>
                <w:i/>
                <w:iCs/>
              </w:rPr>
              <w:t>N</w:t>
            </w:r>
            <w:r w:rsidRPr="009F0927">
              <w:rPr>
                <w:i/>
                <w:iCs/>
              </w:rPr>
              <w:t>et benefits</w:t>
            </w:r>
          </w:p>
        </w:tc>
        <w:tc>
          <w:tcPr>
            <w:tcW w:w="850" w:type="dxa"/>
            <w:tcBorders>
              <w:top w:val="nil"/>
            </w:tcBorders>
            <w:shd w:val="clear" w:color="auto" w:fill="auto"/>
            <w:vAlign w:val="bottom"/>
          </w:tcPr>
          <w:p w14:paraId="0646C8FA" w14:textId="3F39F047" w:rsidR="009A19DE" w:rsidRPr="00CF663D" w:rsidRDefault="009A19DE" w:rsidP="009A19DE">
            <w:pPr>
              <w:pStyle w:val="Tabletext"/>
              <w:jc w:val="right"/>
              <w:rPr>
                <w:color w:val="FF0000"/>
              </w:rPr>
            </w:pPr>
            <w:r w:rsidRPr="00CF663D">
              <w:rPr>
                <w:color w:val="FF0000"/>
                <w:szCs w:val="20"/>
              </w:rPr>
              <w:t>–12.0</w:t>
            </w:r>
          </w:p>
        </w:tc>
        <w:tc>
          <w:tcPr>
            <w:tcW w:w="850" w:type="dxa"/>
            <w:tcBorders>
              <w:top w:val="nil"/>
            </w:tcBorders>
            <w:shd w:val="clear" w:color="auto" w:fill="auto"/>
            <w:vAlign w:val="bottom"/>
          </w:tcPr>
          <w:p w14:paraId="6498DB6F" w14:textId="687BE1F2" w:rsidR="009A19DE" w:rsidRPr="002A5816" w:rsidRDefault="009A19DE" w:rsidP="009A19DE">
            <w:pPr>
              <w:pStyle w:val="Tabletext"/>
              <w:jc w:val="right"/>
              <w:rPr>
                <w:color w:val="FF0000"/>
              </w:rPr>
            </w:pPr>
            <w:r w:rsidRPr="002A5816">
              <w:rPr>
                <w:color w:val="FF0000"/>
                <w:szCs w:val="20"/>
              </w:rPr>
              <w:t>–1.8</w:t>
            </w:r>
          </w:p>
        </w:tc>
        <w:tc>
          <w:tcPr>
            <w:tcW w:w="850" w:type="dxa"/>
            <w:tcBorders>
              <w:top w:val="nil"/>
            </w:tcBorders>
            <w:shd w:val="clear" w:color="auto" w:fill="auto"/>
            <w:vAlign w:val="bottom"/>
          </w:tcPr>
          <w:p w14:paraId="57272F81" w14:textId="27506604" w:rsidR="009A19DE" w:rsidRPr="000C5461" w:rsidRDefault="009A19DE" w:rsidP="009A19DE">
            <w:pPr>
              <w:pStyle w:val="Tabletext"/>
              <w:jc w:val="right"/>
              <w:rPr>
                <w:color w:val="FF0000"/>
              </w:rPr>
            </w:pPr>
            <w:r w:rsidRPr="000C5461">
              <w:rPr>
                <w:color w:val="FF0000"/>
                <w:szCs w:val="20"/>
              </w:rPr>
              <w:t>–2.4</w:t>
            </w:r>
          </w:p>
        </w:tc>
        <w:tc>
          <w:tcPr>
            <w:tcW w:w="850" w:type="dxa"/>
            <w:tcBorders>
              <w:top w:val="nil"/>
            </w:tcBorders>
            <w:shd w:val="clear" w:color="auto" w:fill="auto"/>
            <w:vAlign w:val="bottom"/>
          </w:tcPr>
          <w:p w14:paraId="15563D36" w14:textId="3D6A5ABC" w:rsidR="009A19DE" w:rsidRPr="000C5461" w:rsidRDefault="009A19DE" w:rsidP="009A19DE">
            <w:pPr>
              <w:pStyle w:val="Tabletext"/>
              <w:jc w:val="right"/>
              <w:rPr>
                <w:color w:val="FF0000"/>
              </w:rPr>
            </w:pPr>
            <w:r w:rsidRPr="000C5461">
              <w:rPr>
                <w:color w:val="FF0000"/>
                <w:szCs w:val="20"/>
              </w:rPr>
              <w:t>–2.4</w:t>
            </w:r>
          </w:p>
        </w:tc>
        <w:tc>
          <w:tcPr>
            <w:tcW w:w="850" w:type="dxa"/>
            <w:tcBorders>
              <w:top w:val="nil"/>
            </w:tcBorders>
            <w:shd w:val="clear" w:color="auto" w:fill="auto"/>
            <w:vAlign w:val="bottom"/>
          </w:tcPr>
          <w:p w14:paraId="2876EFD3" w14:textId="7217F0A9" w:rsidR="009A19DE" w:rsidRPr="000C5461" w:rsidRDefault="009A19DE" w:rsidP="009A19DE">
            <w:pPr>
              <w:pStyle w:val="Tabletext"/>
              <w:jc w:val="right"/>
              <w:rPr>
                <w:color w:val="FF0000"/>
              </w:rPr>
            </w:pPr>
            <w:r w:rsidRPr="000C5461">
              <w:rPr>
                <w:color w:val="FF0000"/>
                <w:szCs w:val="20"/>
              </w:rPr>
              <w:t>–5.4</w:t>
            </w:r>
          </w:p>
        </w:tc>
        <w:tc>
          <w:tcPr>
            <w:tcW w:w="850" w:type="dxa"/>
            <w:tcBorders>
              <w:top w:val="nil"/>
            </w:tcBorders>
            <w:shd w:val="clear" w:color="auto" w:fill="auto"/>
            <w:vAlign w:val="bottom"/>
          </w:tcPr>
          <w:p w14:paraId="75DB35C2" w14:textId="78941F61" w:rsidR="009A19DE" w:rsidRPr="000C5461" w:rsidRDefault="009A19DE" w:rsidP="009A19DE">
            <w:pPr>
              <w:pStyle w:val="Tabletext"/>
              <w:jc w:val="right"/>
              <w:rPr>
                <w:color w:val="FF0000"/>
              </w:rPr>
            </w:pPr>
            <w:r w:rsidRPr="000C5461">
              <w:rPr>
                <w:color w:val="FF0000"/>
                <w:szCs w:val="20"/>
              </w:rPr>
              <w:t>–1.2</w:t>
            </w:r>
          </w:p>
        </w:tc>
        <w:tc>
          <w:tcPr>
            <w:tcW w:w="850" w:type="dxa"/>
            <w:tcBorders>
              <w:top w:val="nil"/>
            </w:tcBorders>
            <w:shd w:val="clear" w:color="auto" w:fill="auto"/>
            <w:vAlign w:val="bottom"/>
          </w:tcPr>
          <w:p w14:paraId="75AA57F2" w14:textId="30DAD149" w:rsidR="009A19DE" w:rsidRPr="000C5461" w:rsidRDefault="009A19DE" w:rsidP="009A19DE">
            <w:pPr>
              <w:pStyle w:val="Tabletext"/>
              <w:jc w:val="right"/>
              <w:rPr>
                <w:color w:val="FF0000"/>
              </w:rPr>
            </w:pPr>
            <w:r w:rsidRPr="000C5461">
              <w:rPr>
                <w:color w:val="FF0000"/>
                <w:szCs w:val="20"/>
              </w:rPr>
              <w:t>–2.4</w:t>
            </w:r>
          </w:p>
        </w:tc>
        <w:tc>
          <w:tcPr>
            <w:tcW w:w="850" w:type="dxa"/>
            <w:tcBorders>
              <w:top w:val="nil"/>
            </w:tcBorders>
            <w:shd w:val="clear" w:color="auto" w:fill="auto"/>
            <w:vAlign w:val="bottom"/>
          </w:tcPr>
          <w:p w14:paraId="22FCE483" w14:textId="523AB191" w:rsidR="009A19DE" w:rsidRPr="000C5461" w:rsidRDefault="009A19DE" w:rsidP="009A19DE">
            <w:pPr>
              <w:pStyle w:val="Tabletext"/>
              <w:jc w:val="right"/>
              <w:rPr>
                <w:color w:val="FF0000"/>
              </w:rPr>
            </w:pPr>
            <w:r w:rsidRPr="000C5461">
              <w:rPr>
                <w:color w:val="FF0000"/>
                <w:szCs w:val="20"/>
              </w:rPr>
              <w:t>–3.0</w:t>
            </w:r>
          </w:p>
        </w:tc>
        <w:tc>
          <w:tcPr>
            <w:tcW w:w="851" w:type="dxa"/>
            <w:tcBorders>
              <w:top w:val="nil"/>
            </w:tcBorders>
            <w:shd w:val="clear" w:color="auto" w:fill="auto"/>
            <w:vAlign w:val="bottom"/>
          </w:tcPr>
          <w:p w14:paraId="5AD74A55" w14:textId="0DBAA77F" w:rsidR="009A19DE" w:rsidRPr="000C5461" w:rsidRDefault="009A19DE" w:rsidP="009A19DE">
            <w:pPr>
              <w:pStyle w:val="Tabletext"/>
              <w:jc w:val="right"/>
              <w:rPr>
                <w:color w:val="FF0000"/>
              </w:rPr>
            </w:pPr>
            <w:r w:rsidRPr="000C5461">
              <w:rPr>
                <w:color w:val="FF0000"/>
                <w:szCs w:val="20"/>
              </w:rPr>
              <w:t>–2.4</w:t>
            </w:r>
          </w:p>
        </w:tc>
      </w:tr>
      <w:tr w:rsidR="009A19DE" w14:paraId="0FD5D5A4" w14:textId="77777777" w:rsidTr="009A19DE">
        <w:trPr>
          <w:gridBefore w:val="1"/>
          <w:gridAfter w:val="1"/>
          <w:wBefore w:w="454" w:type="dxa"/>
          <w:wAfter w:w="850" w:type="dxa"/>
        </w:trPr>
        <w:tc>
          <w:tcPr>
            <w:tcW w:w="2247" w:type="dxa"/>
            <w:shd w:val="clear" w:color="auto" w:fill="auto"/>
          </w:tcPr>
          <w:p w14:paraId="56C43CF3" w14:textId="3323831F" w:rsidR="009A19DE" w:rsidRPr="009F0927" w:rsidRDefault="009A19DE" w:rsidP="009A19DE">
            <w:pPr>
              <w:pStyle w:val="Tabletext"/>
              <w:rPr>
                <w:i/>
                <w:iCs/>
              </w:rPr>
            </w:pPr>
            <w:r>
              <w:rPr>
                <w:i/>
                <w:iCs/>
              </w:rPr>
              <w:t>NPV (</w:t>
            </w:r>
            <w:r w:rsidRPr="009F0927">
              <w:rPr>
                <w:i/>
                <w:iCs/>
              </w:rPr>
              <w:t xml:space="preserve">7% </w:t>
            </w:r>
            <w:r>
              <w:rPr>
                <w:i/>
                <w:iCs/>
              </w:rPr>
              <w:t>discount rate)</w:t>
            </w:r>
          </w:p>
        </w:tc>
        <w:tc>
          <w:tcPr>
            <w:tcW w:w="850" w:type="dxa"/>
            <w:shd w:val="clear" w:color="auto" w:fill="auto"/>
            <w:vAlign w:val="bottom"/>
          </w:tcPr>
          <w:p w14:paraId="4DA058A9" w14:textId="6F6A8889" w:rsidR="009A19DE" w:rsidRPr="00193D3E" w:rsidRDefault="009A19DE" w:rsidP="00CF663D">
            <w:pPr>
              <w:pStyle w:val="Tabletext"/>
              <w:jc w:val="right"/>
              <w:rPr>
                <w:i/>
                <w:iCs/>
                <w:color w:val="FF0000"/>
              </w:rPr>
            </w:pPr>
            <w:r>
              <w:rPr>
                <w:i/>
                <w:iCs/>
                <w:szCs w:val="20"/>
              </w:rPr>
              <w:t>12.4</w:t>
            </w:r>
          </w:p>
        </w:tc>
        <w:tc>
          <w:tcPr>
            <w:tcW w:w="850" w:type="dxa"/>
            <w:shd w:val="clear" w:color="auto" w:fill="auto"/>
            <w:vAlign w:val="bottom"/>
          </w:tcPr>
          <w:p w14:paraId="41631C1B" w14:textId="05988BAD" w:rsidR="009A19DE" w:rsidRPr="00193D3E" w:rsidRDefault="009A19DE" w:rsidP="002A5816">
            <w:pPr>
              <w:pStyle w:val="Tabletext"/>
              <w:jc w:val="right"/>
              <w:rPr>
                <w:i/>
                <w:iCs/>
              </w:rPr>
            </w:pPr>
            <w:r>
              <w:rPr>
                <w:i/>
                <w:iCs/>
                <w:color w:val="FF0000"/>
                <w:szCs w:val="20"/>
              </w:rPr>
              <w:t>-0.3</w:t>
            </w:r>
          </w:p>
        </w:tc>
        <w:tc>
          <w:tcPr>
            <w:tcW w:w="850" w:type="dxa"/>
            <w:shd w:val="clear" w:color="auto" w:fill="auto"/>
            <w:vAlign w:val="bottom"/>
          </w:tcPr>
          <w:p w14:paraId="5FC977E6" w14:textId="335FFFC8" w:rsidR="009A19DE" w:rsidRPr="00193D3E" w:rsidRDefault="009A19DE" w:rsidP="002A5816">
            <w:pPr>
              <w:pStyle w:val="Tabletext"/>
              <w:jc w:val="right"/>
              <w:rPr>
                <w:i/>
                <w:iCs/>
              </w:rPr>
            </w:pPr>
            <w:r w:rsidRPr="007379DC">
              <w:rPr>
                <w:i/>
                <w:iCs/>
                <w:color w:val="auto"/>
                <w:szCs w:val="20"/>
              </w:rPr>
              <w:t>0.4</w:t>
            </w:r>
          </w:p>
        </w:tc>
        <w:tc>
          <w:tcPr>
            <w:tcW w:w="850" w:type="dxa"/>
            <w:shd w:val="clear" w:color="auto" w:fill="auto"/>
            <w:vAlign w:val="bottom"/>
          </w:tcPr>
          <w:p w14:paraId="123A0BE2" w14:textId="14AC57E5" w:rsidR="009A19DE" w:rsidRPr="00193D3E" w:rsidRDefault="009A19DE" w:rsidP="009A19DE">
            <w:pPr>
              <w:pStyle w:val="Tabletext"/>
              <w:jc w:val="right"/>
              <w:rPr>
                <w:i/>
                <w:iCs/>
              </w:rPr>
            </w:pPr>
            <w:r w:rsidRPr="006F451B">
              <w:rPr>
                <w:i/>
                <w:iCs/>
                <w:color w:val="auto"/>
                <w:szCs w:val="20"/>
              </w:rPr>
              <w:t xml:space="preserve"> 0.4</w:t>
            </w:r>
          </w:p>
        </w:tc>
        <w:tc>
          <w:tcPr>
            <w:tcW w:w="850" w:type="dxa"/>
            <w:shd w:val="clear" w:color="auto" w:fill="auto"/>
            <w:vAlign w:val="bottom"/>
          </w:tcPr>
          <w:p w14:paraId="57E688EF" w14:textId="7F0DE601" w:rsidR="009A19DE" w:rsidRPr="00193D3E" w:rsidRDefault="009A19DE" w:rsidP="00CF663D">
            <w:pPr>
              <w:pStyle w:val="Tabletext"/>
              <w:jc w:val="right"/>
              <w:rPr>
                <w:i/>
                <w:iCs/>
              </w:rPr>
            </w:pPr>
            <w:r>
              <w:rPr>
                <w:i/>
                <w:iCs/>
                <w:szCs w:val="20"/>
              </w:rPr>
              <w:t>4.2</w:t>
            </w:r>
          </w:p>
        </w:tc>
        <w:tc>
          <w:tcPr>
            <w:tcW w:w="850" w:type="dxa"/>
            <w:shd w:val="clear" w:color="auto" w:fill="auto"/>
            <w:vAlign w:val="bottom"/>
          </w:tcPr>
          <w:p w14:paraId="42201CA1" w14:textId="2D349902" w:rsidR="009A19DE" w:rsidRPr="00193D3E" w:rsidRDefault="009A19DE" w:rsidP="002A5816">
            <w:pPr>
              <w:pStyle w:val="Tabletext"/>
              <w:jc w:val="right"/>
              <w:rPr>
                <w:i/>
                <w:iCs/>
              </w:rPr>
            </w:pPr>
            <w:r>
              <w:rPr>
                <w:i/>
                <w:iCs/>
                <w:color w:val="FF0000"/>
                <w:szCs w:val="20"/>
              </w:rPr>
              <w:t>–1.1</w:t>
            </w:r>
          </w:p>
        </w:tc>
        <w:tc>
          <w:tcPr>
            <w:tcW w:w="850" w:type="dxa"/>
            <w:shd w:val="clear" w:color="auto" w:fill="auto"/>
            <w:vAlign w:val="bottom"/>
          </w:tcPr>
          <w:p w14:paraId="64F7243A" w14:textId="758873A8" w:rsidR="009A19DE" w:rsidRPr="007379DC" w:rsidRDefault="009A19DE" w:rsidP="002A5816">
            <w:pPr>
              <w:pStyle w:val="Tabletext"/>
              <w:jc w:val="right"/>
              <w:rPr>
                <w:i/>
                <w:iCs/>
                <w:color w:val="auto"/>
              </w:rPr>
            </w:pPr>
            <w:r w:rsidRPr="007379DC">
              <w:rPr>
                <w:i/>
                <w:iCs/>
                <w:color w:val="auto"/>
                <w:szCs w:val="20"/>
              </w:rPr>
              <w:t>0.4</w:t>
            </w:r>
          </w:p>
        </w:tc>
        <w:tc>
          <w:tcPr>
            <w:tcW w:w="850" w:type="dxa"/>
            <w:shd w:val="clear" w:color="auto" w:fill="auto"/>
            <w:vAlign w:val="bottom"/>
          </w:tcPr>
          <w:p w14:paraId="7835B9CE" w14:textId="24C60E78" w:rsidR="009A19DE" w:rsidRPr="007379DC" w:rsidRDefault="009A19DE" w:rsidP="007379DC">
            <w:pPr>
              <w:pStyle w:val="Tabletext"/>
              <w:jc w:val="right"/>
              <w:rPr>
                <w:i/>
                <w:iCs/>
                <w:color w:val="auto"/>
              </w:rPr>
            </w:pPr>
            <w:r w:rsidRPr="007379DC">
              <w:rPr>
                <w:i/>
                <w:iCs/>
                <w:color w:val="auto"/>
                <w:szCs w:val="20"/>
              </w:rPr>
              <w:t>1.2</w:t>
            </w:r>
          </w:p>
        </w:tc>
        <w:tc>
          <w:tcPr>
            <w:tcW w:w="851" w:type="dxa"/>
            <w:shd w:val="clear" w:color="auto" w:fill="auto"/>
            <w:vAlign w:val="bottom"/>
          </w:tcPr>
          <w:p w14:paraId="402613E4" w14:textId="73161714" w:rsidR="009A19DE" w:rsidRPr="007379DC" w:rsidRDefault="009A19DE" w:rsidP="007379DC">
            <w:pPr>
              <w:pStyle w:val="Tabletext"/>
              <w:jc w:val="right"/>
              <w:rPr>
                <w:i/>
                <w:iCs/>
                <w:color w:val="auto"/>
              </w:rPr>
            </w:pPr>
            <w:r w:rsidRPr="007379DC">
              <w:rPr>
                <w:i/>
                <w:iCs/>
                <w:color w:val="auto"/>
                <w:szCs w:val="20"/>
              </w:rPr>
              <w:t>0.4</w:t>
            </w:r>
          </w:p>
        </w:tc>
      </w:tr>
      <w:tr w:rsidR="009A19DE" w14:paraId="55E2991F" w14:textId="77777777" w:rsidTr="009A19DE">
        <w:trPr>
          <w:gridBefore w:val="1"/>
          <w:gridAfter w:val="1"/>
          <w:wBefore w:w="454" w:type="dxa"/>
          <w:wAfter w:w="850" w:type="dxa"/>
        </w:trPr>
        <w:tc>
          <w:tcPr>
            <w:tcW w:w="9898" w:type="dxa"/>
            <w:gridSpan w:val="10"/>
            <w:shd w:val="clear" w:color="auto" w:fill="D5EBDA" w:themeFill="accent6" w:themeFillTint="33"/>
          </w:tcPr>
          <w:p w14:paraId="46B982FA" w14:textId="30942515" w:rsidR="009A19DE" w:rsidRPr="00DF2D61" w:rsidRDefault="009A19DE" w:rsidP="009A19DE">
            <w:pPr>
              <w:pStyle w:val="Tabletext"/>
              <w:keepNext/>
              <w:rPr>
                <w:b/>
                <w:bCs/>
              </w:rPr>
            </w:pPr>
            <w:r w:rsidRPr="00DF2D61">
              <w:rPr>
                <w:b/>
                <w:bCs/>
              </w:rPr>
              <w:t>Shipping industry (indirectly)</w:t>
            </w:r>
          </w:p>
        </w:tc>
      </w:tr>
      <w:tr w:rsidR="009A19DE" w14:paraId="1477744C" w14:textId="77777777" w:rsidTr="009A19DE">
        <w:trPr>
          <w:gridBefore w:val="1"/>
          <w:gridAfter w:val="1"/>
          <w:wBefore w:w="454" w:type="dxa"/>
          <w:wAfter w:w="850" w:type="dxa"/>
        </w:trPr>
        <w:tc>
          <w:tcPr>
            <w:tcW w:w="2247" w:type="dxa"/>
            <w:shd w:val="clear" w:color="auto" w:fill="auto"/>
          </w:tcPr>
          <w:p w14:paraId="2211E732" w14:textId="12FAB592" w:rsidR="009A19DE" w:rsidRPr="009F0927" w:rsidRDefault="009A19DE" w:rsidP="009A19DE">
            <w:pPr>
              <w:pStyle w:val="Tablelistbullet"/>
              <w:rPr>
                <w:i/>
                <w:iCs/>
              </w:rPr>
            </w:pPr>
            <w:r>
              <w:t>increased cost recovery from owners</w:t>
            </w:r>
          </w:p>
        </w:tc>
        <w:tc>
          <w:tcPr>
            <w:tcW w:w="850" w:type="dxa"/>
            <w:shd w:val="clear" w:color="auto" w:fill="auto"/>
            <w:vAlign w:val="bottom"/>
          </w:tcPr>
          <w:p w14:paraId="23DF366B" w14:textId="5FDC5E00" w:rsidR="009A19DE" w:rsidRPr="009F0927" w:rsidRDefault="009A19DE" w:rsidP="009A19DE">
            <w:pPr>
              <w:pStyle w:val="Tabletext"/>
              <w:jc w:val="right"/>
              <w:rPr>
                <w:i/>
                <w:iCs/>
                <w:color w:val="FF0000"/>
              </w:rPr>
            </w:pPr>
            <w:r>
              <w:rPr>
                <w:szCs w:val="20"/>
              </w:rPr>
              <w:t>12.0</w:t>
            </w:r>
          </w:p>
        </w:tc>
        <w:tc>
          <w:tcPr>
            <w:tcW w:w="850" w:type="dxa"/>
            <w:shd w:val="clear" w:color="auto" w:fill="auto"/>
            <w:vAlign w:val="bottom"/>
          </w:tcPr>
          <w:p w14:paraId="453764C3" w14:textId="726A9F62" w:rsidR="009A19DE" w:rsidRPr="009F0927" w:rsidRDefault="009A19DE" w:rsidP="009A19DE">
            <w:pPr>
              <w:pStyle w:val="Tabletext"/>
              <w:jc w:val="right"/>
              <w:rPr>
                <w:i/>
                <w:iCs/>
              </w:rPr>
            </w:pPr>
            <w:r>
              <w:rPr>
                <w:szCs w:val="20"/>
              </w:rPr>
              <w:t>1.8</w:t>
            </w:r>
          </w:p>
        </w:tc>
        <w:tc>
          <w:tcPr>
            <w:tcW w:w="850" w:type="dxa"/>
            <w:shd w:val="clear" w:color="auto" w:fill="auto"/>
            <w:vAlign w:val="bottom"/>
          </w:tcPr>
          <w:p w14:paraId="79216806" w14:textId="3A2F29F9" w:rsidR="009A19DE" w:rsidRPr="009F0927" w:rsidRDefault="009A19DE" w:rsidP="009A19DE">
            <w:pPr>
              <w:pStyle w:val="Tabletext"/>
              <w:jc w:val="right"/>
              <w:rPr>
                <w:i/>
                <w:iCs/>
              </w:rPr>
            </w:pPr>
            <w:r>
              <w:rPr>
                <w:szCs w:val="20"/>
              </w:rPr>
              <w:t>2.4</w:t>
            </w:r>
          </w:p>
        </w:tc>
        <w:tc>
          <w:tcPr>
            <w:tcW w:w="850" w:type="dxa"/>
            <w:shd w:val="clear" w:color="auto" w:fill="auto"/>
            <w:vAlign w:val="bottom"/>
          </w:tcPr>
          <w:p w14:paraId="11A0B08F" w14:textId="027B4F15" w:rsidR="009A19DE" w:rsidRPr="009F0927" w:rsidRDefault="009A19DE" w:rsidP="009A19DE">
            <w:pPr>
              <w:pStyle w:val="Tabletext"/>
              <w:jc w:val="right"/>
              <w:rPr>
                <w:i/>
                <w:iCs/>
              </w:rPr>
            </w:pPr>
            <w:r>
              <w:rPr>
                <w:szCs w:val="20"/>
              </w:rPr>
              <w:t>2.4</w:t>
            </w:r>
          </w:p>
        </w:tc>
        <w:tc>
          <w:tcPr>
            <w:tcW w:w="850" w:type="dxa"/>
            <w:shd w:val="clear" w:color="auto" w:fill="auto"/>
            <w:vAlign w:val="bottom"/>
          </w:tcPr>
          <w:p w14:paraId="5CA21386" w14:textId="3868EB42" w:rsidR="009A19DE" w:rsidRPr="009F0927" w:rsidRDefault="009A19DE" w:rsidP="009A19DE">
            <w:pPr>
              <w:pStyle w:val="Tabletext"/>
              <w:jc w:val="right"/>
              <w:rPr>
                <w:i/>
                <w:iCs/>
              </w:rPr>
            </w:pPr>
            <w:r>
              <w:rPr>
                <w:szCs w:val="20"/>
              </w:rPr>
              <w:t>5.4</w:t>
            </w:r>
          </w:p>
        </w:tc>
        <w:tc>
          <w:tcPr>
            <w:tcW w:w="850" w:type="dxa"/>
            <w:shd w:val="clear" w:color="auto" w:fill="auto"/>
            <w:vAlign w:val="bottom"/>
          </w:tcPr>
          <w:p w14:paraId="50D3D0A6" w14:textId="660BFEBA" w:rsidR="009A19DE" w:rsidRPr="009F0927" w:rsidRDefault="009A19DE" w:rsidP="009A19DE">
            <w:pPr>
              <w:pStyle w:val="Tabletext"/>
              <w:jc w:val="right"/>
              <w:rPr>
                <w:i/>
                <w:iCs/>
              </w:rPr>
            </w:pPr>
            <w:r>
              <w:rPr>
                <w:szCs w:val="20"/>
              </w:rPr>
              <w:t>1.2</w:t>
            </w:r>
          </w:p>
        </w:tc>
        <w:tc>
          <w:tcPr>
            <w:tcW w:w="850" w:type="dxa"/>
            <w:shd w:val="clear" w:color="auto" w:fill="auto"/>
            <w:vAlign w:val="bottom"/>
          </w:tcPr>
          <w:p w14:paraId="68F84964" w14:textId="03816BF6" w:rsidR="009A19DE" w:rsidRPr="009F0927" w:rsidRDefault="009A19DE" w:rsidP="009A19DE">
            <w:pPr>
              <w:pStyle w:val="Tabletext"/>
              <w:jc w:val="right"/>
              <w:rPr>
                <w:i/>
                <w:iCs/>
              </w:rPr>
            </w:pPr>
            <w:r>
              <w:rPr>
                <w:szCs w:val="20"/>
              </w:rPr>
              <w:t>2.4</w:t>
            </w:r>
          </w:p>
        </w:tc>
        <w:tc>
          <w:tcPr>
            <w:tcW w:w="850" w:type="dxa"/>
            <w:shd w:val="clear" w:color="auto" w:fill="auto"/>
            <w:vAlign w:val="bottom"/>
          </w:tcPr>
          <w:p w14:paraId="18248069" w14:textId="7B526A4F" w:rsidR="009A19DE" w:rsidRPr="009F0927" w:rsidRDefault="009A19DE" w:rsidP="009A19DE">
            <w:pPr>
              <w:pStyle w:val="Tabletext"/>
              <w:jc w:val="right"/>
              <w:rPr>
                <w:i/>
                <w:iCs/>
              </w:rPr>
            </w:pPr>
            <w:r>
              <w:rPr>
                <w:szCs w:val="20"/>
              </w:rPr>
              <w:t>3.0</w:t>
            </w:r>
          </w:p>
        </w:tc>
        <w:tc>
          <w:tcPr>
            <w:tcW w:w="851" w:type="dxa"/>
            <w:shd w:val="clear" w:color="auto" w:fill="auto"/>
            <w:vAlign w:val="bottom"/>
          </w:tcPr>
          <w:p w14:paraId="4B5EF205" w14:textId="614751D3" w:rsidR="009A19DE" w:rsidRPr="009F0927" w:rsidRDefault="009A19DE" w:rsidP="009A19DE">
            <w:pPr>
              <w:pStyle w:val="Tabletext"/>
              <w:jc w:val="right"/>
              <w:rPr>
                <w:i/>
                <w:iCs/>
              </w:rPr>
            </w:pPr>
            <w:r>
              <w:rPr>
                <w:szCs w:val="20"/>
              </w:rPr>
              <w:t>2.4</w:t>
            </w:r>
          </w:p>
        </w:tc>
      </w:tr>
      <w:tr w:rsidR="009A19DE" w14:paraId="2D6AA4E9" w14:textId="77777777" w:rsidTr="009A19DE">
        <w:trPr>
          <w:gridBefore w:val="1"/>
          <w:gridAfter w:val="1"/>
          <w:wBefore w:w="454" w:type="dxa"/>
          <w:wAfter w:w="850" w:type="dxa"/>
        </w:trPr>
        <w:tc>
          <w:tcPr>
            <w:tcW w:w="2247" w:type="dxa"/>
            <w:shd w:val="clear" w:color="auto" w:fill="auto"/>
          </w:tcPr>
          <w:p w14:paraId="35FDF82A" w14:textId="7349F5C1" w:rsidR="009A19DE" w:rsidRPr="009F0927" w:rsidRDefault="009A19DE" w:rsidP="009A19DE">
            <w:pPr>
              <w:pStyle w:val="Tabletext"/>
              <w:rPr>
                <w:i/>
                <w:iCs/>
              </w:rPr>
            </w:pPr>
            <w:r>
              <w:rPr>
                <w:i/>
                <w:iCs/>
              </w:rPr>
              <w:t>N</w:t>
            </w:r>
            <w:r w:rsidRPr="009F0927">
              <w:rPr>
                <w:i/>
                <w:iCs/>
              </w:rPr>
              <w:t>et benefits</w:t>
            </w:r>
          </w:p>
        </w:tc>
        <w:tc>
          <w:tcPr>
            <w:tcW w:w="850" w:type="dxa"/>
            <w:shd w:val="clear" w:color="auto" w:fill="auto"/>
            <w:vAlign w:val="bottom"/>
          </w:tcPr>
          <w:p w14:paraId="6B26365A" w14:textId="0BF9B7E7" w:rsidR="009A19DE" w:rsidRPr="000C3537" w:rsidRDefault="009A19DE" w:rsidP="009A19DE">
            <w:pPr>
              <w:pStyle w:val="Tabletext"/>
              <w:jc w:val="right"/>
              <w:rPr>
                <w:i/>
                <w:iCs/>
                <w:color w:val="FF0000"/>
              </w:rPr>
            </w:pPr>
            <w:r>
              <w:rPr>
                <w:i/>
                <w:iCs/>
                <w:szCs w:val="20"/>
              </w:rPr>
              <w:t>12.0</w:t>
            </w:r>
          </w:p>
        </w:tc>
        <w:tc>
          <w:tcPr>
            <w:tcW w:w="850" w:type="dxa"/>
            <w:shd w:val="clear" w:color="auto" w:fill="auto"/>
            <w:vAlign w:val="bottom"/>
          </w:tcPr>
          <w:p w14:paraId="34000565" w14:textId="50C28ABB" w:rsidR="009A19DE" w:rsidRPr="000C3537" w:rsidRDefault="009A19DE" w:rsidP="009A19DE">
            <w:pPr>
              <w:pStyle w:val="Tabletext"/>
              <w:jc w:val="right"/>
              <w:rPr>
                <w:i/>
                <w:iCs/>
              </w:rPr>
            </w:pPr>
            <w:r>
              <w:rPr>
                <w:i/>
                <w:iCs/>
                <w:szCs w:val="20"/>
              </w:rPr>
              <w:t>1.8</w:t>
            </w:r>
          </w:p>
        </w:tc>
        <w:tc>
          <w:tcPr>
            <w:tcW w:w="850" w:type="dxa"/>
            <w:shd w:val="clear" w:color="auto" w:fill="auto"/>
            <w:vAlign w:val="bottom"/>
          </w:tcPr>
          <w:p w14:paraId="7FDBC057" w14:textId="072E4C95" w:rsidR="009A19DE" w:rsidRPr="000C3537" w:rsidRDefault="009A19DE" w:rsidP="009A19DE">
            <w:pPr>
              <w:pStyle w:val="Tabletext"/>
              <w:jc w:val="right"/>
              <w:rPr>
                <w:i/>
                <w:iCs/>
              </w:rPr>
            </w:pPr>
            <w:r>
              <w:rPr>
                <w:i/>
                <w:iCs/>
                <w:szCs w:val="20"/>
              </w:rPr>
              <w:t>2.4</w:t>
            </w:r>
          </w:p>
        </w:tc>
        <w:tc>
          <w:tcPr>
            <w:tcW w:w="850" w:type="dxa"/>
            <w:shd w:val="clear" w:color="auto" w:fill="auto"/>
            <w:vAlign w:val="bottom"/>
          </w:tcPr>
          <w:p w14:paraId="2C6EC2D7" w14:textId="2EE76849" w:rsidR="009A19DE" w:rsidRPr="000C3537" w:rsidRDefault="009A19DE" w:rsidP="009A19DE">
            <w:pPr>
              <w:pStyle w:val="Tabletext"/>
              <w:jc w:val="right"/>
              <w:rPr>
                <w:i/>
                <w:iCs/>
              </w:rPr>
            </w:pPr>
            <w:r>
              <w:rPr>
                <w:i/>
                <w:iCs/>
                <w:szCs w:val="20"/>
              </w:rPr>
              <w:t>2.4</w:t>
            </w:r>
          </w:p>
        </w:tc>
        <w:tc>
          <w:tcPr>
            <w:tcW w:w="850" w:type="dxa"/>
            <w:shd w:val="clear" w:color="auto" w:fill="auto"/>
            <w:vAlign w:val="bottom"/>
          </w:tcPr>
          <w:p w14:paraId="3035880D" w14:textId="3AB5AD51" w:rsidR="009A19DE" w:rsidRPr="000C3537" w:rsidRDefault="009A19DE" w:rsidP="009A19DE">
            <w:pPr>
              <w:pStyle w:val="Tabletext"/>
              <w:jc w:val="right"/>
              <w:rPr>
                <w:i/>
                <w:iCs/>
              </w:rPr>
            </w:pPr>
            <w:r>
              <w:rPr>
                <w:i/>
                <w:iCs/>
                <w:szCs w:val="20"/>
              </w:rPr>
              <w:t>5.4</w:t>
            </w:r>
          </w:p>
        </w:tc>
        <w:tc>
          <w:tcPr>
            <w:tcW w:w="850" w:type="dxa"/>
            <w:shd w:val="clear" w:color="auto" w:fill="auto"/>
            <w:vAlign w:val="bottom"/>
          </w:tcPr>
          <w:p w14:paraId="10B11B50" w14:textId="71A16834" w:rsidR="009A19DE" w:rsidRPr="000C3537" w:rsidRDefault="009A19DE" w:rsidP="009A19DE">
            <w:pPr>
              <w:pStyle w:val="Tabletext"/>
              <w:jc w:val="right"/>
              <w:rPr>
                <w:i/>
                <w:iCs/>
              </w:rPr>
            </w:pPr>
            <w:r>
              <w:rPr>
                <w:i/>
                <w:iCs/>
                <w:szCs w:val="20"/>
              </w:rPr>
              <w:t>1.2</w:t>
            </w:r>
          </w:p>
        </w:tc>
        <w:tc>
          <w:tcPr>
            <w:tcW w:w="850" w:type="dxa"/>
            <w:shd w:val="clear" w:color="auto" w:fill="auto"/>
            <w:vAlign w:val="bottom"/>
          </w:tcPr>
          <w:p w14:paraId="75719590" w14:textId="01B00C8E" w:rsidR="009A19DE" w:rsidRPr="000C3537" w:rsidRDefault="009A19DE" w:rsidP="009A19DE">
            <w:pPr>
              <w:pStyle w:val="Tabletext"/>
              <w:jc w:val="right"/>
              <w:rPr>
                <w:i/>
                <w:iCs/>
              </w:rPr>
            </w:pPr>
            <w:r>
              <w:rPr>
                <w:i/>
                <w:iCs/>
                <w:szCs w:val="20"/>
              </w:rPr>
              <w:t>2.4</w:t>
            </w:r>
          </w:p>
        </w:tc>
        <w:tc>
          <w:tcPr>
            <w:tcW w:w="850" w:type="dxa"/>
            <w:shd w:val="clear" w:color="auto" w:fill="auto"/>
            <w:vAlign w:val="bottom"/>
          </w:tcPr>
          <w:p w14:paraId="2183BCC9" w14:textId="42402CAB" w:rsidR="009A19DE" w:rsidRPr="000C3537" w:rsidRDefault="009A19DE" w:rsidP="009A19DE">
            <w:pPr>
              <w:pStyle w:val="Tabletext"/>
              <w:jc w:val="right"/>
              <w:rPr>
                <w:i/>
                <w:iCs/>
              </w:rPr>
            </w:pPr>
            <w:r>
              <w:rPr>
                <w:i/>
                <w:iCs/>
                <w:szCs w:val="20"/>
              </w:rPr>
              <w:t>3.0</w:t>
            </w:r>
          </w:p>
        </w:tc>
        <w:tc>
          <w:tcPr>
            <w:tcW w:w="851" w:type="dxa"/>
            <w:shd w:val="clear" w:color="auto" w:fill="auto"/>
            <w:vAlign w:val="bottom"/>
          </w:tcPr>
          <w:p w14:paraId="55EE2E14" w14:textId="65960055" w:rsidR="009A19DE" w:rsidRPr="000C3537" w:rsidRDefault="009A19DE" w:rsidP="009A19DE">
            <w:pPr>
              <w:pStyle w:val="Tabletext"/>
              <w:jc w:val="right"/>
              <w:rPr>
                <w:i/>
                <w:iCs/>
              </w:rPr>
            </w:pPr>
            <w:r>
              <w:rPr>
                <w:i/>
                <w:iCs/>
                <w:szCs w:val="20"/>
              </w:rPr>
              <w:t>2.4</w:t>
            </w:r>
          </w:p>
        </w:tc>
      </w:tr>
      <w:tr w:rsidR="009A19DE" w14:paraId="1BA6D32B" w14:textId="77777777" w:rsidTr="009A19DE">
        <w:trPr>
          <w:gridBefore w:val="1"/>
          <w:gridAfter w:val="1"/>
          <w:wBefore w:w="454" w:type="dxa"/>
          <w:wAfter w:w="850" w:type="dxa"/>
        </w:trPr>
        <w:tc>
          <w:tcPr>
            <w:tcW w:w="2247" w:type="dxa"/>
            <w:shd w:val="clear" w:color="auto" w:fill="auto"/>
          </w:tcPr>
          <w:p w14:paraId="6F454AD8" w14:textId="00E0AAC2" w:rsidR="009A19DE" w:rsidRPr="009F0927" w:rsidRDefault="009A19DE" w:rsidP="009A19DE">
            <w:pPr>
              <w:pStyle w:val="Tabletext"/>
              <w:rPr>
                <w:i/>
                <w:iCs/>
              </w:rPr>
            </w:pPr>
            <w:r>
              <w:rPr>
                <w:i/>
                <w:iCs/>
              </w:rPr>
              <w:t>NPV (</w:t>
            </w:r>
            <w:r w:rsidRPr="009F0927">
              <w:rPr>
                <w:i/>
                <w:iCs/>
              </w:rPr>
              <w:t xml:space="preserve">7% </w:t>
            </w:r>
            <w:r>
              <w:rPr>
                <w:i/>
                <w:iCs/>
              </w:rPr>
              <w:t>discount rate)</w:t>
            </w:r>
          </w:p>
        </w:tc>
        <w:tc>
          <w:tcPr>
            <w:tcW w:w="850" w:type="dxa"/>
            <w:shd w:val="clear" w:color="auto" w:fill="auto"/>
            <w:vAlign w:val="bottom"/>
          </w:tcPr>
          <w:p w14:paraId="50553641" w14:textId="43803FDB" w:rsidR="009A19DE" w:rsidRPr="000C3537" w:rsidRDefault="009A19DE" w:rsidP="009A19DE">
            <w:pPr>
              <w:pStyle w:val="Tabletext"/>
              <w:jc w:val="right"/>
              <w:rPr>
                <w:i/>
                <w:iCs/>
                <w:color w:val="FF0000"/>
              </w:rPr>
            </w:pPr>
            <w:r>
              <w:rPr>
                <w:i/>
                <w:iCs/>
                <w:szCs w:val="20"/>
              </w:rPr>
              <w:t>11.2</w:t>
            </w:r>
          </w:p>
        </w:tc>
        <w:tc>
          <w:tcPr>
            <w:tcW w:w="850" w:type="dxa"/>
            <w:shd w:val="clear" w:color="auto" w:fill="auto"/>
            <w:vAlign w:val="bottom"/>
          </w:tcPr>
          <w:p w14:paraId="700F4A21" w14:textId="726EE388" w:rsidR="009A19DE" w:rsidRPr="000C3537" w:rsidRDefault="009A19DE" w:rsidP="009A19DE">
            <w:pPr>
              <w:pStyle w:val="Tabletext"/>
              <w:jc w:val="right"/>
              <w:rPr>
                <w:i/>
                <w:iCs/>
              </w:rPr>
            </w:pPr>
            <w:r>
              <w:rPr>
                <w:i/>
                <w:iCs/>
                <w:szCs w:val="20"/>
              </w:rPr>
              <w:t>1.7</w:t>
            </w:r>
          </w:p>
        </w:tc>
        <w:tc>
          <w:tcPr>
            <w:tcW w:w="850" w:type="dxa"/>
            <w:shd w:val="clear" w:color="auto" w:fill="auto"/>
            <w:vAlign w:val="bottom"/>
          </w:tcPr>
          <w:p w14:paraId="159BD11F" w14:textId="7E7FA859" w:rsidR="009A19DE" w:rsidRPr="000C3537" w:rsidRDefault="009A19DE" w:rsidP="009A19DE">
            <w:pPr>
              <w:pStyle w:val="Tabletext"/>
              <w:jc w:val="right"/>
              <w:rPr>
                <w:i/>
                <w:iCs/>
              </w:rPr>
            </w:pPr>
            <w:r>
              <w:rPr>
                <w:i/>
                <w:iCs/>
                <w:szCs w:val="20"/>
              </w:rPr>
              <w:t>2.2</w:t>
            </w:r>
          </w:p>
        </w:tc>
        <w:tc>
          <w:tcPr>
            <w:tcW w:w="850" w:type="dxa"/>
            <w:shd w:val="clear" w:color="auto" w:fill="auto"/>
            <w:vAlign w:val="bottom"/>
          </w:tcPr>
          <w:p w14:paraId="15B252EE" w14:textId="4291C3EF" w:rsidR="009A19DE" w:rsidRPr="000C3537" w:rsidRDefault="009A19DE" w:rsidP="009A19DE">
            <w:pPr>
              <w:pStyle w:val="Tabletext"/>
              <w:jc w:val="right"/>
              <w:rPr>
                <w:i/>
                <w:iCs/>
              </w:rPr>
            </w:pPr>
            <w:r>
              <w:rPr>
                <w:i/>
                <w:iCs/>
                <w:szCs w:val="20"/>
              </w:rPr>
              <w:t>2.2</w:t>
            </w:r>
          </w:p>
        </w:tc>
        <w:tc>
          <w:tcPr>
            <w:tcW w:w="850" w:type="dxa"/>
            <w:shd w:val="clear" w:color="auto" w:fill="auto"/>
            <w:vAlign w:val="bottom"/>
          </w:tcPr>
          <w:p w14:paraId="75241E91" w14:textId="10CFFE16" w:rsidR="009A19DE" w:rsidRPr="000C3537" w:rsidRDefault="009A19DE" w:rsidP="009A19DE">
            <w:pPr>
              <w:pStyle w:val="Tabletext"/>
              <w:jc w:val="right"/>
              <w:rPr>
                <w:i/>
                <w:iCs/>
              </w:rPr>
            </w:pPr>
            <w:r>
              <w:rPr>
                <w:i/>
                <w:iCs/>
                <w:szCs w:val="20"/>
              </w:rPr>
              <w:t>5.0</w:t>
            </w:r>
          </w:p>
        </w:tc>
        <w:tc>
          <w:tcPr>
            <w:tcW w:w="850" w:type="dxa"/>
            <w:shd w:val="clear" w:color="auto" w:fill="auto"/>
            <w:vAlign w:val="bottom"/>
          </w:tcPr>
          <w:p w14:paraId="05B5A407" w14:textId="14D3504D" w:rsidR="009A19DE" w:rsidRPr="000C3537" w:rsidRDefault="009A19DE" w:rsidP="009A19DE">
            <w:pPr>
              <w:pStyle w:val="Tabletext"/>
              <w:jc w:val="right"/>
              <w:rPr>
                <w:i/>
                <w:iCs/>
              </w:rPr>
            </w:pPr>
            <w:r>
              <w:rPr>
                <w:i/>
                <w:iCs/>
                <w:szCs w:val="20"/>
              </w:rPr>
              <w:t>1.1</w:t>
            </w:r>
          </w:p>
        </w:tc>
        <w:tc>
          <w:tcPr>
            <w:tcW w:w="850" w:type="dxa"/>
            <w:shd w:val="clear" w:color="auto" w:fill="auto"/>
            <w:vAlign w:val="bottom"/>
          </w:tcPr>
          <w:p w14:paraId="2462640E" w14:textId="1A2D2CD8" w:rsidR="009A19DE" w:rsidRPr="000C3537" w:rsidRDefault="009A19DE" w:rsidP="009A19DE">
            <w:pPr>
              <w:pStyle w:val="Tabletext"/>
              <w:jc w:val="right"/>
              <w:rPr>
                <w:i/>
                <w:iCs/>
              </w:rPr>
            </w:pPr>
            <w:r>
              <w:rPr>
                <w:i/>
                <w:iCs/>
                <w:szCs w:val="20"/>
              </w:rPr>
              <w:t>2.2</w:t>
            </w:r>
          </w:p>
        </w:tc>
        <w:tc>
          <w:tcPr>
            <w:tcW w:w="850" w:type="dxa"/>
            <w:shd w:val="clear" w:color="auto" w:fill="auto"/>
            <w:vAlign w:val="bottom"/>
          </w:tcPr>
          <w:p w14:paraId="6DA539CF" w14:textId="6A2B9EFE" w:rsidR="009A19DE" w:rsidRPr="000C3537" w:rsidRDefault="009A19DE" w:rsidP="009A19DE">
            <w:pPr>
              <w:pStyle w:val="Tabletext"/>
              <w:jc w:val="right"/>
              <w:rPr>
                <w:i/>
                <w:iCs/>
              </w:rPr>
            </w:pPr>
            <w:r>
              <w:rPr>
                <w:i/>
                <w:iCs/>
                <w:szCs w:val="20"/>
              </w:rPr>
              <w:t>2.8</w:t>
            </w:r>
          </w:p>
        </w:tc>
        <w:tc>
          <w:tcPr>
            <w:tcW w:w="851" w:type="dxa"/>
            <w:shd w:val="clear" w:color="auto" w:fill="auto"/>
            <w:vAlign w:val="bottom"/>
          </w:tcPr>
          <w:p w14:paraId="76A7BA66" w14:textId="7FD1DBF1" w:rsidR="009A19DE" w:rsidRPr="000C3537" w:rsidRDefault="009A19DE" w:rsidP="009A19DE">
            <w:pPr>
              <w:pStyle w:val="Tabletext"/>
              <w:jc w:val="right"/>
              <w:rPr>
                <w:i/>
                <w:iCs/>
              </w:rPr>
            </w:pPr>
            <w:r>
              <w:rPr>
                <w:i/>
                <w:iCs/>
                <w:szCs w:val="20"/>
              </w:rPr>
              <w:t>2.2</w:t>
            </w:r>
          </w:p>
        </w:tc>
      </w:tr>
      <w:tr w:rsidR="009A19DE" w14:paraId="4FF27082" w14:textId="77777777" w:rsidTr="009A19DE">
        <w:trPr>
          <w:gridBefore w:val="1"/>
          <w:gridAfter w:val="1"/>
          <w:wBefore w:w="454" w:type="dxa"/>
          <w:wAfter w:w="850" w:type="dxa"/>
        </w:trPr>
        <w:tc>
          <w:tcPr>
            <w:tcW w:w="2247" w:type="dxa"/>
            <w:shd w:val="clear" w:color="auto" w:fill="D5EBDA" w:themeFill="accent6" w:themeFillTint="33"/>
          </w:tcPr>
          <w:p w14:paraId="17E91E76" w14:textId="1D737F52" w:rsidR="009A19DE" w:rsidRPr="009F0927" w:rsidRDefault="009A19DE" w:rsidP="009A19DE">
            <w:pPr>
              <w:pStyle w:val="Tabletext"/>
              <w:rPr>
                <w:b/>
                <w:bCs/>
                <w:i/>
                <w:iCs/>
              </w:rPr>
            </w:pPr>
            <w:r w:rsidRPr="009F0927">
              <w:rPr>
                <w:b/>
                <w:bCs/>
              </w:rPr>
              <w:t xml:space="preserve">Global </w:t>
            </w:r>
            <w:r>
              <w:rPr>
                <w:b/>
                <w:bCs/>
              </w:rPr>
              <w:t>shipping</w:t>
            </w:r>
            <w:r w:rsidRPr="009F0927">
              <w:rPr>
                <w:b/>
                <w:bCs/>
              </w:rPr>
              <w:t xml:space="preserve"> industry</w:t>
            </w:r>
          </w:p>
        </w:tc>
        <w:tc>
          <w:tcPr>
            <w:tcW w:w="850" w:type="dxa"/>
            <w:shd w:val="clear" w:color="auto" w:fill="D5EBDA" w:themeFill="accent6" w:themeFillTint="33"/>
            <w:vAlign w:val="bottom"/>
          </w:tcPr>
          <w:p w14:paraId="6542656A" w14:textId="30EFA70F"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3F397776" w14:textId="74E8C3B0"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1AA8CF8C" w14:textId="20A81D97"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592EF3FE" w14:textId="6C83FDFF"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795331B5" w14:textId="1EB41F2B"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07A6F62D" w14:textId="7F1C6E16"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2B3ED4EC" w14:textId="00B84E69" w:rsidR="009A19DE" w:rsidRDefault="009A19DE" w:rsidP="009A19DE">
            <w:pPr>
              <w:pStyle w:val="Tabletext"/>
              <w:jc w:val="right"/>
            </w:pPr>
            <w:r>
              <w:rPr>
                <w:b/>
                <w:bCs/>
                <w:szCs w:val="20"/>
              </w:rPr>
              <w:t> </w:t>
            </w:r>
          </w:p>
        </w:tc>
        <w:tc>
          <w:tcPr>
            <w:tcW w:w="850" w:type="dxa"/>
            <w:shd w:val="clear" w:color="auto" w:fill="D5EBDA" w:themeFill="accent6" w:themeFillTint="33"/>
            <w:vAlign w:val="bottom"/>
          </w:tcPr>
          <w:p w14:paraId="247B1A88" w14:textId="39A4D4E8" w:rsidR="009A19DE" w:rsidRDefault="009A19DE" w:rsidP="009A19DE">
            <w:pPr>
              <w:pStyle w:val="Tabletext"/>
              <w:jc w:val="right"/>
            </w:pPr>
            <w:r>
              <w:rPr>
                <w:b/>
                <w:bCs/>
                <w:szCs w:val="20"/>
              </w:rPr>
              <w:t> </w:t>
            </w:r>
          </w:p>
        </w:tc>
        <w:tc>
          <w:tcPr>
            <w:tcW w:w="851" w:type="dxa"/>
            <w:shd w:val="clear" w:color="auto" w:fill="D5EBDA" w:themeFill="accent6" w:themeFillTint="33"/>
            <w:vAlign w:val="bottom"/>
          </w:tcPr>
          <w:p w14:paraId="21B5A11C" w14:textId="03889C0E" w:rsidR="009A19DE" w:rsidRDefault="009A19DE" w:rsidP="009A19DE">
            <w:pPr>
              <w:pStyle w:val="Tabletext"/>
              <w:jc w:val="right"/>
            </w:pPr>
            <w:r>
              <w:rPr>
                <w:b/>
                <w:bCs/>
                <w:szCs w:val="20"/>
              </w:rPr>
              <w:t> </w:t>
            </w:r>
          </w:p>
        </w:tc>
      </w:tr>
      <w:tr w:rsidR="009A19DE" w14:paraId="509477F8" w14:textId="77777777" w:rsidTr="009A19DE">
        <w:trPr>
          <w:gridBefore w:val="1"/>
          <w:gridAfter w:val="1"/>
          <w:wBefore w:w="454" w:type="dxa"/>
          <w:wAfter w:w="850" w:type="dxa"/>
        </w:trPr>
        <w:tc>
          <w:tcPr>
            <w:tcW w:w="2247" w:type="dxa"/>
            <w:shd w:val="clear" w:color="auto" w:fill="auto"/>
          </w:tcPr>
          <w:p w14:paraId="1C13439B" w14:textId="0500A5FA" w:rsidR="009A19DE" w:rsidRPr="009F0927" w:rsidRDefault="009A19DE" w:rsidP="009A19DE">
            <w:pPr>
              <w:pStyle w:val="Tabletext"/>
              <w:rPr>
                <w:b/>
                <w:bCs/>
              </w:rPr>
            </w:pPr>
            <w:r>
              <w:rPr>
                <w:i/>
                <w:iCs/>
              </w:rPr>
              <w:t>N</w:t>
            </w:r>
            <w:r w:rsidRPr="009F0927">
              <w:rPr>
                <w:i/>
                <w:iCs/>
              </w:rPr>
              <w:t>et benefits</w:t>
            </w:r>
          </w:p>
        </w:tc>
        <w:tc>
          <w:tcPr>
            <w:tcW w:w="850" w:type="dxa"/>
            <w:shd w:val="clear" w:color="auto" w:fill="auto"/>
            <w:vAlign w:val="bottom"/>
          </w:tcPr>
          <w:p w14:paraId="2A154456" w14:textId="1CFB56C7" w:rsidR="009A19DE" w:rsidRPr="000C3537" w:rsidRDefault="009A19DE" w:rsidP="00CF663D">
            <w:pPr>
              <w:pStyle w:val="Tabletext"/>
              <w:jc w:val="right"/>
              <w:rPr>
                <w:i/>
                <w:iCs/>
                <w:color w:val="FF0000"/>
              </w:rPr>
            </w:pPr>
            <w:r>
              <w:rPr>
                <w:i/>
                <w:iCs/>
                <w:szCs w:val="20"/>
              </w:rPr>
              <w:t>24.4</w:t>
            </w:r>
          </w:p>
        </w:tc>
        <w:tc>
          <w:tcPr>
            <w:tcW w:w="850" w:type="dxa"/>
            <w:shd w:val="clear" w:color="auto" w:fill="auto"/>
            <w:vAlign w:val="bottom"/>
          </w:tcPr>
          <w:p w14:paraId="0CEB6579" w14:textId="1A34C815" w:rsidR="009A19DE" w:rsidRPr="007379DC" w:rsidRDefault="009A19DE" w:rsidP="00CF663D">
            <w:pPr>
              <w:pStyle w:val="Tabletext"/>
              <w:jc w:val="right"/>
              <w:rPr>
                <w:i/>
                <w:iCs/>
                <w:color w:val="auto"/>
              </w:rPr>
            </w:pPr>
            <w:r w:rsidRPr="007379DC">
              <w:rPr>
                <w:i/>
                <w:iCs/>
                <w:color w:val="auto"/>
                <w:szCs w:val="20"/>
              </w:rPr>
              <w:t>1.5</w:t>
            </w:r>
          </w:p>
        </w:tc>
        <w:tc>
          <w:tcPr>
            <w:tcW w:w="850" w:type="dxa"/>
            <w:shd w:val="clear" w:color="auto" w:fill="auto"/>
            <w:vAlign w:val="bottom"/>
          </w:tcPr>
          <w:p w14:paraId="3DA07859" w14:textId="06CD834B" w:rsidR="009A19DE" w:rsidRPr="007379DC" w:rsidRDefault="009A19DE" w:rsidP="002A5816">
            <w:pPr>
              <w:pStyle w:val="Tabletext"/>
              <w:jc w:val="right"/>
              <w:rPr>
                <w:i/>
                <w:iCs/>
                <w:color w:val="auto"/>
              </w:rPr>
            </w:pPr>
            <w:r w:rsidRPr="007379DC">
              <w:rPr>
                <w:i/>
                <w:iCs/>
                <w:color w:val="auto"/>
                <w:szCs w:val="20"/>
              </w:rPr>
              <w:t>2.8</w:t>
            </w:r>
          </w:p>
        </w:tc>
        <w:tc>
          <w:tcPr>
            <w:tcW w:w="850" w:type="dxa"/>
            <w:shd w:val="clear" w:color="auto" w:fill="auto"/>
            <w:vAlign w:val="bottom"/>
          </w:tcPr>
          <w:p w14:paraId="5035BA4F" w14:textId="736497DF" w:rsidR="009A19DE" w:rsidRPr="007379DC" w:rsidRDefault="009A19DE" w:rsidP="007379DC">
            <w:pPr>
              <w:pStyle w:val="Tabletext"/>
              <w:jc w:val="right"/>
              <w:rPr>
                <w:i/>
                <w:iCs/>
                <w:color w:val="auto"/>
              </w:rPr>
            </w:pPr>
            <w:r w:rsidRPr="007379DC">
              <w:rPr>
                <w:i/>
                <w:iCs/>
                <w:color w:val="auto"/>
                <w:szCs w:val="20"/>
              </w:rPr>
              <w:t>2.8</w:t>
            </w:r>
          </w:p>
        </w:tc>
        <w:tc>
          <w:tcPr>
            <w:tcW w:w="850" w:type="dxa"/>
            <w:shd w:val="clear" w:color="auto" w:fill="auto"/>
            <w:vAlign w:val="bottom"/>
          </w:tcPr>
          <w:p w14:paraId="38394995" w14:textId="45F08D53" w:rsidR="009A19DE" w:rsidRPr="007379DC" w:rsidRDefault="009A19DE" w:rsidP="007379DC">
            <w:pPr>
              <w:pStyle w:val="Tabletext"/>
              <w:jc w:val="right"/>
              <w:rPr>
                <w:i/>
                <w:iCs/>
                <w:color w:val="auto"/>
              </w:rPr>
            </w:pPr>
            <w:r w:rsidRPr="007379DC">
              <w:rPr>
                <w:i/>
                <w:iCs/>
                <w:color w:val="auto"/>
                <w:szCs w:val="20"/>
              </w:rPr>
              <w:t>9.6</w:t>
            </w:r>
          </w:p>
        </w:tc>
        <w:tc>
          <w:tcPr>
            <w:tcW w:w="850" w:type="dxa"/>
            <w:shd w:val="clear" w:color="auto" w:fill="auto"/>
            <w:vAlign w:val="bottom"/>
          </w:tcPr>
          <w:p w14:paraId="08C8ADA7" w14:textId="43CD58E8" w:rsidR="009A19DE" w:rsidRPr="007379DC" w:rsidRDefault="009A19DE" w:rsidP="007379DC">
            <w:pPr>
              <w:pStyle w:val="Tabletext"/>
              <w:jc w:val="right"/>
              <w:rPr>
                <w:i/>
                <w:iCs/>
                <w:color w:val="auto"/>
              </w:rPr>
            </w:pPr>
            <w:r w:rsidRPr="007379DC">
              <w:rPr>
                <w:i/>
                <w:iCs/>
                <w:color w:val="auto"/>
                <w:szCs w:val="20"/>
              </w:rPr>
              <w:t>0.1</w:t>
            </w:r>
          </w:p>
        </w:tc>
        <w:tc>
          <w:tcPr>
            <w:tcW w:w="850" w:type="dxa"/>
            <w:shd w:val="clear" w:color="auto" w:fill="auto"/>
            <w:vAlign w:val="bottom"/>
          </w:tcPr>
          <w:p w14:paraId="15BA8EF3" w14:textId="0324F38C" w:rsidR="009A19DE" w:rsidRPr="007379DC" w:rsidRDefault="009A19DE" w:rsidP="007379DC">
            <w:pPr>
              <w:pStyle w:val="Tabletext"/>
              <w:jc w:val="right"/>
              <w:rPr>
                <w:i/>
                <w:iCs/>
                <w:color w:val="auto"/>
              </w:rPr>
            </w:pPr>
            <w:r w:rsidRPr="007379DC">
              <w:rPr>
                <w:i/>
                <w:iCs/>
                <w:color w:val="auto"/>
                <w:szCs w:val="20"/>
              </w:rPr>
              <w:t>2.8</w:t>
            </w:r>
          </w:p>
        </w:tc>
        <w:tc>
          <w:tcPr>
            <w:tcW w:w="850" w:type="dxa"/>
            <w:shd w:val="clear" w:color="auto" w:fill="auto"/>
            <w:vAlign w:val="bottom"/>
          </w:tcPr>
          <w:p w14:paraId="310ACB5B" w14:textId="1E07EF38" w:rsidR="009A19DE" w:rsidRPr="007379DC" w:rsidRDefault="009A19DE" w:rsidP="007379DC">
            <w:pPr>
              <w:pStyle w:val="Tabletext"/>
              <w:jc w:val="right"/>
              <w:rPr>
                <w:i/>
                <w:iCs/>
                <w:color w:val="auto"/>
              </w:rPr>
            </w:pPr>
            <w:r w:rsidRPr="007379DC">
              <w:rPr>
                <w:i/>
                <w:iCs/>
                <w:color w:val="auto"/>
                <w:szCs w:val="20"/>
              </w:rPr>
              <w:t>4.2</w:t>
            </w:r>
          </w:p>
        </w:tc>
        <w:tc>
          <w:tcPr>
            <w:tcW w:w="851" w:type="dxa"/>
            <w:shd w:val="clear" w:color="auto" w:fill="auto"/>
            <w:vAlign w:val="bottom"/>
          </w:tcPr>
          <w:p w14:paraId="06283C0D" w14:textId="47E280F9" w:rsidR="009A19DE" w:rsidRPr="007379DC" w:rsidRDefault="009A19DE" w:rsidP="007379DC">
            <w:pPr>
              <w:pStyle w:val="Tabletext"/>
              <w:jc w:val="right"/>
              <w:rPr>
                <w:i/>
                <w:iCs/>
                <w:color w:val="auto"/>
              </w:rPr>
            </w:pPr>
            <w:r w:rsidRPr="007379DC">
              <w:rPr>
                <w:i/>
                <w:iCs/>
                <w:color w:val="auto"/>
                <w:szCs w:val="20"/>
              </w:rPr>
              <w:t>2.8</w:t>
            </w:r>
          </w:p>
        </w:tc>
      </w:tr>
      <w:tr w:rsidR="009A19DE" w14:paraId="6E04E637" w14:textId="77777777" w:rsidTr="009A19DE">
        <w:trPr>
          <w:gridBefore w:val="1"/>
          <w:gridAfter w:val="1"/>
          <w:wBefore w:w="454" w:type="dxa"/>
          <w:wAfter w:w="850" w:type="dxa"/>
        </w:trPr>
        <w:tc>
          <w:tcPr>
            <w:tcW w:w="2247" w:type="dxa"/>
            <w:shd w:val="clear" w:color="auto" w:fill="auto"/>
          </w:tcPr>
          <w:p w14:paraId="27D4432C" w14:textId="5A82FA83" w:rsidR="009A19DE" w:rsidRPr="009F0927" w:rsidRDefault="009A19DE" w:rsidP="009A19DE">
            <w:pPr>
              <w:pStyle w:val="Tabletext"/>
              <w:rPr>
                <w:b/>
                <w:bCs/>
              </w:rPr>
            </w:pPr>
            <w:r>
              <w:rPr>
                <w:i/>
                <w:iCs/>
              </w:rPr>
              <w:t>NPV (</w:t>
            </w:r>
            <w:r w:rsidRPr="009F0927">
              <w:rPr>
                <w:i/>
                <w:iCs/>
              </w:rPr>
              <w:t xml:space="preserve">7% </w:t>
            </w:r>
            <w:r>
              <w:rPr>
                <w:i/>
                <w:iCs/>
              </w:rPr>
              <w:t>discount rate)</w:t>
            </w:r>
            <w:r w:rsidRPr="009F0927">
              <w:rPr>
                <w:i/>
                <w:iCs/>
              </w:rPr>
              <w:t xml:space="preserve"> </w:t>
            </w:r>
          </w:p>
        </w:tc>
        <w:tc>
          <w:tcPr>
            <w:tcW w:w="850" w:type="dxa"/>
            <w:shd w:val="clear" w:color="auto" w:fill="auto"/>
            <w:vAlign w:val="bottom"/>
          </w:tcPr>
          <w:p w14:paraId="1521AC81" w14:textId="4AF59D50" w:rsidR="009A19DE" w:rsidRPr="000C3537" w:rsidRDefault="009A19DE" w:rsidP="00CF663D">
            <w:pPr>
              <w:pStyle w:val="Tabletext"/>
              <w:jc w:val="right"/>
              <w:rPr>
                <w:i/>
                <w:iCs/>
                <w:color w:val="FF0000"/>
              </w:rPr>
            </w:pPr>
            <w:r>
              <w:rPr>
                <w:i/>
                <w:iCs/>
                <w:szCs w:val="20"/>
              </w:rPr>
              <w:t>20.6</w:t>
            </w:r>
          </w:p>
        </w:tc>
        <w:tc>
          <w:tcPr>
            <w:tcW w:w="850" w:type="dxa"/>
            <w:shd w:val="clear" w:color="auto" w:fill="auto"/>
            <w:vAlign w:val="bottom"/>
          </w:tcPr>
          <w:p w14:paraId="47E38936" w14:textId="17E7F9DF" w:rsidR="009A19DE" w:rsidRPr="007379DC" w:rsidRDefault="009A19DE" w:rsidP="00CF663D">
            <w:pPr>
              <w:pStyle w:val="Tabletext"/>
              <w:jc w:val="right"/>
              <w:rPr>
                <w:i/>
                <w:iCs/>
                <w:color w:val="auto"/>
              </w:rPr>
            </w:pPr>
            <w:r w:rsidRPr="007379DC">
              <w:rPr>
                <w:i/>
                <w:iCs/>
                <w:color w:val="auto"/>
                <w:szCs w:val="20"/>
              </w:rPr>
              <w:t>1.5</w:t>
            </w:r>
          </w:p>
        </w:tc>
        <w:tc>
          <w:tcPr>
            <w:tcW w:w="850" w:type="dxa"/>
            <w:shd w:val="clear" w:color="auto" w:fill="auto"/>
            <w:vAlign w:val="bottom"/>
          </w:tcPr>
          <w:p w14:paraId="7F13A6DE" w14:textId="49D1C545" w:rsidR="009A19DE" w:rsidRPr="007379DC" w:rsidRDefault="009A19DE" w:rsidP="002A5816">
            <w:pPr>
              <w:pStyle w:val="Tabletext"/>
              <w:jc w:val="right"/>
              <w:rPr>
                <w:i/>
                <w:iCs/>
                <w:color w:val="auto"/>
              </w:rPr>
            </w:pPr>
            <w:r w:rsidRPr="007379DC">
              <w:rPr>
                <w:i/>
                <w:iCs/>
                <w:color w:val="auto"/>
                <w:szCs w:val="20"/>
              </w:rPr>
              <w:t>2.7</w:t>
            </w:r>
          </w:p>
        </w:tc>
        <w:tc>
          <w:tcPr>
            <w:tcW w:w="850" w:type="dxa"/>
            <w:shd w:val="clear" w:color="auto" w:fill="auto"/>
            <w:vAlign w:val="bottom"/>
          </w:tcPr>
          <w:p w14:paraId="2FF59314" w14:textId="2E9782D4" w:rsidR="009A19DE" w:rsidRPr="007379DC" w:rsidRDefault="009A19DE" w:rsidP="007379DC">
            <w:pPr>
              <w:pStyle w:val="Tabletext"/>
              <w:jc w:val="right"/>
              <w:rPr>
                <w:i/>
                <w:iCs/>
                <w:color w:val="auto"/>
              </w:rPr>
            </w:pPr>
            <w:r w:rsidRPr="007379DC">
              <w:rPr>
                <w:i/>
                <w:iCs/>
                <w:color w:val="auto"/>
                <w:szCs w:val="20"/>
              </w:rPr>
              <w:t>2.7</w:t>
            </w:r>
          </w:p>
        </w:tc>
        <w:tc>
          <w:tcPr>
            <w:tcW w:w="850" w:type="dxa"/>
            <w:shd w:val="clear" w:color="auto" w:fill="auto"/>
            <w:vAlign w:val="bottom"/>
          </w:tcPr>
          <w:p w14:paraId="7B1826A0" w14:textId="7099792D" w:rsidR="009A19DE" w:rsidRPr="007379DC" w:rsidRDefault="009A19DE" w:rsidP="007379DC">
            <w:pPr>
              <w:pStyle w:val="Tabletext"/>
              <w:jc w:val="right"/>
              <w:rPr>
                <w:i/>
                <w:iCs/>
                <w:color w:val="auto"/>
              </w:rPr>
            </w:pPr>
            <w:r w:rsidRPr="007379DC">
              <w:rPr>
                <w:i/>
                <w:iCs/>
                <w:color w:val="auto"/>
                <w:szCs w:val="20"/>
              </w:rPr>
              <w:t>8.3</w:t>
            </w:r>
          </w:p>
        </w:tc>
        <w:tc>
          <w:tcPr>
            <w:tcW w:w="850" w:type="dxa"/>
            <w:shd w:val="clear" w:color="auto" w:fill="auto"/>
            <w:vAlign w:val="bottom"/>
          </w:tcPr>
          <w:p w14:paraId="688EC973" w14:textId="26510C37" w:rsidR="009A19DE" w:rsidRPr="007379DC" w:rsidRDefault="009A19DE" w:rsidP="007379DC">
            <w:pPr>
              <w:pStyle w:val="Tabletext"/>
              <w:jc w:val="right"/>
              <w:rPr>
                <w:i/>
                <w:iCs/>
                <w:color w:val="auto"/>
              </w:rPr>
            </w:pPr>
            <w:r w:rsidRPr="007379DC">
              <w:rPr>
                <w:i/>
                <w:iCs/>
                <w:color w:val="auto"/>
                <w:szCs w:val="20"/>
              </w:rPr>
              <w:t>0.4</w:t>
            </w:r>
          </w:p>
        </w:tc>
        <w:tc>
          <w:tcPr>
            <w:tcW w:w="850" w:type="dxa"/>
            <w:shd w:val="clear" w:color="auto" w:fill="auto"/>
            <w:vAlign w:val="bottom"/>
          </w:tcPr>
          <w:p w14:paraId="48D32E66" w14:textId="07C54B13" w:rsidR="009A19DE" w:rsidRPr="007379DC" w:rsidRDefault="009A19DE" w:rsidP="007379DC">
            <w:pPr>
              <w:pStyle w:val="Tabletext"/>
              <w:jc w:val="right"/>
              <w:rPr>
                <w:i/>
                <w:iCs/>
                <w:color w:val="auto"/>
              </w:rPr>
            </w:pPr>
            <w:r w:rsidRPr="007379DC">
              <w:rPr>
                <w:i/>
                <w:iCs/>
                <w:color w:val="auto"/>
                <w:szCs w:val="20"/>
              </w:rPr>
              <w:t>2.7</w:t>
            </w:r>
          </w:p>
        </w:tc>
        <w:tc>
          <w:tcPr>
            <w:tcW w:w="850" w:type="dxa"/>
            <w:shd w:val="clear" w:color="auto" w:fill="auto"/>
            <w:vAlign w:val="bottom"/>
          </w:tcPr>
          <w:p w14:paraId="68A7CEED" w14:textId="0B8784BC" w:rsidR="009A19DE" w:rsidRPr="000C3537" w:rsidRDefault="009A19DE" w:rsidP="007379DC">
            <w:pPr>
              <w:pStyle w:val="Tabletext"/>
              <w:jc w:val="right"/>
              <w:rPr>
                <w:i/>
                <w:iCs/>
                <w:color w:val="FF0000"/>
              </w:rPr>
            </w:pPr>
            <w:r>
              <w:rPr>
                <w:i/>
                <w:iCs/>
                <w:szCs w:val="20"/>
              </w:rPr>
              <w:t>3.8</w:t>
            </w:r>
          </w:p>
        </w:tc>
        <w:tc>
          <w:tcPr>
            <w:tcW w:w="851" w:type="dxa"/>
            <w:shd w:val="clear" w:color="auto" w:fill="auto"/>
            <w:vAlign w:val="bottom"/>
          </w:tcPr>
          <w:p w14:paraId="08BA4C11" w14:textId="77F1765D" w:rsidR="009A19DE" w:rsidRPr="000C3537" w:rsidRDefault="009A19DE" w:rsidP="007379DC">
            <w:pPr>
              <w:pStyle w:val="Tabletext"/>
              <w:jc w:val="right"/>
              <w:rPr>
                <w:i/>
                <w:iCs/>
                <w:color w:val="FF0000"/>
              </w:rPr>
            </w:pPr>
            <w:r>
              <w:rPr>
                <w:i/>
                <w:iCs/>
                <w:szCs w:val="20"/>
              </w:rPr>
              <w:t>2.7</w:t>
            </w:r>
          </w:p>
        </w:tc>
      </w:tr>
      <w:tr w:rsidR="009A19DE" w14:paraId="5298CD80" w14:textId="77777777" w:rsidTr="009A19DE">
        <w:trPr>
          <w:gridBefore w:val="1"/>
          <w:gridAfter w:val="1"/>
          <w:wBefore w:w="454" w:type="dxa"/>
          <w:wAfter w:w="850" w:type="dxa"/>
        </w:trPr>
        <w:tc>
          <w:tcPr>
            <w:tcW w:w="2247" w:type="dxa"/>
            <w:shd w:val="clear" w:color="auto" w:fill="D5EBDA" w:themeFill="accent6" w:themeFillTint="33"/>
          </w:tcPr>
          <w:p w14:paraId="0FA1C2B6" w14:textId="48154CB2" w:rsidR="009A19DE" w:rsidRPr="009F0927" w:rsidRDefault="009A19DE" w:rsidP="009A19DE">
            <w:pPr>
              <w:pStyle w:val="Tabletext"/>
              <w:keepNext/>
              <w:rPr>
                <w:b/>
                <w:bCs/>
              </w:rPr>
            </w:pPr>
            <w:r>
              <w:rPr>
                <w:b/>
                <w:bCs/>
              </w:rPr>
              <w:t>TOTAL NET BENEFITS</w:t>
            </w:r>
          </w:p>
        </w:tc>
        <w:tc>
          <w:tcPr>
            <w:tcW w:w="850" w:type="dxa"/>
            <w:shd w:val="clear" w:color="auto" w:fill="D5EBDA" w:themeFill="accent6" w:themeFillTint="33"/>
            <w:vAlign w:val="bottom"/>
          </w:tcPr>
          <w:p w14:paraId="4BB774CB" w14:textId="3E6CFFA1"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58085DD2" w14:textId="7697A484"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54042578" w14:textId="328F64C6"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3E1E40D0" w14:textId="4219CD7B"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29A94BB2" w14:textId="72ECC172"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5EC9C73A" w14:textId="7FC6237A"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7DECD48F" w14:textId="6F4C0344" w:rsidR="009A19DE" w:rsidRDefault="009A19DE" w:rsidP="009A19DE">
            <w:pPr>
              <w:pStyle w:val="Tabletext"/>
              <w:keepNext/>
              <w:jc w:val="right"/>
            </w:pPr>
            <w:r>
              <w:rPr>
                <w:i/>
                <w:iCs/>
                <w:szCs w:val="20"/>
              </w:rPr>
              <w:t> </w:t>
            </w:r>
          </w:p>
        </w:tc>
        <w:tc>
          <w:tcPr>
            <w:tcW w:w="850" w:type="dxa"/>
            <w:shd w:val="clear" w:color="auto" w:fill="D5EBDA" w:themeFill="accent6" w:themeFillTint="33"/>
            <w:vAlign w:val="bottom"/>
          </w:tcPr>
          <w:p w14:paraId="01A35FA6" w14:textId="522642F6" w:rsidR="009A19DE" w:rsidRDefault="009A19DE" w:rsidP="009A19DE">
            <w:pPr>
              <w:pStyle w:val="Tabletext"/>
              <w:keepNext/>
              <w:jc w:val="right"/>
            </w:pPr>
            <w:r>
              <w:rPr>
                <w:i/>
                <w:iCs/>
                <w:szCs w:val="20"/>
              </w:rPr>
              <w:t> </w:t>
            </w:r>
          </w:p>
        </w:tc>
        <w:tc>
          <w:tcPr>
            <w:tcW w:w="851" w:type="dxa"/>
            <w:shd w:val="clear" w:color="auto" w:fill="D5EBDA" w:themeFill="accent6" w:themeFillTint="33"/>
            <w:vAlign w:val="bottom"/>
          </w:tcPr>
          <w:p w14:paraId="739913C8" w14:textId="20E3A991" w:rsidR="009A19DE" w:rsidRDefault="009A19DE" w:rsidP="009A19DE">
            <w:pPr>
              <w:pStyle w:val="Tabletext"/>
              <w:keepNext/>
              <w:jc w:val="right"/>
            </w:pPr>
            <w:r>
              <w:rPr>
                <w:i/>
                <w:iCs/>
                <w:szCs w:val="20"/>
              </w:rPr>
              <w:t> </w:t>
            </w:r>
          </w:p>
        </w:tc>
      </w:tr>
      <w:tr w:rsidR="009A19DE" w14:paraId="54822B28" w14:textId="77777777" w:rsidTr="009A19DE">
        <w:trPr>
          <w:gridBefore w:val="1"/>
          <w:gridAfter w:val="1"/>
          <w:wBefore w:w="454" w:type="dxa"/>
          <w:wAfter w:w="850" w:type="dxa"/>
        </w:trPr>
        <w:tc>
          <w:tcPr>
            <w:tcW w:w="2247" w:type="dxa"/>
            <w:shd w:val="clear" w:color="auto" w:fill="E5E5E5" w:themeFill="accent2" w:themeFillTint="33"/>
          </w:tcPr>
          <w:p w14:paraId="454B1A29" w14:textId="278F2E1C" w:rsidR="009A19DE" w:rsidRPr="009F0927" w:rsidRDefault="009A19DE" w:rsidP="009A19DE">
            <w:pPr>
              <w:pStyle w:val="Tabletext"/>
              <w:keepNext/>
              <w:rPr>
                <w:b/>
                <w:bCs/>
              </w:rPr>
            </w:pPr>
            <w:r>
              <w:rPr>
                <w:b/>
                <w:bCs/>
                <w:i/>
                <w:iCs/>
              </w:rPr>
              <w:t>N</w:t>
            </w:r>
            <w:r w:rsidRPr="009F0927">
              <w:rPr>
                <w:b/>
                <w:bCs/>
                <w:i/>
                <w:iCs/>
              </w:rPr>
              <w:t>et benefits</w:t>
            </w:r>
          </w:p>
        </w:tc>
        <w:tc>
          <w:tcPr>
            <w:tcW w:w="850" w:type="dxa"/>
            <w:shd w:val="clear" w:color="auto" w:fill="E5E5E5" w:themeFill="accent2" w:themeFillTint="33"/>
            <w:vAlign w:val="bottom"/>
          </w:tcPr>
          <w:p w14:paraId="6D3766D7" w14:textId="63C08BE2" w:rsidR="009A19DE" w:rsidRPr="000C3537" w:rsidRDefault="009A19DE" w:rsidP="00CF663D">
            <w:pPr>
              <w:pStyle w:val="Tabletext"/>
              <w:keepNext/>
              <w:jc w:val="right"/>
              <w:rPr>
                <w:b/>
                <w:bCs/>
                <w:i/>
                <w:iCs/>
              </w:rPr>
            </w:pPr>
            <w:r>
              <w:rPr>
                <w:b/>
                <w:bCs/>
                <w:i/>
                <w:iCs/>
                <w:szCs w:val="20"/>
              </w:rPr>
              <w:t>33.4</w:t>
            </w:r>
          </w:p>
        </w:tc>
        <w:tc>
          <w:tcPr>
            <w:tcW w:w="850" w:type="dxa"/>
            <w:shd w:val="clear" w:color="auto" w:fill="E5E5E5" w:themeFill="accent2" w:themeFillTint="33"/>
            <w:vAlign w:val="bottom"/>
          </w:tcPr>
          <w:p w14:paraId="01713F0B" w14:textId="12AD2ED0" w:rsidR="009A19DE" w:rsidRPr="000C3537" w:rsidRDefault="009A19DE" w:rsidP="002A5816">
            <w:pPr>
              <w:pStyle w:val="Tabletext"/>
              <w:keepNext/>
              <w:jc w:val="right"/>
              <w:rPr>
                <w:b/>
                <w:bCs/>
                <w:i/>
                <w:iCs/>
              </w:rPr>
            </w:pPr>
            <w:r>
              <w:rPr>
                <w:b/>
                <w:bCs/>
                <w:i/>
                <w:iCs/>
                <w:szCs w:val="20"/>
              </w:rPr>
              <w:t>2.8</w:t>
            </w:r>
          </w:p>
        </w:tc>
        <w:tc>
          <w:tcPr>
            <w:tcW w:w="850" w:type="dxa"/>
            <w:shd w:val="clear" w:color="auto" w:fill="E5E5E5" w:themeFill="accent2" w:themeFillTint="33"/>
            <w:vAlign w:val="bottom"/>
          </w:tcPr>
          <w:p w14:paraId="708C4310" w14:textId="73D417C1" w:rsidR="009A19DE" w:rsidRPr="000C3537" w:rsidRDefault="009A19DE" w:rsidP="007379DC">
            <w:pPr>
              <w:pStyle w:val="Tabletext"/>
              <w:keepNext/>
              <w:jc w:val="right"/>
              <w:rPr>
                <w:b/>
                <w:bCs/>
                <w:i/>
                <w:iCs/>
              </w:rPr>
            </w:pPr>
            <w:r>
              <w:rPr>
                <w:b/>
                <w:bCs/>
                <w:i/>
                <w:iCs/>
                <w:szCs w:val="20"/>
              </w:rPr>
              <w:t>4.6</w:t>
            </w:r>
          </w:p>
        </w:tc>
        <w:tc>
          <w:tcPr>
            <w:tcW w:w="850" w:type="dxa"/>
            <w:shd w:val="clear" w:color="auto" w:fill="E5E5E5" w:themeFill="accent2" w:themeFillTint="33"/>
            <w:vAlign w:val="bottom"/>
          </w:tcPr>
          <w:p w14:paraId="4FF5B440" w14:textId="1D468D76" w:rsidR="009A19DE" w:rsidRPr="000C3537" w:rsidRDefault="009A19DE" w:rsidP="007379DC">
            <w:pPr>
              <w:pStyle w:val="Tabletext"/>
              <w:keepNext/>
              <w:jc w:val="right"/>
              <w:rPr>
                <w:b/>
                <w:bCs/>
                <w:i/>
                <w:iCs/>
              </w:rPr>
            </w:pPr>
            <w:r>
              <w:rPr>
                <w:b/>
                <w:bCs/>
                <w:i/>
                <w:iCs/>
                <w:szCs w:val="20"/>
              </w:rPr>
              <w:t>4.6</w:t>
            </w:r>
          </w:p>
        </w:tc>
        <w:tc>
          <w:tcPr>
            <w:tcW w:w="850" w:type="dxa"/>
            <w:shd w:val="clear" w:color="auto" w:fill="E5E5E5" w:themeFill="accent2" w:themeFillTint="33"/>
            <w:vAlign w:val="bottom"/>
          </w:tcPr>
          <w:p w14:paraId="2010CECC" w14:textId="5CE5C607" w:rsidR="009A19DE" w:rsidRPr="000C3537" w:rsidRDefault="009A19DE" w:rsidP="007379DC">
            <w:pPr>
              <w:pStyle w:val="Tabletext"/>
              <w:keepNext/>
              <w:jc w:val="right"/>
              <w:rPr>
                <w:b/>
                <w:bCs/>
                <w:i/>
                <w:iCs/>
              </w:rPr>
            </w:pPr>
            <w:r>
              <w:rPr>
                <w:b/>
                <w:bCs/>
                <w:i/>
                <w:iCs/>
                <w:szCs w:val="20"/>
              </w:rPr>
              <w:t>13.6</w:t>
            </w:r>
          </w:p>
        </w:tc>
        <w:tc>
          <w:tcPr>
            <w:tcW w:w="850" w:type="dxa"/>
            <w:shd w:val="clear" w:color="auto" w:fill="E5E5E5" w:themeFill="accent2" w:themeFillTint="33"/>
            <w:vAlign w:val="bottom"/>
          </w:tcPr>
          <w:p w14:paraId="3FDA2FE4" w14:textId="2BE44CE8" w:rsidR="009A19DE" w:rsidRPr="007379DC" w:rsidRDefault="009A19DE" w:rsidP="007379DC">
            <w:pPr>
              <w:pStyle w:val="Tabletext"/>
              <w:keepNext/>
              <w:jc w:val="right"/>
              <w:rPr>
                <w:b/>
                <w:bCs/>
                <w:i/>
                <w:iCs/>
                <w:color w:val="auto"/>
              </w:rPr>
            </w:pPr>
            <w:r w:rsidRPr="007379DC">
              <w:rPr>
                <w:b/>
                <w:bCs/>
                <w:i/>
                <w:iCs/>
                <w:color w:val="auto"/>
                <w:szCs w:val="20"/>
              </w:rPr>
              <w:t>1.0</w:t>
            </w:r>
          </w:p>
        </w:tc>
        <w:tc>
          <w:tcPr>
            <w:tcW w:w="850" w:type="dxa"/>
            <w:shd w:val="clear" w:color="auto" w:fill="E5E5E5" w:themeFill="accent2" w:themeFillTint="33"/>
            <w:vAlign w:val="bottom"/>
          </w:tcPr>
          <w:p w14:paraId="306C181E" w14:textId="3A8798F7" w:rsidR="009A19DE" w:rsidRPr="000C3537" w:rsidRDefault="009A19DE" w:rsidP="007379DC">
            <w:pPr>
              <w:pStyle w:val="Tabletext"/>
              <w:keepNext/>
              <w:jc w:val="right"/>
              <w:rPr>
                <w:b/>
                <w:bCs/>
                <w:i/>
                <w:iCs/>
              </w:rPr>
            </w:pPr>
            <w:r>
              <w:rPr>
                <w:b/>
                <w:bCs/>
                <w:i/>
                <w:iCs/>
                <w:szCs w:val="20"/>
              </w:rPr>
              <w:t>4.6</w:t>
            </w:r>
          </w:p>
        </w:tc>
        <w:tc>
          <w:tcPr>
            <w:tcW w:w="850" w:type="dxa"/>
            <w:shd w:val="clear" w:color="auto" w:fill="E5E5E5" w:themeFill="accent2" w:themeFillTint="33"/>
            <w:vAlign w:val="bottom"/>
          </w:tcPr>
          <w:p w14:paraId="3DE60C04" w14:textId="41655FF4" w:rsidR="009A19DE" w:rsidRPr="000C3537" w:rsidRDefault="009A19DE" w:rsidP="007379DC">
            <w:pPr>
              <w:pStyle w:val="Tabletext"/>
              <w:keepNext/>
              <w:jc w:val="right"/>
              <w:rPr>
                <w:b/>
                <w:bCs/>
                <w:i/>
                <w:iCs/>
              </w:rPr>
            </w:pPr>
            <w:r>
              <w:rPr>
                <w:b/>
                <w:bCs/>
                <w:i/>
                <w:iCs/>
                <w:szCs w:val="20"/>
              </w:rPr>
              <w:t>6.4</w:t>
            </w:r>
          </w:p>
        </w:tc>
        <w:tc>
          <w:tcPr>
            <w:tcW w:w="851" w:type="dxa"/>
            <w:shd w:val="clear" w:color="auto" w:fill="E5E5E5" w:themeFill="accent2" w:themeFillTint="33"/>
            <w:vAlign w:val="bottom"/>
          </w:tcPr>
          <w:p w14:paraId="3D67DC7B" w14:textId="0DA12DD7" w:rsidR="009A19DE" w:rsidRPr="000C3537" w:rsidRDefault="009A19DE" w:rsidP="007379DC">
            <w:pPr>
              <w:pStyle w:val="Tabletext"/>
              <w:keepNext/>
              <w:jc w:val="right"/>
              <w:rPr>
                <w:b/>
                <w:bCs/>
                <w:i/>
                <w:iCs/>
              </w:rPr>
            </w:pPr>
            <w:r>
              <w:rPr>
                <w:b/>
                <w:bCs/>
                <w:i/>
                <w:iCs/>
                <w:szCs w:val="20"/>
              </w:rPr>
              <w:t>4.6</w:t>
            </w:r>
          </w:p>
        </w:tc>
      </w:tr>
      <w:tr w:rsidR="009A19DE" w14:paraId="0FA40D2C" w14:textId="77777777" w:rsidTr="009A19DE">
        <w:trPr>
          <w:gridBefore w:val="1"/>
          <w:gridAfter w:val="1"/>
          <w:wBefore w:w="454" w:type="dxa"/>
          <w:wAfter w:w="850" w:type="dxa"/>
        </w:trPr>
        <w:tc>
          <w:tcPr>
            <w:tcW w:w="2247" w:type="dxa"/>
            <w:shd w:val="clear" w:color="auto" w:fill="E5E5E5" w:themeFill="accent2" w:themeFillTint="33"/>
          </w:tcPr>
          <w:p w14:paraId="3A7F3948" w14:textId="52945F18" w:rsidR="009A19DE" w:rsidRPr="0014439F" w:rsidRDefault="009A19DE" w:rsidP="009A19DE">
            <w:pPr>
              <w:pStyle w:val="Tabletext"/>
              <w:rPr>
                <w:b/>
                <w:bCs/>
              </w:rPr>
            </w:pPr>
            <w:r w:rsidRPr="0014439F">
              <w:rPr>
                <w:b/>
                <w:bCs/>
                <w:i/>
                <w:iCs/>
              </w:rPr>
              <w:t>NPV (7% discount rate)</w:t>
            </w:r>
          </w:p>
        </w:tc>
        <w:tc>
          <w:tcPr>
            <w:tcW w:w="850" w:type="dxa"/>
            <w:shd w:val="clear" w:color="auto" w:fill="E5E5E5" w:themeFill="accent2" w:themeFillTint="33"/>
            <w:vAlign w:val="bottom"/>
          </w:tcPr>
          <w:p w14:paraId="5F5C6444" w14:textId="3104EC64" w:rsidR="009A19DE" w:rsidRPr="000C3537" w:rsidRDefault="009A19DE" w:rsidP="00CF663D">
            <w:pPr>
              <w:pStyle w:val="Tabletext"/>
              <w:jc w:val="right"/>
              <w:rPr>
                <w:b/>
                <w:bCs/>
                <w:i/>
                <w:iCs/>
              </w:rPr>
            </w:pPr>
            <w:r>
              <w:rPr>
                <w:b/>
                <w:bCs/>
                <w:i/>
                <w:iCs/>
                <w:szCs w:val="20"/>
              </w:rPr>
              <w:t>27.3</w:t>
            </w:r>
          </w:p>
        </w:tc>
        <w:tc>
          <w:tcPr>
            <w:tcW w:w="850" w:type="dxa"/>
            <w:shd w:val="clear" w:color="auto" w:fill="E5E5E5" w:themeFill="accent2" w:themeFillTint="33"/>
            <w:vAlign w:val="bottom"/>
          </w:tcPr>
          <w:p w14:paraId="3DC55254" w14:textId="2A16AC75" w:rsidR="009A19DE" w:rsidRPr="000C3537" w:rsidRDefault="009A19DE" w:rsidP="002A5816">
            <w:pPr>
              <w:pStyle w:val="Tabletext"/>
              <w:jc w:val="right"/>
              <w:rPr>
                <w:b/>
                <w:bCs/>
                <w:i/>
                <w:iCs/>
              </w:rPr>
            </w:pPr>
            <w:r>
              <w:rPr>
                <w:b/>
                <w:bCs/>
                <w:i/>
                <w:iCs/>
                <w:szCs w:val="20"/>
              </w:rPr>
              <w:t>2.5</w:t>
            </w:r>
          </w:p>
        </w:tc>
        <w:tc>
          <w:tcPr>
            <w:tcW w:w="850" w:type="dxa"/>
            <w:shd w:val="clear" w:color="auto" w:fill="E5E5E5" w:themeFill="accent2" w:themeFillTint="33"/>
            <w:vAlign w:val="bottom"/>
          </w:tcPr>
          <w:p w14:paraId="3FF3EA89" w14:textId="53317912" w:rsidR="009A19DE" w:rsidRPr="000C3537" w:rsidRDefault="009A19DE" w:rsidP="007379DC">
            <w:pPr>
              <w:pStyle w:val="Tabletext"/>
              <w:jc w:val="right"/>
              <w:rPr>
                <w:b/>
                <w:bCs/>
                <w:i/>
                <w:iCs/>
              </w:rPr>
            </w:pPr>
            <w:r>
              <w:rPr>
                <w:b/>
                <w:bCs/>
                <w:i/>
                <w:iCs/>
                <w:szCs w:val="20"/>
              </w:rPr>
              <w:t>4.0</w:t>
            </w:r>
          </w:p>
        </w:tc>
        <w:tc>
          <w:tcPr>
            <w:tcW w:w="850" w:type="dxa"/>
            <w:shd w:val="clear" w:color="auto" w:fill="E5E5E5" w:themeFill="accent2" w:themeFillTint="33"/>
            <w:vAlign w:val="bottom"/>
          </w:tcPr>
          <w:p w14:paraId="55F42BD1" w14:textId="140B871E" w:rsidR="009A19DE" w:rsidRPr="000C3537" w:rsidRDefault="009A19DE" w:rsidP="007379DC">
            <w:pPr>
              <w:pStyle w:val="Tabletext"/>
              <w:jc w:val="right"/>
              <w:rPr>
                <w:b/>
                <w:bCs/>
                <w:i/>
                <w:iCs/>
              </w:rPr>
            </w:pPr>
            <w:r>
              <w:rPr>
                <w:b/>
                <w:bCs/>
                <w:i/>
                <w:iCs/>
                <w:szCs w:val="20"/>
              </w:rPr>
              <w:t>4.0</w:t>
            </w:r>
          </w:p>
        </w:tc>
        <w:tc>
          <w:tcPr>
            <w:tcW w:w="850" w:type="dxa"/>
            <w:shd w:val="clear" w:color="auto" w:fill="E5E5E5" w:themeFill="accent2" w:themeFillTint="33"/>
            <w:vAlign w:val="bottom"/>
          </w:tcPr>
          <w:p w14:paraId="1341DFD3" w14:textId="7BADF7C6" w:rsidR="009A19DE" w:rsidRPr="000C3537" w:rsidRDefault="009A19DE" w:rsidP="007379DC">
            <w:pPr>
              <w:pStyle w:val="Tabletext"/>
              <w:jc w:val="right"/>
              <w:rPr>
                <w:b/>
                <w:bCs/>
                <w:i/>
                <w:iCs/>
              </w:rPr>
            </w:pPr>
            <w:r>
              <w:rPr>
                <w:b/>
                <w:bCs/>
                <w:i/>
                <w:iCs/>
                <w:szCs w:val="20"/>
              </w:rPr>
              <w:t>11.3</w:t>
            </w:r>
          </w:p>
        </w:tc>
        <w:tc>
          <w:tcPr>
            <w:tcW w:w="850" w:type="dxa"/>
            <w:shd w:val="clear" w:color="auto" w:fill="E5E5E5" w:themeFill="accent2" w:themeFillTint="33"/>
            <w:vAlign w:val="bottom"/>
          </w:tcPr>
          <w:p w14:paraId="61344E88" w14:textId="4427AA16" w:rsidR="009A19DE" w:rsidRPr="007379DC" w:rsidRDefault="009A19DE" w:rsidP="007379DC">
            <w:pPr>
              <w:pStyle w:val="Tabletext"/>
              <w:jc w:val="right"/>
              <w:rPr>
                <w:b/>
                <w:bCs/>
                <w:i/>
                <w:iCs/>
                <w:color w:val="auto"/>
              </w:rPr>
            </w:pPr>
            <w:r w:rsidRPr="007379DC">
              <w:rPr>
                <w:b/>
                <w:bCs/>
                <w:i/>
                <w:iCs/>
                <w:color w:val="auto"/>
                <w:szCs w:val="20"/>
              </w:rPr>
              <w:t>1.1</w:t>
            </w:r>
          </w:p>
        </w:tc>
        <w:tc>
          <w:tcPr>
            <w:tcW w:w="850" w:type="dxa"/>
            <w:shd w:val="clear" w:color="auto" w:fill="E5E5E5" w:themeFill="accent2" w:themeFillTint="33"/>
            <w:vAlign w:val="bottom"/>
          </w:tcPr>
          <w:p w14:paraId="2EB5B00B" w14:textId="67BA4079" w:rsidR="009A19DE" w:rsidRPr="000C3537" w:rsidRDefault="009A19DE" w:rsidP="007379DC">
            <w:pPr>
              <w:pStyle w:val="Tabletext"/>
              <w:jc w:val="right"/>
              <w:rPr>
                <w:b/>
                <w:bCs/>
                <w:i/>
                <w:iCs/>
              </w:rPr>
            </w:pPr>
            <w:r>
              <w:rPr>
                <w:b/>
                <w:bCs/>
                <w:i/>
                <w:iCs/>
                <w:szCs w:val="20"/>
              </w:rPr>
              <w:t>4.0</w:t>
            </w:r>
          </w:p>
        </w:tc>
        <w:tc>
          <w:tcPr>
            <w:tcW w:w="850" w:type="dxa"/>
            <w:shd w:val="clear" w:color="auto" w:fill="E5E5E5" w:themeFill="accent2" w:themeFillTint="33"/>
            <w:vAlign w:val="bottom"/>
          </w:tcPr>
          <w:p w14:paraId="0B2F5A69" w14:textId="14119EDA" w:rsidR="009A19DE" w:rsidRPr="000C3537" w:rsidRDefault="009A19DE" w:rsidP="007379DC">
            <w:pPr>
              <w:pStyle w:val="Tabletext"/>
              <w:jc w:val="right"/>
              <w:rPr>
                <w:b/>
                <w:bCs/>
                <w:i/>
                <w:iCs/>
              </w:rPr>
            </w:pPr>
            <w:r>
              <w:rPr>
                <w:b/>
                <w:bCs/>
                <w:i/>
                <w:iCs/>
                <w:szCs w:val="20"/>
              </w:rPr>
              <w:t>5.5</w:t>
            </w:r>
          </w:p>
        </w:tc>
        <w:tc>
          <w:tcPr>
            <w:tcW w:w="851" w:type="dxa"/>
            <w:shd w:val="clear" w:color="auto" w:fill="E5E5E5" w:themeFill="accent2" w:themeFillTint="33"/>
            <w:vAlign w:val="bottom"/>
          </w:tcPr>
          <w:p w14:paraId="32AC1B67" w14:textId="662E45AF" w:rsidR="009A19DE" w:rsidRPr="000C3537" w:rsidRDefault="009A19DE" w:rsidP="007379DC">
            <w:pPr>
              <w:pStyle w:val="Tabletext"/>
              <w:jc w:val="right"/>
              <w:rPr>
                <w:b/>
                <w:bCs/>
                <w:i/>
                <w:iCs/>
              </w:rPr>
            </w:pPr>
            <w:r>
              <w:rPr>
                <w:b/>
                <w:bCs/>
                <w:i/>
                <w:iCs/>
                <w:szCs w:val="20"/>
              </w:rPr>
              <w:t>4.0</w:t>
            </w:r>
          </w:p>
        </w:tc>
      </w:tr>
      <w:tr w:rsidR="009A19DE" w14:paraId="27619E82" w14:textId="77777777" w:rsidTr="009A19DE">
        <w:trPr>
          <w:gridBefore w:val="1"/>
          <w:gridAfter w:val="1"/>
          <w:wBefore w:w="454" w:type="dxa"/>
          <w:wAfter w:w="850" w:type="dxa"/>
        </w:trPr>
        <w:tc>
          <w:tcPr>
            <w:tcW w:w="2247" w:type="dxa"/>
            <w:shd w:val="clear" w:color="auto" w:fill="CAE4EE" w:themeFill="accent5" w:themeFillTint="66"/>
          </w:tcPr>
          <w:p w14:paraId="45CA1CDA" w14:textId="44574495" w:rsidR="009A19DE" w:rsidRPr="009F0927" w:rsidRDefault="009A19DE" w:rsidP="009A19DE">
            <w:pPr>
              <w:pStyle w:val="Tabletext"/>
              <w:rPr>
                <w:b/>
                <w:bCs/>
                <w:i/>
                <w:iCs/>
              </w:rPr>
            </w:pPr>
            <w:r>
              <w:rPr>
                <w:b/>
                <w:bCs/>
              </w:rPr>
              <w:t>TOTAL COSTS</w:t>
            </w:r>
          </w:p>
        </w:tc>
        <w:tc>
          <w:tcPr>
            <w:tcW w:w="850" w:type="dxa"/>
            <w:shd w:val="clear" w:color="auto" w:fill="CAE4EE" w:themeFill="accent5" w:themeFillTint="66"/>
          </w:tcPr>
          <w:p w14:paraId="75C1B201" w14:textId="77777777" w:rsidR="009A19DE" w:rsidRPr="00894500" w:rsidRDefault="009A19DE" w:rsidP="009A19DE">
            <w:pPr>
              <w:pStyle w:val="Tabletext"/>
              <w:jc w:val="right"/>
            </w:pPr>
          </w:p>
        </w:tc>
        <w:tc>
          <w:tcPr>
            <w:tcW w:w="850" w:type="dxa"/>
            <w:shd w:val="clear" w:color="auto" w:fill="CAE4EE" w:themeFill="accent5" w:themeFillTint="66"/>
          </w:tcPr>
          <w:p w14:paraId="22D6D643" w14:textId="77777777" w:rsidR="009A19DE" w:rsidRPr="00894500" w:rsidRDefault="009A19DE" w:rsidP="009A19DE">
            <w:pPr>
              <w:pStyle w:val="Tabletext"/>
              <w:jc w:val="right"/>
            </w:pPr>
          </w:p>
        </w:tc>
        <w:tc>
          <w:tcPr>
            <w:tcW w:w="850" w:type="dxa"/>
            <w:shd w:val="clear" w:color="auto" w:fill="CAE4EE" w:themeFill="accent5" w:themeFillTint="66"/>
          </w:tcPr>
          <w:p w14:paraId="26E69298" w14:textId="77777777" w:rsidR="009A19DE" w:rsidRPr="00894500" w:rsidRDefault="009A19DE" w:rsidP="009A19DE">
            <w:pPr>
              <w:pStyle w:val="Tabletext"/>
              <w:jc w:val="right"/>
            </w:pPr>
          </w:p>
        </w:tc>
        <w:tc>
          <w:tcPr>
            <w:tcW w:w="850" w:type="dxa"/>
            <w:shd w:val="clear" w:color="auto" w:fill="CAE4EE" w:themeFill="accent5" w:themeFillTint="66"/>
          </w:tcPr>
          <w:p w14:paraId="7692AB48" w14:textId="77777777" w:rsidR="009A19DE" w:rsidRPr="00894500" w:rsidRDefault="009A19DE" w:rsidP="009A19DE">
            <w:pPr>
              <w:pStyle w:val="Tabletext"/>
              <w:jc w:val="right"/>
            </w:pPr>
          </w:p>
        </w:tc>
        <w:tc>
          <w:tcPr>
            <w:tcW w:w="850" w:type="dxa"/>
            <w:shd w:val="clear" w:color="auto" w:fill="CAE4EE" w:themeFill="accent5" w:themeFillTint="66"/>
          </w:tcPr>
          <w:p w14:paraId="73C1CFBB" w14:textId="77777777" w:rsidR="009A19DE" w:rsidRPr="00894500" w:rsidRDefault="009A19DE" w:rsidP="009A19DE">
            <w:pPr>
              <w:pStyle w:val="Tabletext"/>
              <w:jc w:val="right"/>
            </w:pPr>
          </w:p>
        </w:tc>
        <w:tc>
          <w:tcPr>
            <w:tcW w:w="850" w:type="dxa"/>
            <w:shd w:val="clear" w:color="auto" w:fill="CAE4EE" w:themeFill="accent5" w:themeFillTint="66"/>
          </w:tcPr>
          <w:p w14:paraId="6D4B2C65" w14:textId="77777777" w:rsidR="009A19DE" w:rsidRPr="00894500" w:rsidRDefault="009A19DE" w:rsidP="009A19DE">
            <w:pPr>
              <w:pStyle w:val="Tabletext"/>
              <w:jc w:val="right"/>
            </w:pPr>
          </w:p>
        </w:tc>
        <w:tc>
          <w:tcPr>
            <w:tcW w:w="850" w:type="dxa"/>
            <w:shd w:val="clear" w:color="auto" w:fill="CAE4EE" w:themeFill="accent5" w:themeFillTint="66"/>
          </w:tcPr>
          <w:p w14:paraId="77F31B72" w14:textId="77777777" w:rsidR="009A19DE" w:rsidRPr="00894500" w:rsidRDefault="009A19DE" w:rsidP="009A19DE">
            <w:pPr>
              <w:pStyle w:val="Tabletext"/>
              <w:jc w:val="right"/>
            </w:pPr>
          </w:p>
        </w:tc>
        <w:tc>
          <w:tcPr>
            <w:tcW w:w="850" w:type="dxa"/>
            <w:shd w:val="clear" w:color="auto" w:fill="CAE4EE" w:themeFill="accent5" w:themeFillTint="66"/>
          </w:tcPr>
          <w:p w14:paraId="4470CEE3" w14:textId="77777777" w:rsidR="009A19DE" w:rsidRPr="00894500" w:rsidRDefault="009A19DE" w:rsidP="009A19DE">
            <w:pPr>
              <w:pStyle w:val="Tabletext"/>
              <w:jc w:val="right"/>
            </w:pPr>
          </w:p>
        </w:tc>
        <w:tc>
          <w:tcPr>
            <w:tcW w:w="851" w:type="dxa"/>
            <w:shd w:val="clear" w:color="auto" w:fill="CAE4EE" w:themeFill="accent5" w:themeFillTint="66"/>
          </w:tcPr>
          <w:p w14:paraId="36BDB8A7" w14:textId="77777777" w:rsidR="009A19DE" w:rsidRPr="00894500" w:rsidRDefault="009A19DE" w:rsidP="009A19DE">
            <w:pPr>
              <w:pStyle w:val="Tabletext"/>
              <w:jc w:val="right"/>
            </w:pPr>
          </w:p>
        </w:tc>
      </w:tr>
      <w:tr w:rsidR="009A19DE" w14:paraId="628A4898" w14:textId="77777777" w:rsidTr="007379DC">
        <w:trPr>
          <w:gridBefore w:val="1"/>
          <w:gridAfter w:val="1"/>
          <w:wBefore w:w="454" w:type="dxa"/>
          <w:wAfter w:w="850" w:type="dxa"/>
        </w:trPr>
        <w:tc>
          <w:tcPr>
            <w:tcW w:w="2247" w:type="dxa"/>
            <w:shd w:val="clear" w:color="auto" w:fill="auto"/>
          </w:tcPr>
          <w:p w14:paraId="3F075244" w14:textId="011916CF" w:rsidR="009A19DE" w:rsidRPr="009F0927" w:rsidRDefault="009A19DE" w:rsidP="009A19DE">
            <w:pPr>
              <w:pStyle w:val="Tabletext"/>
              <w:rPr>
                <w:b/>
                <w:bCs/>
                <w:i/>
                <w:iCs/>
              </w:rPr>
            </w:pPr>
            <w:r>
              <w:rPr>
                <w:b/>
                <w:bCs/>
                <w:i/>
                <w:iCs/>
              </w:rPr>
              <w:t>Undiscounted</w:t>
            </w:r>
          </w:p>
        </w:tc>
        <w:tc>
          <w:tcPr>
            <w:tcW w:w="850" w:type="dxa"/>
            <w:shd w:val="clear" w:color="auto" w:fill="auto"/>
            <w:vAlign w:val="bottom"/>
          </w:tcPr>
          <w:p w14:paraId="16EBCD6D" w14:textId="51A3C346" w:rsidR="009A19DE" w:rsidRPr="008E6060" w:rsidRDefault="009A19DE" w:rsidP="00CF663D">
            <w:pPr>
              <w:pStyle w:val="Tabletext"/>
              <w:jc w:val="right"/>
              <w:rPr>
                <w:b/>
                <w:bCs/>
                <w:i/>
                <w:iCs/>
                <w:color w:val="auto"/>
              </w:rPr>
            </w:pPr>
            <w:r>
              <w:rPr>
                <w:b/>
                <w:bCs/>
                <w:i/>
                <w:iCs/>
                <w:color w:val="auto"/>
                <w:szCs w:val="20"/>
              </w:rPr>
              <w:t>2.6</w:t>
            </w:r>
          </w:p>
        </w:tc>
        <w:tc>
          <w:tcPr>
            <w:tcW w:w="850" w:type="dxa"/>
            <w:shd w:val="clear" w:color="auto" w:fill="auto"/>
            <w:vAlign w:val="bottom"/>
          </w:tcPr>
          <w:p w14:paraId="6F349674" w14:textId="05FA0710" w:rsidR="009A19DE" w:rsidRPr="008E6060" w:rsidRDefault="009A19DE" w:rsidP="002A5816">
            <w:pPr>
              <w:pStyle w:val="Tabletext"/>
              <w:jc w:val="right"/>
              <w:rPr>
                <w:b/>
                <w:bCs/>
                <w:i/>
                <w:iCs/>
                <w:color w:val="auto"/>
              </w:rPr>
            </w:pPr>
            <w:r>
              <w:rPr>
                <w:b/>
                <w:bCs/>
                <w:i/>
                <w:iCs/>
                <w:color w:val="auto"/>
                <w:szCs w:val="20"/>
              </w:rPr>
              <w:t>2.6</w:t>
            </w:r>
          </w:p>
        </w:tc>
        <w:tc>
          <w:tcPr>
            <w:tcW w:w="850" w:type="dxa"/>
            <w:shd w:val="clear" w:color="auto" w:fill="auto"/>
          </w:tcPr>
          <w:p w14:paraId="4F7CC166" w14:textId="30822EE9" w:rsidR="009A19DE" w:rsidRPr="008E6060" w:rsidRDefault="009A19DE" w:rsidP="009A19DE">
            <w:pPr>
              <w:pStyle w:val="Tabletext"/>
              <w:jc w:val="right"/>
              <w:rPr>
                <w:b/>
                <w:bCs/>
                <w:i/>
                <w:iCs/>
                <w:color w:val="auto"/>
              </w:rPr>
            </w:pPr>
            <w:r w:rsidRPr="00EA14B1">
              <w:rPr>
                <w:b/>
                <w:bCs/>
                <w:i/>
                <w:iCs/>
                <w:color w:val="auto"/>
                <w:szCs w:val="20"/>
              </w:rPr>
              <w:t>2.6</w:t>
            </w:r>
          </w:p>
        </w:tc>
        <w:tc>
          <w:tcPr>
            <w:tcW w:w="850" w:type="dxa"/>
            <w:shd w:val="clear" w:color="auto" w:fill="auto"/>
          </w:tcPr>
          <w:p w14:paraId="00143735" w14:textId="0C6BCEE9" w:rsidR="009A19DE" w:rsidRPr="008E6060" w:rsidRDefault="009A19DE" w:rsidP="009A19DE">
            <w:pPr>
              <w:pStyle w:val="Tabletext"/>
              <w:jc w:val="right"/>
              <w:rPr>
                <w:b/>
                <w:bCs/>
                <w:i/>
                <w:iCs/>
                <w:color w:val="auto"/>
              </w:rPr>
            </w:pPr>
            <w:r w:rsidRPr="00EA14B1">
              <w:rPr>
                <w:b/>
                <w:bCs/>
                <w:i/>
                <w:iCs/>
                <w:color w:val="auto"/>
                <w:szCs w:val="20"/>
              </w:rPr>
              <w:t>2.6</w:t>
            </w:r>
          </w:p>
        </w:tc>
        <w:tc>
          <w:tcPr>
            <w:tcW w:w="850" w:type="dxa"/>
            <w:shd w:val="clear" w:color="auto" w:fill="auto"/>
          </w:tcPr>
          <w:p w14:paraId="229694DE" w14:textId="0116C5E8" w:rsidR="009A19DE" w:rsidRPr="008E6060" w:rsidRDefault="009A19DE" w:rsidP="009A19DE">
            <w:pPr>
              <w:pStyle w:val="Tabletext"/>
              <w:jc w:val="right"/>
              <w:rPr>
                <w:b/>
                <w:bCs/>
                <w:i/>
                <w:iCs/>
                <w:color w:val="auto"/>
              </w:rPr>
            </w:pPr>
            <w:r w:rsidRPr="00EA14B1">
              <w:rPr>
                <w:b/>
                <w:bCs/>
                <w:i/>
                <w:iCs/>
                <w:color w:val="auto"/>
                <w:szCs w:val="20"/>
              </w:rPr>
              <w:t>2.6</w:t>
            </w:r>
          </w:p>
        </w:tc>
        <w:tc>
          <w:tcPr>
            <w:tcW w:w="850" w:type="dxa"/>
            <w:shd w:val="clear" w:color="auto" w:fill="auto"/>
          </w:tcPr>
          <w:p w14:paraId="05D9CD5D" w14:textId="65814E6A" w:rsidR="009A19DE" w:rsidRPr="008E6060" w:rsidRDefault="009A19DE" w:rsidP="009A19DE">
            <w:pPr>
              <w:pStyle w:val="Tabletext"/>
              <w:jc w:val="right"/>
              <w:rPr>
                <w:b/>
                <w:bCs/>
                <w:i/>
                <w:iCs/>
                <w:color w:val="auto"/>
              </w:rPr>
            </w:pPr>
            <w:r w:rsidRPr="00EA14B1">
              <w:rPr>
                <w:b/>
                <w:bCs/>
                <w:i/>
                <w:iCs/>
                <w:color w:val="auto"/>
                <w:szCs w:val="20"/>
              </w:rPr>
              <w:t>2.6</w:t>
            </w:r>
          </w:p>
        </w:tc>
        <w:tc>
          <w:tcPr>
            <w:tcW w:w="850" w:type="dxa"/>
            <w:shd w:val="clear" w:color="auto" w:fill="auto"/>
          </w:tcPr>
          <w:p w14:paraId="0FA81931" w14:textId="5063CDE7" w:rsidR="009A19DE" w:rsidRPr="008E6060" w:rsidRDefault="009A19DE" w:rsidP="009A19DE">
            <w:pPr>
              <w:pStyle w:val="Tabletext"/>
              <w:jc w:val="right"/>
              <w:rPr>
                <w:b/>
                <w:bCs/>
                <w:i/>
                <w:iCs/>
                <w:color w:val="auto"/>
              </w:rPr>
            </w:pPr>
            <w:r w:rsidRPr="00EA14B1">
              <w:rPr>
                <w:b/>
                <w:bCs/>
                <w:i/>
                <w:iCs/>
                <w:color w:val="auto"/>
                <w:szCs w:val="20"/>
              </w:rPr>
              <w:t>2.6</w:t>
            </w:r>
          </w:p>
        </w:tc>
        <w:tc>
          <w:tcPr>
            <w:tcW w:w="850" w:type="dxa"/>
            <w:shd w:val="clear" w:color="auto" w:fill="auto"/>
          </w:tcPr>
          <w:p w14:paraId="3EDB2D50" w14:textId="34624415" w:rsidR="009A19DE" w:rsidRPr="008E6060" w:rsidRDefault="009A19DE" w:rsidP="009A19DE">
            <w:pPr>
              <w:pStyle w:val="Tabletext"/>
              <w:jc w:val="right"/>
              <w:rPr>
                <w:b/>
                <w:bCs/>
                <w:i/>
                <w:iCs/>
                <w:color w:val="auto"/>
              </w:rPr>
            </w:pPr>
            <w:r w:rsidRPr="00EA14B1">
              <w:rPr>
                <w:b/>
                <w:bCs/>
                <w:i/>
                <w:iCs/>
                <w:color w:val="auto"/>
                <w:szCs w:val="20"/>
              </w:rPr>
              <w:t>2.6</w:t>
            </w:r>
          </w:p>
        </w:tc>
        <w:tc>
          <w:tcPr>
            <w:tcW w:w="851" w:type="dxa"/>
            <w:shd w:val="clear" w:color="auto" w:fill="auto"/>
          </w:tcPr>
          <w:p w14:paraId="79663EF5" w14:textId="110FBC54" w:rsidR="009A19DE" w:rsidRPr="008E6060" w:rsidRDefault="009A19DE" w:rsidP="009A19DE">
            <w:pPr>
              <w:pStyle w:val="Tabletext"/>
              <w:jc w:val="right"/>
              <w:rPr>
                <w:b/>
                <w:bCs/>
                <w:i/>
                <w:iCs/>
                <w:color w:val="auto"/>
              </w:rPr>
            </w:pPr>
            <w:r w:rsidRPr="00EA14B1">
              <w:rPr>
                <w:b/>
                <w:bCs/>
                <w:i/>
                <w:iCs/>
                <w:color w:val="auto"/>
                <w:szCs w:val="20"/>
              </w:rPr>
              <w:t>2.6</w:t>
            </w:r>
          </w:p>
        </w:tc>
      </w:tr>
      <w:tr w:rsidR="009A19DE" w14:paraId="011309F1" w14:textId="77777777" w:rsidTr="007379DC">
        <w:trPr>
          <w:gridBefore w:val="1"/>
          <w:gridAfter w:val="1"/>
          <w:wBefore w:w="454" w:type="dxa"/>
          <w:wAfter w:w="850" w:type="dxa"/>
        </w:trPr>
        <w:tc>
          <w:tcPr>
            <w:tcW w:w="2247" w:type="dxa"/>
            <w:shd w:val="clear" w:color="auto" w:fill="auto"/>
          </w:tcPr>
          <w:p w14:paraId="4C00D2ED" w14:textId="387BDE7A" w:rsidR="009A19DE" w:rsidRPr="009F0927" w:rsidRDefault="009A19DE" w:rsidP="009A19DE">
            <w:pPr>
              <w:pStyle w:val="Tabletext"/>
              <w:rPr>
                <w:b/>
                <w:bCs/>
                <w:i/>
                <w:iCs/>
              </w:rPr>
            </w:pPr>
            <w:r>
              <w:rPr>
                <w:b/>
                <w:bCs/>
                <w:i/>
                <w:iCs/>
              </w:rPr>
              <w:t>D</w:t>
            </w:r>
            <w:r w:rsidRPr="009F0927">
              <w:rPr>
                <w:b/>
                <w:bCs/>
                <w:i/>
                <w:iCs/>
              </w:rPr>
              <w:t xml:space="preserve">iscounted @7% </w:t>
            </w:r>
          </w:p>
        </w:tc>
        <w:tc>
          <w:tcPr>
            <w:tcW w:w="850" w:type="dxa"/>
            <w:shd w:val="clear" w:color="auto" w:fill="auto"/>
            <w:vAlign w:val="bottom"/>
          </w:tcPr>
          <w:p w14:paraId="56A8A0E4" w14:textId="1FB3D9FC" w:rsidR="009A19DE" w:rsidRPr="008E6060" w:rsidRDefault="009A19DE" w:rsidP="00CF663D">
            <w:pPr>
              <w:pStyle w:val="Tabletext"/>
              <w:jc w:val="right"/>
              <w:rPr>
                <w:b/>
                <w:bCs/>
                <w:i/>
                <w:iCs/>
                <w:color w:val="auto"/>
              </w:rPr>
            </w:pPr>
            <w:r>
              <w:rPr>
                <w:b/>
                <w:bCs/>
                <w:i/>
                <w:iCs/>
                <w:color w:val="auto"/>
                <w:szCs w:val="20"/>
              </w:rPr>
              <w:t>1.8</w:t>
            </w:r>
          </w:p>
        </w:tc>
        <w:tc>
          <w:tcPr>
            <w:tcW w:w="850" w:type="dxa"/>
            <w:shd w:val="clear" w:color="auto" w:fill="auto"/>
          </w:tcPr>
          <w:p w14:paraId="1E314005" w14:textId="31772B69"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6271B696" w14:textId="7D3B8A5A"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3F76903A" w14:textId="484CF024"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4287E4F3" w14:textId="654307DD"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72671CFC" w14:textId="1DA69967"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78CFE029" w14:textId="6FF39D4C" w:rsidR="009A19DE" w:rsidRPr="008E6060" w:rsidRDefault="009A19DE" w:rsidP="009A19DE">
            <w:pPr>
              <w:pStyle w:val="Tabletext"/>
              <w:jc w:val="right"/>
              <w:rPr>
                <w:b/>
                <w:bCs/>
                <w:i/>
                <w:iCs/>
                <w:color w:val="auto"/>
              </w:rPr>
            </w:pPr>
            <w:r w:rsidRPr="005C4EF5">
              <w:rPr>
                <w:b/>
                <w:bCs/>
                <w:i/>
                <w:iCs/>
                <w:color w:val="auto"/>
                <w:szCs w:val="20"/>
              </w:rPr>
              <w:t>1.8</w:t>
            </w:r>
          </w:p>
        </w:tc>
        <w:tc>
          <w:tcPr>
            <w:tcW w:w="850" w:type="dxa"/>
            <w:shd w:val="clear" w:color="auto" w:fill="auto"/>
          </w:tcPr>
          <w:p w14:paraId="59D78565" w14:textId="38AF4577" w:rsidR="009A19DE" w:rsidRPr="008E6060" w:rsidRDefault="009A19DE" w:rsidP="009A19DE">
            <w:pPr>
              <w:pStyle w:val="Tabletext"/>
              <w:jc w:val="right"/>
              <w:rPr>
                <w:b/>
                <w:bCs/>
                <w:i/>
                <w:iCs/>
                <w:color w:val="auto"/>
              </w:rPr>
            </w:pPr>
            <w:r w:rsidRPr="005C4EF5">
              <w:rPr>
                <w:b/>
                <w:bCs/>
                <w:i/>
                <w:iCs/>
                <w:color w:val="auto"/>
                <w:szCs w:val="20"/>
              </w:rPr>
              <w:t>1.8</w:t>
            </w:r>
          </w:p>
        </w:tc>
        <w:tc>
          <w:tcPr>
            <w:tcW w:w="851" w:type="dxa"/>
            <w:shd w:val="clear" w:color="auto" w:fill="auto"/>
          </w:tcPr>
          <w:p w14:paraId="3C256150" w14:textId="0CEC1D2C" w:rsidR="009A19DE" w:rsidRPr="008E6060" w:rsidRDefault="009A19DE" w:rsidP="009A19DE">
            <w:pPr>
              <w:pStyle w:val="Tabletext"/>
              <w:jc w:val="right"/>
              <w:rPr>
                <w:b/>
                <w:bCs/>
                <w:i/>
                <w:iCs/>
                <w:color w:val="auto"/>
              </w:rPr>
            </w:pPr>
            <w:r w:rsidRPr="005C4EF5">
              <w:rPr>
                <w:b/>
                <w:bCs/>
                <w:i/>
                <w:iCs/>
                <w:color w:val="auto"/>
                <w:szCs w:val="20"/>
              </w:rPr>
              <w:t>1.8</w:t>
            </w:r>
          </w:p>
        </w:tc>
      </w:tr>
      <w:tr w:rsidR="009A19DE" w14:paraId="6665A22F" w14:textId="77777777" w:rsidTr="009A19DE">
        <w:trPr>
          <w:gridBefore w:val="1"/>
          <w:gridAfter w:val="1"/>
          <w:wBefore w:w="454" w:type="dxa"/>
          <w:wAfter w:w="850" w:type="dxa"/>
        </w:trPr>
        <w:tc>
          <w:tcPr>
            <w:tcW w:w="2247" w:type="dxa"/>
            <w:shd w:val="clear" w:color="auto" w:fill="CAE4EE" w:themeFill="accent5" w:themeFillTint="66"/>
          </w:tcPr>
          <w:p w14:paraId="23E318D0" w14:textId="1D37E689" w:rsidR="009A19DE" w:rsidRPr="009F0927" w:rsidRDefault="009A19DE" w:rsidP="009A19DE">
            <w:pPr>
              <w:pStyle w:val="Tabletext"/>
              <w:keepNext/>
              <w:rPr>
                <w:b/>
                <w:bCs/>
                <w:i/>
                <w:iCs/>
              </w:rPr>
            </w:pPr>
            <w:r>
              <w:rPr>
                <w:b/>
                <w:bCs/>
              </w:rPr>
              <w:t>TOTAL BENEFITS</w:t>
            </w:r>
          </w:p>
        </w:tc>
        <w:tc>
          <w:tcPr>
            <w:tcW w:w="850" w:type="dxa"/>
            <w:shd w:val="clear" w:color="auto" w:fill="CAE4EE" w:themeFill="accent5" w:themeFillTint="66"/>
            <w:vAlign w:val="bottom"/>
          </w:tcPr>
          <w:p w14:paraId="5A3BB011" w14:textId="3EBC4ECA"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3EDE581D" w14:textId="5927754C"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72E72580" w14:textId="59CBBD40"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28969EF4" w14:textId="78281584"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355CCF6E" w14:textId="34CE5DEB"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448E922B" w14:textId="6BF5C8AD"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2C8A41FB" w14:textId="4F20798D" w:rsidR="009A19DE" w:rsidRPr="00193D3E" w:rsidRDefault="009A19DE" w:rsidP="009A19DE">
            <w:pPr>
              <w:pStyle w:val="Tabletext"/>
              <w:keepNext/>
              <w:jc w:val="right"/>
              <w:rPr>
                <w:b/>
                <w:bCs/>
                <w:i/>
                <w:iCs/>
              </w:rPr>
            </w:pPr>
            <w:r w:rsidRPr="00193D3E">
              <w:rPr>
                <w:b/>
                <w:bCs/>
                <w:i/>
                <w:iCs/>
                <w:szCs w:val="20"/>
              </w:rPr>
              <w:t> </w:t>
            </w:r>
          </w:p>
        </w:tc>
        <w:tc>
          <w:tcPr>
            <w:tcW w:w="850" w:type="dxa"/>
            <w:shd w:val="clear" w:color="auto" w:fill="CAE4EE" w:themeFill="accent5" w:themeFillTint="66"/>
            <w:vAlign w:val="bottom"/>
          </w:tcPr>
          <w:p w14:paraId="4F12032A" w14:textId="2BE3F4DC" w:rsidR="009A19DE" w:rsidRPr="00193D3E" w:rsidRDefault="009A19DE" w:rsidP="009A19DE">
            <w:pPr>
              <w:pStyle w:val="Tabletext"/>
              <w:keepNext/>
              <w:jc w:val="right"/>
              <w:rPr>
                <w:b/>
                <w:bCs/>
                <w:i/>
                <w:iCs/>
              </w:rPr>
            </w:pPr>
            <w:r w:rsidRPr="00193D3E">
              <w:rPr>
                <w:b/>
                <w:bCs/>
                <w:i/>
                <w:iCs/>
                <w:szCs w:val="20"/>
              </w:rPr>
              <w:t> </w:t>
            </w:r>
          </w:p>
        </w:tc>
        <w:tc>
          <w:tcPr>
            <w:tcW w:w="851" w:type="dxa"/>
            <w:shd w:val="clear" w:color="auto" w:fill="CAE4EE" w:themeFill="accent5" w:themeFillTint="66"/>
            <w:vAlign w:val="bottom"/>
          </w:tcPr>
          <w:p w14:paraId="011038F4" w14:textId="63355F35" w:rsidR="009A19DE" w:rsidRPr="00193D3E" w:rsidRDefault="009A19DE" w:rsidP="009A19DE">
            <w:pPr>
              <w:pStyle w:val="Tabletext"/>
              <w:keepNext/>
              <w:jc w:val="right"/>
              <w:rPr>
                <w:b/>
                <w:bCs/>
                <w:i/>
                <w:iCs/>
              </w:rPr>
            </w:pPr>
            <w:r w:rsidRPr="00193D3E">
              <w:rPr>
                <w:b/>
                <w:bCs/>
                <w:i/>
                <w:iCs/>
                <w:szCs w:val="20"/>
              </w:rPr>
              <w:t> </w:t>
            </w:r>
          </w:p>
        </w:tc>
      </w:tr>
      <w:tr w:rsidR="009A19DE" w14:paraId="654F6930" w14:textId="77777777" w:rsidTr="009A19DE">
        <w:trPr>
          <w:gridBefore w:val="1"/>
          <w:gridAfter w:val="1"/>
          <w:wBefore w:w="454" w:type="dxa"/>
          <w:wAfter w:w="850" w:type="dxa"/>
        </w:trPr>
        <w:tc>
          <w:tcPr>
            <w:tcW w:w="2247" w:type="dxa"/>
            <w:shd w:val="clear" w:color="auto" w:fill="auto"/>
          </w:tcPr>
          <w:p w14:paraId="590CA914" w14:textId="07C258F9" w:rsidR="009A19DE" w:rsidRPr="009F0927" w:rsidRDefault="009A19DE" w:rsidP="009A19DE">
            <w:pPr>
              <w:pStyle w:val="Tabletext"/>
              <w:rPr>
                <w:b/>
                <w:bCs/>
                <w:i/>
                <w:iCs/>
              </w:rPr>
            </w:pPr>
            <w:r>
              <w:rPr>
                <w:b/>
                <w:bCs/>
                <w:i/>
                <w:iCs/>
              </w:rPr>
              <w:t>Undiscounted</w:t>
            </w:r>
          </w:p>
        </w:tc>
        <w:tc>
          <w:tcPr>
            <w:tcW w:w="850" w:type="dxa"/>
            <w:shd w:val="clear" w:color="auto" w:fill="auto"/>
            <w:vAlign w:val="bottom"/>
          </w:tcPr>
          <w:p w14:paraId="55BF3B2E" w14:textId="2D977D95" w:rsidR="009A19DE" w:rsidRPr="00193D3E" w:rsidRDefault="009A19DE" w:rsidP="00CF663D">
            <w:pPr>
              <w:pStyle w:val="Tabletext"/>
              <w:jc w:val="right"/>
              <w:rPr>
                <w:b/>
                <w:bCs/>
                <w:i/>
                <w:iCs/>
              </w:rPr>
            </w:pPr>
            <w:r w:rsidRPr="00193D3E">
              <w:rPr>
                <w:b/>
                <w:bCs/>
                <w:i/>
                <w:iCs/>
                <w:szCs w:val="20"/>
              </w:rPr>
              <w:t>3</w:t>
            </w:r>
            <w:r w:rsidR="00D113B3">
              <w:rPr>
                <w:b/>
                <w:bCs/>
                <w:i/>
                <w:iCs/>
                <w:szCs w:val="20"/>
              </w:rPr>
              <w:t>6</w:t>
            </w:r>
            <w:r w:rsidRPr="00193D3E">
              <w:rPr>
                <w:b/>
                <w:bCs/>
                <w:i/>
                <w:iCs/>
                <w:szCs w:val="20"/>
              </w:rPr>
              <w:t xml:space="preserve">.0 </w:t>
            </w:r>
          </w:p>
        </w:tc>
        <w:tc>
          <w:tcPr>
            <w:tcW w:w="850" w:type="dxa"/>
            <w:shd w:val="clear" w:color="auto" w:fill="auto"/>
            <w:vAlign w:val="bottom"/>
          </w:tcPr>
          <w:p w14:paraId="244E4887" w14:textId="0939B70E" w:rsidR="009A19DE" w:rsidRPr="00193D3E" w:rsidRDefault="009A19DE" w:rsidP="009A19DE">
            <w:pPr>
              <w:pStyle w:val="Tabletext"/>
              <w:jc w:val="right"/>
              <w:rPr>
                <w:b/>
                <w:bCs/>
                <w:i/>
                <w:iCs/>
              </w:rPr>
            </w:pPr>
            <w:r w:rsidRPr="00193D3E">
              <w:rPr>
                <w:b/>
                <w:bCs/>
                <w:i/>
                <w:iCs/>
                <w:szCs w:val="20"/>
              </w:rPr>
              <w:t>5.</w:t>
            </w:r>
            <w:r w:rsidR="00D113B3">
              <w:rPr>
                <w:b/>
                <w:bCs/>
                <w:i/>
                <w:iCs/>
                <w:szCs w:val="20"/>
              </w:rPr>
              <w:t>4</w:t>
            </w:r>
            <w:r w:rsidRPr="00193D3E">
              <w:rPr>
                <w:b/>
                <w:bCs/>
                <w:i/>
                <w:iCs/>
                <w:szCs w:val="20"/>
              </w:rPr>
              <w:t xml:space="preserve"> </w:t>
            </w:r>
          </w:p>
        </w:tc>
        <w:tc>
          <w:tcPr>
            <w:tcW w:w="850" w:type="dxa"/>
            <w:shd w:val="clear" w:color="auto" w:fill="auto"/>
            <w:vAlign w:val="bottom"/>
          </w:tcPr>
          <w:p w14:paraId="6A411D56" w14:textId="5BEADD46" w:rsidR="009A19DE" w:rsidRPr="00193D3E" w:rsidRDefault="00D113B3" w:rsidP="00CF663D">
            <w:pPr>
              <w:pStyle w:val="Tabletext"/>
              <w:jc w:val="right"/>
              <w:rPr>
                <w:b/>
                <w:bCs/>
                <w:i/>
                <w:iCs/>
              </w:rPr>
            </w:pPr>
            <w:r>
              <w:rPr>
                <w:b/>
                <w:bCs/>
                <w:i/>
                <w:iCs/>
                <w:szCs w:val="20"/>
              </w:rPr>
              <w:t>7.2</w:t>
            </w:r>
            <w:r w:rsidR="009A19DE" w:rsidRPr="00193D3E">
              <w:rPr>
                <w:b/>
                <w:bCs/>
                <w:i/>
                <w:iCs/>
                <w:szCs w:val="20"/>
              </w:rPr>
              <w:t xml:space="preserve"> </w:t>
            </w:r>
          </w:p>
        </w:tc>
        <w:tc>
          <w:tcPr>
            <w:tcW w:w="850" w:type="dxa"/>
            <w:shd w:val="clear" w:color="auto" w:fill="auto"/>
            <w:vAlign w:val="bottom"/>
          </w:tcPr>
          <w:p w14:paraId="5F0F5238" w14:textId="6864525A" w:rsidR="009A19DE" w:rsidRPr="00193D3E" w:rsidRDefault="00D113B3" w:rsidP="002A5816">
            <w:pPr>
              <w:pStyle w:val="Tabletext"/>
              <w:jc w:val="right"/>
              <w:rPr>
                <w:b/>
                <w:bCs/>
                <w:i/>
                <w:iCs/>
              </w:rPr>
            </w:pPr>
            <w:r>
              <w:rPr>
                <w:b/>
                <w:bCs/>
                <w:i/>
                <w:iCs/>
                <w:szCs w:val="20"/>
              </w:rPr>
              <w:t>7.2</w:t>
            </w:r>
            <w:r w:rsidR="009A19DE" w:rsidRPr="00193D3E">
              <w:rPr>
                <w:b/>
                <w:bCs/>
                <w:i/>
                <w:iCs/>
                <w:szCs w:val="20"/>
              </w:rPr>
              <w:t xml:space="preserve"> </w:t>
            </w:r>
          </w:p>
        </w:tc>
        <w:tc>
          <w:tcPr>
            <w:tcW w:w="850" w:type="dxa"/>
            <w:shd w:val="clear" w:color="auto" w:fill="auto"/>
            <w:vAlign w:val="bottom"/>
          </w:tcPr>
          <w:p w14:paraId="69D21059" w14:textId="67ECFCC0" w:rsidR="009A19DE" w:rsidRPr="00193D3E" w:rsidRDefault="009A19DE" w:rsidP="007379DC">
            <w:pPr>
              <w:pStyle w:val="Tabletext"/>
              <w:jc w:val="right"/>
              <w:rPr>
                <w:b/>
                <w:bCs/>
                <w:i/>
                <w:iCs/>
              </w:rPr>
            </w:pPr>
            <w:r w:rsidRPr="00193D3E">
              <w:rPr>
                <w:b/>
                <w:bCs/>
                <w:i/>
                <w:iCs/>
                <w:szCs w:val="20"/>
              </w:rPr>
              <w:t>1</w:t>
            </w:r>
            <w:r w:rsidR="00D113B3">
              <w:rPr>
                <w:b/>
                <w:bCs/>
                <w:i/>
                <w:iCs/>
                <w:szCs w:val="20"/>
              </w:rPr>
              <w:t>6.2</w:t>
            </w:r>
            <w:r w:rsidRPr="00193D3E">
              <w:rPr>
                <w:b/>
                <w:bCs/>
                <w:i/>
                <w:iCs/>
                <w:szCs w:val="20"/>
              </w:rPr>
              <w:t xml:space="preserve"> </w:t>
            </w:r>
          </w:p>
        </w:tc>
        <w:tc>
          <w:tcPr>
            <w:tcW w:w="850" w:type="dxa"/>
            <w:shd w:val="clear" w:color="auto" w:fill="auto"/>
            <w:vAlign w:val="bottom"/>
          </w:tcPr>
          <w:p w14:paraId="3ACA16A6" w14:textId="3E5EA9DE" w:rsidR="009A19DE" w:rsidRPr="00193D3E" w:rsidRDefault="009A19DE" w:rsidP="007379DC">
            <w:pPr>
              <w:pStyle w:val="Tabletext"/>
              <w:jc w:val="right"/>
              <w:rPr>
                <w:b/>
                <w:bCs/>
                <w:i/>
                <w:iCs/>
              </w:rPr>
            </w:pPr>
            <w:r w:rsidRPr="00193D3E">
              <w:rPr>
                <w:b/>
                <w:bCs/>
                <w:i/>
                <w:iCs/>
                <w:szCs w:val="20"/>
              </w:rPr>
              <w:t>3.</w:t>
            </w:r>
            <w:r w:rsidR="00D113B3">
              <w:rPr>
                <w:b/>
                <w:bCs/>
                <w:i/>
                <w:iCs/>
                <w:szCs w:val="20"/>
              </w:rPr>
              <w:t>6</w:t>
            </w:r>
            <w:r w:rsidRPr="00193D3E">
              <w:rPr>
                <w:b/>
                <w:bCs/>
                <w:i/>
                <w:iCs/>
                <w:szCs w:val="20"/>
              </w:rPr>
              <w:t xml:space="preserve"> </w:t>
            </w:r>
          </w:p>
        </w:tc>
        <w:tc>
          <w:tcPr>
            <w:tcW w:w="850" w:type="dxa"/>
            <w:shd w:val="clear" w:color="auto" w:fill="auto"/>
            <w:vAlign w:val="bottom"/>
          </w:tcPr>
          <w:p w14:paraId="75D3C2DB" w14:textId="29B1A8C9" w:rsidR="009A19DE" w:rsidRPr="00193D3E" w:rsidRDefault="00D113B3" w:rsidP="007379DC">
            <w:pPr>
              <w:pStyle w:val="Tabletext"/>
              <w:jc w:val="right"/>
              <w:rPr>
                <w:b/>
                <w:bCs/>
                <w:i/>
                <w:iCs/>
              </w:rPr>
            </w:pPr>
            <w:r>
              <w:rPr>
                <w:b/>
                <w:bCs/>
                <w:i/>
                <w:iCs/>
                <w:szCs w:val="20"/>
              </w:rPr>
              <w:t>7.2</w:t>
            </w:r>
            <w:r w:rsidR="009A19DE" w:rsidRPr="00193D3E">
              <w:rPr>
                <w:b/>
                <w:bCs/>
                <w:i/>
                <w:iCs/>
                <w:szCs w:val="20"/>
              </w:rPr>
              <w:t xml:space="preserve"> </w:t>
            </w:r>
          </w:p>
        </w:tc>
        <w:tc>
          <w:tcPr>
            <w:tcW w:w="850" w:type="dxa"/>
            <w:shd w:val="clear" w:color="auto" w:fill="auto"/>
            <w:vAlign w:val="bottom"/>
          </w:tcPr>
          <w:p w14:paraId="57E7429E" w14:textId="5075BE26" w:rsidR="009A19DE" w:rsidRPr="00193D3E" w:rsidRDefault="00D113B3" w:rsidP="007379DC">
            <w:pPr>
              <w:pStyle w:val="Tabletext"/>
              <w:jc w:val="right"/>
              <w:rPr>
                <w:b/>
                <w:bCs/>
                <w:i/>
                <w:iCs/>
              </w:rPr>
            </w:pPr>
            <w:r>
              <w:rPr>
                <w:b/>
                <w:bCs/>
                <w:i/>
                <w:iCs/>
                <w:szCs w:val="20"/>
              </w:rPr>
              <w:t>9.0</w:t>
            </w:r>
            <w:r w:rsidR="009A19DE" w:rsidRPr="00193D3E">
              <w:rPr>
                <w:b/>
                <w:bCs/>
                <w:i/>
                <w:iCs/>
                <w:szCs w:val="20"/>
              </w:rPr>
              <w:t xml:space="preserve"> </w:t>
            </w:r>
          </w:p>
        </w:tc>
        <w:tc>
          <w:tcPr>
            <w:tcW w:w="851" w:type="dxa"/>
            <w:shd w:val="clear" w:color="auto" w:fill="auto"/>
            <w:vAlign w:val="bottom"/>
          </w:tcPr>
          <w:p w14:paraId="5DF3995D" w14:textId="4F47D7F0" w:rsidR="009A19DE" w:rsidRPr="00193D3E" w:rsidRDefault="00D113B3" w:rsidP="007379DC">
            <w:pPr>
              <w:pStyle w:val="Tabletext"/>
              <w:jc w:val="right"/>
              <w:rPr>
                <w:b/>
                <w:bCs/>
                <w:i/>
                <w:iCs/>
              </w:rPr>
            </w:pPr>
            <w:r>
              <w:rPr>
                <w:b/>
                <w:bCs/>
                <w:i/>
                <w:iCs/>
                <w:szCs w:val="20"/>
              </w:rPr>
              <w:t>7.2</w:t>
            </w:r>
            <w:r w:rsidR="009A19DE" w:rsidRPr="00193D3E">
              <w:rPr>
                <w:b/>
                <w:bCs/>
                <w:i/>
                <w:iCs/>
                <w:szCs w:val="20"/>
              </w:rPr>
              <w:t xml:space="preserve"> </w:t>
            </w:r>
          </w:p>
        </w:tc>
      </w:tr>
      <w:tr w:rsidR="009A19DE" w14:paraId="3922E370" w14:textId="77777777" w:rsidTr="009A19DE">
        <w:trPr>
          <w:gridBefore w:val="1"/>
          <w:gridAfter w:val="1"/>
          <w:wBefore w:w="454" w:type="dxa"/>
          <w:wAfter w:w="850" w:type="dxa"/>
        </w:trPr>
        <w:tc>
          <w:tcPr>
            <w:tcW w:w="2247" w:type="dxa"/>
            <w:shd w:val="clear" w:color="auto" w:fill="auto"/>
          </w:tcPr>
          <w:p w14:paraId="7CD30DB6" w14:textId="46F4FCB9" w:rsidR="009A19DE" w:rsidRPr="009F0927" w:rsidRDefault="009A19DE" w:rsidP="009A19DE">
            <w:pPr>
              <w:pStyle w:val="Tabletext"/>
              <w:rPr>
                <w:b/>
                <w:bCs/>
                <w:i/>
                <w:iCs/>
              </w:rPr>
            </w:pPr>
            <w:r>
              <w:rPr>
                <w:b/>
                <w:bCs/>
                <w:i/>
                <w:iCs/>
              </w:rPr>
              <w:t>D</w:t>
            </w:r>
            <w:r w:rsidRPr="009F0927">
              <w:rPr>
                <w:b/>
                <w:bCs/>
                <w:i/>
                <w:iCs/>
              </w:rPr>
              <w:t xml:space="preserve">iscounted @7% </w:t>
            </w:r>
          </w:p>
        </w:tc>
        <w:tc>
          <w:tcPr>
            <w:tcW w:w="850" w:type="dxa"/>
            <w:shd w:val="clear" w:color="auto" w:fill="auto"/>
            <w:vAlign w:val="bottom"/>
          </w:tcPr>
          <w:p w14:paraId="47C20996" w14:textId="617E7EEA" w:rsidR="009A19DE" w:rsidRPr="00193D3E" w:rsidRDefault="009A19DE" w:rsidP="00CF663D">
            <w:pPr>
              <w:pStyle w:val="Tabletext"/>
              <w:jc w:val="right"/>
              <w:rPr>
                <w:b/>
                <w:bCs/>
                <w:i/>
                <w:iCs/>
              </w:rPr>
            </w:pPr>
            <w:r w:rsidRPr="00193D3E">
              <w:rPr>
                <w:b/>
                <w:bCs/>
                <w:i/>
                <w:iCs/>
                <w:szCs w:val="20"/>
              </w:rPr>
              <w:t>2</w:t>
            </w:r>
            <w:r w:rsidR="00D113B3">
              <w:rPr>
                <w:b/>
                <w:bCs/>
                <w:i/>
                <w:iCs/>
                <w:szCs w:val="20"/>
              </w:rPr>
              <w:t>9.1</w:t>
            </w:r>
          </w:p>
        </w:tc>
        <w:tc>
          <w:tcPr>
            <w:tcW w:w="850" w:type="dxa"/>
            <w:shd w:val="clear" w:color="auto" w:fill="auto"/>
            <w:vAlign w:val="bottom"/>
          </w:tcPr>
          <w:p w14:paraId="79F68CBD" w14:textId="66BC1CAF" w:rsidR="009A19DE" w:rsidRPr="00193D3E" w:rsidRDefault="009A19DE" w:rsidP="002A5816">
            <w:pPr>
              <w:pStyle w:val="Tabletext"/>
              <w:jc w:val="right"/>
              <w:rPr>
                <w:b/>
                <w:bCs/>
                <w:i/>
                <w:iCs/>
              </w:rPr>
            </w:pPr>
            <w:r w:rsidRPr="00193D3E">
              <w:rPr>
                <w:b/>
                <w:bCs/>
                <w:i/>
                <w:iCs/>
                <w:szCs w:val="20"/>
              </w:rPr>
              <w:t>4.</w:t>
            </w:r>
            <w:r w:rsidR="00D113B3">
              <w:rPr>
                <w:b/>
                <w:bCs/>
                <w:i/>
                <w:iCs/>
                <w:szCs w:val="20"/>
              </w:rPr>
              <w:t>4</w:t>
            </w:r>
          </w:p>
        </w:tc>
        <w:tc>
          <w:tcPr>
            <w:tcW w:w="850" w:type="dxa"/>
            <w:shd w:val="clear" w:color="auto" w:fill="auto"/>
            <w:vAlign w:val="bottom"/>
          </w:tcPr>
          <w:p w14:paraId="02823948" w14:textId="56877679" w:rsidR="009A19DE" w:rsidRPr="00193D3E" w:rsidRDefault="009A19DE" w:rsidP="007379DC">
            <w:pPr>
              <w:pStyle w:val="Tabletext"/>
              <w:jc w:val="right"/>
              <w:rPr>
                <w:b/>
                <w:bCs/>
                <w:i/>
                <w:iCs/>
              </w:rPr>
            </w:pPr>
            <w:r w:rsidRPr="00193D3E">
              <w:rPr>
                <w:b/>
                <w:bCs/>
                <w:i/>
                <w:iCs/>
                <w:szCs w:val="20"/>
              </w:rPr>
              <w:t>5.</w:t>
            </w:r>
            <w:r w:rsidR="00D113B3">
              <w:rPr>
                <w:b/>
                <w:bCs/>
                <w:i/>
                <w:iCs/>
                <w:szCs w:val="20"/>
              </w:rPr>
              <w:t>8</w:t>
            </w:r>
          </w:p>
        </w:tc>
        <w:tc>
          <w:tcPr>
            <w:tcW w:w="850" w:type="dxa"/>
            <w:shd w:val="clear" w:color="auto" w:fill="auto"/>
            <w:vAlign w:val="bottom"/>
          </w:tcPr>
          <w:p w14:paraId="58DC3421" w14:textId="40045859" w:rsidR="009A19DE" w:rsidRPr="00193D3E" w:rsidRDefault="009A19DE" w:rsidP="007379DC">
            <w:pPr>
              <w:pStyle w:val="Tabletext"/>
              <w:jc w:val="right"/>
              <w:rPr>
                <w:b/>
                <w:bCs/>
                <w:i/>
                <w:iCs/>
              </w:rPr>
            </w:pPr>
            <w:r w:rsidRPr="00193D3E">
              <w:rPr>
                <w:b/>
                <w:bCs/>
                <w:i/>
                <w:iCs/>
                <w:szCs w:val="20"/>
              </w:rPr>
              <w:t>5.</w:t>
            </w:r>
            <w:r w:rsidR="00D113B3">
              <w:rPr>
                <w:b/>
                <w:bCs/>
                <w:i/>
                <w:iCs/>
                <w:szCs w:val="20"/>
              </w:rPr>
              <w:t>8</w:t>
            </w:r>
          </w:p>
        </w:tc>
        <w:tc>
          <w:tcPr>
            <w:tcW w:w="850" w:type="dxa"/>
            <w:shd w:val="clear" w:color="auto" w:fill="auto"/>
            <w:vAlign w:val="bottom"/>
          </w:tcPr>
          <w:p w14:paraId="12C8BFF1" w14:textId="2F9AA3DC" w:rsidR="009A19DE" w:rsidRPr="00193D3E" w:rsidRDefault="009A19DE" w:rsidP="007379DC">
            <w:pPr>
              <w:pStyle w:val="Tabletext"/>
              <w:jc w:val="right"/>
              <w:rPr>
                <w:b/>
                <w:bCs/>
                <w:i/>
                <w:iCs/>
              </w:rPr>
            </w:pPr>
            <w:r w:rsidRPr="00193D3E">
              <w:rPr>
                <w:b/>
                <w:bCs/>
                <w:i/>
                <w:iCs/>
                <w:szCs w:val="20"/>
              </w:rPr>
              <w:t>1</w:t>
            </w:r>
            <w:r w:rsidR="00D113B3">
              <w:rPr>
                <w:b/>
                <w:bCs/>
                <w:i/>
                <w:iCs/>
                <w:szCs w:val="20"/>
              </w:rPr>
              <w:t>3.1</w:t>
            </w:r>
          </w:p>
        </w:tc>
        <w:tc>
          <w:tcPr>
            <w:tcW w:w="850" w:type="dxa"/>
            <w:shd w:val="clear" w:color="auto" w:fill="auto"/>
            <w:vAlign w:val="bottom"/>
          </w:tcPr>
          <w:p w14:paraId="3A7844E3" w14:textId="1F2DF127" w:rsidR="009A19DE" w:rsidRPr="00193D3E" w:rsidRDefault="009A19DE" w:rsidP="007379DC">
            <w:pPr>
              <w:pStyle w:val="Tabletext"/>
              <w:jc w:val="right"/>
              <w:rPr>
                <w:b/>
                <w:bCs/>
                <w:i/>
                <w:iCs/>
              </w:rPr>
            </w:pPr>
            <w:r w:rsidRPr="00193D3E">
              <w:rPr>
                <w:b/>
                <w:bCs/>
                <w:i/>
                <w:iCs/>
                <w:szCs w:val="20"/>
              </w:rPr>
              <w:t>2.</w:t>
            </w:r>
            <w:r w:rsidR="00D113B3">
              <w:rPr>
                <w:b/>
                <w:bCs/>
                <w:i/>
                <w:iCs/>
                <w:szCs w:val="20"/>
              </w:rPr>
              <w:t>9</w:t>
            </w:r>
          </w:p>
        </w:tc>
        <w:tc>
          <w:tcPr>
            <w:tcW w:w="850" w:type="dxa"/>
            <w:shd w:val="clear" w:color="auto" w:fill="auto"/>
            <w:vAlign w:val="bottom"/>
          </w:tcPr>
          <w:p w14:paraId="32F7851E" w14:textId="71AD4745" w:rsidR="009A19DE" w:rsidRPr="00193D3E" w:rsidRDefault="009A19DE" w:rsidP="007379DC">
            <w:pPr>
              <w:pStyle w:val="Tabletext"/>
              <w:jc w:val="right"/>
              <w:rPr>
                <w:b/>
                <w:bCs/>
                <w:i/>
                <w:iCs/>
              </w:rPr>
            </w:pPr>
            <w:r w:rsidRPr="00193D3E">
              <w:rPr>
                <w:b/>
                <w:bCs/>
                <w:i/>
                <w:iCs/>
                <w:szCs w:val="20"/>
              </w:rPr>
              <w:t>5.</w:t>
            </w:r>
            <w:r w:rsidR="00D113B3">
              <w:rPr>
                <w:b/>
                <w:bCs/>
                <w:i/>
                <w:iCs/>
                <w:szCs w:val="20"/>
              </w:rPr>
              <w:t>8</w:t>
            </w:r>
          </w:p>
        </w:tc>
        <w:tc>
          <w:tcPr>
            <w:tcW w:w="850" w:type="dxa"/>
            <w:shd w:val="clear" w:color="auto" w:fill="auto"/>
            <w:vAlign w:val="bottom"/>
          </w:tcPr>
          <w:p w14:paraId="5CBAA2C5" w14:textId="5EEF2294" w:rsidR="009A19DE" w:rsidRPr="00193D3E" w:rsidRDefault="00D113B3" w:rsidP="007379DC">
            <w:pPr>
              <w:pStyle w:val="Tabletext"/>
              <w:jc w:val="right"/>
              <w:rPr>
                <w:b/>
                <w:bCs/>
                <w:i/>
                <w:iCs/>
              </w:rPr>
            </w:pPr>
            <w:r>
              <w:rPr>
                <w:b/>
                <w:bCs/>
                <w:i/>
                <w:iCs/>
                <w:szCs w:val="20"/>
              </w:rPr>
              <w:t>7.3</w:t>
            </w:r>
          </w:p>
        </w:tc>
        <w:tc>
          <w:tcPr>
            <w:tcW w:w="851" w:type="dxa"/>
            <w:shd w:val="clear" w:color="auto" w:fill="auto"/>
            <w:vAlign w:val="bottom"/>
          </w:tcPr>
          <w:p w14:paraId="7F03355B" w14:textId="0F692062" w:rsidR="009A19DE" w:rsidRPr="00193D3E" w:rsidRDefault="009A19DE" w:rsidP="007379DC">
            <w:pPr>
              <w:pStyle w:val="Tabletext"/>
              <w:jc w:val="right"/>
              <w:rPr>
                <w:b/>
                <w:bCs/>
                <w:i/>
                <w:iCs/>
              </w:rPr>
            </w:pPr>
            <w:r w:rsidRPr="00193D3E">
              <w:rPr>
                <w:b/>
                <w:bCs/>
                <w:i/>
                <w:iCs/>
                <w:szCs w:val="20"/>
              </w:rPr>
              <w:t>5.</w:t>
            </w:r>
            <w:r w:rsidR="00D113B3">
              <w:rPr>
                <w:b/>
                <w:bCs/>
                <w:i/>
                <w:iCs/>
                <w:szCs w:val="20"/>
              </w:rPr>
              <w:t>8</w:t>
            </w:r>
          </w:p>
        </w:tc>
      </w:tr>
      <w:tr w:rsidR="009A19DE" w14:paraId="38775DF4" w14:textId="77777777" w:rsidTr="009A19DE">
        <w:trPr>
          <w:gridBefore w:val="1"/>
          <w:gridAfter w:val="1"/>
          <w:wBefore w:w="454" w:type="dxa"/>
          <w:wAfter w:w="850" w:type="dxa"/>
        </w:trPr>
        <w:tc>
          <w:tcPr>
            <w:tcW w:w="2247" w:type="dxa"/>
            <w:tcBorders>
              <w:bottom w:val="single" w:sz="4" w:space="0" w:color="646464"/>
            </w:tcBorders>
            <w:shd w:val="clear" w:color="auto" w:fill="CAE4EE" w:themeFill="accent5" w:themeFillTint="66"/>
          </w:tcPr>
          <w:p w14:paraId="23BC06B6" w14:textId="1E4AEBBB" w:rsidR="009A19DE" w:rsidRPr="009F0927" w:rsidRDefault="009A19DE" w:rsidP="009A19DE">
            <w:pPr>
              <w:pStyle w:val="Tabletext"/>
              <w:keepNext/>
              <w:rPr>
                <w:b/>
                <w:bCs/>
                <w:i/>
                <w:iCs/>
              </w:rPr>
            </w:pPr>
            <w:r>
              <w:rPr>
                <w:b/>
                <w:bCs/>
              </w:rPr>
              <w:t>BENEFIT COST RATIO</w:t>
            </w:r>
          </w:p>
        </w:tc>
        <w:tc>
          <w:tcPr>
            <w:tcW w:w="850" w:type="dxa"/>
            <w:tcBorders>
              <w:bottom w:val="single" w:sz="4" w:space="0" w:color="646464"/>
            </w:tcBorders>
            <w:shd w:val="clear" w:color="auto" w:fill="CAE4EE" w:themeFill="accent5" w:themeFillTint="66"/>
            <w:vAlign w:val="bottom"/>
          </w:tcPr>
          <w:p w14:paraId="7F5A2FC2"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41E715CB"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593BF160"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BA7C78A"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1E9EE6E8"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510D09CD"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7C3DEE29" w14:textId="77777777" w:rsidR="009A19DE" w:rsidRPr="00193D3E" w:rsidRDefault="009A19DE" w:rsidP="009A19DE">
            <w:pPr>
              <w:pStyle w:val="Tabletext"/>
              <w:keepNext/>
              <w:jc w:val="right"/>
              <w:rPr>
                <w:b/>
                <w:bCs/>
                <w:i/>
                <w:iCs/>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EE6A24A" w14:textId="77777777" w:rsidR="009A19DE" w:rsidRPr="00193D3E" w:rsidRDefault="009A19DE" w:rsidP="009A19DE">
            <w:pPr>
              <w:pStyle w:val="Tabletext"/>
              <w:keepNext/>
              <w:jc w:val="right"/>
              <w:rPr>
                <w:b/>
                <w:bCs/>
                <w:i/>
                <w:iCs/>
              </w:rPr>
            </w:pPr>
            <w:r w:rsidRPr="00193D3E">
              <w:rPr>
                <w:b/>
                <w:bCs/>
                <w:i/>
                <w:iCs/>
                <w:szCs w:val="20"/>
              </w:rPr>
              <w:t> </w:t>
            </w:r>
          </w:p>
        </w:tc>
        <w:tc>
          <w:tcPr>
            <w:tcW w:w="851" w:type="dxa"/>
            <w:tcBorders>
              <w:bottom w:val="single" w:sz="4" w:space="0" w:color="646464"/>
            </w:tcBorders>
            <w:shd w:val="clear" w:color="auto" w:fill="CAE4EE" w:themeFill="accent5" w:themeFillTint="66"/>
            <w:vAlign w:val="bottom"/>
          </w:tcPr>
          <w:p w14:paraId="20ECD36A" w14:textId="77777777" w:rsidR="009A19DE" w:rsidRPr="00193D3E" w:rsidRDefault="009A19DE" w:rsidP="009A19DE">
            <w:pPr>
              <w:pStyle w:val="Tabletext"/>
              <w:keepNext/>
              <w:jc w:val="right"/>
              <w:rPr>
                <w:b/>
                <w:bCs/>
                <w:i/>
                <w:iCs/>
              </w:rPr>
            </w:pPr>
            <w:r w:rsidRPr="00193D3E">
              <w:rPr>
                <w:b/>
                <w:bCs/>
                <w:i/>
                <w:iCs/>
                <w:szCs w:val="20"/>
              </w:rPr>
              <w:t> </w:t>
            </w:r>
          </w:p>
        </w:tc>
      </w:tr>
      <w:tr w:rsidR="009A19DE" w14:paraId="413ECC53" w14:textId="77777777" w:rsidTr="009A19DE">
        <w:trPr>
          <w:gridBefore w:val="1"/>
          <w:gridAfter w:val="1"/>
          <w:wBefore w:w="454" w:type="dxa"/>
          <w:wAfter w:w="850" w:type="dxa"/>
        </w:trPr>
        <w:tc>
          <w:tcPr>
            <w:tcW w:w="2247" w:type="dxa"/>
            <w:tcBorders>
              <w:top w:val="single" w:sz="4" w:space="0" w:color="646464"/>
              <w:bottom w:val="single" w:sz="4" w:space="0" w:color="646464"/>
            </w:tcBorders>
            <w:shd w:val="clear" w:color="auto" w:fill="E5E5E5"/>
          </w:tcPr>
          <w:p w14:paraId="75B98A39" w14:textId="78A7BE16" w:rsidR="009A19DE" w:rsidRPr="00193D3E" w:rsidRDefault="009A19DE" w:rsidP="009A19DE">
            <w:pPr>
              <w:pStyle w:val="Tabletext"/>
              <w:rPr>
                <w:b/>
                <w:bCs/>
                <w:i/>
                <w:iCs/>
              </w:rPr>
            </w:pPr>
            <w:r w:rsidRPr="00193D3E">
              <w:rPr>
                <w:b/>
                <w:bCs/>
                <w:i/>
                <w:iCs/>
              </w:rPr>
              <w:t>Undiscounted</w:t>
            </w:r>
          </w:p>
        </w:tc>
        <w:tc>
          <w:tcPr>
            <w:tcW w:w="850" w:type="dxa"/>
            <w:tcBorders>
              <w:top w:val="single" w:sz="4" w:space="0" w:color="646464"/>
              <w:bottom w:val="single" w:sz="4" w:space="0" w:color="646464"/>
            </w:tcBorders>
            <w:shd w:val="clear" w:color="auto" w:fill="E5E5E5"/>
            <w:vAlign w:val="bottom"/>
          </w:tcPr>
          <w:p w14:paraId="69F894D1" w14:textId="4D32E3A5" w:rsidR="009A19DE" w:rsidRPr="00193D3E" w:rsidRDefault="00D113B3" w:rsidP="00CF663D">
            <w:pPr>
              <w:pStyle w:val="Tabletext"/>
              <w:jc w:val="right"/>
              <w:rPr>
                <w:b/>
                <w:bCs/>
                <w:i/>
                <w:iCs/>
                <w:szCs w:val="20"/>
              </w:rPr>
            </w:pPr>
            <w:r>
              <w:rPr>
                <w:b/>
                <w:bCs/>
                <w:i/>
                <w:iCs/>
                <w:szCs w:val="20"/>
              </w:rPr>
              <w:t>13.9</w:t>
            </w:r>
          </w:p>
        </w:tc>
        <w:tc>
          <w:tcPr>
            <w:tcW w:w="850" w:type="dxa"/>
            <w:tcBorders>
              <w:top w:val="single" w:sz="4" w:space="0" w:color="646464"/>
              <w:bottom w:val="single" w:sz="4" w:space="0" w:color="646464"/>
            </w:tcBorders>
            <w:shd w:val="clear" w:color="auto" w:fill="E5E5E5"/>
            <w:vAlign w:val="bottom"/>
          </w:tcPr>
          <w:p w14:paraId="007211F0" w14:textId="2E017127" w:rsidR="009A19DE" w:rsidRPr="00193D3E" w:rsidRDefault="00D113B3" w:rsidP="002A5816">
            <w:pPr>
              <w:pStyle w:val="Tabletext"/>
              <w:jc w:val="right"/>
              <w:rPr>
                <w:b/>
                <w:bCs/>
                <w:i/>
                <w:iCs/>
                <w:szCs w:val="20"/>
              </w:rPr>
            </w:pPr>
            <w:r>
              <w:rPr>
                <w:b/>
                <w:bCs/>
                <w:i/>
                <w:iCs/>
                <w:szCs w:val="20"/>
              </w:rPr>
              <w:t>2.</w:t>
            </w:r>
            <w:r w:rsidR="009A19DE" w:rsidRPr="00193D3E">
              <w:rPr>
                <w:b/>
                <w:bCs/>
                <w:i/>
                <w:iCs/>
                <w:szCs w:val="20"/>
              </w:rPr>
              <w:t>1</w:t>
            </w:r>
          </w:p>
        </w:tc>
        <w:tc>
          <w:tcPr>
            <w:tcW w:w="850" w:type="dxa"/>
            <w:tcBorders>
              <w:top w:val="single" w:sz="4" w:space="0" w:color="646464"/>
              <w:bottom w:val="single" w:sz="4" w:space="0" w:color="646464"/>
            </w:tcBorders>
            <w:shd w:val="clear" w:color="auto" w:fill="E5E5E5"/>
            <w:vAlign w:val="bottom"/>
          </w:tcPr>
          <w:p w14:paraId="3326C8E7" w14:textId="44FE3C1C" w:rsidR="009A19DE" w:rsidRPr="00193D3E" w:rsidRDefault="00D113B3" w:rsidP="007379DC">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71F61FE8" w14:textId="67ABB977" w:rsidR="009A19DE" w:rsidRPr="00193D3E" w:rsidRDefault="00D113B3" w:rsidP="007379DC">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0A32F265" w14:textId="22F0DE2F" w:rsidR="009A19DE" w:rsidRPr="00193D3E" w:rsidRDefault="00D113B3" w:rsidP="007379DC">
            <w:pPr>
              <w:pStyle w:val="Tabletext"/>
              <w:jc w:val="right"/>
              <w:rPr>
                <w:b/>
                <w:bCs/>
                <w:i/>
                <w:iCs/>
                <w:szCs w:val="20"/>
              </w:rPr>
            </w:pPr>
            <w:r>
              <w:rPr>
                <w:b/>
                <w:bCs/>
                <w:i/>
                <w:iCs/>
                <w:szCs w:val="20"/>
              </w:rPr>
              <w:t>6.2</w:t>
            </w:r>
          </w:p>
        </w:tc>
        <w:tc>
          <w:tcPr>
            <w:tcW w:w="850" w:type="dxa"/>
            <w:tcBorders>
              <w:top w:val="single" w:sz="4" w:space="0" w:color="646464"/>
              <w:bottom w:val="single" w:sz="4" w:space="0" w:color="646464"/>
            </w:tcBorders>
            <w:shd w:val="clear" w:color="auto" w:fill="E5E5E5"/>
            <w:vAlign w:val="bottom"/>
          </w:tcPr>
          <w:p w14:paraId="5F89C629" w14:textId="6A858AD7" w:rsidR="009A19DE" w:rsidRPr="00193D3E" w:rsidRDefault="00D113B3" w:rsidP="007379DC">
            <w:pPr>
              <w:pStyle w:val="Tabletext"/>
              <w:jc w:val="right"/>
              <w:rPr>
                <w:b/>
                <w:bCs/>
                <w:i/>
                <w:iCs/>
                <w:szCs w:val="20"/>
              </w:rPr>
            </w:pPr>
            <w:r>
              <w:rPr>
                <w:b/>
                <w:bCs/>
                <w:i/>
                <w:iCs/>
                <w:szCs w:val="20"/>
              </w:rPr>
              <w:t>1.4</w:t>
            </w:r>
          </w:p>
        </w:tc>
        <w:tc>
          <w:tcPr>
            <w:tcW w:w="850" w:type="dxa"/>
            <w:tcBorders>
              <w:top w:val="single" w:sz="4" w:space="0" w:color="646464"/>
              <w:bottom w:val="single" w:sz="4" w:space="0" w:color="646464"/>
            </w:tcBorders>
            <w:shd w:val="clear" w:color="auto" w:fill="E5E5E5"/>
            <w:vAlign w:val="bottom"/>
          </w:tcPr>
          <w:p w14:paraId="4383F8F2" w14:textId="734E7BE1" w:rsidR="009A19DE" w:rsidRPr="00193D3E" w:rsidRDefault="00D113B3" w:rsidP="007379DC">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38F244E4" w14:textId="6EA8F4D0" w:rsidR="009A19DE" w:rsidRPr="00193D3E" w:rsidRDefault="00D113B3" w:rsidP="007379DC">
            <w:pPr>
              <w:pStyle w:val="Tabletext"/>
              <w:jc w:val="right"/>
              <w:rPr>
                <w:b/>
                <w:bCs/>
                <w:i/>
                <w:iCs/>
                <w:szCs w:val="20"/>
              </w:rPr>
            </w:pPr>
            <w:r>
              <w:rPr>
                <w:b/>
                <w:bCs/>
                <w:i/>
                <w:iCs/>
                <w:szCs w:val="20"/>
              </w:rPr>
              <w:t>3.5</w:t>
            </w:r>
          </w:p>
        </w:tc>
        <w:tc>
          <w:tcPr>
            <w:tcW w:w="851" w:type="dxa"/>
            <w:tcBorders>
              <w:top w:val="single" w:sz="4" w:space="0" w:color="646464"/>
              <w:bottom w:val="single" w:sz="4" w:space="0" w:color="646464"/>
            </w:tcBorders>
            <w:shd w:val="clear" w:color="auto" w:fill="E5E5E5"/>
            <w:vAlign w:val="bottom"/>
          </w:tcPr>
          <w:p w14:paraId="4149A4A9" w14:textId="3F6C69C3" w:rsidR="009A19DE" w:rsidRPr="00193D3E" w:rsidRDefault="00D113B3" w:rsidP="007379DC">
            <w:pPr>
              <w:pStyle w:val="Tabletext"/>
              <w:jc w:val="right"/>
              <w:rPr>
                <w:b/>
                <w:bCs/>
                <w:i/>
                <w:iCs/>
                <w:szCs w:val="20"/>
              </w:rPr>
            </w:pPr>
            <w:r>
              <w:rPr>
                <w:b/>
                <w:bCs/>
                <w:i/>
                <w:iCs/>
                <w:szCs w:val="20"/>
              </w:rPr>
              <w:t>2.8</w:t>
            </w:r>
          </w:p>
        </w:tc>
      </w:tr>
      <w:tr w:rsidR="009A19DE" w14:paraId="6BFBC325" w14:textId="77777777" w:rsidTr="009A19DE">
        <w:trPr>
          <w:gridBefore w:val="1"/>
          <w:gridAfter w:val="1"/>
          <w:wBefore w:w="454" w:type="dxa"/>
          <w:wAfter w:w="850" w:type="dxa"/>
        </w:trPr>
        <w:tc>
          <w:tcPr>
            <w:tcW w:w="2247" w:type="dxa"/>
            <w:tcBorders>
              <w:top w:val="single" w:sz="4" w:space="0" w:color="646464"/>
            </w:tcBorders>
            <w:shd w:val="clear" w:color="auto" w:fill="E5E5E5"/>
          </w:tcPr>
          <w:p w14:paraId="0E720C25" w14:textId="56345D48" w:rsidR="009A19DE" w:rsidRPr="00193D3E" w:rsidRDefault="009A19DE" w:rsidP="009A19DE">
            <w:pPr>
              <w:pStyle w:val="Tabletext"/>
              <w:rPr>
                <w:b/>
                <w:bCs/>
                <w:i/>
                <w:iCs/>
              </w:rPr>
            </w:pPr>
            <w:r w:rsidRPr="00193D3E">
              <w:rPr>
                <w:b/>
                <w:bCs/>
                <w:i/>
                <w:iCs/>
              </w:rPr>
              <w:t xml:space="preserve">Discounted @7% </w:t>
            </w:r>
          </w:p>
        </w:tc>
        <w:tc>
          <w:tcPr>
            <w:tcW w:w="850" w:type="dxa"/>
            <w:tcBorders>
              <w:top w:val="single" w:sz="4" w:space="0" w:color="646464"/>
            </w:tcBorders>
            <w:shd w:val="clear" w:color="auto" w:fill="E5E5E5"/>
            <w:vAlign w:val="bottom"/>
          </w:tcPr>
          <w:p w14:paraId="4848985F" w14:textId="72121C3F" w:rsidR="009A19DE" w:rsidRPr="00193D3E" w:rsidRDefault="00D113B3" w:rsidP="00CF663D">
            <w:pPr>
              <w:pStyle w:val="Tabletext"/>
              <w:jc w:val="right"/>
              <w:rPr>
                <w:b/>
                <w:bCs/>
                <w:i/>
                <w:iCs/>
                <w:szCs w:val="20"/>
              </w:rPr>
            </w:pPr>
            <w:r>
              <w:rPr>
                <w:b/>
                <w:bCs/>
                <w:i/>
                <w:iCs/>
                <w:szCs w:val="20"/>
              </w:rPr>
              <w:t>16.0</w:t>
            </w:r>
          </w:p>
        </w:tc>
        <w:tc>
          <w:tcPr>
            <w:tcW w:w="850" w:type="dxa"/>
            <w:tcBorders>
              <w:top w:val="single" w:sz="4" w:space="0" w:color="646464"/>
            </w:tcBorders>
            <w:shd w:val="clear" w:color="auto" w:fill="E5E5E5"/>
            <w:vAlign w:val="bottom"/>
          </w:tcPr>
          <w:p w14:paraId="240A3F71" w14:textId="462F57AD" w:rsidR="009A19DE" w:rsidRPr="00193D3E" w:rsidRDefault="00D113B3" w:rsidP="002A5816">
            <w:pPr>
              <w:pStyle w:val="Tabletext"/>
              <w:jc w:val="right"/>
              <w:rPr>
                <w:b/>
                <w:bCs/>
                <w:i/>
                <w:iCs/>
                <w:szCs w:val="20"/>
              </w:rPr>
            </w:pPr>
            <w:r>
              <w:rPr>
                <w:b/>
                <w:bCs/>
                <w:i/>
                <w:iCs/>
                <w:szCs w:val="20"/>
              </w:rPr>
              <w:t>2.4</w:t>
            </w:r>
          </w:p>
        </w:tc>
        <w:tc>
          <w:tcPr>
            <w:tcW w:w="850" w:type="dxa"/>
            <w:tcBorders>
              <w:top w:val="single" w:sz="4" w:space="0" w:color="646464"/>
            </w:tcBorders>
            <w:shd w:val="clear" w:color="auto" w:fill="E5E5E5"/>
            <w:vAlign w:val="bottom"/>
          </w:tcPr>
          <w:p w14:paraId="38309E1B" w14:textId="4D52F48E" w:rsidR="009A19DE" w:rsidRPr="00193D3E" w:rsidRDefault="00D113B3" w:rsidP="007379DC">
            <w:pPr>
              <w:pStyle w:val="Tabletext"/>
              <w:jc w:val="right"/>
              <w:rPr>
                <w:b/>
                <w:bCs/>
                <w:i/>
                <w:iCs/>
                <w:szCs w:val="20"/>
              </w:rPr>
            </w:pPr>
            <w:r>
              <w:rPr>
                <w:b/>
                <w:bCs/>
                <w:i/>
                <w:iCs/>
                <w:szCs w:val="20"/>
              </w:rPr>
              <w:t>3.2</w:t>
            </w:r>
          </w:p>
        </w:tc>
        <w:tc>
          <w:tcPr>
            <w:tcW w:w="850" w:type="dxa"/>
            <w:tcBorders>
              <w:top w:val="single" w:sz="4" w:space="0" w:color="646464"/>
            </w:tcBorders>
            <w:shd w:val="clear" w:color="auto" w:fill="E5E5E5"/>
            <w:vAlign w:val="bottom"/>
          </w:tcPr>
          <w:p w14:paraId="3C2E334C" w14:textId="2EE1F583" w:rsidR="009A19DE" w:rsidRPr="00193D3E" w:rsidRDefault="00D113B3" w:rsidP="007379DC">
            <w:pPr>
              <w:pStyle w:val="Tabletext"/>
              <w:jc w:val="right"/>
              <w:rPr>
                <w:b/>
                <w:bCs/>
                <w:i/>
                <w:iCs/>
                <w:szCs w:val="20"/>
              </w:rPr>
            </w:pPr>
            <w:r>
              <w:rPr>
                <w:b/>
                <w:bCs/>
                <w:i/>
                <w:iCs/>
                <w:szCs w:val="20"/>
              </w:rPr>
              <w:t>3.2</w:t>
            </w:r>
          </w:p>
        </w:tc>
        <w:tc>
          <w:tcPr>
            <w:tcW w:w="850" w:type="dxa"/>
            <w:tcBorders>
              <w:top w:val="single" w:sz="4" w:space="0" w:color="646464"/>
            </w:tcBorders>
            <w:shd w:val="clear" w:color="auto" w:fill="E5E5E5"/>
            <w:vAlign w:val="bottom"/>
          </w:tcPr>
          <w:p w14:paraId="5372BB02" w14:textId="52D5D951" w:rsidR="009A19DE" w:rsidRPr="00193D3E" w:rsidRDefault="00D113B3" w:rsidP="007379DC">
            <w:pPr>
              <w:pStyle w:val="Tabletext"/>
              <w:jc w:val="right"/>
              <w:rPr>
                <w:b/>
                <w:bCs/>
                <w:i/>
                <w:iCs/>
                <w:szCs w:val="20"/>
              </w:rPr>
            </w:pPr>
            <w:r>
              <w:rPr>
                <w:b/>
                <w:bCs/>
                <w:i/>
                <w:iCs/>
                <w:szCs w:val="20"/>
              </w:rPr>
              <w:t>7.2</w:t>
            </w:r>
          </w:p>
        </w:tc>
        <w:tc>
          <w:tcPr>
            <w:tcW w:w="850" w:type="dxa"/>
            <w:tcBorders>
              <w:top w:val="single" w:sz="4" w:space="0" w:color="646464"/>
            </w:tcBorders>
            <w:shd w:val="clear" w:color="auto" w:fill="E5E5E5"/>
            <w:vAlign w:val="bottom"/>
          </w:tcPr>
          <w:p w14:paraId="737D11BE" w14:textId="1F9A4BD6" w:rsidR="009A19DE" w:rsidRPr="00193D3E" w:rsidRDefault="00D113B3" w:rsidP="007379DC">
            <w:pPr>
              <w:pStyle w:val="Tabletext"/>
              <w:jc w:val="right"/>
              <w:rPr>
                <w:b/>
                <w:bCs/>
                <w:i/>
                <w:iCs/>
                <w:szCs w:val="20"/>
              </w:rPr>
            </w:pPr>
            <w:r>
              <w:rPr>
                <w:b/>
                <w:bCs/>
                <w:i/>
                <w:iCs/>
                <w:szCs w:val="20"/>
              </w:rPr>
              <w:t>1.6</w:t>
            </w:r>
          </w:p>
        </w:tc>
        <w:tc>
          <w:tcPr>
            <w:tcW w:w="850" w:type="dxa"/>
            <w:tcBorders>
              <w:top w:val="single" w:sz="4" w:space="0" w:color="646464"/>
            </w:tcBorders>
            <w:shd w:val="clear" w:color="auto" w:fill="E5E5E5"/>
            <w:vAlign w:val="bottom"/>
          </w:tcPr>
          <w:p w14:paraId="201E93F2" w14:textId="1D11A743" w:rsidR="009A19DE" w:rsidRPr="00193D3E" w:rsidRDefault="00D113B3" w:rsidP="007379DC">
            <w:pPr>
              <w:pStyle w:val="Tabletext"/>
              <w:jc w:val="right"/>
              <w:rPr>
                <w:b/>
                <w:bCs/>
                <w:i/>
                <w:iCs/>
                <w:szCs w:val="20"/>
              </w:rPr>
            </w:pPr>
            <w:r>
              <w:rPr>
                <w:b/>
                <w:bCs/>
                <w:i/>
                <w:iCs/>
                <w:szCs w:val="20"/>
              </w:rPr>
              <w:t>3.2</w:t>
            </w:r>
          </w:p>
        </w:tc>
        <w:tc>
          <w:tcPr>
            <w:tcW w:w="850" w:type="dxa"/>
            <w:tcBorders>
              <w:top w:val="single" w:sz="4" w:space="0" w:color="646464"/>
            </w:tcBorders>
            <w:shd w:val="clear" w:color="auto" w:fill="E5E5E5"/>
            <w:vAlign w:val="bottom"/>
          </w:tcPr>
          <w:p w14:paraId="501E705F" w14:textId="5463133D" w:rsidR="009A19DE" w:rsidRPr="00193D3E" w:rsidRDefault="00D113B3" w:rsidP="009A19DE">
            <w:pPr>
              <w:pStyle w:val="Tabletext"/>
              <w:jc w:val="right"/>
              <w:rPr>
                <w:b/>
                <w:bCs/>
                <w:i/>
                <w:iCs/>
                <w:szCs w:val="20"/>
              </w:rPr>
            </w:pPr>
            <w:r>
              <w:rPr>
                <w:b/>
                <w:bCs/>
                <w:i/>
                <w:iCs/>
                <w:szCs w:val="20"/>
              </w:rPr>
              <w:t>4.0</w:t>
            </w:r>
          </w:p>
        </w:tc>
        <w:tc>
          <w:tcPr>
            <w:tcW w:w="851" w:type="dxa"/>
            <w:tcBorders>
              <w:top w:val="single" w:sz="4" w:space="0" w:color="646464"/>
            </w:tcBorders>
            <w:shd w:val="clear" w:color="auto" w:fill="E5E5E5"/>
            <w:vAlign w:val="bottom"/>
          </w:tcPr>
          <w:p w14:paraId="3AC9D4F6" w14:textId="1A7A11A8" w:rsidR="009A19DE" w:rsidRPr="00193D3E" w:rsidRDefault="00D113B3" w:rsidP="00CF663D">
            <w:pPr>
              <w:pStyle w:val="Tabletext"/>
              <w:jc w:val="right"/>
              <w:rPr>
                <w:b/>
                <w:bCs/>
                <w:i/>
                <w:iCs/>
                <w:szCs w:val="20"/>
              </w:rPr>
            </w:pPr>
            <w:r>
              <w:rPr>
                <w:b/>
                <w:bCs/>
                <w:i/>
                <w:iCs/>
                <w:szCs w:val="20"/>
              </w:rPr>
              <w:t>3.2</w:t>
            </w:r>
          </w:p>
        </w:tc>
      </w:tr>
      <w:tr w:rsidR="009A19DE" w14:paraId="4F1C6205" w14:textId="77777777" w:rsidTr="009A19DE">
        <w:trPr>
          <w:gridBefore w:val="1"/>
          <w:gridAfter w:val="1"/>
          <w:wBefore w:w="454" w:type="dxa"/>
          <w:wAfter w:w="850" w:type="dxa"/>
        </w:trPr>
        <w:tc>
          <w:tcPr>
            <w:tcW w:w="9898" w:type="dxa"/>
            <w:gridSpan w:val="10"/>
            <w:tcBorders>
              <w:bottom w:val="single" w:sz="4" w:space="0" w:color="646464"/>
            </w:tcBorders>
            <w:shd w:val="clear" w:color="auto" w:fill="auto"/>
          </w:tcPr>
          <w:p w14:paraId="6972DF04" w14:textId="2F413DF7" w:rsidR="009A19DE" w:rsidRDefault="009A19DE" w:rsidP="009A19DE">
            <w:pPr>
              <w:pStyle w:val="Note"/>
            </w:pPr>
            <w:r>
              <w:t>Note: All values are in real 2020 terms.</w:t>
            </w:r>
          </w:p>
          <w:p w14:paraId="7056DAFF" w14:textId="4CBF7EDE" w:rsidR="009A19DE" w:rsidRDefault="009A19DE" w:rsidP="009A19DE">
            <w:pPr>
              <w:pStyle w:val="Source"/>
            </w:pPr>
            <w:r>
              <w:t>Source: ACIL Allen estimates from various assumptions</w:t>
            </w:r>
          </w:p>
        </w:tc>
      </w:tr>
      <w:tr w:rsidR="009A19DE" w14:paraId="4ED693D4" w14:textId="77777777" w:rsidTr="009A19DE">
        <w:trPr>
          <w:gridBefore w:val="1"/>
          <w:gridAfter w:val="1"/>
          <w:wBefore w:w="454" w:type="dxa"/>
          <w:wAfter w:w="850" w:type="dxa"/>
          <w:trHeight w:hRule="exact" w:val="160"/>
        </w:trPr>
        <w:tc>
          <w:tcPr>
            <w:tcW w:w="9898" w:type="dxa"/>
            <w:gridSpan w:val="10"/>
            <w:tcBorders>
              <w:top w:val="single" w:sz="4" w:space="0" w:color="646464"/>
              <w:bottom w:val="nil"/>
            </w:tcBorders>
            <w:shd w:val="clear" w:color="auto" w:fill="auto"/>
          </w:tcPr>
          <w:p w14:paraId="72E4CE98" w14:textId="77777777" w:rsidR="009A19DE" w:rsidRDefault="009A19DE" w:rsidP="009A19DE">
            <w:pPr>
              <w:pStyle w:val="spacer"/>
            </w:pPr>
          </w:p>
        </w:tc>
      </w:tr>
    </w:tbl>
    <w:p w14:paraId="410D595D" w14:textId="04BB772D" w:rsidR="00B076B7" w:rsidRDefault="006574B4" w:rsidP="007743F4">
      <w:pPr>
        <w:pStyle w:val="Heading4"/>
      </w:pPr>
      <w:r>
        <w:t>Sensitivity analysis</w:t>
      </w:r>
    </w:p>
    <w:p w14:paraId="39A14954" w14:textId="4C21338C" w:rsidR="006574B4" w:rsidRDefault="006574B4" w:rsidP="006574B4">
      <w:pPr>
        <w:pStyle w:val="BodyText"/>
      </w:pPr>
      <w:r>
        <w:t xml:space="preserve">As discussed in Section </w:t>
      </w:r>
      <w:r>
        <w:fldChar w:fldCharType="begin"/>
      </w:r>
      <w:r>
        <w:instrText xml:space="preserve"> REF _Ref75509791 \n \h </w:instrText>
      </w:r>
      <w:r>
        <w:fldChar w:fldCharType="separate"/>
      </w:r>
      <w:r w:rsidR="00966CD2">
        <w:t>4.1</w:t>
      </w:r>
      <w:r>
        <w:fldChar w:fldCharType="end"/>
      </w:r>
      <w:r>
        <w:t>, the</w:t>
      </w:r>
      <w:r w:rsidR="00E71852">
        <w:t xml:space="preserve"> compliance costs</w:t>
      </w:r>
      <w:r w:rsidR="00DD3442">
        <w:t xml:space="preserve"> associated with Option 3</w:t>
      </w:r>
      <w:r>
        <w:t xml:space="preserve"> have been estimated with medium to high certainty,</w:t>
      </w:r>
      <w:r w:rsidR="00E71852">
        <w:t xml:space="preserve"> and these will happen on a recurring basis. There is, however, </w:t>
      </w:r>
      <w:r>
        <w:t>high uncertainty around the key sources of economic benefit (namely the financial security benefit and the avoided legal costs)</w:t>
      </w:r>
      <w:r w:rsidR="00E71852">
        <w:t xml:space="preserve">, particularly because these are linked to specific circumstances of a </w:t>
      </w:r>
      <w:r w:rsidR="008E6060">
        <w:t>wreck</w:t>
      </w:r>
      <w:r w:rsidR="00E71852">
        <w:t xml:space="preserve"> incident which result in a shipowner disputing the Australian Government’s right to force payment for clean-up</w:t>
      </w:r>
      <w:r>
        <w:t xml:space="preserve">. </w:t>
      </w:r>
    </w:p>
    <w:p w14:paraId="01667324" w14:textId="159522A4" w:rsidR="00E71852" w:rsidRDefault="00E71852" w:rsidP="006574B4">
      <w:pPr>
        <w:pStyle w:val="BodyText"/>
      </w:pPr>
      <w:r>
        <w:t xml:space="preserve">Based on a single incident occurring, the above analysis </w:t>
      </w:r>
      <w:r w:rsidR="008E6060">
        <w:t xml:space="preserve">calculates that accession to the Nairobi Convention is broadly economically beneficial. Separate to whether there is a net economic benefit, the distributional </w:t>
      </w:r>
      <w:r w:rsidR="00773DF9">
        <w:t xml:space="preserve">analysis of accession, is showing that there will be </w:t>
      </w:r>
      <w:r w:rsidR="008E6060">
        <w:t>a beneficial social impact in terms of supporting the polluter pays principle.</w:t>
      </w:r>
    </w:p>
    <w:p w14:paraId="4602E5FB" w14:textId="3C4B3F0C" w:rsidR="008E6060" w:rsidRDefault="008E6060" w:rsidP="006574B4">
      <w:pPr>
        <w:pStyle w:val="BodyText"/>
      </w:pPr>
      <w:r>
        <w:lastRenderedPageBreak/>
        <w:t xml:space="preserve">If there are multiple disputed incidents or an incident with a high cost, the estimated benefits would be much larger without a concomitant change in the compliance costs. </w:t>
      </w:r>
      <w:r w:rsidR="007A52B6" w:rsidRPr="007A52B6">
        <w:t>Similarly, if the assumed cost recovery increases above 80%, the estimated benefits will be much larger than the estimated compliance costs. This im</w:t>
      </w:r>
      <w:r w:rsidR="00755AD3">
        <w:t>plies the finding that Option 3</w:t>
      </w:r>
      <w:r w:rsidR="007A52B6" w:rsidRPr="007A52B6">
        <w:t xml:space="preserve"> will result in a net economic and social benefit should be reasonably robust.</w:t>
      </w:r>
    </w:p>
    <w:p w14:paraId="7D832DBA" w14:textId="591130A3" w:rsidR="005A10F9" w:rsidRDefault="005A10F9" w:rsidP="005A10F9">
      <w:pPr>
        <w:pStyle w:val="Caption"/>
        <w:ind w:left="-784"/>
      </w:pPr>
      <w:bookmarkStart w:id="68" w:name="_Toc99543761"/>
      <w:r w:rsidRPr="00B076B7">
        <w:rPr>
          <w:rStyle w:val="CaptionLabel"/>
        </w:rPr>
        <w:t>Table </w:t>
      </w:r>
      <w:r w:rsidRPr="00B076B7">
        <w:rPr>
          <w:rStyle w:val="CaptionLabel"/>
        </w:rPr>
        <w:fldChar w:fldCharType="begin"/>
      </w:r>
      <w:r w:rsidRPr="00B076B7">
        <w:rPr>
          <w:rStyle w:val="CaptionLabel"/>
        </w:rPr>
        <w:instrText xml:space="preserve"> STYLEREF 1 \S \* MERGEFORMAT </w:instrText>
      </w:r>
      <w:r w:rsidRPr="00B076B7">
        <w:rPr>
          <w:rStyle w:val="CaptionLabel"/>
        </w:rPr>
        <w:fldChar w:fldCharType="separate"/>
      </w:r>
      <w:r w:rsidR="00966CD2">
        <w:rPr>
          <w:rStyle w:val="CaptionLabel"/>
          <w:noProof/>
        </w:rPr>
        <w:t>4</w:t>
      </w:r>
      <w:r w:rsidRPr="00B076B7">
        <w:rPr>
          <w:rStyle w:val="CaptionLabel"/>
        </w:rPr>
        <w:fldChar w:fldCharType="end"/>
      </w:r>
      <w:r w:rsidRPr="00B076B7">
        <w:rPr>
          <w:rStyle w:val="CaptionLabel"/>
        </w:rPr>
        <w:t>.</w:t>
      </w:r>
      <w:r w:rsidRPr="00B076B7">
        <w:rPr>
          <w:rStyle w:val="CaptionLabel"/>
        </w:rPr>
        <w:fldChar w:fldCharType="begin"/>
      </w:r>
      <w:r w:rsidRPr="00B076B7">
        <w:rPr>
          <w:rStyle w:val="CaptionLabel"/>
        </w:rPr>
        <w:instrText xml:space="preserve"> SEQ Table \* ARABIC \S 1 \* MERGEFORMAT </w:instrText>
      </w:r>
      <w:r w:rsidRPr="00B076B7">
        <w:rPr>
          <w:rStyle w:val="CaptionLabel"/>
        </w:rPr>
        <w:fldChar w:fldCharType="separate"/>
      </w:r>
      <w:r w:rsidR="00966CD2">
        <w:rPr>
          <w:rStyle w:val="CaptionLabel"/>
          <w:noProof/>
        </w:rPr>
        <w:t>3</w:t>
      </w:r>
      <w:r w:rsidRPr="00B076B7">
        <w:rPr>
          <w:rStyle w:val="CaptionLabel"/>
        </w:rPr>
        <w:fldChar w:fldCharType="end"/>
      </w:r>
      <w:r>
        <w:tab/>
        <w:t>Co</w:t>
      </w:r>
      <w:r w:rsidR="00DD3442">
        <w:t>sts and benefits under Option 4</w:t>
      </w:r>
      <w:r>
        <w:t xml:space="preserve"> relative to Option 1 over a ten-year period</w:t>
      </w:r>
      <w:r w:rsidR="000C5461">
        <w:t xml:space="preserve"> – sensitivity analysis</w:t>
      </w:r>
      <w:bookmarkEnd w:id="68"/>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247"/>
        <w:gridCol w:w="850"/>
        <w:gridCol w:w="850"/>
        <w:gridCol w:w="850"/>
        <w:gridCol w:w="850"/>
        <w:gridCol w:w="850"/>
        <w:gridCol w:w="850"/>
        <w:gridCol w:w="850"/>
        <w:gridCol w:w="850"/>
        <w:gridCol w:w="851"/>
      </w:tblGrid>
      <w:tr w:rsidR="005A10F9" w14:paraId="2C444BA6" w14:textId="77777777" w:rsidTr="00CF40BE">
        <w:trPr>
          <w:tblHeader/>
        </w:trPr>
        <w:tc>
          <w:tcPr>
            <w:tcW w:w="2701" w:type="dxa"/>
            <w:gridSpan w:val="2"/>
            <w:tcBorders>
              <w:top w:val="nil"/>
              <w:bottom w:val="nil"/>
            </w:tcBorders>
            <w:shd w:val="clear" w:color="auto" w:fill="140034"/>
            <w:tcMar>
              <w:left w:w="454" w:type="dxa"/>
            </w:tcMar>
          </w:tcPr>
          <w:p w14:paraId="2C7E2990" w14:textId="77777777" w:rsidR="005A10F9" w:rsidRDefault="005A10F9" w:rsidP="00CF40BE">
            <w:pPr>
              <w:pStyle w:val="Tablecolumnheadings"/>
            </w:pPr>
          </w:p>
        </w:tc>
        <w:tc>
          <w:tcPr>
            <w:tcW w:w="850" w:type="dxa"/>
            <w:tcBorders>
              <w:top w:val="nil"/>
              <w:bottom w:val="nil"/>
            </w:tcBorders>
            <w:shd w:val="clear" w:color="auto" w:fill="140034"/>
          </w:tcPr>
          <w:p w14:paraId="7F0D4FDA" w14:textId="77777777" w:rsidR="005A10F9" w:rsidRPr="0014439F" w:rsidRDefault="005A10F9" w:rsidP="00CF40BE">
            <w:pPr>
              <w:pStyle w:val="Tablecolumnheadings"/>
              <w:jc w:val="right"/>
              <w:rPr>
                <w:sz w:val="18"/>
                <w:szCs w:val="20"/>
              </w:rPr>
            </w:pPr>
            <w:r w:rsidRPr="0014439F">
              <w:rPr>
                <w:sz w:val="18"/>
                <w:szCs w:val="20"/>
              </w:rPr>
              <w:t>Bulk carriers</w:t>
            </w:r>
          </w:p>
        </w:tc>
        <w:tc>
          <w:tcPr>
            <w:tcW w:w="850" w:type="dxa"/>
            <w:tcBorders>
              <w:top w:val="nil"/>
              <w:bottom w:val="nil"/>
            </w:tcBorders>
            <w:shd w:val="clear" w:color="auto" w:fill="140034"/>
          </w:tcPr>
          <w:p w14:paraId="3CBD5688" w14:textId="77777777" w:rsidR="005A10F9" w:rsidRPr="0014439F" w:rsidRDefault="005A10F9" w:rsidP="00CF40BE">
            <w:pPr>
              <w:pStyle w:val="Tablecolumnheadings"/>
              <w:jc w:val="right"/>
              <w:rPr>
                <w:sz w:val="18"/>
                <w:szCs w:val="20"/>
              </w:rPr>
            </w:pPr>
            <w:r w:rsidRPr="0014439F">
              <w:rPr>
                <w:sz w:val="18"/>
                <w:szCs w:val="20"/>
              </w:rPr>
              <w:t>Chemical tankers</w:t>
            </w:r>
          </w:p>
        </w:tc>
        <w:tc>
          <w:tcPr>
            <w:tcW w:w="850" w:type="dxa"/>
            <w:tcBorders>
              <w:top w:val="nil"/>
              <w:bottom w:val="nil"/>
            </w:tcBorders>
            <w:shd w:val="clear" w:color="auto" w:fill="140034"/>
          </w:tcPr>
          <w:p w14:paraId="46AD6E75" w14:textId="77777777" w:rsidR="005A10F9" w:rsidRPr="0014439F" w:rsidRDefault="005A10F9" w:rsidP="00CF40BE">
            <w:pPr>
              <w:pStyle w:val="Tablecolumnheadings"/>
              <w:jc w:val="right"/>
              <w:rPr>
                <w:sz w:val="18"/>
                <w:szCs w:val="20"/>
              </w:rPr>
            </w:pPr>
            <w:r w:rsidRPr="0014439F">
              <w:rPr>
                <w:sz w:val="18"/>
                <w:szCs w:val="20"/>
              </w:rPr>
              <w:t>Container carriers</w:t>
            </w:r>
          </w:p>
        </w:tc>
        <w:tc>
          <w:tcPr>
            <w:tcW w:w="850" w:type="dxa"/>
            <w:tcBorders>
              <w:top w:val="nil"/>
              <w:bottom w:val="nil"/>
            </w:tcBorders>
            <w:shd w:val="clear" w:color="auto" w:fill="140034"/>
          </w:tcPr>
          <w:p w14:paraId="06734A2F" w14:textId="77777777" w:rsidR="005A10F9" w:rsidRPr="0014439F" w:rsidRDefault="005A10F9" w:rsidP="00CF40BE">
            <w:pPr>
              <w:pStyle w:val="Tablecolumnheadings"/>
              <w:jc w:val="right"/>
              <w:rPr>
                <w:sz w:val="18"/>
                <w:szCs w:val="20"/>
              </w:rPr>
            </w:pPr>
            <w:r w:rsidRPr="0014439F">
              <w:rPr>
                <w:sz w:val="18"/>
                <w:szCs w:val="20"/>
              </w:rPr>
              <w:t>General cargo ships</w:t>
            </w:r>
          </w:p>
        </w:tc>
        <w:tc>
          <w:tcPr>
            <w:tcW w:w="850" w:type="dxa"/>
            <w:tcBorders>
              <w:top w:val="nil"/>
              <w:bottom w:val="nil"/>
            </w:tcBorders>
            <w:shd w:val="clear" w:color="auto" w:fill="140034"/>
          </w:tcPr>
          <w:p w14:paraId="0FF1B216" w14:textId="77777777" w:rsidR="005A10F9" w:rsidRPr="0014439F" w:rsidRDefault="005A10F9" w:rsidP="00CF40BE">
            <w:pPr>
              <w:pStyle w:val="Tablecolumnheadings"/>
              <w:jc w:val="right"/>
              <w:rPr>
                <w:sz w:val="18"/>
                <w:szCs w:val="20"/>
              </w:rPr>
            </w:pPr>
            <w:r w:rsidRPr="0014439F">
              <w:rPr>
                <w:sz w:val="18"/>
                <w:szCs w:val="20"/>
              </w:rPr>
              <w:t>LNG tankers</w:t>
            </w:r>
          </w:p>
        </w:tc>
        <w:tc>
          <w:tcPr>
            <w:tcW w:w="850" w:type="dxa"/>
            <w:tcBorders>
              <w:top w:val="nil"/>
              <w:bottom w:val="nil"/>
            </w:tcBorders>
            <w:shd w:val="clear" w:color="auto" w:fill="140034"/>
          </w:tcPr>
          <w:p w14:paraId="4649B4A2" w14:textId="77777777" w:rsidR="005A10F9" w:rsidRPr="0014439F" w:rsidRDefault="005A10F9" w:rsidP="00CF40BE">
            <w:pPr>
              <w:pStyle w:val="Tablecolumnheadings"/>
              <w:jc w:val="right"/>
              <w:rPr>
                <w:sz w:val="18"/>
                <w:szCs w:val="20"/>
              </w:rPr>
            </w:pPr>
            <w:r w:rsidRPr="0014439F">
              <w:rPr>
                <w:sz w:val="18"/>
                <w:szCs w:val="20"/>
              </w:rPr>
              <w:t>LPG tankers</w:t>
            </w:r>
          </w:p>
        </w:tc>
        <w:tc>
          <w:tcPr>
            <w:tcW w:w="850" w:type="dxa"/>
            <w:tcBorders>
              <w:top w:val="nil"/>
              <w:bottom w:val="nil"/>
            </w:tcBorders>
            <w:shd w:val="clear" w:color="auto" w:fill="140034"/>
          </w:tcPr>
          <w:p w14:paraId="14A37F00" w14:textId="77777777" w:rsidR="005A10F9" w:rsidRPr="0014439F" w:rsidRDefault="005A10F9" w:rsidP="00CF40BE">
            <w:pPr>
              <w:pStyle w:val="Tablecolumnheadings"/>
              <w:jc w:val="right"/>
              <w:rPr>
                <w:sz w:val="18"/>
                <w:szCs w:val="20"/>
              </w:rPr>
            </w:pPr>
            <w:r w:rsidRPr="0014439F">
              <w:rPr>
                <w:sz w:val="18"/>
                <w:szCs w:val="20"/>
              </w:rPr>
              <w:t>Livestock carriers</w:t>
            </w:r>
          </w:p>
        </w:tc>
        <w:tc>
          <w:tcPr>
            <w:tcW w:w="850" w:type="dxa"/>
            <w:tcBorders>
              <w:top w:val="nil"/>
              <w:bottom w:val="nil"/>
            </w:tcBorders>
            <w:shd w:val="clear" w:color="auto" w:fill="140034"/>
          </w:tcPr>
          <w:p w14:paraId="5F4BD5CD" w14:textId="77777777" w:rsidR="005A10F9" w:rsidRPr="0014439F" w:rsidRDefault="005A10F9" w:rsidP="00CF40BE">
            <w:pPr>
              <w:pStyle w:val="Tablecolumnheadings"/>
              <w:jc w:val="right"/>
              <w:rPr>
                <w:sz w:val="18"/>
                <w:szCs w:val="20"/>
              </w:rPr>
            </w:pPr>
            <w:r w:rsidRPr="0014439F">
              <w:rPr>
                <w:sz w:val="18"/>
                <w:szCs w:val="20"/>
              </w:rPr>
              <w:t>Tankers</w:t>
            </w:r>
          </w:p>
        </w:tc>
        <w:tc>
          <w:tcPr>
            <w:tcW w:w="851" w:type="dxa"/>
            <w:tcBorders>
              <w:top w:val="nil"/>
              <w:bottom w:val="nil"/>
              <w:right w:val="single" w:sz="6" w:space="0" w:color="140034"/>
            </w:tcBorders>
            <w:shd w:val="clear" w:color="auto" w:fill="140034"/>
          </w:tcPr>
          <w:p w14:paraId="7B55F927" w14:textId="77777777" w:rsidR="005A10F9" w:rsidRPr="0014439F" w:rsidRDefault="005A10F9" w:rsidP="00CF40BE">
            <w:pPr>
              <w:pStyle w:val="Tablecolumnheadings"/>
              <w:jc w:val="right"/>
              <w:rPr>
                <w:sz w:val="18"/>
                <w:szCs w:val="20"/>
              </w:rPr>
            </w:pPr>
            <w:r w:rsidRPr="0014439F">
              <w:rPr>
                <w:sz w:val="18"/>
                <w:szCs w:val="20"/>
              </w:rPr>
              <w:t>Vehicle carriers</w:t>
            </w:r>
          </w:p>
        </w:tc>
      </w:tr>
      <w:tr w:rsidR="005A10F9" w14:paraId="006810CA" w14:textId="77777777" w:rsidTr="00CF40BE">
        <w:trPr>
          <w:gridBefore w:val="1"/>
          <w:wBefore w:w="454" w:type="dxa"/>
        </w:trPr>
        <w:tc>
          <w:tcPr>
            <w:tcW w:w="2247" w:type="dxa"/>
            <w:tcBorders>
              <w:top w:val="nil"/>
            </w:tcBorders>
            <w:shd w:val="clear" w:color="auto" w:fill="auto"/>
          </w:tcPr>
          <w:p w14:paraId="5316EA28" w14:textId="77777777" w:rsidR="005A10F9" w:rsidRDefault="005A10F9" w:rsidP="00CF40BE">
            <w:pPr>
              <w:pStyle w:val="Tabletext"/>
              <w:keepNext/>
            </w:pPr>
          </w:p>
        </w:tc>
        <w:tc>
          <w:tcPr>
            <w:tcW w:w="850" w:type="dxa"/>
            <w:tcBorders>
              <w:top w:val="nil"/>
            </w:tcBorders>
            <w:shd w:val="clear" w:color="auto" w:fill="auto"/>
          </w:tcPr>
          <w:p w14:paraId="3121EBFB" w14:textId="77777777" w:rsidR="005A10F9" w:rsidRDefault="005A10F9" w:rsidP="00CF40BE">
            <w:pPr>
              <w:pStyle w:val="Tabletext"/>
              <w:keepNext/>
              <w:jc w:val="right"/>
            </w:pPr>
            <w:r>
              <w:t>$m</w:t>
            </w:r>
          </w:p>
        </w:tc>
        <w:tc>
          <w:tcPr>
            <w:tcW w:w="850" w:type="dxa"/>
            <w:tcBorders>
              <w:top w:val="nil"/>
            </w:tcBorders>
            <w:shd w:val="clear" w:color="auto" w:fill="auto"/>
          </w:tcPr>
          <w:p w14:paraId="7D66C1CA" w14:textId="77777777" w:rsidR="005A10F9" w:rsidRDefault="005A10F9" w:rsidP="00CF40BE">
            <w:pPr>
              <w:pStyle w:val="Tabletext"/>
              <w:keepNext/>
              <w:jc w:val="right"/>
            </w:pPr>
            <w:r>
              <w:t>$m</w:t>
            </w:r>
          </w:p>
        </w:tc>
        <w:tc>
          <w:tcPr>
            <w:tcW w:w="850" w:type="dxa"/>
            <w:tcBorders>
              <w:top w:val="nil"/>
            </w:tcBorders>
            <w:shd w:val="clear" w:color="auto" w:fill="auto"/>
          </w:tcPr>
          <w:p w14:paraId="6A2558C4" w14:textId="77777777" w:rsidR="005A10F9" w:rsidRDefault="005A10F9" w:rsidP="00CF40BE">
            <w:pPr>
              <w:pStyle w:val="Tabletext"/>
              <w:keepNext/>
              <w:jc w:val="right"/>
            </w:pPr>
            <w:r>
              <w:t>$m</w:t>
            </w:r>
          </w:p>
        </w:tc>
        <w:tc>
          <w:tcPr>
            <w:tcW w:w="850" w:type="dxa"/>
            <w:tcBorders>
              <w:top w:val="nil"/>
            </w:tcBorders>
            <w:shd w:val="clear" w:color="auto" w:fill="auto"/>
          </w:tcPr>
          <w:p w14:paraId="35CB571B" w14:textId="77777777" w:rsidR="005A10F9" w:rsidRDefault="005A10F9" w:rsidP="00CF40BE">
            <w:pPr>
              <w:pStyle w:val="Tabletext"/>
              <w:keepNext/>
              <w:jc w:val="right"/>
            </w:pPr>
            <w:r>
              <w:t>$m</w:t>
            </w:r>
          </w:p>
        </w:tc>
        <w:tc>
          <w:tcPr>
            <w:tcW w:w="850" w:type="dxa"/>
            <w:tcBorders>
              <w:top w:val="nil"/>
            </w:tcBorders>
            <w:shd w:val="clear" w:color="auto" w:fill="auto"/>
          </w:tcPr>
          <w:p w14:paraId="54D982F8" w14:textId="77777777" w:rsidR="005A10F9" w:rsidRDefault="005A10F9" w:rsidP="00CF40BE">
            <w:pPr>
              <w:pStyle w:val="Tabletext"/>
              <w:keepNext/>
              <w:jc w:val="center"/>
            </w:pPr>
            <w:r>
              <w:t>$m</w:t>
            </w:r>
          </w:p>
        </w:tc>
        <w:tc>
          <w:tcPr>
            <w:tcW w:w="850" w:type="dxa"/>
            <w:tcBorders>
              <w:top w:val="nil"/>
            </w:tcBorders>
            <w:shd w:val="clear" w:color="auto" w:fill="auto"/>
          </w:tcPr>
          <w:p w14:paraId="37824DF8" w14:textId="77777777" w:rsidR="005A10F9" w:rsidRDefault="005A10F9" w:rsidP="00CF40BE">
            <w:pPr>
              <w:pStyle w:val="Tabletext"/>
              <w:keepNext/>
              <w:jc w:val="right"/>
            </w:pPr>
            <w:r>
              <w:t>$m</w:t>
            </w:r>
          </w:p>
        </w:tc>
        <w:tc>
          <w:tcPr>
            <w:tcW w:w="850" w:type="dxa"/>
            <w:tcBorders>
              <w:top w:val="nil"/>
            </w:tcBorders>
            <w:shd w:val="clear" w:color="auto" w:fill="auto"/>
          </w:tcPr>
          <w:p w14:paraId="1CF5EFD3" w14:textId="77777777" w:rsidR="005A10F9" w:rsidRDefault="005A10F9" w:rsidP="00CF40BE">
            <w:pPr>
              <w:pStyle w:val="Tabletext"/>
              <w:keepNext/>
              <w:jc w:val="right"/>
            </w:pPr>
            <w:r>
              <w:t>$m</w:t>
            </w:r>
          </w:p>
        </w:tc>
        <w:tc>
          <w:tcPr>
            <w:tcW w:w="850" w:type="dxa"/>
            <w:tcBorders>
              <w:top w:val="nil"/>
            </w:tcBorders>
            <w:shd w:val="clear" w:color="auto" w:fill="auto"/>
          </w:tcPr>
          <w:p w14:paraId="21FE2521" w14:textId="77777777" w:rsidR="005A10F9" w:rsidRDefault="005A10F9" w:rsidP="00CF40BE">
            <w:pPr>
              <w:pStyle w:val="Tabletext"/>
              <w:keepNext/>
              <w:jc w:val="right"/>
            </w:pPr>
            <w:r>
              <w:t>$m</w:t>
            </w:r>
          </w:p>
        </w:tc>
        <w:tc>
          <w:tcPr>
            <w:tcW w:w="851" w:type="dxa"/>
            <w:tcBorders>
              <w:top w:val="nil"/>
            </w:tcBorders>
            <w:shd w:val="clear" w:color="auto" w:fill="auto"/>
          </w:tcPr>
          <w:p w14:paraId="2DE334A9" w14:textId="77777777" w:rsidR="005A10F9" w:rsidRDefault="005A10F9" w:rsidP="00CF40BE">
            <w:pPr>
              <w:pStyle w:val="Tabletext"/>
              <w:keepNext/>
              <w:jc w:val="right"/>
            </w:pPr>
            <w:r>
              <w:t>$m</w:t>
            </w:r>
          </w:p>
        </w:tc>
      </w:tr>
      <w:tr w:rsidR="005A10F9" w14:paraId="4751BA0A" w14:textId="77777777" w:rsidTr="00CF40BE">
        <w:trPr>
          <w:gridBefore w:val="1"/>
          <w:wBefore w:w="454" w:type="dxa"/>
        </w:trPr>
        <w:tc>
          <w:tcPr>
            <w:tcW w:w="2247" w:type="dxa"/>
            <w:shd w:val="clear" w:color="auto" w:fill="D5EBDA" w:themeFill="accent6" w:themeFillTint="33"/>
          </w:tcPr>
          <w:p w14:paraId="3358BD3F" w14:textId="77777777" w:rsidR="005A10F9" w:rsidRPr="009F0927" w:rsidRDefault="005A10F9" w:rsidP="00CF40BE">
            <w:pPr>
              <w:pStyle w:val="Tabletext"/>
              <w:keepNext/>
              <w:rPr>
                <w:b/>
                <w:bCs/>
              </w:rPr>
            </w:pPr>
            <w:r>
              <w:rPr>
                <w:b/>
                <w:bCs/>
              </w:rPr>
              <w:t>TOTAL NET BENEFITS</w:t>
            </w:r>
          </w:p>
        </w:tc>
        <w:tc>
          <w:tcPr>
            <w:tcW w:w="850" w:type="dxa"/>
            <w:shd w:val="clear" w:color="auto" w:fill="D5EBDA" w:themeFill="accent6" w:themeFillTint="33"/>
            <w:vAlign w:val="bottom"/>
          </w:tcPr>
          <w:p w14:paraId="6E60E5A3"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16569EF2"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141C5FCA"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1F9392DD"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7B75F0E3"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76A7350A"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07AAB526" w14:textId="77777777" w:rsidR="005A10F9" w:rsidRDefault="005A10F9" w:rsidP="00CF40BE">
            <w:pPr>
              <w:pStyle w:val="Tabletext"/>
              <w:keepNext/>
              <w:jc w:val="right"/>
            </w:pPr>
            <w:r>
              <w:rPr>
                <w:b/>
                <w:bCs/>
                <w:szCs w:val="20"/>
              </w:rPr>
              <w:t> </w:t>
            </w:r>
          </w:p>
        </w:tc>
        <w:tc>
          <w:tcPr>
            <w:tcW w:w="850" w:type="dxa"/>
            <w:shd w:val="clear" w:color="auto" w:fill="D5EBDA" w:themeFill="accent6" w:themeFillTint="33"/>
            <w:vAlign w:val="bottom"/>
          </w:tcPr>
          <w:p w14:paraId="3AF437AA" w14:textId="77777777" w:rsidR="005A10F9" w:rsidRDefault="005A10F9" w:rsidP="00CF40BE">
            <w:pPr>
              <w:pStyle w:val="Tabletext"/>
              <w:keepNext/>
              <w:jc w:val="right"/>
            </w:pPr>
            <w:r>
              <w:rPr>
                <w:b/>
                <w:bCs/>
                <w:szCs w:val="20"/>
              </w:rPr>
              <w:t> </w:t>
            </w:r>
          </w:p>
        </w:tc>
        <w:tc>
          <w:tcPr>
            <w:tcW w:w="851" w:type="dxa"/>
            <w:shd w:val="clear" w:color="auto" w:fill="D5EBDA" w:themeFill="accent6" w:themeFillTint="33"/>
            <w:vAlign w:val="bottom"/>
          </w:tcPr>
          <w:p w14:paraId="46084BD3" w14:textId="77777777" w:rsidR="005A10F9" w:rsidRDefault="005A10F9" w:rsidP="00CF40BE">
            <w:pPr>
              <w:pStyle w:val="Tabletext"/>
              <w:keepNext/>
              <w:jc w:val="right"/>
            </w:pPr>
            <w:r>
              <w:rPr>
                <w:b/>
                <w:bCs/>
                <w:szCs w:val="20"/>
              </w:rPr>
              <w:t> </w:t>
            </w:r>
          </w:p>
        </w:tc>
      </w:tr>
      <w:tr w:rsidR="005A10F9" w14:paraId="627A1F59" w14:textId="77777777" w:rsidTr="00CF40BE">
        <w:trPr>
          <w:gridBefore w:val="1"/>
          <w:wBefore w:w="454" w:type="dxa"/>
        </w:trPr>
        <w:tc>
          <w:tcPr>
            <w:tcW w:w="2247" w:type="dxa"/>
            <w:shd w:val="clear" w:color="auto" w:fill="E5E5E5" w:themeFill="accent2" w:themeFillTint="33"/>
          </w:tcPr>
          <w:p w14:paraId="255AEA0D" w14:textId="77777777" w:rsidR="005A10F9" w:rsidRDefault="005A10F9" w:rsidP="00CF40BE">
            <w:pPr>
              <w:pStyle w:val="Tabletext"/>
              <w:keepNext/>
              <w:rPr>
                <w:b/>
                <w:bCs/>
                <w:i/>
                <w:iCs/>
              </w:rPr>
            </w:pPr>
            <w:r>
              <w:rPr>
                <w:b/>
                <w:bCs/>
                <w:i/>
                <w:iCs/>
              </w:rPr>
              <w:t xml:space="preserve">Undiscounted </w:t>
            </w:r>
          </w:p>
        </w:tc>
        <w:tc>
          <w:tcPr>
            <w:tcW w:w="850" w:type="dxa"/>
            <w:shd w:val="clear" w:color="auto" w:fill="E5E5E5" w:themeFill="accent2" w:themeFillTint="33"/>
            <w:vAlign w:val="bottom"/>
          </w:tcPr>
          <w:p w14:paraId="2BD1B516" w14:textId="77777777" w:rsidR="005A10F9" w:rsidRPr="0023756B" w:rsidRDefault="005A10F9" w:rsidP="00CF40BE">
            <w:pPr>
              <w:pStyle w:val="Tabletext"/>
              <w:keepNext/>
              <w:jc w:val="right"/>
              <w:rPr>
                <w:b/>
                <w:bCs/>
                <w:i/>
                <w:iCs/>
                <w:szCs w:val="20"/>
              </w:rPr>
            </w:pPr>
            <w:r>
              <w:rPr>
                <w:b/>
                <w:bCs/>
                <w:i/>
                <w:iCs/>
                <w:szCs w:val="20"/>
              </w:rPr>
              <w:t>3</w:t>
            </w:r>
            <w:r w:rsidRPr="0023756B">
              <w:rPr>
                <w:b/>
                <w:bCs/>
                <w:i/>
                <w:iCs/>
                <w:szCs w:val="20"/>
              </w:rPr>
              <w:t>3.</w:t>
            </w:r>
            <w:r>
              <w:rPr>
                <w:b/>
                <w:bCs/>
                <w:i/>
                <w:iCs/>
                <w:szCs w:val="20"/>
              </w:rPr>
              <w:t>4</w:t>
            </w:r>
          </w:p>
        </w:tc>
        <w:tc>
          <w:tcPr>
            <w:tcW w:w="850" w:type="dxa"/>
            <w:shd w:val="clear" w:color="auto" w:fill="E5E5E5" w:themeFill="accent2" w:themeFillTint="33"/>
            <w:vAlign w:val="bottom"/>
          </w:tcPr>
          <w:p w14:paraId="271CE7F5" w14:textId="77777777" w:rsidR="005A10F9" w:rsidRPr="0023756B" w:rsidRDefault="005A10F9" w:rsidP="00CF40BE">
            <w:pPr>
              <w:pStyle w:val="Tabletext"/>
              <w:keepNext/>
              <w:jc w:val="right"/>
              <w:rPr>
                <w:b/>
                <w:bCs/>
                <w:i/>
                <w:iCs/>
                <w:szCs w:val="20"/>
              </w:rPr>
            </w:pPr>
            <w:r w:rsidRPr="0023756B">
              <w:rPr>
                <w:b/>
                <w:bCs/>
                <w:i/>
                <w:iCs/>
                <w:szCs w:val="20"/>
              </w:rPr>
              <w:t>2.</w:t>
            </w:r>
            <w:r>
              <w:rPr>
                <w:b/>
                <w:bCs/>
                <w:i/>
                <w:iCs/>
                <w:szCs w:val="20"/>
              </w:rPr>
              <w:t>8</w:t>
            </w:r>
          </w:p>
        </w:tc>
        <w:tc>
          <w:tcPr>
            <w:tcW w:w="850" w:type="dxa"/>
            <w:shd w:val="clear" w:color="auto" w:fill="E5E5E5" w:themeFill="accent2" w:themeFillTint="33"/>
            <w:vAlign w:val="bottom"/>
          </w:tcPr>
          <w:p w14:paraId="1AFB691D" w14:textId="77777777" w:rsidR="005A10F9" w:rsidRPr="0023756B" w:rsidRDefault="005A10F9" w:rsidP="00CF40BE">
            <w:pPr>
              <w:pStyle w:val="Tabletext"/>
              <w:keepNext/>
              <w:jc w:val="right"/>
              <w:rPr>
                <w:b/>
                <w:bCs/>
                <w:i/>
                <w:iCs/>
                <w:szCs w:val="20"/>
              </w:rPr>
            </w:pPr>
            <w:r w:rsidRPr="0023756B">
              <w:rPr>
                <w:b/>
                <w:bCs/>
                <w:i/>
                <w:iCs/>
                <w:szCs w:val="20"/>
              </w:rPr>
              <w:t>4.6</w:t>
            </w:r>
          </w:p>
        </w:tc>
        <w:tc>
          <w:tcPr>
            <w:tcW w:w="850" w:type="dxa"/>
            <w:shd w:val="clear" w:color="auto" w:fill="E5E5E5" w:themeFill="accent2" w:themeFillTint="33"/>
            <w:vAlign w:val="bottom"/>
          </w:tcPr>
          <w:p w14:paraId="39FC3F79" w14:textId="77777777" w:rsidR="005A10F9" w:rsidRPr="0023756B" w:rsidRDefault="005A10F9" w:rsidP="00CF40BE">
            <w:pPr>
              <w:pStyle w:val="Tabletext"/>
              <w:keepNext/>
              <w:jc w:val="right"/>
              <w:rPr>
                <w:b/>
                <w:bCs/>
                <w:i/>
                <w:iCs/>
                <w:szCs w:val="20"/>
              </w:rPr>
            </w:pPr>
            <w:r w:rsidRPr="0023756B">
              <w:rPr>
                <w:b/>
                <w:bCs/>
                <w:i/>
                <w:iCs/>
                <w:szCs w:val="20"/>
              </w:rPr>
              <w:t>4.6</w:t>
            </w:r>
          </w:p>
        </w:tc>
        <w:tc>
          <w:tcPr>
            <w:tcW w:w="850" w:type="dxa"/>
            <w:shd w:val="clear" w:color="auto" w:fill="E5E5E5" w:themeFill="accent2" w:themeFillTint="33"/>
            <w:vAlign w:val="bottom"/>
          </w:tcPr>
          <w:p w14:paraId="1D1BD8CE" w14:textId="77777777" w:rsidR="005A10F9" w:rsidRPr="0023756B" w:rsidRDefault="005A10F9" w:rsidP="00CF40BE">
            <w:pPr>
              <w:pStyle w:val="Tabletext"/>
              <w:keepNext/>
              <w:jc w:val="right"/>
              <w:rPr>
                <w:b/>
                <w:bCs/>
                <w:i/>
                <w:iCs/>
                <w:szCs w:val="20"/>
              </w:rPr>
            </w:pPr>
            <w:r w:rsidRPr="0023756B">
              <w:rPr>
                <w:b/>
                <w:bCs/>
                <w:i/>
                <w:iCs/>
                <w:szCs w:val="20"/>
              </w:rPr>
              <w:t>1</w:t>
            </w:r>
            <w:r>
              <w:rPr>
                <w:b/>
                <w:bCs/>
                <w:i/>
                <w:iCs/>
                <w:szCs w:val="20"/>
              </w:rPr>
              <w:t>3</w:t>
            </w:r>
            <w:r w:rsidRPr="0023756B">
              <w:rPr>
                <w:b/>
                <w:bCs/>
                <w:i/>
                <w:iCs/>
                <w:szCs w:val="20"/>
              </w:rPr>
              <w:t>.6</w:t>
            </w:r>
          </w:p>
        </w:tc>
        <w:tc>
          <w:tcPr>
            <w:tcW w:w="850" w:type="dxa"/>
            <w:shd w:val="clear" w:color="auto" w:fill="E5E5E5" w:themeFill="accent2" w:themeFillTint="33"/>
            <w:vAlign w:val="bottom"/>
          </w:tcPr>
          <w:p w14:paraId="50591420" w14:textId="77777777" w:rsidR="005A10F9" w:rsidRPr="006F451B" w:rsidRDefault="005A10F9" w:rsidP="00CF40BE">
            <w:pPr>
              <w:pStyle w:val="Tabletext"/>
              <w:keepNext/>
              <w:jc w:val="right"/>
              <w:rPr>
                <w:b/>
                <w:bCs/>
                <w:i/>
                <w:iCs/>
                <w:color w:val="auto"/>
                <w:szCs w:val="20"/>
              </w:rPr>
            </w:pPr>
            <w:r w:rsidRPr="006F451B">
              <w:rPr>
                <w:b/>
                <w:bCs/>
                <w:i/>
                <w:iCs/>
                <w:color w:val="auto"/>
                <w:szCs w:val="20"/>
              </w:rPr>
              <w:t>1.0</w:t>
            </w:r>
          </w:p>
        </w:tc>
        <w:tc>
          <w:tcPr>
            <w:tcW w:w="850" w:type="dxa"/>
            <w:shd w:val="clear" w:color="auto" w:fill="E5E5E5" w:themeFill="accent2" w:themeFillTint="33"/>
            <w:vAlign w:val="bottom"/>
          </w:tcPr>
          <w:p w14:paraId="0465FFCC" w14:textId="77777777" w:rsidR="005A10F9" w:rsidRPr="0023756B" w:rsidRDefault="005A10F9" w:rsidP="00CF40BE">
            <w:pPr>
              <w:pStyle w:val="Tabletext"/>
              <w:keepNext/>
              <w:jc w:val="right"/>
              <w:rPr>
                <w:b/>
                <w:bCs/>
                <w:i/>
                <w:iCs/>
                <w:szCs w:val="20"/>
              </w:rPr>
            </w:pPr>
            <w:r w:rsidRPr="0023756B">
              <w:rPr>
                <w:b/>
                <w:bCs/>
                <w:i/>
                <w:iCs/>
                <w:szCs w:val="20"/>
              </w:rPr>
              <w:t>4.6</w:t>
            </w:r>
          </w:p>
        </w:tc>
        <w:tc>
          <w:tcPr>
            <w:tcW w:w="850" w:type="dxa"/>
            <w:shd w:val="clear" w:color="auto" w:fill="E5E5E5" w:themeFill="accent2" w:themeFillTint="33"/>
            <w:vAlign w:val="bottom"/>
          </w:tcPr>
          <w:p w14:paraId="5812E55D" w14:textId="77777777" w:rsidR="005A10F9" w:rsidRPr="0023756B" w:rsidRDefault="005A10F9" w:rsidP="00CF40BE">
            <w:pPr>
              <w:pStyle w:val="Tabletext"/>
              <w:keepNext/>
              <w:jc w:val="right"/>
              <w:rPr>
                <w:b/>
                <w:bCs/>
                <w:i/>
                <w:iCs/>
                <w:szCs w:val="20"/>
              </w:rPr>
            </w:pPr>
            <w:r>
              <w:rPr>
                <w:b/>
                <w:bCs/>
                <w:i/>
                <w:iCs/>
                <w:szCs w:val="20"/>
              </w:rPr>
              <w:t>6.4</w:t>
            </w:r>
          </w:p>
        </w:tc>
        <w:tc>
          <w:tcPr>
            <w:tcW w:w="851" w:type="dxa"/>
            <w:shd w:val="clear" w:color="auto" w:fill="E5E5E5" w:themeFill="accent2" w:themeFillTint="33"/>
            <w:vAlign w:val="bottom"/>
          </w:tcPr>
          <w:p w14:paraId="67F5F9B9" w14:textId="77777777" w:rsidR="005A10F9" w:rsidRPr="0023756B" w:rsidRDefault="005A10F9" w:rsidP="00CF40BE">
            <w:pPr>
              <w:pStyle w:val="Tabletext"/>
              <w:keepNext/>
              <w:jc w:val="right"/>
              <w:rPr>
                <w:b/>
                <w:bCs/>
                <w:i/>
                <w:iCs/>
                <w:szCs w:val="20"/>
              </w:rPr>
            </w:pPr>
            <w:r w:rsidRPr="0023756B">
              <w:rPr>
                <w:b/>
                <w:bCs/>
                <w:i/>
                <w:iCs/>
                <w:szCs w:val="20"/>
              </w:rPr>
              <w:t>4.6</w:t>
            </w:r>
          </w:p>
        </w:tc>
      </w:tr>
      <w:tr w:rsidR="005A10F9" w14:paraId="651EAA8D" w14:textId="77777777" w:rsidTr="00CF40BE">
        <w:trPr>
          <w:gridBefore w:val="1"/>
          <w:wBefore w:w="454" w:type="dxa"/>
        </w:trPr>
        <w:tc>
          <w:tcPr>
            <w:tcW w:w="2247" w:type="dxa"/>
            <w:shd w:val="clear" w:color="auto" w:fill="E5E5E5" w:themeFill="accent2" w:themeFillTint="33"/>
          </w:tcPr>
          <w:p w14:paraId="02117DD1" w14:textId="77777777" w:rsidR="005A10F9" w:rsidRDefault="005A10F9" w:rsidP="00CF40BE">
            <w:pPr>
              <w:pStyle w:val="Tabletext"/>
              <w:keepNext/>
              <w:rPr>
                <w:b/>
                <w:bCs/>
                <w:i/>
                <w:iCs/>
              </w:rPr>
            </w:pPr>
            <w:r>
              <w:rPr>
                <w:b/>
                <w:bCs/>
                <w:i/>
                <w:iCs/>
              </w:rPr>
              <w:t>NPV (3</w:t>
            </w:r>
            <w:r w:rsidRPr="0014439F">
              <w:rPr>
                <w:b/>
                <w:bCs/>
                <w:i/>
                <w:iCs/>
              </w:rPr>
              <w:t>% discount rate)</w:t>
            </w:r>
          </w:p>
        </w:tc>
        <w:tc>
          <w:tcPr>
            <w:tcW w:w="850" w:type="dxa"/>
            <w:shd w:val="clear" w:color="auto" w:fill="E5E5E5" w:themeFill="accent2" w:themeFillTint="33"/>
            <w:vAlign w:val="bottom"/>
          </w:tcPr>
          <w:p w14:paraId="74145E4A" w14:textId="77777777" w:rsidR="005A10F9" w:rsidRPr="0023756B" w:rsidRDefault="005A10F9" w:rsidP="00CF40BE">
            <w:pPr>
              <w:pStyle w:val="Tabletext"/>
              <w:keepNext/>
              <w:jc w:val="right"/>
              <w:rPr>
                <w:b/>
                <w:bCs/>
                <w:i/>
                <w:iCs/>
                <w:szCs w:val="20"/>
              </w:rPr>
            </w:pPr>
            <w:r>
              <w:rPr>
                <w:b/>
                <w:bCs/>
                <w:i/>
                <w:iCs/>
                <w:szCs w:val="20"/>
              </w:rPr>
              <w:t>30.5</w:t>
            </w:r>
          </w:p>
        </w:tc>
        <w:tc>
          <w:tcPr>
            <w:tcW w:w="850" w:type="dxa"/>
            <w:shd w:val="clear" w:color="auto" w:fill="E5E5E5" w:themeFill="accent2" w:themeFillTint="33"/>
            <w:vAlign w:val="bottom"/>
          </w:tcPr>
          <w:p w14:paraId="4C7232E6" w14:textId="77777777" w:rsidR="005A10F9" w:rsidRPr="0023756B" w:rsidRDefault="005A10F9" w:rsidP="00CF40BE">
            <w:pPr>
              <w:pStyle w:val="Tabletext"/>
              <w:keepNext/>
              <w:jc w:val="right"/>
              <w:rPr>
                <w:b/>
                <w:bCs/>
                <w:i/>
                <w:iCs/>
                <w:szCs w:val="20"/>
              </w:rPr>
            </w:pPr>
            <w:r>
              <w:rPr>
                <w:b/>
                <w:bCs/>
                <w:i/>
                <w:iCs/>
                <w:szCs w:val="20"/>
              </w:rPr>
              <w:t>2.7</w:t>
            </w:r>
          </w:p>
        </w:tc>
        <w:tc>
          <w:tcPr>
            <w:tcW w:w="850" w:type="dxa"/>
            <w:shd w:val="clear" w:color="auto" w:fill="E5E5E5" w:themeFill="accent2" w:themeFillTint="33"/>
            <w:vAlign w:val="bottom"/>
          </w:tcPr>
          <w:p w14:paraId="54176F41" w14:textId="77777777" w:rsidR="005A10F9" w:rsidRPr="0023756B" w:rsidRDefault="005A10F9" w:rsidP="00CF40BE">
            <w:pPr>
              <w:pStyle w:val="Tabletext"/>
              <w:keepNext/>
              <w:jc w:val="right"/>
              <w:rPr>
                <w:b/>
                <w:bCs/>
                <w:i/>
                <w:iCs/>
                <w:szCs w:val="20"/>
              </w:rPr>
            </w:pPr>
            <w:r>
              <w:rPr>
                <w:b/>
                <w:bCs/>
                <w:i/>
                <w:iCs/>
                <w:szCs w:val="20"/>
              </w:rPr>
              <w:t>4.3</w:t>
            </w:r>
          </w:p>
        </w:tc>
        <w:tc>
          <w:tcPr>
            <w:tcW w:w="850" w:type="dxa"/>
            <w:shd w:val="clear" w:color="auto" w:fill="E5E5E5" w:themeFill="accent2" w:themeFillTint="33"/>
            <w:vAlign w:val="bottom"/>
          </w:tcPr>
          <w:p w14:paraId="2213F851" w14:textId="77777777" w:rsidR="005A10F9" w:rsidRPr="0023756B" w:rsidRDefault="005A10F9" w:rsidP="00CF40BE">
            <w:pPr>
              <w:pStyle w:val="Tabletext"/>
              <w:keepNext/>
              <w:jc w:val="right"/>
              <w:rPr>
                <w:b/>
                <w:bCs/>
                <w:i/>
                <w:iCs/>
                <w:szCs w:val="20"/>
              </w:rPr>
            </w:pPr>
            <w:r>
              <w:rPr>
                <w:b/>
                <w:bCs/>
                <w:i/>
                <w:iCs/>
                <w:szCs w:val="20"/>
              </w:rPr>
              <w:t>4.3</w:t>
            </w:r>
          </w:p>
        </w:tc>
        <w:tc>
          <w:tcPr>
            <w:tcW w:w="850" w:type="dxa"/>
            <w:shd w:val="clear" w:color="auto" w:fill="E5E5E5" w:themeFill="accent2" w:themeFillTint="33"/>
            <w:vAlign w:val="bottom"/>
          </w:tcPr>
          <w:p w14:paraId="7329FDE2" w14:textId="77777777" w:rsidR="005A10F9" w:rsidRPr="0023756B" w:rsidRDefault="005A10F9" w:rsidP="00CF40BE">
            <w:pPr>
              <w:pStyle w:val="Tabletext"/>
              <w:keepNext/>
              <w:jc w:val="right"/>
              <w:rPr>
                <w:b/>
                <w:bCs/>
                <w:i/>
                <w:iCs/>
                <w:szCs w:val="20"/>
              </w:rPr>
            </w:pPr>
            <w:r>
              <w:rPr>
                <w:b/>
                <w:bCs/>
                <w:i/>
                <w:iCs/>
                <w:szCs w:val="20"/>
              </w:rPr>
              <w:t>12.5</w:t>
            </w:r>
          </w:p>
        </w:tc>
        <w:tc>
          <w:tcPr>
            <w:tcW w:w="850" w:type="dxa"/>
            <w:shd w:val="clear" w:color="auto" w:fill="E5E5E5" w:themeFill="accent2" w:themeFillTint="33"/>
            <w:vAlign w:val="bottom"/>
          </w:tcPr>
          <w:p w14:paraId="2CFDCBBA" w14:textId="77777777" w:rsidR="005A10F9" w:rsidRPr="006F451B" w:rsidRDefault="005A10F9" w:rsidP="00CF40BE">
            <w:pPr>
              <w:pStyle w:val="Tabletext"/>
              <w:keepNext/>
              <w:jc w:val="right"/>
              <w:rPr>
                <w:b/>
                <w:bCs/>
                <w:i/>
                <w:iCs/>
                <w:color w:val="auto"/>
                <w:szCs w:val="20"/>
              </w:rPr>
            </w:pPr>
            <w:r w:rsidRPr="006F451B">
              <w:rPr>
                <w:b/>
                <w:bCs/>
                <w:i/>
                <w:iCs/>
                <w:color w:val="auto"/>
                <w:szCs w:val="20"/>
              </w:rPr>
              <w:t>1.1</w:t>
            </w:r>
          </w:p>
        </w:tc>
        <w:tc>
          <w:tcPr>
            <w:tcW w:w="850" w:type="dxa"/>
            <w:shd w:val="clear" w:color="auto" w:fill="E5E5E5" w:themeFill="accent2" w:themeFillTint="33"/>
            <w:vAlign w:val="bottom"/>
          </w:tcPr>
          <w:p w14:paraId="1F7D6588" w14:textId="77777777" w:rsidR="005A10F9" w:rsidRPr="0023756B" w:rsidRDefault="005A10F9" w:rsidP="00CF40BE">
            <w:pPr>
              <w:pStyle w:val="Tabletext"/>
              <w:keepNext/>
              <w:jc w:val="right"/>
              <w:rPr>
                <w:b/>
                <w:bCs/>
                <w:i/>
                <w:iCs/>
                <w:szCs w:val="20"/>
              </w:rPr>
            </w:pPr>
            <w:r>
              <w:rPr>
                <w:b/>
                <w:bCs/>
                <w:i/>
                <w:iCs/>
                <w:szCs w:val="20"/>
              </w:rPr>
              <w:t>4.3</w:t>
            </w:r>
          </w:p>
        </w:tc>
        <w:tc>
          <w:tcPr>
            <w:tcW w:w="850" w:type="dxa"/>
            <w:shd w:val="clear" w:color="auto" w:fill="E5E5E5" w:themeFill="accent2" w:themeFillTint="33"/>
            <w:vAlign w:val="bottom"/>
          </w:tcPr>
          <w:p w14:paraId="28ACC669" w14:textId="77777777" w:rsidR="005A10F9" w:rsidRPr="0023756B" w:rsidRDefault="005A10F9" w:rsidP="00CF40BE">
            <w:pPr>
              <w:pStyle w:val="Tabletext"/>
              <w:keepNext/>
              <w:jc w:val="right"/>
              <w:rPr>
                <w:b/>
                <w:bCs/>
                <w:i/>
                <w:iCs/>
                <w:szCs w:val="20"/>
              </w:rPr>
            </w:pPr>
            <w:r>
              <w:rPr>
                <w:b/>
                <w:bCs/>
                <w:i/>
                <w:iCs/>
                <w:szCs w:val="20"/>
              </w:rPr>
              <w:t>6.0</w:t>
            </w:r>
          </w:p>
        </w:tc>
        <w:tc>
          <w:tcPr>
            <w:tcW w:w="851" w:type="dxa"/>
            <w:shd w:val="clear" w:color="auto" w:fill="E5E5E5" w:themeFill="accent2" w:themeFillTint="33"/>
            <w:vAlign w:val="bottom"/>
          </w:tcPr>
          <w:p w14:paraId="07445FDF" w14:textId="77777777" w:rsidR="005A10F9" w:rsidRPr="0023756B" w:rsidRDefault="005A10F9" w:rsidP="00CF40BE">
            <w:pPr>
              <w:pStyle w:val="Tabletext"/>
              <w:keepNext/>
              <w:jc w:val="right"/>
              <w:rPr>
                <w:b/>
                <w:bCs/>
                <w:i/>
                <w:iCs/>
                <w:szCs w:val="20"/>
              </w:rPr>
            </w:pPr>
            <w:r>
              <w:rPr>
                <w:b/>
                <w:bCs/>
                <w:i/>
                <w:iCs/>
                <w:szCs w:val="20"/>
              </w:rPr>
              <w:t>4.3</w:t>
            </w:r>
          </w:p>
        </w:tc>
      </w:tr>
      <w:tr w:rsidR="005A10F9" w14:paraId="747050CE" w14:textId="77777777" w:rsidTr="00CF40BE">
        <w:trPr>
          <w:gridBefore w:val="1"/>
          <w:wBefore w:w="454" w:type="dxa"/>
        </w:trPr>
        <w:tc>
          <w:tcPr>
            <w:tcW w:w="2247" w:type="dxa"/>
            <w:shd w:val="clear" w:color="auto" w:fill="E5E5E5" w:themeFill="accent2" w:themeFillTint="33"/>
          </w:tcPr>
          <w:p w14:paraId="6481DA6F" w14:textId="77777777" w:rsidR="005A10F9" w:rsidRPr="009F0927" w:rsidRDefault="005A10F9" w:rsidP="00CF40BE">
            <w:pPr>
              <w:pStyle w:val="Tabletext"/>
              <w:keepNext/>
              <w:rPr>
                <w:b/>
                <w:bCs/>
              </w:rPr>
            </w:pPr>
            <w:r w:rsidRPr="0014439F">
              <w:rPr>
                <w:b/>
                <w:bCs/>
                <w:i/>
                <w:iCs/>
              </w:rPr>
              <w:t>NPV (7% discount rate)</w:t>
            </w:r>
          </w:p>
        </w:tc>
        <w:tc>
          <w:tcPr>
            <w:tcW w:w="850" w:type="dxa"/>
            <w:shd w:val="clear" w:color="auto" w:fill="E5E5E5" w:themeFill="accent2" w:themeFillTint="33"/>
            <w:vAlign w:val="bottom"/>
          </w:tcPr>
          <w:p w14:paraId="64A5ADC9" w14:textId="77777777" w:rsidR="005A10F9" w:rsidRPr="0023756B" w:rsidRDefault="005A10F9" w:rsidP="00CF40BE">
            <w:pPr>
              <w:pStyle w:val="Tabletext"/>
              <w:keepNext/>
              <w:jc w:val="right"/>
              <w:rPr>
                <w:b/>
                <w:bCs/>
                <w:i/>
                <w:iCs/>
              </w:rPr>
            </w:pPr>
            <w:r>
              <w:rPr>
                <w:b/>
                <w:bCs/>
                <w:i/>
                <w:iCs/>
                <w:szCs w:val="20"/>
              </w:rPr>
              <w:t>27.3</w:t>
            </w:r>
          </w:p>
        </w:tc>
        <w:tc>
          <w:tcPr>
            <w:tcW w:w="850" w:type="dxa"/>
            <w:shd w:val="clear" w:color="auto" w:fill="E5E5E5" w:themeFill="accent2" w:themeFillTint="33"/>
            <w:vAlign w:val="bottom"/>
          </w:tcPr>
          <w:p w14:paraId="4308F394" w14:textId="77777777" w:rsidR="005A10F9" w:rsidRPr="0023756B" w:rsidRDefault="005A10F9" w:rsidP="00CF40BE">
            <w:pPr>
              <w:pStyle w:val="Tabletext"/>
              <w:keepNext/>
              <w:jc w:val="right"/>
              <w:rPr>
                <w:b/>
                <w:bCs/>
                <w:i/>
                <w:iCs/>
              </w:rPr>
            </w:pPr>
            <w:r>
              <w:rPr>
                <w:b/>
                <w:bCs/>
                <w:i/>
                <w:iCs/>
                <w:szCs w:val="20"/>
              </w:rPr>
              <w:t>2.5</w:t>
            </w:r>
          </w:p>
        </w:tc>
        <w:tc>
          <w:tcPr>
            <w:tcW w:w="850" w:type="dxa"/>
            <w:shd w:val="clear" w:color="auto" w:fill="E5E5E5" w:themeFill="accent2" w:themeFillTint="33"/>
            <w:vAlign w:val="bottom"/>
          </w:tcPr>
          <w:p w14:paraId="49753C66" w14:textId="77777777" w:rsidR="005A10F9" w:rsidRPr="0023756B" w:rsidRDefault="005A10F9" w:rsidP="00CF40BE">
            <w:pPr>
              <w:pStyle w:val="Tabletext"/>
              <w:keepNext/>
              <w:jc w:val="right"/>
              <w:rPr>
                <w:b/>
                <w:bCs/>
                <w:i/>
                <w:iCs/>
              </w:rPr>
            </w:pPr>
            <w:r>
              <w:rPr>
                <w:b/>
                <w:bCs/>
                <w:i/>
                <w:iCs/>
                <w:szCs w:val="20"/>
              </w:rPr>
              <w:t>4.0</w:t>
            </w:r>
          </w:p>
        </w:tc>
        <w:tc>
          <w:tcPr>
            <w:tcW w:w="850" w:type="dxa"/>
            <w:shd w:val="clear" w:color="auto" w:fill="E5E5E5" w:themeFill="accent2" w:themeFillTint="33"/>
            <w:vAlign w:val="bottom"/>
          </w:tcPr>
          <w:p w14:paraId="319AE168" w14:textId="77777777" w:rsidR="005A10F9" w:rsidRPr="0023756B" w:rsidRDefault="005A10F9" w:rsidP="00CF40BE">
            <w:pPr>
              <w:pStyle w:val="Tabletext"/>
              <w:keepNext/>
              <w:jc w:val="right"/>
              <w:rPr>
                <w:b/>
                <w:bCs/>
                <w:i/>
                <w:iCs/>
              </w:rPr>
            </w:pPr>
            <w:r>
              <w:rPr>
                <w:b/>
                <w:bCs/>
                <w:i/>
                <w:iCs/>
                <w:szCs w:val="20"/>
              </w:rPr>
              <w:t>4.0</w:t>
            </w:r>
          </w:p>
        </w:tc>
        <w:tc>
          <w:tcPr>
            <w:tcW w:w="850" w:type="dxa"/>
            <w:shd w:val="clear" w:color="auto" w:fill="E5E5E5" w:themeFill="accent2" w:themeFillTint="33"/>
            <w:vAlign w:val="bottom"/>
          </w:tcPr>
          <w:p w14:paraId="1DC63025" w14:textId="77777777" w:rsidR="005A10F9" w:rsidRPr="0023756B" w:rsidRDefault="005A10F9" w:rsidP="00CF40BE">
            <w:pPr>
              <w:pStyle w:val="Tabletext"/>
              <w:keepNext/>
              <w:jc w:val="right"/>
              <w:rPr>
                <w:b/>
                <w:bCs/>
                <w:i/>
                <w:iCs/>
              </w:rPr>
            </w:pPr>
            <w:r w:rsidRPr="0023756B">
              <w:rPr>
                <w:b/>
                <w:bCs/>
                <w:i/>
                <w:iCs/>
                <w:szCs w:val="20"/>
              </w:rPr>
              <w:t>1</w:t>
            </w:r>
            <w:r>
              <w:rPr>
                <w:b/>
                <w:bCs/>
                <w:i/>
                <w:iCs/>
                <w:szCs w:val="20"/>
              </w:rPr>
              <w:t>1.3</w:t>
            </w:r>
          </w:p>
        </w:tc>
        <w:tc>
          <w:tcPr>
            <w:tcW w:w="850" w:type="dxa"/>
            <w:shd w:val="clear" w:color="auto" w:fill="E5E5E5" w:themeFill="accent2" w:themeFillTint="33"/>
            <w:vAlign w:val="bottom"/>
          </w:tcPr>
          <w:p w14:paraId="5731BB5B" w14:textId="77777777" w:rsidR="005A10F9" w:rsidRPr="0023756B" w:rsidRDefault="005A10F9" w:rsidP="00CF40BE">
            <w:pPr>
              <w:pStyle w:val="Tabletext"/>
              <w:keepNext/>
              <w:jc w:val="right"/>
              <w:rPr>
                <w:b/>
                <w:bCs/>
                <w:i/>
                <w:iCs/>
              </w:rPr>
            </w:pPr>
            <w:r>
              <w:rPr>
                <w:b/>
                <w:bCs/>
                <w:i/>
                <w:iCs/>
                <w:szCs w:val="20"/>
              </w:rPr>
              <w:t>1.1</w:t>
            </w:r>
          </w:p>
        </w:tc>
        <w:tc>
          <w:tcPr>
            <w:tcW w:w="850" w:type="dxa"/>
            <w:shd w:val="clear" w:color="auto" w:fill="E5E5E5" w:themeFill="accent2" w:themeFillTint="33"/>
            <w:vAlign w:val="bottom"/>
          </w:tcPr>
          <w:p w14:paraId="29ED6994" w14:textId="77777777" w:rsidR="005A10F9" w:rsidRPr="0023756B" w:rsidRDefault="005A10F9" w:rsidP="00CF40BE">
            <w:pPr>
              <w:pStyle w:val="Tabletext"/>
              <w:keepNext/>
              <w:jc w:val="right"/>
              <w:rPr>
                <w:b/>
                <w:bCs/>
                <w:i/>
                <w:iCs/>
              </w:rPr>
            </w:pPr>
            <w:r>
              <w:rPr>
                <w:b/>
                <w:bCs/>
                <w:i/>
                <w:iCs/>
                <w:szCs w:val="20"/>
              </w:rPr>
              <w:t>4.0</w:t>
            </w:r>
          </w:p>
        </w:tc>
        <w:tc>
          <w:tcPr>
            <w:tcW w:w="850" w:type="dxa"/>
            <w:shd w:val="clear" w:color="auto" w:fill="E5E5E5" w:themeFill="accent2" w:themeFillTint="33"/>
            <w:vAlign w:val="bottom"/>
          </w:tcPr>
          <w:p w14:paraId="13F80C3D" w14:textId="77777777" w:rsidR="005A10F9" w:rsidRPr="0023756B" w:rsidRDefault="005A10F9" w:rsidP="00CF40BE">
            <w:pPr>
              <w:pStyle w:val="Tabletext"/>
              <w:keepNext/>
              <w:jc w:val="right"/>
              <w:rPr>
                <w:b/>
                <w:bCs/>
                <w:i/>
                <w:iCs/>
              </w:rPr>
            </w:pPr>
            <w:r w:rsidRPr="0023756B">
              <w:rPr>
                <w:b/>
                <w:bCs/>
                <w:i/>
                <w:iCs/>
                <w:szCs w:val="20"/>
              </w:rPr>
              <w:t>5.</w:t>
            </w:r>
            <w:r>
              <w:rPr>
                <w:b/>
                <w:bCs/>
                <w:i/>
                <w:iCs/>
                <w:szCs w:val="20"/>
              </w:rPr>
              <w:t>5</w:t>
            </w:r>
          </w:p>
        </w:tc>
        <w:tc>
          <w:tcPr>
            <w:tcW w:w="851" w:type="dxa"/>
            <w:shd w:val="clear" w:color="auto" w:fill="E5E5E5" w:themeFill="accent2" w:themeFillTint="33"/>
            <w:vAlign w:val="bottom"/>
          </w:tcPr>
          <w:p w14:paraId="2DFA3FDA" w14:textId="77777777" w:rsidR="005A10F9" w:rsidRPr="0023756B" w:rsidRDefault="005A10F9" w:rsidP="00CF40BE">
            <w:pPr>
              <w:pStyle w:val="Tabletext"/>
              <w:keepNext/>
              <w:jc w:val="right"/>
              <w:rPr>
                <w:b/>
                <w:bCs/>
                <w:i/>
                <w:iCs/>
              </w:rPr>
            </w:pPr>
            <w:r>
              <w:rPr>
                <w:b/>
                <w:bCs/>
                <w:i/>
                <w:iCs/>
                <w:szCs w:val="20"/>
              </w:rPr>
              <w:t>4.0</w:t>
            </w:r>
          </w:p>
        </w:tc>
      </w:tr>
      <w:tr w:rsidR="005A10F9" w14:paraId="45A4158E" w14:textId="77777777" w:rsidTr="00CF40BE">
        <w:trPr>
          <w:gridBefore w:val="1"/>
          <w:wBefore w:w="454" w:type="dxa"/>
        </w:trPr>
        <w:tc>
          <w:tcPr>
            <w:tcW w:w="2247" w:type="dxa"/>
            <w:shd w:val="clear" w:color="auto" w:fill="E5E5E5" w:themeFill="accent2" w:themeFillTint="33"/>
          </w:tcPr>
          <w:p w14:paraId="13D8DB09" w14:textId="77777777" w:rsidR="005A10F9" w:rsidRPr="0014439F" w:rsidRDefault="005A10F9" w:rsidP="00CF40BE">
            <w:pPr>
              <w:pStyle w:val="Tabletext"/>
              <w:rPr>
                <w:b/>
                <w:bCs/>
              </w:rPr>
            </w:pPr>
            <w:r>
              <w:rPr>
                <w:b/>
                <w:bCs/>
                <w:i/>
                <w:iCs/>
              </w:rPr>
              <w:t>NPV (10</w:t>
            </w:r>
            <w:r w:rsidRPr="0014439F">
              <w:rPr>
                <w:b/>
                <w:bCs/>
                <w:i/>
                <w:iCs/>
              </w:rPr>
              <w:t>% discount rate)</w:t>
            </w:r>
          </w:p>
        </w:tc>
        <w:tc>
          <w:tcPr>
            <w:tcW w:w="850" w:type="dxa"/>
            <w:shd w:val="clear" w:color="auto" w:fill="E5E5E5" w:themeFill="accent2" w:themeFillTint="33"/>
            <w:vAlign w:val="bottom"/>
          </w:tcPr>
          <w:p w14:paraId="0157A6D7" w14:textId="77777777" w:rsidR="005A10F9" w:rsidRPr="0023756B" w:rsidRDefault="005A10F9" w:rsidP="00CF40BE">
            <w:pPr>
              <w:pStyle w:val="Tabletext"/>
              <w:jc w:val="right"/>
              <w:rPr>
                <w:b/>
                <w:bCs/>
                <w:i/>
                <w:iCs/>
              </w:rPr>
            </w:pPr>
            <w:r>
              <w:rPr>
                <w:b/>
                <w:bCs/>
                <w:i/>
                <w:iCs/>
              </w:rPr>
              <w:t>25.2</w:t>
            </w:r>
          </w:p>
        </w:tc>
        <w:tc>
          <w:tcPr>
            <w:tcW w:w="850" w:type="dxa"/>
            <w:shd w:val="clear" w:color="auto" w:fill="E5E5E5" w:themeFill="accent2" w:themeFillTint="33"/>
            <w:vAlign w:val="bottom"/>
          </w:tcPr>
          <w:p w14:paraId="1AA82CEC" w14:textId="77777777" w:rsidR="005A10F9" w:rsidRPr="0023756B" w:rsidRDefault="005A10F9" w:rsidP="00CF40BE">
            <w:pPr>
              <w:pStyle w:val="Tabletext"/>
              <w:jc w:val="right"/>
              <w:rPr>
                <w:b/>
                <w:bCs/>
                <w:i/>
                <w:iCs/>
              </w:rPr>
            </w:pPr>
            <w:r>
              <w:rPr>
                <w:b/>
                <w:bCs/>
                <w:i/>
                <w:iCs/>
              </w:rPr>
              <w:t>2.4</w:t>
            </w:r>
          </w:p>
        </w:tc>
        <w:tc>
          <w:tcPr>
            <w:tcW w:w="850" w:type="dxa"/>
            <w:shd w:val="clear" w:color="auto" w:fill="E5E5E5" w:themeFill="accent2" w:themeFillTint="33"/>
            <w:vAlign w:val="bottom"/>
          </w:tcPr>
          <w:p w14:paraId="40D010A9" w14:textId="77777777" w:rsidR="005A10F9" w:rsidRPr="0023756B" w:rsidRDefault="005A10F9" w:rsidP="00CF40BE">
            <w:pPr>
              <w:pStyle w:val="Tabletext"/>
              <w:jc w:val="right"/>
              <w:rPr>
                <w:b/>
                <w:bCs/>
                <w:i/>
                <w:iCs/>
              </w:rPr>
            </w:pPr>
            <w:r w:rsidRPr="0023756B">
              <w:rPr>
                <w:b/>
                <w:bCs/>
                <w:i/>
                <w:iCs/>
                <w:szCs w:val="20"/>
              </w:rPr>
              <w:t>3.</w:t>
            </w:r>
            <w:r>
              <w:rPr>
                <w:b/>
                <w:bCs/>
                <w:i/>
                <w:iCs/>
                <w:szCs w:val="20"/>
              </w:rPr>
              <w:t>8</w:t>
            </w:r>
          </w:p>
        </w:tc>
        <w:tc>
          <w:tcPr>
            <w:tcW w:w="850" w:type="dxa"/>
            <w:shd w:val="clear" w:color="auto" w:fill="E5E5E5" w:themeFill="accent2" w:themeFillTint="33"/>
            <w:vAlign w:val="bottom"/>
          </w:tcPr>
          <w:p w14:paraId="091BE7D8" w14:textId="77777777" w:rsidR="005A10F9" w:rsidRPr="0023756B" w:rsidRDefault="005A10F9" w:rsidP="00CF40BE">
            <w:pPr>
              <w:pStyle w:val="Tabletext"/>
              <w:jc w:val="right"/>
              <w:rPr>
                <w:b/>
                <w:bCs/>
                <w:i/>
                <w:iCs/>
              </w:rPr>
            </w:pPr>
            <w:r w:rsidRPr="0023756B">
              <w:rPr>
                <w:b/>
                <w:bCs/>
                <w:i/>
                <w:iCs/>
                <w:szCs w:val="20"/>
              </w:rPr>
              <w:t>3.</w:t>
            </w:r>
            <w:r>
              <w:rPr>
                <w:b/>
                <w:bCs/>
                <w:i/>
                <w:iCs/>
                <w:szCs w:val="20"/>
              </w:rPr>
              <w:t>8</w:t>
            </w:r>
          </w:p>
        </w:tc>
        <w:tc>
          <w:tcPr>
            <w:tcW w:w="850" w:type="dxa"/>
            <w:shd w:val="clear" w:color="auto" w:fill="E5E5E5" w:themeFill="accent2" w:themeFillTint="33"/>
            <w:vAlign w:val="bottom"/>
          </w:tcPr>
          <w:p w14:paraId="0E9A0D5B" w14:textId="77777777" w:rsidR="005A10F9" w:rsidRPr="0023756B" w:rsidRDefault="005A10F9" w:rsidP="00CF40BE">
            <w:pPr>
              <w:pStyle w:val="Tabletext"/>
              <w:jc w:val="right"/>
              <w:rPr>
                <w:b/>
                <w:bCs/>
                <w:i/>
                <w:iCs/>
              </w:rPr>
            </w:pPr>
            <w:r w:rsidRPr="0023756B">
              <w:rPr>
                <w:b/>
                <w:bCs/>
                <w:i/>
                <w:iCs/>
                <w:szCs w:val="20"/>
              </w:rPr>
              <w:t>1</w:t>
            </w:r>
            <w:r>
              <w:rPr>
                <w:b/>
                <w:bCs/>
                <w:i/>
                <w:iCs/>
                <w:szCs w:val="20"/>
              </w:rPr>
              <w:t>0.5</w:t>
            </w:r>
          </w:p>
        </w:tc>
        <w:tc>
          <w:tcPr>
            <w:tcW w:w="850" w:type="dxa"/>
            <w:shd w:val="clear" w:color="auto" w:fill="E5E5E5" w:themeFill="accent2" w:themeFillTint="33"/>
            <w:vAlign w:val="bottom"/>
          </w:tcPr>
          <w:p w14:paraId="46FF2543" w14:textId="77777777" w:rsidR="005A10F9" w:rsidRPr="0023756B" w:rsidRDefault="005A10F9" w:rsidP="00CF40BE">
            <w:pPr>
              <w:pStyle w:val="Tabletext"/>
              <w:jc w:val="right"/>
              <w:rPr>
                <w:b/>
                <w:bCs/>
                <w:i/>
                <w:iCs/>
              </w:rPr>
            </w:pPr>
            <w:r>
              <w:rPr>
                <w:b/>
                <w:bCs/>
                <w:i/>
                <w:iCs/>
                <w:szCs w:val="20"/>
              </w:rPr>
              <w:t>1.1</w:t>
            </w:r>
          </w:p>
        </w:tc>
        <w:tc>
          <w:tcPr>
            <w:tcW w:w="850" w:type="dxa"/>
            <w:shd w:val="clear" w:color="auto" w:fill="E5E5E5" w:themeFill="accent2" w:themeFillTint="33"/>
            <w:vAlign w:val="bottom"/>
          </w:tcPr>
          <w:p w14:paraId="454566F0" w14:textId="77777777" w:rsidR="005A10F9" w:rsidRPr="0023756B" w:rsidRDefault="005A10F9" w:rsidP="00CF40BE">
            <w:pPr>
              <w:pStyle w:val="Tabletext"/>
              <w:jc w:val="right"/>
              <w:rPr>
                <w:b/>
                <w:bCs/>
                <w:i/>
                <w:iCs/>
              </w:rPr>
            </w:pPr>
            <w:r w:rsidRPr="0023756B">
              <w:rPr>
                <w:b/>
                <w:bCs/>
                <w:i/>
                <w:iCs/>
                <w:szCs w:val="20"/>
              </w:rPr>
              <w:t>3.</w:t>
            </w:r>
            <w:r>
              <w:rPr>
                <w:b/>
                <w:bCs/>
                <w:i/>
                <w:iCs/>
                <w:szCs w:val="20"/>
              </w:rPr>
              <w:t>8</w:t>
            </w:r>
          </w:p>
        </w:tc>
        <w:tc>
          <w:tcPr>
            <w:tcW w:w="850" w:type="dxa"/>
            <w:shd w:val="clear" w:color="auto" w:fill="E5E5E5" w:themeFill="accent2" w:themeFillTint="33"/>
            <w:vAlign w:val="bottom"/>
          </w:tcPr>
          <w:p w14:paraId="128AD8BC" w14:textId="77777777" w:rsidR="005A10F9" w:rsidRPr="0023756B" w:rsidRDefault="005A10F9" w:rsidP="00CF40BE">
            <w:pPr>
              <w:pStyle w:val="Tabletext"/>
              <w:jc w:val="right"/>
              <w:rPr>
                <w:b/>
                <w:bCs/>
                <w:i/>
                <w:iCs/>
              </w:rPr>
            </w:pPr>
            <w:r w:rsidRPr="0023756B">
              <w:rPr>
                <w:b/>
                <w:bCs/>
                <w:i/>
                <w:iCs/>
                <w:szCs w:val="20"/>
              </w:rPr>
              <w:t>5.</w:t>
            </w:r>
            <w:r>
              <w:rPr>
                <w:b/>
                <w:bCs/>
                <w:i/>
                <w:iCs/>
                <w:szCs w:val="20"/>
              </w:rPr>
              <w:t>1</w:t>
            </w:r>
          </w:p>
        </w:tc>
        <w:tc>
          <w:tcPr>
            <w:tcW w:w="851" w:type="dxa"/>
            <w:shd w:val="clear" w:color="auto" w:fill="E5E5E5" w:themeFill="accent2" w:themeFillTint="33"/>
            <w:vAlign w:val="bottom"/>
          </w:tcPr>
          <w:p w14:paraId="73A96C13" w14:textId="77777777" w:rsidR="005A10F9" w:rsidRPr="0023756B" w:rsidRDefault="005A10F9" w:rsidP="00CF40BE">
            <w:pPr>
              <w:pStyle w:val="Tabletext"/>
              <w:jc w:val="right"/>
              <w:rPr>
                <w:b/>
                <w:bCs/>
                <w:i/>
                <w:iCs/>
              </w:rPr>
            </w:pPr>
            <w:r w:rsidRPr="0023756B">
              <w:rPr>
                <w:b/>
                <w:bCs/>
                <w:i/>
                <w:iCs/>
                <w:szCs w:val="20"/>
              </w:rPr>
              <w:t>3.</w:t>
            </w:r>
            <w:r>
              <w:rPr>
                <w:b/>
                <w:bCs/>
                <w:i/>
                <w:iCs/>
                <w:szCs w:val="20"/>
              </w:rPr>
              <w:t>8</w:t>
            </w:r>
          </w:p>
        </w:tc>
      </w:tr>
      <w:tr w:rsidR="005A10F9" w14:paraId="601701FC" w14:textId="77777777" w:rsidTr="00CF40BE">
        <w:trPr>
          <w:gridBefore w:val="1"/>
          <w:wBefore w:w="454" w:type="dxa"/>
        </w:trPr>
        <w:tc>
          <w:tcPr>
            <w:tcW w:w="2247" w:type="dxa"/>
            <w:shd w:val="clear" w:color="auto" w:fill="CAE4EE" w:themeFill="accent5" w:themeFillTint="66"/>
          </w:tcPr>
          <w:p w14:paraId="42DBBDC8" w14:textId="77777777" w:rsidR="005A10F9" w:rsidRPr="009F0927" w:rsidRDefault="005A10F9" w:rsidP="00CF40BE">
            <w:pPr>
              <w:pStyle w:val="Tabletext"/>
              <w:keepNext/>
              <w:rPr>
                <w:b/>
                <w:bCs/>
                <w:i/>
                <w:iCs/>
              </w:rPr>
            </w:pPr>
            <w:r>
              <w:rPr>
                <w:b/>
                <w:bCs/>
              </w:rPr>
              <w:t>TOTAL COSTS</w:t>
            </w:r>
          </w:p>
        </w:tc>
        <w:tc>
          <w:tcPr>
            <w:tcW w:w="850" w:type="dxa"/>
            <w:shd w:val="clear" w:color="auto" w:fill="CAE4EE" w:themeFill="accent5" w:themeFillTint="66"/>
          </w:tcPr>
          <w:p w14:paraId="030C694B" w14:textId="77777777" w:rsidR="005A10F9" w:rsidRPr="00894500" w:rsidRDefault="005A10F9" w:rsidP="00CF40BE">
            <w:pPr>
              <w:pStyle w:val="Tabletext"/>
              <w:keepNext/>
              <w:jc w:val="right"/>
            </w:pPr>
          </w:p>
        </w:tc>
        <w:tc>
          <w:tcPr>
            <w:tcW w:w="850" w:type="dxa"/>
            <w:shd w:val="clear" w:color="auto" w:fill="CAE4EE" w:themeFill="accent5" w:themeFillTint="66"/>
          </w:tcPr>
          <w:p w14:paraId="0E30083D" w14:textId="77777777" w:rsidR="005A10F9" w:rsidRPr="00894500" w:rsidRDefault="005A10F9" w:rsidP="00CF40BE">
            <w:pPr>
              <w:pStyle w:val="Tabletext"/>
              <w:keepNext/>
              <w:jc w:val="right"/>
            </w:pPr>
          </w:p>
        </w:tc>
        <w:tc>
          <w:tcPr>
            <w:tcW w:w="850" w:type="dxa"/>
            <w:shd w:val="clear" w:color="auto" w:fill="CAE4EE" w:themeFill="accent5" w:themeFillTint="66"/>
          </w:tcPr>
          <w:p w14:paraId="63B8C328" w14:textId="77777777" w:rsidR="005A10F9" w:rsidRPr="00894500" w:rsidRDefault="005A10F9" w:rsidP="00CF40BE">
            <w:pPr>
              <w:pStyle w:val="Tabletext"/>
              <w:keepNext/>
              <w:jc w:val="right"/>
            </w:pPr>
          </w:p>
        </w:tc>
        <w:tc>
          <w:tcPr>
            <w:tcW w:w="850" w:type="dxa"/>
            <w:shd w:val="clear" w:color="auto" w:fill="CAE4EE" w:themeFill="accent5" w:themeFillTint="66"/>
          </w:tcPr>
          <w:p w14:paraId="4223D2D0" w14:textId="77777777" w:rsidR="005A10F9" w:rsidRPr="00894500" w:rsidRDefault="005A10F9" w:rsidP="00CF40BE">
            <w:pPr>
              <w:pStyle w:val="Tabletext"/>
              <w:keepNext/>
              <w:jc w:val="right"/>
            </w:pPr>
          </w:p>
        </w:tc>
        <w:tc>
          <w:tcPr>
            <w:tcW w:w="850" w:type="dxa"/>
            <w:shd w:val="clear" w:color="auto" w:fill="CAE4EE" w:themeFill="accent5" w:themeFillTint="66"/>
          </w:tcPr>
          <w:p w14:paraId="735B4402" w14:textId="77777777" w:rsidR="005A10F9" w:rsidRPr="00894500" w:rsidRDefault="005A10F9" w:rsidP="00CF40BE">
            <w:pPr>
              <w:pStyle w:val="Tabletext"/>
              <w:keepNext/>
              <w:jc w:val="right"/>
            </w:pPr>
          </w:p>
        </w:tc>
        <w:tc>
          <w:tcPr>
            <w:tcW w:w="850" w:type="dxa"/>
            <w:shd w:val="clear" w:color="auto" w:fill="CAE4EE" w:themeFill="accent5" w:themeFillTint="66"/>
          </w:tcPr>
          <w:p w14:paraId="0F4D07C0" w14:textId="77777777" w:rsidR="005A10F9" w:rsidRPr="00894500" w:rsidRDefault="005A10F9" w:rsidP="00CF40BE">
            <w:pPr>
              <w:pStyle w:val="Tabletext"/>
              <w:keepNext/>
              <w:jc w:val="right"/>
            </w:pPr>
          </w:p>
        </w:tc>
        <w:tc>
          <w:tcPr>
            <w:tcW w:w="850" w:type="dxa"/>
            <w:shd w:val="clear" w:color="auto" w:fill="CAE4EE" w:themeFill="accent5" w:themeFillTint="66"/>
          </w:tcPr>
          <w:p w14:paraId="192F1084" w14:textId="77777777" w:rsidR="005A10F9" w:rsidRPr="00894500" w:rsidRDefault="005A10F9" w:rsidP="00CF40BE">
            <w:pPr>
              <w:pStyle w:val="Tabletext"/>
              <w:keepNext/>
              <w:jc w:val="right"/>
            </w:pPr>
          </w:p>
        </w:tc>
        <w:tc>
          <w:tcPr>
            <w:tcW w:w="850" w:type="dxa"/>
            <w:shd w:val="clear" w:color="auto" w:fill="CAE4EE" w:themeFill="accent5" w:themeFillTint="66"/>
          </w:tcPr>
          <w:p w14:paraId="3D996188" w14:textId="77777777" w:rsidR="005A10F9" w:rsidRPr="00894500" w:rsidRDefault="005A10F9" w:rsidP="00CF40BE">
            <w:pPr>
              <w:pStyle w:val="Tabletext"/>
              <w:keepNext/>
              <w:jc w:val="right"/>
            </w:pPr>
          </w:p>
        </w:tc>
        <w:tc>
          <w:tcPr>
            <w:tcW w:w="851" w:type="dxa"/>
            <w:shd w:val="clear" w:color="auto" w:fill="CAE4EE" w:themeFill="accent5" w:themeFillTint="66"/>
          </w:tcPr>
          <w:p w14:paraId="403F867B" w14:textId="77777777" w:rsidR="005A10F9" w:rsidRPr="00894500" w:rsidRDefault="005A10F9" w:rsidP="00CF40BE">
            <w:pPr>
              <w:pStyle w:val="Tabletext"/>
              <w:keepNext/>
              <w:jc w:val="right"/>
            </w:pPr>
          </w:p>
        </w:tc>
      </w:tr>
      <w:tr w:rsidR="005A10F9" w14:paraId="028E7FCA" w14:textId="77777777" w:rsidTr="00CF40BE">
        <w:trPr>
          <w:gridBefore w:val="1"/>
          <w:wBefore w:w="454" w:type="dxa"/>
        </w:trPr>
        <w:tc>
          <w:tcPr>
            <w:tcW w:w="2247" w:type="dxa"/>
            <w:shd w:val="clear" w:color="auto" w:fill="auto"/>
          </w:tcPr>
          <w:p w14:paraId="6DB41090" w14:textId="77777777" w:rsidR="005A10F9" w:rsidRPr="009F0927" w:rsidRDefault="005A10F9" w:rsidP="00CF40BE">
            <w:pPr>
              <w:pStyle w:val="Tabletext"/>
              <w:rPr>
                <w:b/>
                <w:bCs/>
                <w:i/>
                <w:iCs/>
              </w:rPr>
            </w:pPr>
            <w:r>
              <w:rPr>
                <w:b/>
                <w:bCs/>
                <w:i/>
                <w:iCs/>
              </w:rPr>
              <w:t>Undiscounted</w:t>
            </w:r>
          </w:p>
        </w:tc>
        <w:tc>
          <w:tcPr>
            <w:tcW w:w="850" w:type="dxa"/>
            <w:shd w:val="clear" w:color="auto" w:fill="auto"/>
            <w:vAlign w:val="bottom"/>
          </w:tcPr>
          <w:p w14:paraId="2FEC535C" w14:textId="77777777" w:rsidR="005A10F9" w:rsidRPr="0023756B" w:rsidRDefault="005A10F9" w:rsidP="00CF40BE">
            <w:pPr>
              <w:pStyle w:val="Tabletext"/>
              <w:jc w:val="right"/>
              <w:rPr>
                <w:b/>
                <w:bCs/>
                <w:i/>
                <w:iCs/>
                <w:color w:val="FF0000"/>
              </w:rPr>
            </w:pPr>
            <w:r>
              <w:rPr>
                <w:b/>
                <w:bCs/>
                <w:i/>
                <w:iCs/>
                <w:szCs w:val="20"/>
              </w:rPr>
              <w:t>2.6</w:t>
            </w:r>
          </w:p>
        </w:tc>
        <w:tc>
          <w:tcPr>
            <w:tcW w:w="850" w:type="dxa"/>
            <w:shd w:val="clear" w:color="auto" w:fill="auto"/>
            <w:vAlign w:val="bottom"/>
          </w:tcPr>
          <w:p w14:paraId="1846AB65" w14:textId="77777777" w:rsidR="005A10F9" w:rsidRPr="0023756B" w:rsidRDefault="005A10F9" w:rsidP="00CF40BE">
            <w:pPr>
              <w:pStyle w:val="Tabletext"/>
              <w:jc w:val="right"/>
              <w:rPr>
                <w:b/>
                <w:bCs/>
                <w:i/>
                <w:iCs/>
                <w:color w:val="FF0000"/>
              </w:rPr>
            </w:pPr>
            <w:r>
              <w:rPr>
                <w:b/>
                <w:bCs/>
                <w:i/>
                <w:iCs/>
                <w:szCs w:val="20"/>
              </w:rPr>
              <w:t>2.6</w:t>
            </w:r>
          </w:p>
        </w:tc>
        <w:tc>
          <w:tcPr>
            <w:tcW w:w="850" w:type="dxa"/>
            <w:shd w:val="clear" w:color="auto" w:fill="auto"/>
          </w:tcPr>
          <w:p w14:paraId="6A29F34B" w14:textId="77777777" w:rsidR="005A10F9" w:rsidRPr="0023756B" w:rsidRDefault="005A10F9" w:rsidP="00CF40BE">
            <w:pPr>
              <w:pStyle w:val="Tabletext"/>
              <w:jc w:val="right"/>
              <w:rPr>
                <w:b/>
                <w:bCs/>
                <w:i/>
                <w:iCs/>
                <w:color w:val="FF0000"/>
              </w:rPr>
            </w:pPr>
            <w:r w:rsidRPr="00D676A6">
              <w:rPr>
                <w:b/>
                <w:bCs/>
                <w:i/>
                <w:iCs/>
                <w:szCs w:val="20"/>
              </w:rPr>
              <w:t>2.6</w:t>
            </w:r>
          </w:p>
        </w:tc>
        <w:tc>
          <w:tcPr>
            <w:tcW w:w="850" w:type="dxa"/>
            <w:shd w:val="clear" w:color="auto" w:fill="auto"/>
          </w:tcPr>
          <w:p w14:paraId="66676786" w14:textId="77777777" w:rsidR="005A10F9" w:rsidRPr="0023756B" w:rsidRDefault="005A10F9" w:rsidP="00CF40BE">
            <w:pPr>
              <w:pStyle w:val="Tabletext"/>
              <w:jc w:val="right"/>
              <w:rPr>
                <w:b/>
                <w:bCs/>
                <w:i/>
                <w:iCs/>
                <w:color w:val="FF0000"/>
              </w:rPr>
            </w:pPr>
            <w:r w:rsidRPr="00D676A6">
              <w:rPr>
                <w:b/>
                <w:bCs/>
                <w:i/>
                <w:iCs/>
                <w:szCs w:val="20"/>
              </w:rPr>
              <w:t>2.6</w:t>
            </w:r>
          </w:p>
        </w:tc>
        <w:tc>
          <w:tcPr>
            <w:tcW w:w="850" w:type="dxa"/>
            <w:shd w:val="clear" w:color="auto" w:fill="auto"/>
          </w:tcPr>
          <w:p w14:paraId="27FB735F" w14:textId="77777777" w:rsidR="005A10F9" w:rsidRPr="0023756B" w:rsidRDefault="005A10F9" w:rsidP="00CF40BE">
            <w:pPr>
              <w:pStyle w:val="Tabletext"/>
              <w:jc w:val="right"/>
              <w:rPr>
                <w:b/>
                <w:bCs/>
                <w:i/>
                <w:iCs/>
                <w:color w:val="FF0000"/>
              </w:rPr>
            </w:pPr>
            <w:r w:rsidRPr="00D676A6">
              <w:rPr>
                <w:b/>
                <w:bCs/>
                <w:i/>
                <w:iCs/>
                <w:szCs w:val="20"/>
              </w:rPr>
              <w:t>2.6</w:t>
            </w:r>
          </w:p>
        </w:tc>
        <w:tc>
          <w:tcPr>
            <w:tcW w:w="850" w:type="dxa"/>
            <w:shd w:val="clear" w:color="auto" w:fill="auto"/>
          </w:tcPr>
          <w:p w14:paraId="7485C85E" w14:textId="77777777" w:rsidR="005A10F9" w:rsidRPr="0023756B" w:rsidRDefault="005A10F9" w:rsidP="00CF40BE">
            <w:pPr>
              <w:pStyle w:val="Tabletext"/>
              <w:jc w:val="right"/>
              <w:rPr>
                <w:b/>
                <w:bCs/>
                <w:i/>
                <w:iCs/>
                <w:color w:val="FF0000"/>
              </w:rPr>
            </w:pPr>
            <w:r w:rsidRPr="00D676A6">
              <w:rPr>
                <w:b/>
                <w:bCs/>
                <w:i/>
                <w:iCs/>
                <w:szCs w:val="20"/>
              </w:rPr>
              <w:t>2.6</w:t>
            </w:r>
          </w:p>
        </w:tc>
        <w:tc>
          <w:tcPr>
            <w:tcW w:w="850" w:type="dxa"/>
            <w:shd w:val="clear" w:color="auto" w:fill="auto"/>
          </w:tcPr>
          <w:p w14:paraId="4B64BB94" w14:textId="77777777" w:rsidR="005A10F9" w:rsidRPr="0023756B" w:rsidRDefault="005A10F9" w:rsidP="00CF40BE">
            <w:pPr>
              <w:pStyle w:val="Tabletext"/>
              <w:jc w:val="right"/>
              <w:rPr>
                <w:b/>
                <w:bCs/>
                <w:i/>
                <w:iCs/>
                <w:color w:val="FF0000"/>
              </w:rPr>
            </w:pPr>
            <w:r w:rsidRPr="00D676A6">
              <w:rPr>
                <w:b/>
                <w:bCs/>
                <w:i/>
                <w:iCs/>
                <w:szCs w:val="20"/>
              </w:rPr>
              <w:t>2.6</w:t>
            </w:r>
          </w:p>
        </w:tc>
        <w:tc>
          <w:tcPr>
            <w:tcW w:w="850" w:type="dxa"/>
            <w:shd w:val="clear" w:color="auto" w:fill="auto"/>
          </w:tcPr>
          <w:p w14:paraId="727CF94D" w14:textId="77777777" w:rsidR="005A10F9" w:rsidRPr="0023756B" w:rsidRDefault="005A10F9" w:rsidP="00CF40BE">
            <w:pPr>
              <w:pStyle w:val="Tabletext"/>
              <w:jc w:val="right"/>
              <w:rPr>
                <w:b/>
                <w:bCs/>
                <w:i/>
                <w:iCs/>
                <w:color w:val="FF0000"/>
              </w:rPr>
            </w:pPr>
            <w:r w:rsidRPr="00D676A6">
              <w:rPr>
                <w:b/>
                <w:bCs/>
                <w:i/>
                <w:iCs/>
                <w:szCs w:val="20"/>
              </w:rPr>
              <w:t>2.6</w:t>
            </w:r>
          </w:p>
        </w:tc>
        <w:tc>
          <w:tcPr>
            <w:tcW w:w="851" w:type="dxa"/>
            <w:shd w:val="clear" w:color="auto" w:fill="auto"/>
          </w:tcPr>
          <w:p w14:paraId="3F74E553" w14:textId="77777777" w:rsidR="005A10F9" w:rsidRPr="0023756B" w:rsidRDefault="005A10F9" w:rsidP="00CF40BE">
            <w:pPr>
              <w:pStyle w:val="Tabletext"/>
              <w:jc w:val="right"/>
              <w:rPr>
                <w:b/>
                <w:bCs/>
                <w:i/>
                <w:iCs/>
                <w:color w:val="FF0000"/>
              </w:rPr>
            </w:pPr>
            <w:r w:rsidRPr="00D676A6">
              <w:rPr>
                <w:b/>
                <w:bCs/>
                <w:i/>
                <w:iCs/>
                <w:szCs w:val="20"/>
              </w:rPr>
              <w:t>2.6</w:t>
            </w:r>
          </w:p>
        </w:tc>
      </w:tr>
      <w:tr w:rsidR="005A10F9" w14:paraId="0D785016" w14:textId="77777777" w:rsidTr="00CF40BE">
        <w:trPr>
          <w:gridBefore w:val="1"/>
          <w:wBefore w:w="454" w:type="dxa"/>
        </w:trPr>
        <w:tc>
          <w:tcPr>
            <w:tcW w:w="2247" w:type="dxa"/>
            <w:shd w:val="clear" w:color="auto" w:fill="auto"/>
          </w:tcPr>
          <w:p w14:paraId="2FC92BAB" w14:textId="77777777" w:rsidR="005A10F9" w:rsidRDefault="005A10F9" w:rsidP="00CF40BE">
            <w:pPr>
              <w:pStyle w:val="Tabletext"/>
              <w:rPr>
                <w:b/>
                <w:bCs/>
                <w:i/>
                <w:iCs/>
              </w:rPr>
            </w:pPr>
            <w:r>
              <w:rPr>
                <w:b/>
                <w:bCs/>
                <w:i/>
                <w:iCs/>
              </w:rPr>
              <w:t>NPV (3</w:t>
            </w:r>
            <w:r w:rsidRPr="0014439F">
              <w:rPr>
                <w:b/>
                <w:bCs/>
                <w:i/>
                <w:iCs/>
              </w:rPr>
              <w:t>% discount rate)</w:t>
            </w:r>
          </w:p>
        </w:tc>
        <w:tc>
          <w:tcPr>
            <w:tcW w:w="850" w:type="dxa"/>
            <w:shd w:val="clear" w:color="auto" w:fill="auto"/>
            <w:vAlign w:val="bottom"/>
          </w:tcPr>
          <w:p w14:paraId="539D1D4F"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4D7A368A"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648B39FA"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4C3C1099"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3755A330"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6B62279A"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2F961D82" w14:textId="77777777" w:rsidR="005A10F9" w:rsidRPr="0023756B" w:rsidRDefault="005A10F9" w:rsidP="00CF40BE">
            <w:pPr>
              <w:pStyle w:val="Tabletext"/>
              <w:jc w:val="right"/>
              <w:rPr>
                <w:b/>
                <w:bCs/>
                <w:i/>
                <w:iCs/>
                <w:szCs w:val="20"/>
              </w:rPr>
            </w:pPr>
            <w:r>
              <w:rPr>
                <w:b/>
                <w:bCs/>
                <w:i/>
                <w:iCs/>
                <w:szCs w:val="20"/>
              </w:rPr>
              <w:t>2.2</w:t>
            </w:r>
          </w:p>
        </w:tc>
        <w:tc>
          <w:tcPr>
            <w:tcW w:w="850" w:type="dxa"/>
            <w:shd w:val="clear" w:color="auto" w:fill="auto"/>
            <w:vAlign w:val="bottom"/>
          </w:tcPr>
          <w:p w14:paraId="2CF6C0B2" w14:textId="77777777" w:rsidR="005A10F9" w:rsidRPr="0023756B" w:rsidRDefault="005A10F9" w:rsidP="00CF40BE">
            <w:pPr>
              <w:pStyle w:val="Tabletext"/>
              <w:jc w:val="right"/>
              <w:rPr>
                <w:b/>
                <w:bCs/>
                <w:i/>
                <w:iCs/>
                <w:szCs w:val="20"/>
              </w:rPr>
            </w:pPr>
            <w:r>
              <w:rPr>
                <w:b/>
                <w:bCs/>
                <w:i/>
                <w:iCs/>
                <w:szCs w:val="20"/>
              </w:rPr>
              <w:t>2.2</w:t>
            </w:r>
          </w:p>
        </w:tc>
        <w:tc>
          <w:tcPr>
            <w:tcW w:w="851" w:type="dxa"/>
            <w:shd w:val="clear" w:color="auto" w:fill="auto"/>
            <w:vAlign w:val="bottom"/>
          </w:tcPr>
          <w:p w14:paraId="114B368C" w14:textId="77777777" w:rsidR="005A10F9" w:rsidRPr="0023756B" w:rsidRDefault="005A10F9" w:rsidP="00CF40BE">
            <w:pPr>
              <w:pStyle w:val="Tabletext"/>
              <w:jc w:val="right"/>
              <w:rPr>
                <w:b/>
                <w:bCs/>
                <w:i/>
                <w:iCs/>
                <w:szCs w:val="20"/>
              </w:rPr>
            </w:pPr>
            <w:r>
              <w:rPr>
                <w:b/>
                <w:bCs/>
                <w:i/>
                <w:iCs/>
                <w:szCs w:val="20"/>
              </w:rPr>
              <w:t>2.2</w:t>
            </w:r>
          </w:p>
        </w:tc>
      </w:tr>
      <w:tr w:rsidR="005A10F9" w14:paraId="5C6DE00C" w14:textId="77777777" w:rsidTr="00CF40BE">
        <w:trPr>
          <w:gridBefore w:val="1"/>
          <w:wBefore w:w="454" w:type="dxa"/>
        </w:trPr>
        <w:tc>
          <w:tcPr>
            <w:tcW w:w="2247" w:type="dxa"/>
            <w:shd w:val="clear" w:color="auto" w:fill="auto"/>
          </w:tcPr>
          <w:p w14:paraId="5BA50A72" w14:textId="77777777" w:rsidR="005A10F9" w:rsidRDefault="005A10F9" w:rsidP="00CF40BE">
            <w:pPr>
              <w:pStyle w:val="Tabletext"/>
              <w:rPr>
                <w:b/>
                <w:bCs/>
                <w:i/>
                <w:iCs/>
              </w:rPr>
            </w:pPr>
            <w:r w:rsidRPr="0014439F">
              <w:rPr>
                <w:b/>
                <w:bCs/>
                <w:i/>
                <w:iCs/>
              </w:rPr>
              <w:t>NPV (7% discount rate)</w:t>
            </w:r>
          </w:p>
        </w:tc>
        <w:tc>
          <w:tcPr>
            <w:tcW w:w="850" w:type="dxa"/>
            <w:shd w:val="clear" w:color="auto" w:fill="auto"/>
            <w:vAlign w:val="bottom"/>
          </w:tcPr>
          <w:p w14:paraId="658EA8EE" w14:textId="77777777" w:rsidR="005A10F9" w:rsidRPr="0023756B" w:rsidRDefault="005A10F9" w:rsidP="00CF40BE">
            <w:pPr>
              <w:pStyle w:val="Tabletext"/>
              <w:jc w:val="right"/>
              <w:rPr>
                <w:b/>
                <w:bCs/>
                <w:i/>
                <w:iCs/>
                <w:szCs w:val="20"/>
              </w:rPr>
            </w:pPr>
            <w:r>
              <w:rPr>
                <w:b/>
                <w:bCs/>
                <w:i/>
                <w:iCs/>
                <w:szCs w:val="20"/>
              </w:rPr>
              <w:t>1.8</w:t>
            </w:r>
          </w:p>
        </w:tc>
        <w:tc>
          <w:tcPr>
            <w:tcW w:w="850" w:type="dxa"/>
            <w:shd w:val="clear" w:color="auto" w:fill="auto"/>
          </w:tcPr>
          <w:p w14:paraId="2CF3936B"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176B4B5D"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0A36D9F3"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7553E45D"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2E6CC09E"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1D26388E" w14:textId="77777777" w:rsidR="005A10F9" w:rsidRPr="0023756B" w:rsidRDefault="005A10F9" w:rsidP="00CF40BE">
            <w:pPr>
              <w:pStyle w:val="Tabletext"/>
              <w:jc w:val="right"/>
              <w:rPr>
                <w:b/>
                <w:bCs/>
                <w:i/>
                <w:iCs/>
                <w:szCs w:val="20"/>
              </w:rPr>
            </w:pPr>
            <w:r w:rsidRPr="008B4EE3">
              <w:rPr>
                <w:b/>
                <w:bCs/>
                <w:i/>
                <w:iCs/>
                <w:szCs w:val="20"/>
              </w:rPr>
              <w:t>1.8</w:t>
            </w:r>
          </w:p>
        </w:tc>
        <w:tc>
          <w:tcPr>
            <w:tcW w:w="850" w:type="dxa"/>
            <w:shd w:val="clear" w:color="auto" w:fill="auto"/>
          </w:tcPr>
          <w:p w14:paraId="5E545A2E" w14:textId="77777777" w:rsidR="005A10F9" w:rsidRPr="0023756B" w:rsidRDefault="005A10F9" w:rsidP="00CF40BE">
            <w:pPr>
              <w:pStyle w:val="Tabletext"/>
              <w:jc w:val="right"/>
              <w:rPr>
                <w:b/>
                <w:bCs/>
                <w:i/>
                <w:iCs/>
                <w:szCs w:val="20"/>
              </w:rPr>
            </w:pPr>
            <w:r w:rsidRPr="008B4EE3">
              <w:rPr>
                <w:b/>
                <w:bCs/>
                <w:i/>
                <w:iCs/>
                <w:szCs w:val="20"/>
              </w:rPr>
              <w:t>1.8</w:t>
            </w:r>
          </w:p>
        </w:tc>
        <w:tc>
          <w:tcPr>
            <w:tcW w:w="851" w:type="dxa"/>
            <w:shd w:val="clear" w:color="auto" w:fill="auto"/>
          </w:tcPr>
          <w:p w14:paraId="65147232" w14:textId="77777777" w:rsidR="005A10F9" w:rsidRPr="0023756B" w:rsidRDefault="005A10F9" w:rsidP="00CF40BE">
            <w:pPr>
              <w:pStyle w:val="Tabletext"/>
              <w:jc w:val="right"/>
              <w:rPr>
                <w:b/>
                <w:bCs/>
                <w:i/>
                <w:iCs/>
                <w:szCs w:val="20"/>
              </w:rPr>
            </w:pPr>
            <w:r w:rsidRPr="008B4EE3">
              <w:rPr>
                <w:b/>
                <w:bCs/>
                <w:i/>
                <w:iCs/>
                <w:szCs w:val="20"/>
              </w:rPr>
              <w:t>1.8</w:t>
            </w:r>
          </w:p>
        </w:tc>
      </w:tr>
      <w:tr w:rsidR="005A10F9" w14:paraId="764F1032" w14:textId="77777777" w:rsidTr="00CF40BE">
        <w:trPr>
          <w:gridBefore w:val="1"/>
          <w:wBefore w:w="454" w:type="dxa"/>
        </w:trPr>
        <w:tc>
          <w:tcPr>
            <w:tcW w:w="2247" w:type="dxa"/>
            <w:shd w:val="clear" w:color="auto" w:fill="auto"/>
          </w:tcPr>
          <w:p w14:paraId="7E391E2C" w14:textId="77777777" w:rsidR="005A10F9" w:rsidRPr="009F0927" w:rsidRDefault="005A10F9" w:rsidP="00CF40BE">
            <w:pPr>
              <w:pStyle w:val="Tabletext"/>
              <w:rPr>
                <w:b/>
                <w:bCs/>
                <w:i/>
                <w:iCs/>
              </w:rPr>
            </w:pPr>
            <w:r>
              <w:rPr>
                <w:b/>
                <w:bCs/>
                <w:i/>
                <w:iCs/>
              </w:rPr>
              <w:t>NPV (10</w:t>
            </w:r>
            <w:r w:rsidRPr="0014439F">
              <w:rPr>
                <w:b/>
                <w:bCs/>
                <w:i/>
                <w:iCs/>
              </w:rPr>
              <w:t>% discount rate)</w:t>
            </w:r>
          </w:p>
        </w:tc>
        <w:tc>
          <w:tcPr>
            <w:tcW w:w="850" w:type="dxa"/>
            <w:shd w:val="clear" w:color="auto" w:fill="auto"/>
            <w:vAlign w:val="bottom"/>
          </w:tcPr>
          <w:p w14:paraId="70477AD0" w14:textId="77777777" w:rsidR="005A10F9" w:rsidRPr="0023756B" w:rsidRDefault="005A10F9" w:rsidP="00CF40BE">
            <w:pPr>
              <w:pStyle w:val="Tabletext"/>
              <w:jc w:val="right"/>
              <w:rPr>
                <w:b/>
                <w:bCs/>
                <w:i/>
                <w:iCs/>
                <w:color w:val="FF0000"/>
              </w:rPr>
            </w:pPr>
            <w:r>
              <w:rPr>
                <w:b/>
                <w:bCs/>
                <w:i/>
                <w:iCs/>
                <w:szCs w:val="20"/>
              </w:rPr>
              <w:t>1</w:t>
            </w:r>
            <w:r w:rsidRPr="0023756B">
              <w:rPr>
                <w:b/>
                <w:bCs/>
                <w:i/>
                <w:iCs/>
                <w:szCs w:val="20"/>
              </w:rPr>
              <w:t>.6</w:t>
            </w:r>
          </w:p>
        </w:tc>
        <w:tc>
          <w:tcPr>
            <w:tcW w:w="850" w:type="dxa"/>
            <w:shd w:val="clear" w:color="auto" w:fill="auto"/>
          </w:tcPr>
          <w:p w14:paraId="013F6F15"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7995334B"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6BDDCD10"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3710DE1E"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1D25EFC1"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536B8432" w14:textId="77777777" w:rsidR="005A10F9" w:rsidRPr="0023756B" w:rsidRDefault="005A10F9" w:rsidP="00CF40BE">
            <w:pPr>
              <w:pStyle w:val="Tabletext"/>
              <w:jc w:val="right"/>
              <w:rPr>
                <w:b/>
                <w:bCs/>
                <w:i/>
                <w:iCs/>
                <w:color w:val="FF0000"/>
              </w:rPr>
            </w:pPr>
            <w:r w:rsidRPr="00020179">
              <w:rPr>
                <w:b/>
                <w:bCs/>
                <w:i/>
                <w:iCs/>
                <w:szCs w:val="20"/>
              </w:rPr>
              <w:t>1.6</w:t>
            </w:r>
          </w:p>
        </w:tc>
        <w:tc>
          <w:tcPr>
            <w:tcW w:w="850" w:type="dxa"/>
            <w:shd w:val="clear" w:color="auto" w:fill="auto"/>
          </w:tcPr>
          <w:p w14:paraId="5EBB5E22" w14:textId="77777777" w:rsidR="005A10F9" w:rsidRPr="0023756B" w:rsidRDefault="005A10F9" w:rsidP="00CF40BE">
            <w:pPr>
              <w:pStyle w:val="Tabletext"/>
              <w:jc w:val="right"/>
              <w:rPr>
                <w:b/>
                <w:bCs/>
                <w:i/>
                <w:iCs/>
                <w:color w:val="FF0000"/>
              </w:rPr>
            </w:pPr>
            <w:r w:rsidRPr="00020179">
              <w:rPr>
                <w:b/>
                <w:bCs/>
                <w:i/>
                <w:iCs/>
                <w:szCs w:val="20"/>
              </w:rPr>
              <w:t>1.6</w:t>
            </w:r>
          </w:p>
        </w:tc>
        <w:tc>
          <w:tcPr>
            <w:tcW w:w="851" w:type="dxa"/>
            <w:shd w:val="clear" w:color="auto" w:fill="auto"/>
          </w:tcPr>
          <w:p w14:paraId="551734BD" w14:textId="77777777" w:rsidR="005A10F9" w:rsidRPr="0023756B" w:rsidRDefault="005A10F9" w:rsidP="00CF40BE">
            <w:pPr>
              <w:pStyle w:val="Tabletext"/>
              <w:jc w:val="right"/>
              <w:rPr>
                <w:b/>
                <w:bCs/>
                <w:i/>
                <w:iCs/>
                <w:color w:val="FF0000"/>
              </w:rPr>
            </w:pPr>
            <w:r w:rsidRPr="00020179">
              <w:rPr>
                <w:b/>
                <w:bCs/>
                <w:i/>
                <w:iCs/>
                <w:szCs w:val="20"/>
              </w:rPr>
              <w:t>1.6</w:t>
            </w:r>
          </w:p>
        </w:tc>
      </w:tr>
      <w:tr w:rsidR="005A10F9" w14:paraId="4E6FC9B0" w14:textId="77777777" w:rsidTr="00CF40BE">
        <w:trPr>
          <w:gridBefore w:val="1"/>
          <w:wBefore w:w="454" w:type="dxa"/>
        </w:trPr>
        <w:tc>
          <w:tcPr>
            <w:tcW w:w="2247" w:type="dxa"/>
            <w:shd w:val="clear" w:color="auto" w:fill="CAE4EE" w:themeFill="accent5" w:themeFillTint="66"/>
          </w:tcPr>
          <w:p w14:paraId="522D50B0" w14:textId="77777777" w:rsidR="005A10F9" w:rsidRPr="009F0927" w:rsidRDefault="005A10F9" w:rsidP="00CF40BE">
            <w:pPr>
              <w:pStyle w:val="Tabletext"/>
              <w:keepNext/>
              <w:rPr>
                <w:b/>
                <w:bCs/>
                <w:i/>
                <w:iCs/>
              </w:rPr>
            </w:pPr>
            <w:r>
              <w:rPr>
                <w:b/>
                <w:bCs/>
              </w:rPr>
              <w:t>TOTAL BENEFITS</w:t>
            </w:r>
          </w:p>
        </w:tc>
        <w:tc>
          <w:tcPr>
            <w:tcW w:w="850" w:type="dxa"/>
            <w:shd w:val="clear" w:color="auto" w:fill="CAE4EE" w:themeFill="accent5" w:themeFillTint="66"/>
            <w:vAlign w:val="bottom"/>
          </w:tcPr>
          <w:p w14:paraId="2F7D59F6"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76F10D07"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88DBD82"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0ABD05D"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2A6532BD"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075843EC"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60325E3E" w14:textId="77777777" w:rsidR="005A10F9" w:rsidRPr="0023756B" w:rsidRDefault="005A10F9"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0756627E" w14:textId="77777777" w:rsidR="005A10F9" w:rsidRPr="0023756B" w:rsidRDefault="005A10F9" w:rsidP="00CF40BE">
            <w:pPr>
              <w:pStyle w:val="Tabletext"/>
              <w:keepNext/>
              <w:jc w:val="right"/>
              <w:rPr>
                <w:b/>
                <w:bCs/>
                <w:i/>
                <w:iCs/>
              </w:rPr>
            </w:pPr>
            <w:r w:rsidRPr="0023756B">
              <w:rPr>
                <w:b/>
                <w:bCs/>
                <w:i/>
                <w:iCs/>
                <w:szCs w:val="20"/>
              </w:rPr>
              <w:t> </w:t>
            </w:r>
          </w:p>
        </w:tc>
        <w:tc>
          <w:tcPr>
            <w:tcW w:w="851" w:type="dxa"/>
            <w:shd w:val="clear" w:color="auto" w:fill="CAE4EE" w:themeFill="accent5" w:themeFillTint="66"/>
            <w:vAlign w:val="bottom"/>
          </w:tcPr>
          <w:p w14:paraId="180D39D1" w14:textId="77777777" w:rsidR="005A10F9" w:rsidRPr="0023756B" w:rsidRDefault="005A10F9" w:rsidP="00CF40BE">
            <w:pPr>
              <w:pStyle w:val="Tabletext"/>
              <w:keepNext/>
              <w:jc w:val="right"/>
              <w:rPr>
                <w:b/>
                <w:bCs/>
                <w:i/>
                <w:iCs/>
              </w:rPr>
            </w:pPr>
            <w:r w:rsidRPr="0023756B">
              <w:rPr>
                <w:b/>
                <w:bCs/>
                <w:i/>
                <w:iCs/>
                <w:szCs w:val="20"/>
              </w:rPr>
              <w:t> </w:t>
            </w:r>
          </w:p>
        </w:tc>
      </w:tr>
      <w:tr w:rsidR="005A10F9" w14:paraId="4AFDC5F6" w14:textId="77777777" w:rsidTr="00CF40BE">
        <w:trPr>
          <w:gridBefore w:val="1"/>
          <w:wBefore w:w="454" w:type="dxa"/>
        </w:trPr>
        <w:tc>
          <w:tcPr>
            <w:tcW w:w="2247" w:type="dxa"/>
            <w:shd w:val="clear" w:color="auto" w:fill="auto"/>
          </w:tcPr>
          <w:p w14:paraId="319938B5" w14:textId="77777777" w:rsidR="005A10F9" w:rsidRPr="009F0927" w:rsidRDefault="005A10F9" w:rsidP="00CF40BE">
            <w:pPr>
              <w:pStyle w:val="Tabletext"/>
              <w:rPr>
                <w:b/>
                <w:bCs/>
                <w:i/>
                <w:iCs/>
              </w:rPr>
            </w:pPr>
            <w:r>
              <w:rPr>
                <w:b/>
                <w:bCs/>
                <w:i/>
                <w:iCs/>
              </w:rPr>
              <w:t>Undiscounted</w:t>
            </w:r>
          </w:p>
        </w:tc>
        <w:tc>
          <w:tcPr>
            <w:tcW w:w="850" w:type="dxa"/>
            <w:shd w:val="clear" w:color="auto" w:fill="auto"/>
            <w:vAlign w:val="bottom"/>
          </w:tcPr>
          <w:p w14:paraId="5E215470" w14:textId="77777777" w:rsidR="005A10F9" w:rsidRPr="0023756B" w:rsidRDefault="005A10F9" w:rsidP="00CF40BE">
            <w:pPr>
              <w:pStyle w:val="Tabletext"/>
              <w:jc w:val="right"/>
              <w:rPr>
                <w:b/>
                <w:bCs/>
                <w:i/>
                <w:iCs/>
              </w:rPr>
            </w:pPr>
            <w:r>
              <w:rPr>
                <w:b/>
                <w:bCs/>
                <w:i/>
                <w:iCs/>
                <w:szCs w:val="20"/>
              </w:rPr>
              <w:t>36.0</w:t>
            </w:r>
            <w:r w:rsidRPr="0023756B">
              <w:rPr>
                <w:b/>
                <w:bCs/>
                <w:i/>
                <w:iCs/>
                <w:szCs w:val="20"/>
              </w:rPr>
              <w:t xml:space="preserve"> </w:t>
            </w:r>
          </w:p>
        </w:tc>
        <w:tc>
          <w:tcPr>
            <w:tcW w:w="850" w:type="dxa"/>
            <w:shd w:val="clear" w:color="auto" w:fill="auto"/>
            <w:vAlign w:val="bottom"/>
          </w:tcPr>
          <w:p w14:paraId="3FB140FA" w14:textId="77777777" w:rsidR="005A10F9" w:rsidRPr="0023756B" w:rsidRDefault="005A10F9" w:rsidP="00CF40BE">
            <w:pPr>
              <w:pStyle w:val="Tabletext"/>
              <w:jc w:val="right"/>
              <w:rPr>
                <w:b/>
                <w:bCs/>
                <w:i/>
                <w:iCs/>
              </w:rPr>
            </w:pPr>
            <w:r>
              <w:rPr>
                <w:b/>
                <w:bCs/>
                <w:i/>
                <w:iCs/>
                <w:szCs w:val="20"/>
              </w:rPr>
              <w:t>5.4</w:t>
            </w:r>
          </w:p>
        </w:tc>
        <w:tc>
          <w:tcPr>
            <w:tcW w:w="850" w:type="dxa"/>
            <w:shd w:val="clear" w:color="auto" w:fill="auto"/>
            <w:vAlign w:val="bottom"/>
          </w:tcPr>
          <w:p w14:paraId="0E168D11" w14:textId="77777777" w:rsidR="005A10F9" w:rsidRPr="0023756B" w:rsidRDefault="005A10F9" w:rsidP="00CF40BE">
            <w:pPr>
              <w:pStyle w:val="Tabletext"/>
              <w:jc w:val="right"/>
              <w:rPr>
                <w:b/>
                <w:bCs/>
                <w:i/>
                <w:iCs/>
              </w:rPr>
            </w:pPr>
            <w:r>
              <w:rPr>
                <w:b/>
                <w:bCs/>
                <w:i/>
                <w:iCs/>
                <w:szCs w:val="20"/>
              </w:rPr>
              <w:t>7.2</w:t>
            </w:r>
            <w:r w:rsidRPr="0023756B">
              <w:rPr>
                <w:b/>
                <w:bCs/>
                <w:i/>
                <w:iCs/>
                <w:szCs w:val="20"/>
              </w:rPr>
              <w:t xml:space="preserve"> </w:t>
            </w:r>
          </w:p>
        </w:tc>
        <w:tc>
          <w:tcPr>
            <w:tcW w:w="850" w:type="dxa"/>
            <w:shd w:val="clear" w:color="auto" w:fill="auto"/>
            <w:vAlign w:val="bottom"/>
          </w:tcPr>
          <w:p w14:paraId="122E7B47" w14:textId="77777777" w:rsidR="005A10F9" w:rsidRPr="0023756B" w:rsidRDefault="005A10F9" w:rsidP="00CF40BE">
            <w:pPr>
              <w:pStyle w:val="Tabletext"/>
              <w:jc w:val="right"/>
              <w:rPr>
                <w:b/>
                <w:bCs/>
                <w:i/>
                <w:iCs/>
              </w:rPr>
            </w:pPr>
            <w:r>
              <w:rPr>
                <w:b/>
                <w:bCs/>
                <w:i/>
                <w:iCs/>
                <w:szCs w:val="20"/>
              </w:rPr>
              <w:t>7.2</w:t>
            </w:r>
            <w:r w:rsidRPr="0023756B">
              <w:rPr>
                <w:b/>
                <w:bCs/>
                <w:i/>
                <w:iCs/>
                <w:szCs w:val="20"/>
              </w:rPr>
              <w:t xml:space="preserve"> </w:t>
            </w:r>
          </w:p>
        </w:tc>
        <w:tc>
          <w:tcPr>
            <w:tcW w:w="850" w:type="dxa"/>
            <w:shd w:val="clear" w:color="auto" w:fill="auto"/>
            <w:vAlign w:val="bottom"/>
          </w:tcPr>
          <w:p w14:paraId="1C3C0BD1" w14:textId="77777777" w:rsidR="005A10F9" w:rsidRPr="0023756B" w:rsidRDefault="005A10F9" w:rsidP="00CF40BE">
            <w:pPr>
              <w:pStyle w:val="Tabletext"/>
              <w:jc w:val="right"/>
              <w:rPr>
                <w:b/>
                <w:bCs/>
                <w:i/>
                <w:iCs/>
              </w:rPr>
            </w:pPr>
            <w:r>
              <w:rPr>
                <w:b/>
                <w:bCs/>
                <w:i/>
                <w:iCs/>
                <w:szCs w:val="20"/>
              </w:rPr>
              <w:t>16.2</w:t>
            </w:r>
            <w:r w:rsidRPr="0023756B">
              <w:rPr>
                <w:b/>
                <w:bCs/>
                <w:i/>
                <w:iCs/>
                <w:szCs w:val="20"/>
              </w:rPr>
              <w:t xml:space="preserve"> </w:t>
            </w:r>
          </w:p>
        </w:tc>
        <w:tc>
          <w:tcPr>
            <w:tcW w:w="850" w:type="dxa"/>
            <w:shd w:val="clear" w:color="auto" w:fill="auto"/>
            <w:vAlign w:val="bottom"/>
          </w:tcPr>
          <w:p w14:paraId="469E0D2B" w14:textId="77777777" w:rsidR="005A10F9" w:rsidRPr="0023756B" w:rsidRDefault="005A10F9" w:rsidP="00CF40BE">
            <w:pPr>
              <w:pStyle w:val="Tabletext"/>
              <w:jc w:val="right"/>
              <w:rPr>
                <w:b/>
                <w:bCs/>
                <w:i/>
                <w:iCs/>
              </w:rPr>
            </w:pPr>
            <w:r>
              <w:rPr>
                <w:b/>
                <w:bCs/>
                <w:i/>
                <w:iCs/>
                <w:szCs w:val="20"/>
              </w:rPr>
              <w:t>3.6</w:t>
            </w:r>
            <w:r w:rsidRPr="0023756B">
              <w:rPr>
                <w:b/>
                <w:bCs/>
                <w:i/>
                <w:iCs/>
                <w:szCs w:val="20"/>
              </w:rPr>
              <w:t xml:space="preserve"> </w:t>
            </w:r>
          </w:p>
        </w:tc>
        <w:tc>
          <w:tcPr>
            <w:tcW w:w="850" w:type="dxa"/>
            <w:shd w:val="clear" w:color="auto" w:fill="auto"/>
            <w:vAlign w:val="bottom"/>
          </w:tcPr>
          <w:p w14:paraId="386C05F6" w14:textId="77777777" w:rsidR="005A10F9" w:rsidRPr="0023756B" w:rsidRDefault="005A10F9" w:rsidP="00CF40BE">
            <w:pPr>
              <w:pStyle w:val="Tabletext"/>
              <w:jc w:val="right"/>
              <w:rPr>
                <w:b/>
                <w:bCs/>
                <w:i/>
                <w:iCs/>
              </w:rPr>
            </w:pPr>
            <w:r>
              <w:rPr>
                <w:b/>
                <w:bCs/>
                <w:i/>
                <w:iCs/>
                <w:szCs w:val="20"/>
              </w:rPr>
              <w:t>7.2</w:t>
            </w:r>
            <w:r w:rsidRPr="0023756B">
              <w:rPr>
                <w:b/>
                <w:bCs/>
                <w:i/>
                <w:iCs/>
                <w:szCs w:val="20"/>
              </w:rPr>
              <w:t xml:space="preserve"> </w:t>
            </w:r>
          </w:p>
        </w:tc>
        <w:tc>
          <w:tcPr>
            <w:tcW w:w="850" w:type="dxa"/>
            <w:shd w:val="clear" w:color="auto" w:fill="auto"/>
            <w:vAlign w:val="bottom"/>
          </w:tcPr>
          <w:p w14:paraId="232D71F4" w14:textId="77777777" w:rsidR="005A10F9" w:rsidRPr="0023756B" w:rsidRDefault="005A10F9" w:rsidP="00CF40BE">
            <w:pPr>
              <w:pStyle w:val="Tabletext"/>
              <w:jc w:val="right"/>
              <w:rPr>
                <w:b/>
                <w:bCs/>
                <w:i/>
                <w:iCs/>
              </w:rPr>
            </w:pPr>
            <w:r>
              <w:rPr>
                <w:b/>
                <w:bCs/>
                <w:i/>
                <w:iCs/>
                <w:szCs w:val="20"/>
              </w:rPr>
              <w:t>9.0</w:t>
            </w:r>
            <w:r w:rsidRPr="0023756B">
              <w:rPr>
                <w:b/>
                <w:bCs/>
                <w:i/>
                <w:iCs/>
                <w:szCs w:val="20"/>
              </w:rPr>
              <w:t xml:space="preserve"> </w:t>
            </w:r>
          </w:p>
        </w:tc>
        <w:tc>
          <w:tcPr>
            <w:tcW w:w="851" w:type="dxa"/>
            <w:shd w:val="clear" w:color="auto" w:fill="auto"/>
            <w:vAlign w:val="bottom"/>
          </w:tcPr>
          <w:p w14:paraId="21797156" w14:textId="77777777" w:rsidR="005A10F9" w:rsidRPr="0023756B" w:rsidRDefault="005A10F9" w:rsidP="00CF40BE">
            <w:pPr>
              <w:pStyle w:val="Tabletext"/>
              <w:jc w:val="right"/>
              <w:rPr>
                <w:b/>
                <w:bCs/>
                <w:i/>
                <w:iCs/>
              </w:rPr>
            </w:pPr>
            <w:r>
              <w:rPr>
                <w:b/>
                <w:bCs/>
                <w:i/>
                <w:iCs/>
                <w:szCs w:val="20"/>
              </w:rPr>
              <w:t>7.2</w:t>
            </w:r>
            <w:r w:rsidRPr="0023756B">
              <w:rPr>
                <w:b/>
                <w:bCs/>
                <w:i/>
                <w:iCs/>
                <w:szCs w:val="20"/>
              </w:rPr>
              <w:t xml:space="preserve"> </w:t>
            </w:r>
          </w:p>
        </w:tc>
      </w:tr>
      <w:tr w:rsidR="005A10F9" w14:paraId="3FD35F24" w14:textId="77777777" w:rsidTr="00CF40BE">
        <w:trPr>
          <w:gridBefore w:val="1"/>
          <w:wBefore w:w="454" w:type="dxa"/>
        </w:trPr>
        <w:tc>
          <w:tcPr>
            <w:tcW w:w="2247" w:type="dxa"/>
            <w:shd w:val="clear" w:color="auto" w:fill="auto"/>
          </w:tcPr>
          <w:p w14:paraId="04A0406B" w14:textId="77777777" w:rsidR="005A10F9" w:rsidRDefault="005A10F9" w:rsidP="00CF40BE">
            <w:pPr>
              <w:pStyle w:val="Tabletext"/>
              <w:rPr>
                <w:b/>
                <w:bCs/>
                <w:i/>
                <w:iCs/>
              </w:rPr>
            </w:pPr>
            <w:r>
              <w:rPr>
                <w:b/>
                <w:bCs/>
                <w:i/>
                <w:iCs/>
              </w:rPr>
              <w:t>NPV (3</w:t>
            </w:r>
            <w:r w:rsidRPr="0014439F">
              <w:rPr>
                <w:b/>
                <w:bCs/>
                <w:i/>
                <w:iCs/>
              </w:rPr>
              <w:t>% discount rate)</w:t>
            </w:r>
          </w:p>
        </w:tc>
        <w:tc>
          <w:tcPr>
            <w:tcW w:w="850" w:type="dxa"/>
            <w:shd w:val="clear" w:color="auto" w:fill="auto"/>
            <w:vAlign w:val="bottom"/>
          </w:tcPr>
          <w:p w14:paraId="12D3F861" w14:textId="77777777" w:rsidR="005A10F9" w:rsidRPr="0023756B" w:rsidRDefault="005A10F9" w:rsidP="00CF40BE">
            <w:pPr>
              <w:pStyle w:val="Tabletext"/>
              <w:jc w:val="right"/>
              <w:rPr>
                <w:b/>
                <w:bCs/>
                <w:i/>
                <w:iCs/>
                <w:szCs w:val="20"/>
              </w:rPr>
            </w:pPr>
            <w:r>
              <w:rPr>
                <w:b/>
                <w:bCs/>
                <w:i/>
                <w:iCs/>
                <w:szCs w:val="20"/>
              </w:rPr>
              <w:t>32.7</w:t>
            </w:r>
          </w:p>
        </w:tc>
        <w:tc>
          <w:tcPr>
            <w:tcW w:w="850" w:type="dxa"/>
            <w:shd w:val="clear" w:color="auto" w:fill="auto"/>
            <w:vAlign w:val="bottom"/>
          </w:tcPr>
          <w:p w14:paraId="68EC5ADB" w14:textId="77777777" w:rsidR="005A10F9" w:rsidRPr="0023756B" w:rsidRDefault="005A10F9" w:rsidP="00CF40BE">
            <w:pPr>
              <w:pStyle w:val="Tabletext"/>
              <w:jc w:val="right"/>
              <w:rPr>
                <w:b/>
                <w:bCs/>
                <w:i/>
                <w:iCs/>
                <w:szCs w:val="20"/>
              </w:rPr>
            </w:pPr>
            <w:r>
              <w:rPr>
                <w:b/>
                <w:bCs/>
                <w:i/>
                <w:iCs/>
                <w:szCs w:val="20"/>
              </w:rPr>
              <w:t>4.9</w:t>
            </w:r>
          </w:p>
        </w:tc>
        <w:tc>
          <w:tcPr>
            <w:tcW w:w="850" w:type="dxa"/>
            <w:shd w:val="clear" w:color="auto" w:fill="auto"/>
            <w:vAlign w:val="bottom"/>
          </w:tcPr>
          <w:p w14:paraId="4E66778C" w14:textId="77777777" w:rsidR="005A10F9" w:rsidRPr="0023756B" w:rsidRDefault="005A10F9" w:rsidP="00CF40BE">
            <w:pPr>
              <w:pStyle w:val="Tabletext"/>
              <w:jc w:val="right"/>
              <w:rPr>
                <w:b/>
                <w:bCs/>
                <w:i/>
                <w:iCs/>
                <w:szCs w:val="20"/>
              </w:rPr>
            </w:pPr>
            <w:r>
              <w:rPr>
                <w:b/>
                <w:bCs/>
                <w:i/>
                <w:iCs/>
                <w:szCs w:val="20"/>
              </w:rPr>
              <w:t>6..5</w:t>
            </w:r>
          </w:p>
        </w:tc>
        <w:tc>
          <w:tcPr>
            <w:tcW w:w="850" w:type="dxa"/>
            <w:shd w:val="clear" w:color="auto" w:fill="auto"/>
            <w:vAlign w:val="bottom"/>
          </w:tcPr>
          <w:p w14:paraId="4C051697" w14:textId="77777777" w:rsidR="005A10F9" w:rsidRPr="0023756B" w:rsidRDefault="005A10F9" w:rsidP="00CF40BE">
            <w:pPr>
              <w:pStyle w:val="Tabletext"/>
              <w:jc w:val="right"/>
              <w:rPr>
                <w:b/>
                <w:bCs/>
                <w:i/>
                <w:iCs/>
                <w:szCs w:val="20"/>
              </w:rPr>
            </w:pPr>
            <w:r>
              <w:rPr>
                <w:b/>
                <w:bCs/>
                <w:i/>
                <w:iCs/>
                <w:szCs w:val="20"/>
              </w:rPr>
              <w:t>6.5</w:t>
            </w:r>
          </w:p>
        </w:tc>
        <w:tc>
          <w:tcPr>
            <w:tcW w:w="850" w:type="dxa"/>
            <w:shd w:val="clear" w:color="auto" w:fill="auto"/>
            <w:vAlign w:val="bottom"/>
          </w:tcPr>
          <w:p w14:paraId="7A408BCC" w14:textId="77777777" w:rsidR="005A10F9" w:rsidRPr="0023756B" w:rsidRDefault="005A10F9" w:rsidP="00CF40BE">
            <w:pPr>
              <w:pStyle w:val="Tabletext"/>
              <w:jc w:val="right"/>
              <w:rPr>
                <w:b/>
                <w:bCs/>
                <w:i/>
                <w:iCs/>
                <w:szCs w:val="20"/>
              </w:rPr>
            </w:pPr>
            <w:r>
              <w:rPr>
                <w:b/>
                <w:bCs/>
                <w:i/>
                <w:iCs/>
                <w:szCs w:val="20"/>
              </w:rPr>
              <w:t>14.7</w:t>
            </w:r>
          </w:p>
        </w:tc>
        <w:tc>
          <w:tcPr>
            <w:tcW w:w="850" w:type="dxa"/>
            <w:shd w:val="clear" w:color="auto" w:fill="auto"/>
            <w:vAlign w:val="bottom"/>
          </w:tcPr>
          <w:p w14:paraId="1940155C" w14:textId="77777777" w:rsidR="005A10F9" w:rsidRPr="0023756B" w:rsidRDefault="005A10F9" w:rsidP="00CF40BE">
            <w:pPr>
              <w:pStyle w:val="Tabletext"/>
              <w:jc w:val="right"/>
              <w:rPr>
                <w:b/>
                <w:bCs/>
                <w:i/>
                <w:iCs/>
                <w:szCs w:val="20"/>
              </w:rPr>
            </w:pPr>
            <w:r>
              <w:rPr>
                <w:b/>
                <w:bCs/>
                <w:i/>
                <w:iCs/>
                <w:szCs w:val="20"/>
              </w:rPr>
              <w:t>3.3</w:t>
            </w:r>
          </w:p>
        </w:tc>
        <w:tc>
          <w:tcPr>
            <w:tcW w:w="850" w:type="dxa"/>
            <w:shd w:val="clear" w:color="auto" w:fill="auto"/>
            <w:vAlign w:val="bottom"/>
          </w:tcPr>
          <w:p w14:paraId="4A8034D3" w14:textId="77777777" w:rsidR="005A10F9" w:rsidRPr="0023756B" w:rsidRDefault="005A10F9" w:rsidP="00CF40BE">
            <w:pPr>
              <w:pStyle w:val="Tabletext"/>
              <w:jc w:val="right"/>
              <w:rPr>
                <w:b/>
                <w:bCs/>
                <w:i/>
                <w:iCs/>
                <w:szCs w:val="20"/>
              </w:rPr>
            </w:pPr>
            <w:r>
              <w:rPr>
                <w:b/>
                <w:bCs/>
                <w:i/>
                <w:iCs/>
                <w:szCs w:val="20"/>
              </w:rPr>
              <w:t>6.5</w:t>
            </w:r>
          </w:p>
        </w:tc>
        <w:tc>
          <w:tcPr>
            <w:tcW w:w="850" w:type="dxa"/>
            <w:shd w:val="clear" w:color="auto" w:fill="auto"/>
            <w:vAlign w:val="bottom"/>
          </w:tcPr>
          <w:p w14:paraId="33776AA7" w14:textId="77777777" w:rsidR="005A10F9" w:rsidRPr="0023756B" w:rsidRDefault="005A10F9" w:rsidP="00CF40BE">
            <w:pPr>
              <w:pStyle w:val="Tabletext"/>
              <w:jc w:val="right"/>
              <w:rPr>
                <w:b/>
                <w:bCs/>
                <w:i/>
                <w:iCs/>
                <w:szCs w:val="20"/>
              </w:rPr>
            </w:pPr>
            <w:r>
              <w:rPr>
                <w:b/>
                <w:bCs/>
                <w:i/>
                <w:iCs/>
                <w:szCs w:val="20"/>
              </w:rPr>
              <w:t>8.2</w:t>
            </w:r>
          </w:p>
        </w:tc>
        <w:tc>
          <w:tcPr>
            <w:tcW w:w="851" w:type="dxa"/>
            <w:shd w:val="clear" w:color="auto" w:fill="auto"/>
            <w:vAlign w:val="bottom"/>
          </w:tcPr>
          <w:p w14:paraId="07436702" w14:textId="77777777" w:rsidR="005A10F9" w:rsidRPr="0023756B" w:rsidRDefault="005A10F9" w:rsidP="00CF40BE">
            <w:pPr>
              <w:pStyle w:val="Tabletext"/>
              <w:jc w:val="right"/>
              <w:rPr>
                <w:b/>
                <w:bCs/>
                <w:i/>
                <w:iCs/>
                <w:szCs w:val="20"/>
              </w:rPr>
            </w:pPr>
            <w:r>
              <w:rPr>
                <w:b/>
                <w:bCs/>
                <w:i/>
                <w:iCs/>
                <w:szCs w:val="20"/>
              </w:rPr>
              <w:t>6.5</w:t>
            </w:r>
          </w:p>
        </w:tc>
      </w:tr>
      <w:tr w:rsidR="005A10F9" w14:paraId="7A64C18C" w14:textId="77777777" w:rsidTr="00CF40BE">
        <w:trPr>
          <w:gridBefore w:val="1"/>
          <w:wBefore w:w="454" w:type="dxa"/>
        </w:trPr>
        <w:tc>
          <w:tcPr>
            <w:tcW w:w="2247" w:type="dxa"/>
            <w:shd w:val="clear" w:color="auto" w:fill="auto"/>
          </w:tcPr>
          <w:p w14:paraId="2AF5B063" w14:textId="77777777" w:rsidR="005A10F9" w:rsidRDefault="005A10F9" w:rsidP="00CF40BE">
            <w:pPr>
              <w:pStyle w:val="Tabletext"/>
              <w:rPr>
                <w:b/>
                <w:bCs/>
                <w:i/>
                <w:iCs/>
              </w:rPr>
            </w:pPr>
            <w:r w:rsidRPr="0014439F">
              <w:rPr>
                <w:b/>
                <w:bCs/>
                <w:i/>
                <w:iCs/>
              </w:rPr>
              <w:t>NPV (7% discount rate)</w:t>
            </w:r>
          </w:p>
        </w:tc>
        <w:tc>
          <w:tcPr>
            <w:tcW w:w="850" w:type="dxa"/>
            <w:shd w:val="clear" w:color="auto" w:fill="auto"/>
            <w:vAlign w:val="bottom"/>
          </w:tcPr>
          <w:p w14:paraId="2E7C844E" w14:textId="77777777" w:rsidR="005A10F9" w:rsidRPr="0023756B" w:rsidRDefault="005A10F9" w:rsidP="00CF40BE">
            <w:pPr>
              <w:pStyle w:val="Tabletext"/>
              <w:jc w:val="right"/>
              <w:rPr>
                <w:b/>
                <w:bCs/>
                <w:i/>
                <w:iCs/>
                <w:szCs w:val="20"/>
              </w:rPr>
            </w:pPr>
            <w:r>
              <w:rPr>
                <w:b/>
                <w:bCs/>
                <w:i/>
                <w:iCs/>
                <w:szCs w:val="20"/>
              </w:rPr>
              <w:t>29.1</w:t>
            </w:r>
          </w:p>
        </w:tc>
        <w:tc>
          <w:tcPr>
            <w:tcW w:w="850" w:type="dxa"/>
            <w:shd w:val="clear" w:color="auto" w:fill="auto"/>
            <w:vAlign w:val="bottom"/>
          </w:tcPr>
          <w:p w14:paraId="79EC82F8" w14:textId="77777777" w:rsidR="005A10F9" w:rsidRPr="0023756B" w:rsidRDefault="005A10F9" w:rsidP="00CF40BE">
            <w:pPr>
              <w:pStyle w:val="Tabletext"/>
              <w:jc w:val="right"/>
              <w:rPr>
                <w:b/>
                <w:bCs/>
                <w:i/>
                <w:iCs/>
                <w:szCs w:val="20"/>
              </w:rPr>
            </w:pPr>
            <w:r>
              <w:rPr>
                <w:b/>
                <w:bCs/>
                <w:i/>
                <w:iCs/>
                <w:szCs w:val="20"/>
              </w:rPr>
              <w:t>4.4</w:t>
            </w:r>
          </w:p>
        </w:tc>
        <w:tc>
          <w:tcPr>
            <w:tcW w:w="850" w:type="dxa"/>
            <w:shd w:val="clear" w:color="auto" w:fill="auto"/>
            <w:vAlign w:val="bottom"/>
          </w:tcPr>
          <w:p w14:paraId="01694DBF" w14:textId="77777777" w:rsidR="005A10F9" w:rsidRPr="0023756B" w:rsidRDefault="005A10F9" w:rsidP="00CF40BE">
            <w:pPr>
              <w:pStyle w:val="Tabletext"/>
              <w:jc w:val="right"/>
              <w:rPr>
                <w:b/>
                <w:bCs/>
                <w:i/>
                <w:iCs/>
                <w:szCs w:val="20"/>
              </w:rPr>
            </w:pPr>
            <w:r>
              <w:rPr>
                <w:b/>
                <w:bCs/>
                <w:i/>
                <w:iCs/>
                <w:szCs w:val="20"/>
              </w:rPr>
              <w:t>5.8</w:t>
            </w:r>
          </w:p>
        </w:tc>
        <w:tc>
          <w:tcPr>
            <w:tcW w:w="850" w:type="dxa"/>
            <w:shd w:val="clear" w:color="auto" w:fill="auto"/>
            <w:vAlign w:val="bottom"/>
          </w:tcPr>
          <w:p w14:paraId="3FD8505C" w14:textId="77777777" w:rsidR="005A10F9" w:rsidRPr="0023756B" w:rsidRDefault="005A10F9" w:rsidP="00CF40BE">
            <w:pPr>
              <w:pStyle w:val="Tabletext"/>
              <w:jc w:val="right"/>
              <w:rPr>
                <w:b/>
                <w:bCs/>
                <w:i/>
                <w:iCs/>
                <w:szCs w:val="20"/>
              </w:rPr>
            </w:pPr>
            <w:r>
              <w:rPr>
                <w:b/>
                <w:bCs/>
                <w:i/>
                <w:iCs/>
                <w:szCs w:val="20"/>
              </w:rPr>
              <w:t>5.8</w:t>
            </w:r>
          </w:p>
        </w:tc>
        <w:tc>
          <w:tcPr>
            <w:tcW w:w="850" w:type="dxa"/>
            <w:shd w:val="clear" w:color="auto" w:fill="auto"/>
            <w:vAlign w:val="bottom"/>
          </w:tcPr>
          <w:p w14:paraId="688FA732" w14:textId="77777777" w:rsidR="005A10F9" w:rsidRPr="0023756B" w:rsidRDefault="005A10F9" w:rsidP="00CF40BE">
            <w:pPr>
              <w:pStyle w:val="Tabletext"/>
              <w:jc w:val="right"/>
              <w:rPr>
                <w:b/>
                <w:bCs/>
                <w:i/>
                <w:iCs/>
                <w:szCs w:val="20"/>
              </w:rPr>
            </w:pPr>
            <w:r>
              <w:rPr>
                <w:b/>
                <w:bCs/>
                <w:i/>
                <w:iCs/>
                <w:szCs w:val="20"/>
              </w:rPr>
              <w:t>13.1</w:t>
            </w:r>
          </w:p>
        </w:tc>
        <w:tc>
          <w:tcPr>
            <w:tcW w:w="850" w:type="dxa"/>
            <w:shd w:val="clear" w:color="auto" w:fill="auto"/>
            <w:vAlign w:val="bottom"/>
          </w:tcPr>
          <w:p w14:paraId="6A0E234C" w14:textId="77777777" w:rsidR="005A10F9" w:rsidRPr="0023756B" w:rsidRDefault="005A10F9" w:rsidP="00CF40BE">
            <w:pPr>
              <w:pStyle w:val="Tabletext"/>
              <w:jc w:val="right"/>
              <w:rPr>
                <w:b/>
                <w:bCs/>
                <w:i/>
                <w:iCs/>
                <w:szCs w:val="20"/>
              </w:rPr>
            </w:pPr>
            <w:r>
              <w:rPr>
                <w:b/>
                <w:bCs/>
                <w:i/>
                <w:iCs/>
                <w:szCs w:val="20"/>
              </w:rPr>
              <w:t>2.9</w:t>
            </w:r>
          </w:p>
        </w:tc>
        <w:tc>
          <w:tcPr>
            <w:tcW w:w="850" w:type="dxa"/>
            <w:shd w:val="clear" w:color="auto" w:fill="auto"/>
            <w:vAlign w:val="bottom"/>
          </w:tcPr>
          <w:p w14:paraId="3B6CF74C" w14:textId="77777777" w:rsidR="005A10F9" w:rsidRPr="0023756B" w:rsidRDefault="005A10F9" w:rsidP="00CF40BE">
            <w:pPr>
              <w:pStyle w:val="Tabletext"/>
              <w:jc w:val="right"/>
              <w:rPr>
                <w:b/>
                <w:bCs/>
                <w:i/>
                <w:iCs/>
                <w:szCs w:val="20"/>
              </w:rPr>
            </w:pPr>
            <w:r>
              <w:rPr>
                <w:b/>
                <w:bCs/>
                <w:i/>
                <w:iCs/>
                <w:szCs w:val="20"/>
              </w:rPr>
              <w:t>5.8</w:t>
            </w:r>
          </w:p>
        </w:tc>
        <w:tc>
          <w:tcPr>
            <w:tcW w:w="850" w:type="dxa"/>
            <w:shd w:val="clear" w:color="auto" w:fill="auto"/>
            <w:vAlign w:val="bottom"/>
          </w:tcPr>
          <w:p w14:paraId="5E57EC89" w14:textId="77777777" w:rsidR="005A10F9" w:rsidRPr="0023756B" w:rsidRDefault="005A10F9" w:rsidP="00CF40BE">
            <w:pPr>
              <w:pStyle w:val="Tabletext"/>
              <w:jc w:val="right"/>
              <w:rPr>
                <w:b/>
                <w:bCs/>
                <w:i/>
                <w:iCs/>
                <w:szCs w:val="20"/>
              </w:rPr>
            </w:pPr>
            <w:r>
              <w:rPr>
                <w:b/>
                <w:bCs/>
                <w:i/>
                <w:iCs/>
                <w:szCs w:val="20"/>
              </w:rPr>
              <w:t>7.3</w:t>
            </w:r>
          </w:p>
        </w:tc>
        <w:tc>
          <w:tcPr>
            <w:tcW w:w="851" w:type="dxa"/>
            <w:shd w:val="clear" w:color="auto" w:fill="auto"/>
            <w:vAlign w:val="bottom"/>
          </w:tcPr>
          <w:p w14:paraId="6E1A1A02" w14:textId="77777777" w:rsidR="005A10F9" w:rsidRPr="0023756B" w:rsidRDefault="005A10F9" w:rsidP="00CF40BE">
            <w:pPr>
              <w:pStyle w:val="Tabletext"/>
              <w:jc w:val="right"/>
              <w:rPr>
                <w:b/>
                <w:bCs/>
                <w:i/>
                <w:iCs/>
                <w:szCs w:val="20"/>
              </w:rPr>
            </w:pPr>
            <w:r>
              <w:rPr>
                <w:b/>
                <w:bCs/>
                <w:i/>
                <w:iCs/>
                <w:szCs w:val="20"/>
              </w:rPr>
              <w:t>5.8</w:t>
            </w:r>
          </w:p>
        </w:tc>
      </w:tr>
      <w:tr w:rsidR="005A10F9" w14:paraId="2E6FEC30" w14:textId="77777777" w:rsidTr="00CF40BE">
        <w:trPr>
          <w:gridBefore w:val="1"/>
          <w:wBefore w:w="454" w:type="dxa"/>
        </w:trPr>
        <w:tc>
          <w:tcPr>
            <w:tcW w:w="2247" w:type="dxa"/>
            <w:shd w:val="clear" w:color="auto" w:fill="auto"/>
          </w:tcPr>
          <w:p w14:paraId="06621DC3" w14:textId="77777777" w:rsidR="005A10F9" w:rsidRPr="009F0927" w:rsidRDefault="005A10F9" w:rsidP="00CF40BE">
            <w:pPr>
              <w:pStyle w:val="Tabletext"/>
              <w:rPr>
                <w:b/>
                <w:bCs/>
                <w:i/>
                <w:iCs/>
              </w:rPr>
            </w:pPr>
            <w:r>
              <w:rPr>
                <w:b/>
                <w:bCs/>
                <w:i/>
                <w:iCs/>
              </w:rPr>
              <w:t>NPV (10</w:t>
            </w:r>
            <w:r w:rsidRPr="0014439F">
              <w:rPr>
                <w:b/>
                <w:bCs/>
                <w:i/>
                <w:iCs/>
              </w:rPr>
              <w:t>% discount rate)</w:t>
            </w:r>
          </w:p>
        </w:tc>
        <w:tc>
          <w:tcPr>
            <w:tcW w:w="850" w:type="dxa"/>
            <w:shd w:val="clear" w:color="auto" w:fill="auto"/>
            <w:vAlign w:val="bottom"/>
          </w:tcPr>
          <w:p w14:paraId="7D1C65BA" w14:textId="637D0EA8" w:rsidR="005A10F9" w:rsidRPr="0023756B" w:rsidRDefault="005A10F9" w:rsidP="00CF40BE">
            <w:pPr>
              <w:pStyle w:val="Tabletext"/>
              <w:jc w:val="right"/>
              <w:rPr>
                <w:b/>
                <w:bCs/>
                <w:i/>
                <w:iCs/>
              </w:rPr>
            </w:pPr>
            <w:r>
              <w:rPr>
                <w:b/>
                <w:bCs/>
                <w:i/>
                <w:iCs/>
                <w:szCs w:val="20"/>
              </w:rPr>
              <w:t>26.8</w:t>
            </w:r>
          </w:p>
        </w:tc>
        <w:tc>
          <w:tcPr>
            <w:tcW w:w="850" w:type="dxa"/>
            <w:shd w:val="clear" w:color="auto" w:fill="auto"/>
            <w:vAlign w:val="bottom"/>
          </w:tcPr>
          <w:p w14:paraId="457790FF" w14:textId="77777777" w:rsidR="005A10F9" w:rsidRPr="0023756B" w:rsidRDefault="005A10F9" w:rsidP="00CF40BE">
            <w:pPr>
              <w:pStyle w:val="Tabletext"/>
              <w:jc w:val="right"/>
              <w:rPr>
                <w:b/>
                <w:bCs/>
                <w:i/>
                <w:iCs/>
              </w:rPr>
            </w:pPr>
            <w:r>
              <w:rPr>
                <w:b/>
                <w:bCs/>
                <w:i/>
                <w:iCs/>
                <w:szCs w:val="20"/>
              </w:rPr>
              <w:t>4.0</w:t>
            </w:r>
          </w:p>
        </w:tc>
        <w:tc>
          <w:tcPr>
            <w:tcW w:w="850" w:type="dxa"/>
            <w:shd w:val="clear" w:color="auto" w:fill="auto"/>
            <w:vAlign w:val="bottom"/>
          </w:tcPr>
          <w:p w14:paraId="17026D5E" w14:textId="77777777" w:rsidR="005A10F9" w:rsidRPr="0023756B" w:rsidRDefault="005A10F9" w:rsidP="00CF40BE">
            <w:pPr>
              <w:pStyle w:val="Tabletext"/>
              <w:jc w:val="right"/>
              <w:rPr>
                <w:b/>
                <w:bCs/>
                <w:i/>
                <w:iCs/>
              </w:rPr>
            </w:pPr>
            <w:r>
              <w:rPr>
                <w:b/>
                <w:bCs/>
                <w:i/>
                <w:iCs/>
                <w:szCs w:val="20"/>
              </w:rPr>
              <w:t>5.4</w:t>
            </w:r>
          </w:p>
        </w:tc>
        <w:tc>
          <w:tcPr>
            <w:tcW w:w="850" w:type="dxa"/>
            <w:shd w:val="clear" w:color="auto" w:fill="auto"/>
            <w:vAlign w:val="bottom"/>
          </w:tcPr>
          <w:p w14:paraId="532A63BF" w14:textId="77777777" w:rsidR="005A10F9" w:rsidRPr="0023756B" w:rsidRDefault="005A10F9" w:rsidP="00CF40BE">
            <w:pPr>
              <w:pStyle w:val="Tabletext"/>
              <w:jc w:val="right"/>
              <w:rPr>
                <w:b/>
                <w:bCs/>
                <w:i/>
                <w:iCs/>
              </w:rPr>
            </w:pPr>
            <w:r>
              <w:rPr>
                <w:b/>
                <w:bCs/>
                <w:i/>
                <w:iCs/>
                <w:szCs w:val="20"/>
              </w:rPr>
              <w:t>5.4</w:t>
            </w:r>
          </w:p>
        </w:tc>
        <w:tc>
          <w:tcPr>
            <w:tcW w:w="850" w:type="dxa"/>
            <w:shd w:val="clear" w:color="auto" w:fill="auto"/>
            <w:vAlign w:val="bottom"/>
          </w:tcPr>
          <w:p w14:paraId="1C4183DC" w14:textId="77777777" w:rsidR="005A10F9" w:rsidRPr="0023756B" w:rsidRDefault="005A10F9" w:rsidP="00CF40BE">
            <w:pPr>
              <w:pStyle w:val="Tabletext"/>
              <w:jc w:val="right"/>
              <w:rPr>
                <w:b/>
                <w:bCs/>
                <w:i/>
                <w:iCs/>
              </w:rPr>
            </w:pPr>
            <w:r>
              <w:rPr>
                <w:b/>
                <w:bCs/>
                <w:i/>
                <w:iCs/>
                <w:szCs w:val="20"/>
              </w:rPr>
              <w:t>12.1</w:t>
            </w:r>
          </w:p>
        </w:tc>
        <w:tc>
          <w:tcPr>
            <w:tcW w:w="850" w:type="dxa"/>
            <w:shd w:val="clear" w:color="auto" w:fill="auto"/>
            <w:vAlign w:val="bottom"/>
          </w:tcPr>
          <w:p w14:paraId="186C50DD" w14:textId="77777777" w:rsidR="005A10F9" w:rsidRPr="0023756B" w:rsidRDefault="005A10F9" w:rsidP="00CF40BE">
            <w:pPr>
              <w:pStyle w:val="Tabletext"/>
              <w:jc w:val="right"/>
              <w:rPr>
                <w:b/>
                <w:bCs/>
                <w:i/>
                <w:iCs/>
              </w:rPr>
            </w:pPr>
            <w:r>
              <w:rPr>
                <w:b/>
                <w:bCs/>
                <w:i/>
                <w:iCs/>
                <w:szCs w:val="20"/>
              </w:rPr>
              <w:t>2.7</w:t>
            </w:r>
          </w:p>
        </w:tc>
        <w:tc>
          <w:tcPr>
            <w:tcW w:w="850" w:type="dxa"/>
            <w:shd w:val="clear" w:color="auto" w:fill="auto"/>
            <w:vAlign w:val="bottom"/>
          </w:tcPr>
          <w:p w14:paraId="0E66DBC5" w14:textId="77777777" w:rsidR="005A10F9" w:rsidRPr="0023756B" w:rsidRDefault="005A10F9" w:rsidP="00CF40BE">
            <w:pPr>
              <w:pStyle w:val="Tabletext"/>
              <w:jc w:val="right"/>
              <w:rPr>
                <w:b/>
                <w:bCs/>
                <w:i/>
                <w:iCs/>
              </w:rPr>
            </w:pPr>
            <w:r>
              <w:rPr>
                <w:b/>
                <w:bCs/>
                <w:i/>
                <w:iCs/>
                <w:szCs w:val="20"/>
              </w:rPr>
              <w:t>5.4</w:t>
            </w:r>
          </w:p>
        </w:tc>
        <w:tc>
          <w:tcPr>
            <w:tcW w:w="850" w:type="dxa"/>
            <w:shd w:val="clear" w:color="auto" w:fill="auto"/>
            <w:vAlign w:val="bottom"/>
          </w:tcPr>
          <w:p w14:paraId="1B09D1DC" w14:textId="77777777" w:rsidR="005A10F9" w:rsidRPr="0023756B" w:rsidRDefault="005A10F9" w:rsidP="00CF40BE">
            <w:pPr>
              <w:pStyle w:val="Tabletext"/>
              <w:jc w:val="right"/>
              <w:rPr>
                <w:b/>
                <w:bCs/>
                <w:i/>
                <w:iCs/>
              </w:rPr>
            </w:pPr>
            <w:r>
              <w:rPr>
                <w:b/>
                <w:bCs/>
                <w:i/>
                <w:iCs/>
                <w:szCs w:val="20"/>
              </w:rPr>
              <w:t>6.7</w:t>
            </w:r>
          </w:p>
        </w:tc>
        <w:tc>
          <w:tcPr>
            <w:tcW w:w="851" w:type="dxa"/>
            <w:shd w:val="clear" w:color="auto" w:fill="auto"/>
            <w:vAlign w:val="bottom"/>
          </w:tcPr>
          <w:p w14:paraId="62C4AEB9" w14:textId="77777777" w:rsidR="005A10F9" w:rsidRPr="0023756B" w:rsidRDefault="005A10F9" w:rsidP="00CF40BE">
            <w:pPr>
              <w:pStyle w:val="Tabletext"/>
              <w:jc w:val="right"/>
              <w:rPr>
                <w:b/>
                <w:bCs/>
                <w:i/>
                <w:iCs/>
              </w:rPr>
            </w:pPr>
            <w:r>
              <w:rPr>
                <w:b/>
                <w:bCs/>
                <w:i/>
                <w:iCs/>
                <w:szCs w:val="20"/>
              </w:rPr>
              <w:t>5.4</w:t>
            </w:r>
          </w:p>
        </w:tc>
      </w:tr>
      <w:tr w:rsidR="005A10F9" w14:paraId="01A782CB" w14:textId="77777777" w:rsidTr="00CF40BE">
        <w:trPr>
          <w:gridBefore w:val="1"/>
          <w:wBefore w:w="454" w:type="dxa"/>
        </w:trPr>
        <w:tc>
          <w:tcPr>
            <w:tcW w:w="2247" w:type="dxa"/>
            <w:tcBorders>
              <w:bottom w:val="single" w:sz="4" w:space="0" w:color="646464"/>
            </w:tcBorders>
            <w:shd w:val="clear" w:color="auto" w:fill="CAE4EE" w:themeFill="accent5" w:themeFillTint="66"/>
          </w:tcPr>
          <w:p w14:paraId="16C4C661" w14:textId="77777777" w:rsidR="005A10F9" w:rsidRDefault="005A10F9" w:rsidP="00CF40BE">
            <w:pPr>
              <w:pStyle w:val="Tabletext"/>
              <w:rPr>
                <w:b/>
                <w:bCs/>
                <w:i/>
                <w:iCs/>
              </w:rPr>
            </w:pPr>
            <w:r>
              <w:rPr>
                <w:b/>
                <w:bCs/>
              </w:rPr>
              <w:t>BENEFIT COST RATIO</w:t>
            </w:r>
          </w:p>
        </w:tc>
        <w:tc>
          <w:tcPr>
            <w:tcW w:w="850" w:type="dxa"/>
            <w:tcBorders>
              <w:bottom w:val="single" w:sz="4" w:space="0" w:color="646464"/>
            </w:tcBorders>
            <w:shd w:val="clear" w:color="auto" w:fill="CAE4EE" w:themeFill="accent5" w:themeFillTint="66"/>
            <w:vAlign w:val="bottom"/>
          </w:tcPr>
          <w:p w14:paraId="15FB4205"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32077EE"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FA5D58D"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47FE783C"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85772F0"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1DE10C33"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5D9DBE0B" w14:textId="77777777" w:rsidR="005A10F9" w:rsidRPr="0023756B" w:rsidRDefault="005A10F9"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7908AB6" w14:textId="77777777" w:rsidR="005A10F9" w:rsidRPr="0023756B" w:rsidRDefault="005A10F9" w:rsidP="00CF40BE">
            <w:pPr>
              <w:pStyle w:val="Tabletext"/>
              <w:jc w:val="right"/>
              <w:rPr>
                <w:b/>
                <w:bCs/>
                <w:i/>
                <w:iCs/>
                <w:szCs w:val="20"/>
              </w:rPr>
            </w:pPr>
            <w:r w:rsidRPr="00193D3E">
              <w:rPr>
                <w:b/>
                <w:bCs/>
                <w:i/>
                <w:iCs/>
                <w:szCs w:val="20"/>
              </w:rPr>
              <w:t> </w:t>
            </w:r>
          </w:p>
        </w:tc>
        <w:tc>
          <w:tcPr>
            <w:tcW w:w="851" w:type="dxa"/>
            <w:tcBorders>
              <w:bottom w:val="single" w:sz="4" w:space="0" w:color="646464"/>
            </w:tcBorders>
            <w:shd w:val="clear" w:color="auto" w:fill="CAE4EE" w:themeFill="accent5" w:themeFillTint="66"/>
            <w:vAlign w:val="bottom"/>
          </w:tcPr>
          <w:p w14:paraId="4F260C02" w14:textId="77777777" w:rsidR="005A10F9" w:rsidRPr="0023756B" w:rsidRDefault="005A10F9" w:rsidP="00CF40BE">
            <w:pPr>
              <w:pStyle w:val="Tabletext"/>
              <w:jc w:val="right"/>
              <w:rPr>
                <w:b/>
                <w:bCs/>
                <w:i/>
                <w:iCs/>
                <w:szCs w:val="20"/>
              </w:rPr>
            </w:pPr>
            <w:r w:rsidRPr="00193D3E">
              <w:rPr>
                <w:b/>
                <w:bCs/>
                <w:i/>
                <w:iCs/>
                <w:szCs w:val="20"/>
              </w:rPr>
              <w:t> </w:t>
            </w:r>
          </w:p>
        </w:tc>
      </w:tr>
      <w:tr w:rsidR="005A10F9" w14:paraId="59E1998F"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125165F6" w14:textId="77777777" w:rsidR="005A10F9" w:rsidRDefault="005A10F9" w:rsidP="00CF40BE">
            <w:pPr>
              <w:pStyle w:val="Tabletext"/>
              <w:rPr>
                <w:b/>
                <w:bCs/>
                <w:i/>
                <w:iCs/>
              </w:rPr>
            </w:pPr>
            <w:r w:rsidRPr="00193D3E">
              <w:rPr>
                <w:b/>
                <w:bCs/>
                <w:i/>
                <w:iCs/>
              </w:rPr>
              <w:t>Undiscounted</w:t>
            </w:r>
          </w:p>
        </w:tc>
        <w:tc>
          <w:tcPr>
            <w:tcW w:w="850" w:type="dxa"/>
            <w:tcBorders>
              <w:top w:val="single" w:sz="4" w:space="0" w:color="646464"/>
              <w:bottom w:val="single" w:sz="4" w:space="0" w:color="646464"/>
            </w:tcBorders>
            <w:shd w:val="clear" w:color="auto" w:fill="E5E5E5"/>
            <w:vAlign w:val="bottom"/>
          </w:tcPr>
          <w:p w14:paraId="57C15B65" w14:textId="77777777" w:rsidR="005A10F9" w:rsidRPr="0023756B" w:rsidRDefault="005A10F9" w:rsidP="00CF40BE">
            <w:pPr>
              <w:pStyle w:val="Tabletext"/>
              <w:jc w:val="right"/>
              <w:rPr>
                <w:b/>
                <w:bCs/>
                <w:i/>
                <w:iCs/>
                <w:szCs w:val="20"/>
              </w:rPr>
            </w:pPr>
            <w:r w:rsidRPr="00A4642C">
              <w:rPr>
                <w:b/>
                <w:bCs/>
                <w:i/>
                <w:iCs/>
                <w:szCs w:val="20"/>
              </w:rPr>
              <w:t>13.9</w:t>
            </w:r>
          </w:p>
        </w:tc>
        <w:tc>
          <w:tcPr>
            <w:tcW w:w="850" w:type="dxa"/>
            <w:tcBorders>
              <w:top w:val="single" w:sz="4" w:space="0" w:color="646464"/>
              <w:bottom w:val="single" w:sz="4" w:space="0" w:color="646464"/>
            </w:tcBorders>
            <w:shd w:val="clear" w:color="auto" w:fill="E5E5E5"/>
            <w:vAlign w:val="bottom"/>
          </w:tcPr>
          <w:p w14:paraId="2FDC0C8B" w14:textId="77777777" w:rsidR="005A10F9" w:rsidRPr="0023756B" w:rsidRDefault="005A10F9" w:rsidP="00CF40BE">
            <w:pPr>
              <w:pStyle w:val="Tabletext"/>
              <w:jc w:val="right"/>
              <w:rPr>
                <w:b/>
                <w:bCs/>
                <w:i/>
                <w:iCs/>
                <w:szCs w:val="20"/>
              </w:rPr>
            </w:pPr>
            <w:r>
              <w:rPr>
                <w:b/>
                <w:bCs/>
                <w:i/>
                <w:iCs/>
                <w:szCs w:val="20"/>
              </w:rPr>
              <w:t>2.</w:t>
            </w:r>
            <w:r w:rsidRPr="0023756B">
              <w:rPr>
                <w:b/>
                <w:bCs/>
                <w:i/>
                <w:iCs/>
                <w:szCs w:val="20"/>
              </w:rPr>
              <w:t>1</w:t>
            </w:r>
          </w:p>
        </w:tc>
        <w:tc>
          <w:tcPr>
            <w:tcW w:w="850" w:type="dxa"/>
            <w:tcBorders>
              <w:top w:val="single" w:sz="4" w:space="0" w:color="646464"/>
              <w:bottom w:val="single" w:sz="4" w:space="0" w:color="646464"/>
            </w:tcBorders>
            <w:shd w:val="clear" w:color="auto" w:fill="E5E5E5"/>
            <w:vAlign w:val="bottom"/>
          </w:tcPr>
          <w:p w14:paraId="27DA005F" w14:textId="77777777" w:rsidR="005A10F9" w:rsidRPr="0023756B" w:rsidRDefault="005A10F9" w:rsidP="00CF40BE">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714D081D" w14:textId="77777777" w:rsidR="005A10F9" w:rsidRPr="0023756B" w:rsidRDefault="005A10F9" w:rsidP="00CF40BE">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333D24F1" w14:textId="77777777" w:rsidR="005A10F9" w:rsidRPr="0023756B" w:rsidRDefault="005A10F9" w:rsidP="00CF40BE">
            <w:pPr>
              <w:pStyle w:val="Tabletext"/>
              <w:jc w:val="right"/>
              <w:rPr>
                <w:b/>
                <w:bCs/>
                <w:i/>
                <w:iCs/>
                <w:szCs w:val="20"/>
              </w:rPr>
            </w:pPr>
            <w:r>
              <w:rPr>
                <w:b/>
                <w:bCs/>
                <w:i/>
                <w:iCs/>
                <w:szCs w:val="20"/>
              </w:rPr>
              <w:t>6.2</w:t>
            </w:r>
          </w:p>
        </w:tc>
        <w:tc>
          <w:tcPr>
            <w:tcW w:w="850" w:type="dxa"/>
            <w:tcBorders>
              <w:top w:val="single" w:sz="4" w:space="0" w:color="646464"/>
              <w:bottom w:val="single" w:sz="4" w:space="0" w:color="646464"/>
            </w:tcBorders>
            <w:shd w:val="clear" w:color="auto" w:fill="E5E5E5"/>
            <w:vAlign w:val="bottom"/>
          </w:tcPr>
          <w:p w14:paraId="4BBEF450" w14:textId="77777777" w:rsidR="005A10F9" w:rsidRPr="0023756B" w:rsidRDefault="005A10F9" w:rsidP="00CF40BE">
            <w:pPr>
              <w:pStyle w:val="Tabletext"/>
              <w:jc w:val="right"/>
              <w:rPr>
                <w:b/>
                <w:bCs/>
                <w:i/>
                <w:iCs/>
                <w:szCs w:val="20"/>
              </w:rPr>
            </w:pPr>
            <w:r w:rsidRPr="0023756B">
              <w:rPr>
                <w:b/>
                <w:bCs/>
                <w:i/>
                <w:iCs/>
                <w:szCs w:val="20"/>
              </w:rPr>
              <w:t>1.</w:t>
            </w:r>
            <w:r>
              <w:rPr>
                <w:b/>
                <w:bCs/>
                <w:i/>
                <w:iCs/>
                <w:szCs w:val="20"/>
              </w:rPr>
              <w:t>4</w:t>
            </w:r>
          </w:p>
        </w:tc>
        <w:tc>
          <w:tcPr>
            <w:tcW w:w="850" w:type="dxa"/>
            <w:tcBorders>
              <w:top w:val="single" w:sz="4" w:space="0" w:color="646464"/>
              <w:bottom w:val="single" w:sz="4" w:space="0" w:color="646464"/>
            </w:tcBorders>
            <w:shd w:val="clear" w:color="auto" w:fill="E5E5E5"/>
            <w:vAlign w:val="bottom"/>
          </w:tcPr>
          <w:p w14:paraId="77AF74D4" w14:textId="77777777" w:rsidR="005A10F9" w:rsidRPr="0023756B" w:rsidRDefault="005A10F9" w:rsidP="00CF40BE">
            <w:pPr>
              <w:pStyle w:val="Tabletext"/>
              <w:jc w:val="right"/>
              <w:rPr>
                <w:b/>
                <w:bCs/>
                <w:i/>
                <w:iCs/>
                <w:szCs w:val="20"/>
              </w:rPr>
            </w:pPr>
            <w:r>
              <w:rPr>
                <w:b/>
                <w:bCs/>
                <w:i/>
                <w:iCs/>
                <w:szCs w:val="20"/>
              </w:rPr>
              <w:t>2.8</w:t>
            </w:r>
          </w:p>
        </w:tc>
        <w:tc>
          <w:tcPr>
            <w:tcW w:w="850" w:type="dxa"/>
            <w:tcBorders>
              <w:top w:val="single" w:sz="4" w:space="0" w:color="646464"/>
              <w:bottom w:val="single" w:sz="4" w:space="0" w:color="646464"/>
            </w:tcBorders>
            <w:shd w:val="clear" w:color="auto" w:fill="E5E5E5"/>
            <w:vAlign w:val="bottom"/>
          </w:tcPr>
          <w:p w14:paraId="2121EC11" w14:textId="77777777" w:rsidR="005A10F9" w:rsidRPr="0023756B" w:rsidRDefault="005A10F9" w:rsidP="00CF40BE">
            <w:pPr>
              <w:pStyle w:val="Tabletext"/>
              <w:jc w:val="right"/>
              <w:rPr>
                <w:b/>
                <w:bCs/>
                <w:i/>
                <w:iCs/>
                <w:szCs w:val="20"/>
              </w:rPr>
            </w:pPr>
            <w:r>
              <w:rPr>
                <w:b/>
                <w:bCs/>
                <w:i/>
                <w:iCs/>
                <w:szCs w:val="20"/>
              </w:rPr>
              <w:t>3.5</w:t>
            </w:r>
          </w:p>
        </w:tc>
        <w:tc>
          <w:tcPr>
            <w:tcW w:w="851" w:type="dxa"/>
            <w:tcBorders>
              <w:top w:val="single" w:sz="4" w:space="0" w:color="646464"/>
              <w:bottom w:val="single" w:sz="4" w:space="0" w:color="646464"/>
            </w:tcBorders>
            <w:shd w:val="clear" w:color="auto" w:fill="E5E5E5"/>
            <w:vAlign w:val="bottom"/>
          </w:tcPr>
          <w:p w14:paraId="2D6A162D" w14:textId="77777777" w:rsidR="005A10F9" w:rsidRPr="0023756B" w:rsidRDefault="005A10F9" w:rsidP="00CF40BE">
            <w:pPr>
              <w:pStyle w:val="Tabletext"/>
              <w:jc w:val="right"/>
              <w:rPr>
                <w:b/>
                <w:bCs/>
                <w:i/>
                <w:iCs/>
                <w:szCs w:val="20"/>
              </w:rPr>
            </w:pPr>
            <w:r>
              <w:rPr>
                <w:b/>
                <w:bCs/>
                <w:i/>
                <w:iCs/>
                <w:szCs w:val="20"/>
              </w:rPr>
              <w:t>2.8</w:t>
            </w:r>
          </w:p>
        </w:tc>
      </w:tr>
      <w:tr w:rsidR="005A10F9" w14:paraId="022AA392"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3ECCDB4A" w14:textId="77777777" w:rsidR="005A10F9" w:rsidRPr="00193D3E" w:rsidRDefault="005A10F9" w:rsidP="00CF40BE">
            <w:pPr>
              <w:pStyle w:val="Tabletext"/>
              <w:rPr>
                <w:b/>
                <w:bCs/>
                <w:i/>
                <w:iCs/>
              </w:rPr>
            </w:pPr>
            <w:r>
              <w:rPr>
                <w:b/>
                <w:bCs/>
                <w:i/>
                <w:iCs/>
              </w:rPr>
              <w:t>NPV (3</w:t>
            </w:r>
            <w:r w:rsidRPr="0014439F">
              <w:rPr>
                <w:b/>
                <w:bCs/>
                <w:i/>
                <w:iCs/>
              </w:rPr>
              <w:t>% discount rate)</w:t>
            </w:r>
          </w:p>
        </w:tc>
        <w:tc>
          <w:tcPr>
            <w:tcW w:w="850" w:type="dxa"/>
            <w:tcBorders>
              <w:top w:val="single" w:sz="4" w:space="0" w:color="646464"/>
              <w:bottom w:val="single" w:sz="4" w:space="0" w:color="646464"/>
            </w:tcBorders>
            <w:shd w:val="clear" w:color="auto" w:fill="E5E5E5"/>
            <w:vAlign w:val="bottom"/>
          </w:tcPr>
          <w:p w14:paraId="540585A4" w14:textId="77777777" w:rsidR="005A10F9" w:rsidRPr="0023756B" w:rsidRDefault="005A10F9" w:rsidP="00CF40BE">
            <w:pPr>
              <w:pStyle w:val="Tabletext"/>
              <w:jc w:val="right"/>
              <w:rPr>
                <w:b/>
                <w:bCs/>
                <w:i/>
                <w:iCs/>
                <w:szCs w:val="20"/>
              </w:rPr>
            </w:pPr>
            <w:r>
              <w:rPr>
                <w:b/>
                <w:bCs/>
                <w:i/>
                <w:iCs/>
                <w:szCs w:val="20"/>
              </w:rPr>
              <w:t>14.8</w:t>
            </w:r>
          </w:p>
        </w:tc>
        <w:tc>
          <w:tcPr>
            <w:tcW w:w="850" w:type="dxa"/>
            <w:tcBorders>
              <w:top w:val="single" w:sz="4" w:space="0" w:color="646464"/>
              <w:bottom w:val="single" w:sz="4" w:space="0" w:color="646464"/>
            </w:tcBorders>
            <w:shd w:val="clear" w:color="auto" w:fill="E5E5E5"/>
            <w:vAlign w:val="bottom"/>
          </w:tcPr>
          <w:p w14:paraId="72E4C3A9" w14:textId="77777777" w:rsidR="005A10F9" w:rsidRPr="0023756B" w:rsidRDefault="005A10F9" w:rsidP="00CF40BE">
            <w:pPr>
              <w:pStyle w:val="Tabletext"/>
              <w:jc w:val="right"/>
              <w:rPr>
                <w:b/>
                <w:bCs/>
                <w:i/>
                <w:iCs/>
                <w:szCs w:val="20"/>
              </w:rPr>
            </w:pPr>
            <w:r>
              <w:rPr>
                <w:b/>
                <w:bCs/>
                <w:i/>
                <w:iCs/>
                <w:szCs w:val="20"/>
              </w:rPr>
              <w:t>2.2</w:t>
            </w:r>
          </w:p>
        </w:tc>
        <w:tc>
          <w:tcPr>
            <w:tcW w:w="850" w:type="dxa"/>
            <w:tcBorders>
              <w:top w:val="single" w:sz="4" w:space="0" w:color="646464"/>
              <w:bottom w:val="single" w:sz="4" w:space="0" w:color="646464"/>
            </w:tcBorders>
            <w:shd w:val="clear" w:color="auto" w:fill="E5E5E5"/>
            <w:vAlign w:val="bottom"/>
          </w:tcPr>
          <w:p w14:paraId="4D33177D" w14:textId="77777777" w:rsidR="005A10F9" w:rsidRPr="0023756B" w:rsidRDefault="005A10F9" w:rsidP="00CF40BE">
            <w:pPr>
              <w:pStyle w:val="Tabletext"/>
              <w:jc w:val="right"/>
              <w:rPr>
                <w:b/>
                <w:bCs/>
                <w:i/>
                <w:iCs/>
                <w:szCs w:val="20"/>
              </w:rPr>
            </w:pPr>
            <w:r>
              <w:rPr>
                <w:b/>
                <w:bCs/>
                <w:i/>
                <w:iCs/>
                <w:szCs w:val="20"/>
              </w:rPr>
              <w:t>3.0</w:t>
            </w:r>
          </w:p>
        </w:tc>
        <w:tc>
          <w:tcPr>
            <w:tcW w:w="850" w:type="dxa"/>
            <w:tcBorders>
              <w:top w:val="single" w:sz="4" w:space="0" w:color="646464"/>
              <w:bottom w:val="single" w:sz="4" w:space="0" w:color="646464"/>
            </w:tcBorders>
            <w:shd w:val="clear" w:color="auto" w:fill="E5E5E5"/>
            <w:vAlign w:val="bottom"/>
          </w:tcPr>
          <w:p w14:paraId="3C19023C" w14:textId="77777777" w:rsidR="005A10F9" w:rsidRPr="0023756B" w:rsidRDefault="005A10F9" w:rsidP="00CF40BE">
            <w:pPr>
              <w:pStyle w:val="Tabletext"/>
              <w:jc w:val="right"/>
              <w:rPr>
                <w:b/>
                <w:bCs/>
                <w:i/>
                <w:iCs/>
                <w:szCs w:val="20"/>
              </w:rPr>
            </w:pPr>
            <w:r>
              <w:rPr>
                <w:b/>
                <w:bCs/>
                <w:i/>
                <w:iCs/>
                <w:szCs w:val="20"/>
              </w:rPr>
              <w:t>3.0</w:t>
            </w:r>
          </w:p>
        </w:tc>
        <w:tc>
          <w:tcPr>
            <w:tcW w:w="850" w:type="dxa"/>
            <w:tcBorders>
              <w:top w:val="single" w:sz="4" w:space="0" w:color="646464"/>
              <w:bottom w:val="single" w:sz="4" w:space="0" w:color="646464"/>
            </w:tcBorders>
            <w:shd w:val="clear" w:color="auto" w:fill="E5E5E5"/>
            <w:vAlign w:val="bottom"/>
          </w:tcPr>
          <w:p w14:paraId="267779E3" w14:textId="77777777" w:rsidR="005A10F9" w:rsidRPr="0023756B" w:rsidRDefault="005A10F9" w:rsidP="00CF40BE">
            <w:pPr>
              <w:pStyle w:val="Tabletext"/>
              <w:jc w:val="right"/>
              <w:rPr>
                <w:b/>
                <w:bCs/>
                <w:i/>
                <w:iCs/>
                <w:szCs w:val="20"/>
              </w:rPr>
            </w:pPr>
            <w:r>
              <w:rPr>
                <w:b/>
                <w:bCs/>
                <w:i/>
                <w:iCs/>
                <w:szCs w:val="20"/>
              </w:rPr>
              <w:t>6.7</w:t>
            </w:r>
          </w:p>
        </w:tc>
        <w:tc>
          <w:tcPr>
            <w:tcW w:w="850" w:type="dxa"/>
            <w:tcBorders>
              <w:top w:val="single" w:sz="4" w:space="0" w:color="646464"/>
              <w:bottom w:val="single" w:sz="4" w:space="0" w:color="646464"/>
            </w:tcBorders>
            <w:shd w:val="clear" w:color="auto" w:fill="E5E5E5"/>
            <w:vAlign w:val="bottom"/>
          </w:tcPr>
          <w:p w14:paraId="508BB4E2" w14:textId="77777777" w:rsidR="005A10F9" w:rsidRPr="0023756B" w:rsidRDefault="005A10F9" w:rsidP="00CF40BE">
            <w:pPr>
              <w:pStyle w:val="Tabletext"/>
              <w:jc w:val="right"/>
              <w:rPr>
                <w:b/>
                <w:bCs/>
                <w:i/>
                <w:iCs/>
                <w:szCs w:val="20"/>
              </w:rPr>
            </w:pPr>
            <w:r>
              <w:rPr>
                <w:b/>
                <w:bCs/>
                <w:i/>
                <w:iCs/>
                <w:szCs w:val="20"/>
              </w:rPr>
              <w:t>1.5</w:t>
            </w:r>
          </w:p>
        </w:tc>
        <w:tc>
          <w:tcPr>
            <w:tcW w:w="850" w:type="dxa"/>
            <w:tcBorders>
              <w:top w:val="single" w:sz="4" w:space="0" w:color="646464"/>
              <w:bottom w:val="single" w:sz="4" w:space="0" w:color="646464"/>
            </w:tcBorders>
            <w:shd w:val="clear" w:color="auto" w:fill="E5E5E5"/>
            <w:vAlign w:val="bottom"/>
          </w:tcPr>
          <w:p w14:paraId="1AA71D84" w14:textId="77777777" w:rsidR="005A10F9" w:rsidRPr="0023756B" w:rsidRDefault="005A10F9" w:rsidP="00CF40BE">
            <w:pPr>
              <w:pStyle w:val="Tabletext"/>
              <w:jc w:val="right"/>
              <w:rPr>
                <w:b/>
                <w:bCs/>
                <w:i/>
                <w:iCs/>
                <w:szCs w:val="20"/>
              </w:rPr>
            </w:pPr>
            <w:r>
              <w:rPr>
                <w:b/>
                <w:bCs/>
                <w:i/>
                <w:iCs/>
                <w:szCs w:val="20"/>
              </w:rPr>
              <w:t>3.0</w:t>
            </w:r>
          </w:p>
        </w:tc>
        <w:tc>
          <w:tcPr>
            <w:tcW w:w="850" w:type="dxa"/>
            <w:tcBorders>
              <w:top w:val="single" w:sz="4" w:space="0" w:color="646464"/>
              <w:bottom w:val="single" w:sz="4" w:space="0" w:color="646464"/>
            </w:tcBorders>
            <w:shd w:val="clear" w:color="auto" w:fill="E5E5E5"/>
            <w:vAlign w:val="bottom"/>
          </w:tcPr>
          <w:p w14:paraId="18241B82" w14:textId="77777777" w:rsidR="005A10F9" w:rsidRPr="0023756B" w:rsidRDefault="005A10F9" w:rsidP="00CF40BE">
            <w:pPr>
              <w:pStyle w:val="Tabletext"/>
              <w:jc w:val="right"/>
              <w:rPr>
                <w:b/>
                <w:bCs/>
                <w:i/>
                <w:iCs/>
                <w:szCs w:val="20"/>
              </w:rPr>
            </w:pPr>
            <w:r>
              <w:rPr>
                <w:b/>
                <w:bCs/>
                <w:i/>
                <w:iCs/>
                <w:szCs w:val="20"/>
              </w:rPr>
              <w:t>3.7</w:t>
            </w:r>
          </w:p>
        </w:tc>
        <w:tc>
          <w:tcPr>
            <w:tcW w:w="851" w:type="dxa"/>
            <w:tcBorders>
              <w:top w:val="single" w:sz="4" w:space="0" w:color="646464"/>
              <w:bottom w:val="single" w:sz="4" w:space="0" w:color="646464"/>
            </w:tcBorders>
            <w:shd w:val="clear" w:color="auto" w:fill="E5E5E5"/>
            <w:vAlign w:val="bottom"/>
          </w:tcPr>
          <w:p w14:paraId="3C4019CD" w14:textId="77777777" w:rsidR="005A10F9" w:rsidRPr="0023756B" w:rsidRDefault="005A10F9" w:rsidP="00CF40BE">
            <w:pPr>
              <w:pStyle w:val="Tabletext"/>
              <w:jc w:val="right"/>
              <w:rPr>
                <w:b/>
                <w:bCs/>
                <w:i/>
                <w:iCs/>
                <w:szCs w:val="20"/>
              </w:rPr>
            </w:pPr>
            <w:r>
              <w:rPr>
                <w:b/>
                <w:bCs/>
                <w:i/>
                <w:iCs/>
                <w:szCs w:val="20"/>
              </w:rPr>
              <w:t>3.0</w:t>
            </w:r>
          </w:p>
        </w:tc>
      </w:tr>
      <w:tr w:rsidR="005A10F9" w14:paraId="195C23FC"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38D1C034" w14:textId="77777777" w:rsidR="005A10F9" w:rsidRPr="00193D3E" w:rsidRDefault="005A10F9" w:rsidP="00CF40BE">
            <w:pPr>
              <w:pStyle w:val="Tabletext"/>
              <w:rPr>
                <w:b/>
                <w:bCs/>
                <w:i/>
                <w:iCs/>
              </w:rPr>
            </w:pPr>
            <w:r w:rsidRPr="0014439F">
              <w:rPr>
                <w:b/>
                <w:bCs/>
                <w:i/>
                <w:iCs/>
              </w:rPr>
              <w:t>NPV (7% discount rate)</w:t>
            </w:r>
          </w:p>
        </w:tc>
        <w:tc>
          <w:tcPr>
            <w:tcW w:w="850" w:type="dxa"/>
            <w:tcBorders>
              <w:top w:val="single" w:sz="4" w:space="0" w:color="646464"/>
              <w:bottom w:val="single" w:sz="4" w:space="0" w:color="646464"/>
            </w:tcBorders>
            <w:shd w:val="clear" w:color="auto" w:fill="E5E5E5"/>
            <w:vAlign w:val="bottom"/>
          </w:tcPr>
          <w:p w14:paraId="61C74C27" w14:textId="77777777" w:rsidR="005A10F9" w:rsidRPr="0023756B" w:rsidRDefault="005A10F9" w:rsidP="00CF40BE">
            <w:pPr>
              <w:pStyle w:val="Tabletext"/>
              <w:jc w:val="right"/>
              <w:rPr>
                <w:b/>
                <w:bCs/>
                <w:i/>
                <w:iCs/>
                <w:szCs w:val="20"/>
              </w:rPr>
            </w:pPr>
            <w:r>
              <w:rPr>
                <w:b/>
                <w:bCs/>
                <w:i/>
                <w:iCs/>
                <w:szCs w:val="20"/>
              </w:rPr>
              <w:t>16.0</w:t>
            </w:r>
          </w:p>
        </w:tc>
        <w:tc>
          <w:tcPr>
            <w:tcW w:w="850" w:type="dxa"/>
            <w:tcBorders>
              <w:top w:val="single" w:sz="4" w:space="0" w:color="646464"/>
              <w:bottom w:val="single" w:sz="4" w:space="0" w:color="646464"/>
            </w:tcBorders>
            <w:shd w:val="clear" w:color="auto" w:fill="E5E5E5"/>
            <w:vAlign w:val="bottom"/>
          </w:tcPr>
          <w:p w14:paraId="35C16D07" w14:textId="77777777" w:rsidR="005A10F9" w:rsidRPr="0023756B" w:rsidRDefault="005A10F9" w:rsidP="00CF40BE">
            <w:pPr>
              <w:pStyle w:val="Tabletext"/>
              <w:jc w:val="right"/>
              <w:rPr>
                <w:b/>
                <w:bCs/>
                <w:i/>
                <w:iCs/>
                <w:szCs w:val="20"/>
              </w:rPr>
            </w:pPr>
            <w:r>
              <w:rPr>
                <w:b/>
                <w:bCs/>
                <w:i/>
                <w:iCs/>
                <w:szCs w:val="20"/>
              </w:rPr>
              <w:t>2.4</w:t>
            </w:r>
          </w:p>
        </w:tc>
        <w:tc>
          <w:tcPr>
            <w:tcW w:w="850" w:type="dxa"/>
            <w:tcBorders>
              <w:top w:val="single" w:sz="4" w:space="0" w:color="646464"/>
              <w:bottom w:val="single" w:sz="4" w:space="0" w:color="646464"/>
            </w:tcBorders>
            <w:shd w:val="clear" w:color="auto" w:fill="E5E5E5"/>
            <w:vAlign w:val="bottom"/>
          </w:tcPr>
          <w:p w14:paraId="58807EDB" w14:textId="77777777" w:rsidR="005A10F9" w:rsidRPr="0023756B" w:rsidRDefault="005A10F9" w:rsidP="00CF40BE">
            <w:pPr>
              <w:pStyle w:val="Tabletext"/>
              <w:jc w:val="right"/>
              <w:rPr>
                <w:b/>
                <w:bCs/>
                <w:i/>
                <w:iCs/>
                <w:szCs w:val="20"/>
              </w:rPr>
            </w:pPr>
            <w:r>
              <w:rPr>
                <w:b/>
                <w:bCs/>
                <w:i/>
                <w:iCs/>
                <w:szCs w:val="20"/>
              </w:rPr>
              <w:t>3.2</w:t>
            </w:r>
          </w:p>
        </w:tc>
        <w:tc>
          <w:tcPr>
            <w:tcW w:w="850" w:type="dxa"/>
            <w:tcBorders>
              <w:top w:val="single" w:sz="4" w:space="0" w:color="646464"/>
              <w:bottom w:val="single" w:sz="4" w:space="0" w:color="646464"/>
            </w:tcBorders>
            <w:shd w:val="clear" w:color="auto" w:fill="E5E5E5"/>
            <w:vAlign w:val="bottom"/>
          </w:tcPr>
          <w:p w14:paraId="548F852E" w14:textId="77777777" w:rsidR="005A10F9" w:rsidRPr="0023756B" w:rsidRDefault="005A10F9" w:rsidP="00CF40BE">
            <w:pPr>
              <w:pStyle w:val="Tabletext"/>
              <w:jc w:val="right"/>
              <w:rPr>
                <w:b/>
                <w:bCs/>
                <w:i/>
                <w:iCs/>
                <w:szCs w:val="20"/>
              </w:rPr>
            </w:pPr>
            <w:r>
              <w:rPr>
                <w:b/>
                <w:bCs/>
                <w:i/>
                <w:iCs/>
                <w:szCs w:val="20"/>
              </w:rPr>
              <w:t>3.2</w:t>
            </w:r>
          </w:p>
        </w:tc>
        <w:tc>
          <w:tcPr>
            <w:tcW w:w="850" w:type="dxa"/>
            <w:tcBorders>
              <w:top w:val="single" w:sz="4" w:space="0" w:color="646464"/>
              <w:bottom w:val="single" w:sz="4" w:space="0" w:color="646464"/>
            </w:tcBorders>
            <w:shd w:val="clear" w:color="auto" w:fill="E5E5E5"/>
            <w:vAlign w:val="bottom"/>
          </w:tcPr>
          <w:p w14:paraId="20F50596" w14:textId="77777777" w:rsidR="005A10F9" w:rsidRPr="0023756B" w:rsidRDefault="005A10F9" w:rsidP="00CF40BE">
            <w:pPr>
              <w:pStyle w:val="Tabletext"/>
              <w:jc w:val="right"/>
              <w:rPr>
                <w:b/>
                <w:bCs/>
                <w:i/>
                <w:iCs/>
                <w:szCs w:val="20"/>
              </w:rPr>
            </w:pPr>
            <w:r>
              <w:rPr>
                <w:b/>
                <w:bCs/>
                <w:i/>
                <w:iCs/>
                <w:szCs w:val="20"/>
              </w:rPr>
              <w:t>7.2</w:t>
            </w:r>
          </w:p>
        </w:tc>
        <w:tc>
          <w:tcPr>
            <w:tcW w:w="850" w:type="dxa"/>
            <w:tcBorders>
              <w:top w:val="single" w:sz="4" w:space="0" w:color="646464"/>
              <w:bottom w:val="single" w:sz="4" w:space="0" w:color="646464"/>
            </w:tcBorders>
            <w:shd w:val="clear" w:color="auto" w:fill="E5E5E5"/>
            <w:vAlign w:val="bottom"/>
          </w:tcPr>
          <w:p w14:paraId="72E41718" w14:textId="77777777" w:rsidR="005A10F9" w:rsidRPr="0023756B" w:rsidRDefault="005A10F9" w:rsidP="00CF40BE">
            <w:pPr>
              <w:pStyle w:val="Tabletext"/>
              <w:jc w:val="right"/>
              <w:rPr>
                <w:b/>
                <w:bCs/>
                <w:i/>
                <w:iCs/>
                <w:szCs w:val="20"/>
              </w:rPr>
            </w:pPr>
            <w:r>
              <w:rPr>
                <w:b/>
                <w:bCs/>
                <w:i/>
                <w:iCs/>
                <w:szCs w:val="20"/>
              </w:rPr>
              <w:t>1.6</w:t>
            </w:r>
          </w:p>
        </w:tc>
        <w:tc>
          <w:tcPr>
            <w:tcW w:w="850" w:type="dxa"/>
            <w:tcBorders>
              <w:top w:val="single" w:sz="4" w:space="0" w:color="646464"/>
              <w:bottom w:val="single" w:sz="4" w:space="0" w:color="646464"/>
            </w:tcBorders>
            <w:shd w:val="clear" w:color="auto" w:fill="E5E5E5"/>
            <w:vAlign w:val="bottom"/>
          </w:tcPr>
          <w:p w14:paraId="3356D820" w14:textId="77777777" w:rsidR="005A10F9" w:rsidRPr="0023756B" w:rsidRDefault="005A10F9" w:rsidP="00CF40BE">
            <w:pPr>
              <w:pStyle w:val="Tabletext"/>
              <w:jc w:val="right"/>
              <w:rPr>
                <w:b/>
                <w:bCs/>
                <w:i/>
                <w:iCs/>
                <w:szCs w:val="20"/>
              </w:rPr>
            </w:pPr>
            <w:r>
              <w:rPr>
                <w:b/>
                <w:bCs/>
                <w:i/>
                <w:iCs/>
                <w:szCs w:val="20"/>
              </w:rPr>
              <w:t>3.2</w:t>
            </w:r>
          </w:p>
        </w:tc>
        <w:tc>
          <w:tcPr>
            <w:tcW w:w="850" w:type="dxa"/>
            <w:tcBorders>
              <w:top w:val="single" w:sz="4" w:space="0" w:color="646464"/>
              <w:bottom w:val="single" w:sz="4" w:space="0" w:color="646464"/>
            </w:tcBorders>
            <w:shd w:val="clear" w:color="auto" w:fill="E5E5E5"/>
            <w:vAlign w:val="bottom"/>
          </w:tcPr>
          <w:p w14:paraId="25AE0663" w14:textId="77777777" w:rsidR="005A10F9" w:rsidRPr="0023756B" w:rsidRDefault="005A10F9" w:rsidP="00CF40BE">
            <w:pPr>
              <w:pStyle w:val="Tabletext"/>
              <w:jc w:val="right"/>
              <w:rPr>
                <w:b/>
                <w:bCs/>
                <w:i/>
                <w:iCs/>
                <w:szCs w:val="20"/>
              </w:rPr>
            </w:pPr>
            <w:r>
              <w:rPr>
                <w:b/>
                <w:bCs/>
                <w:i/>
                <w:iCs/>
                <w:szCs w:val="20"/>
              </w:rPr>
              <w:t>4.0</w:t>
            </w:r>
          </w:p>
        </w:tc>
        <w:tc>
          <w:tcPr>
            <w:tcW w:w="851" w:type="dxa"/>
            <w:tcBorders>
              <w:top w:val="single" w:sz="4" w:space="0" w:color="646464"/>
              <w:bottom w:val="single" w:sz="4" w:space="0" w:color="646464"/>
            </w:tcBorders>
            <w:shd w:val="clear" w:color="auto" w:fill="E5E5E5"/>
            <w:vAlign w:val="bottom"/>
          </w:tcPr>
          <w:p w14:paraId="2037D7BD" w14:textId="77777777" w:rsidR="005A10F9" w:rsidRPr="0023756B" w:rsidRDefault="005A10F9" w:rsidP="00CF40BE">
            <w:pPr>
              <w:pStyle w:val="Tabletext"/>
              <w:jc w:val="right"/>
              <w:rPr>
                <w:b/>
                <w:bCs/>
                <w:i/>
                <w:iCs/>
                <w:szCs w:val="20"/>
              </w:rPr>
            </w:pPr>
            <w:r>
              <w:rPr>
                <w:b/>
                <w:bCs/>
                <w:i/>
                <w:iCs/>
                <w:szCs w:val="20"/>
              </w:rPr>
              <w:t>3.2</w:t>
            </w:r>
          </w:p>
        </w:tc>
      </w:tr>
      <w:tr w:rsidR="005A10F9" w14:paraId="1BC57E44" w14:textId="77777777" w:rsidTr="00CF40BE">
        <w:trPr>
          <w:gridBefore w:val="1"/>
          <w:wBefore w:w="454" w:type="dxa"/>
        </w:trPr>
        <w:tc>
          <w:tcPr>
            <w:tcW w:w="2247" w:type="dxa"/>
            <w:tcBorders>
              <w:top w:val="single" w:sz="4" w:space="0" w:color="646464"/>
            </w:tcBorders>
            <w:shd w:val="clear" w:color="auto" w:fill="E5E5E5"/>
          </w:tcPr>
          <w:p w14:paraId="7EDD4878" w14:textId="77777777" w:rsidR="005A10F9" w:rsidRPr="009F0927" w:rsidRDefault="005A10F9" w:rsidP="00CF40BE">
            <w:pPr>
              <w:pStyle w:val="Tabletext"/>
              <w:rPr>
                <w:b/>
                <w:bCs/>
                <w:i/>
                <w:iCs/>
              </w:rPr>
            </w:pPr>
            <w:r>
              <w:rPr>
                <w:b/>
                <w:bCs/>
                <w:i/>
                <w:iCs/>
              </w:rPr>
              <w:t>NPV (10</w:t>
            </w:r>
            <w:r w:rsidRPr="0014439F">
              <w:rPr>
                <w:b/>
                <w:bCs/>
                <w:i/>
                <w:iCs/>
              </w:rPr>
              <w:t>% discount rate)</w:t>
            </w:r>
          </w:p>
        </w:tc>
        <w:tc>
          <w:tcPr>
            <w:tcW w:w="850" w:type="dxa"/>
            <w:tcBorders>
              <w:top w:val="single" w:sz="4" w:space="0" w:color="646464"/>
            </w:tcBorders>
            <w:shd w:val="clear" w:color="auto" w:fill="E5E5E5"/>
            <w:vAlign w:val="bottom"/>
          </w:tcPr>
          <w:p w14:paraId="0A322034" w14:textId="77777777" w:rsidR="005A10F9" w:rsidRPr="0023756B" w:rsidRDefault="005A10F9" w:rsidP="00CF40BE">
            <w:pPr>
              <w:pStyle w:val="Tabletext"/>
              <w:jc w:val="right"/>
              <w:rPr>
                <w:b/>
                <w:bCs/>
                <w:i/>
                <w:iCs/>
              </w:rPr>
            </w:pPr>
            <w:r w:rsidRPr="0023756B">
              <w:rPr>
                <w:b/>
                <w:bCs/>
                <w:i/>
                <w:iCs/>
                <w:szCs w:val="20"/>
              </w:rPr>
              <w:t>1</w:t>
            </w:r>
            <w:r>
              <w:rPr>
                <w:b/>
                <w:bCs/>
                <w:i/>
                <w:iCs/>
                <w:szCs w:val="20"/>
              </w:rPr>
              <w:t>6.8</w:t>
            </w:r>
          </w:p>
        </w:tc>
        <w:tc>
          <w:tcPr>
            <w:tcW w:w="850" w:type="dxa"/>
            <w:tcBorders>
              <w:top w:val="single" w:sz="4" w:space="0" w:color="646464"/>
            </w:tcBorders>
            <w:shd w:val="clear" w:color="auto" w:fill="E5E5E5"/>
            <w:vAlign w:val="bottom"/>
          </w:tcPr>
          <w:p w14:paraId="400A2110" w14:textId="77777777" w:rsidR="005A10F9" w:rsidRPr="0023756B" w:rsidRDefault="005A10F9" w:rsidP="00CF40BE">
            <w:pPr>
              <w:pStyle w:val="Tabletext"/>
              <w:jc w:val="right"/>
              <w:rPr>
                <w:b/>
                <w:bCs/>
                <w:i/>
                <w:iCs/>
              </w:rPr>
            </w:pPr>
            <w:r>
              <w:rPr>
                <w:b/>
                <w:bCs/>
                <w:i/>
                <w:iCs/>
                <w:szCs w:val="20"/>
              </w:rPr>
              <w:t>2.5</w:t>
            </w:r>
          </w:p>
        </w:tc>
        <w:tc>
          <w:tcPr>
            <w:tcW w:w="850" w:type="dxa"/>
            <w:tcBorders>
              <w:top w:val="single" w:sz="4" w:space="0" w:color="646464"/>
            </w:tcBorders>
            <w:shd w:val="clear" w:color="auto" w:fill="E5E5E5"/>
            <w:vAlign w:val="bottom"/>
          </w:tcPr>
          <w:p w14:paraId="5FA3492A" w14:textId="77777777" w:rsidR="005A10F9" w:rsidRPr="0023756B" w:rsidRDefault="005A10F9" w:rsidP="00CF40BE">
            <w:pPr>
              <w:pStyle w:val="Tabletext"/>
              <w:jc w:val="right"/>
              <w:rPr>
                <w:b/>
                <w:bCs/>
                <w:i/>
                <w:iCs/>
              </w:rPr>
            </w:pPr>
            <w:r>
              <w:rPr>
                <w:b/>
                <w:bCs/>
                <w:i/>
                <w:iCs/>
                <w:szCs w:val="20"/>
              </w:rPr>
              <w:t>3.4</w:t>
            </w:r>
          </w:p>
        </w:tc>
        <w:tc>
          <w:tcPr>
            <w:tcW w:w="850" w:type="dxa"/>
            <w:tcBorders>
              <w:top w:val="single" w:sz="4" w:space="0" w:color="646464"/>
            </w:tcBorders>
            <w:shd w:val="clear" w:color="auto" w:fill="E5E5E5"/>
            <w:vAlign w:val="bottom"/>
          </w:tcPr>
          <w:p w14:paraId="163AAEBF" w14:textId="77777777" w:rsidR="005A10F9" w:rsidRPr="0023756B" w:rsidRDefault="005A10F9" w:rsidP="00CF40BE">
            <w:pPr>
              <w:pStyle w:val="Tabletext"/>
              <w:jc w:val="right"/>
              <w:rPr>
                <w:b/>
                <w:bCs/>
                <w:i/>
                <w:iCs/>
              </w:rPr>
            </w:pPr>
            <w:r>
              <w:rPr>
                <w:b/>
                <w:bCs/>
                <w:i/>
                <w:iCs/>
                <w:szCs w:val="20"/>
              </w:rPr>
              <w:t>3.4</w:t>
            </w:r>
          </w:p>
        </w:tc>
        <w:tc>
          <w:tcPr>
            <w:tcW w:w="850" w:type="dxa"/>
            <w:tcBorders>
              <w:top w:val="single" w:sz="4" w:space="0" w:color="646464"/>
            </w:tcBorders>
            <w:shd w:val="clear" w:color="auto" w:fill="E5E5E5"/>
            <w:vAlign w:val="bottom"/>
          </w:tcPr>
          <w:p w14:paraId="644E8ABC" w14:textId="77777777" w:rsidR="005A10F9" w:rsidRPr="0023756B" w:rsidRDefault="005A10F9" w:rsidP="00CF40BE">
            <w:pPr>
              <w:pStyle w:val="Tabletext"/>
              <w:jc w:val="right"/>
              <w:rPr>
                <w:b/>
                <w:bCs/>
                <w:i/>
                <w:iCs/>
              </w:rPr>
            </w:pPr>
            <w:r>
              <w:rPr>
                <w:b/>
                <w:bCs/>
                <w:i/>
                <w:iCs/>
                <w:szCs w:val="20"/>
              </w:rPr>
              <w:t>7.5</w:t>
            </w:r>
          </w:p>
        </w:tc>
        <w:tc>
          <w:tcPr>
            <w:tcW w:w="850" w:type="dxa"/>
            <w:tcBorders>
              <w:top w:val="single" w:sz="4" w:space="0" w:color="646464"/>
            </w:tcBorders>
            <w:shd w:val="clear" w:color="auto" w:fill="E5E5E5"/>
            <w:vAlign w:val="bottom"/>
          </w:tcPr>
          <w:p w14:paraId="342D34BA" w14:textId="77777777" w:rsidR="005A10F9" w:rsidRPr="0023756B" w:rsidRDefault="005A10F9" w:rsidP="00CF40BE">
            <w:pPr>
              <w:pStyle w:val="Tabletext"/>
              <w:jc w:val="right"/>
              <w:rPr>
                <w:b/>
                <w:bCs/>
                <w:i/>
                <w:iCs/>
              </w:rPr>
            </w:pPr>
            <w:r w:rsidRPr="0023756B">
              <w:rPr>
                <w:b/>
                <w:bCs/>
                <w:i/>
                <w:iCs/>
                <w:szCs w:val="20"/>
              </w:rPr>
              <w:t>1.</w:t>
            </w:r>
            <w:r>
              <w:rPr>
                <w:b/>
                <w:bCs/>
                <w:i/>
                <w:iCs/>
                <w:szCs w:val="20"/>
              </w:rPr>
              <w:t>7</w:t>
            </w:r>
          </w:p>
        </w:tc>
        <w:tc>
          <w:tcPr>
            <w:tcW w:w="850" w:type="dxa"/>
            <w:tcBorders>
              <w:top w:val="single" w:sz="4" w:space="0" w:color="646464"/>
            </w:tcBorders>
            <w:shd w:val="clear" w:color="auto" w:fill="E5E5E5"/>
            <w:vAlign w:val="bottom"/>
          </w:tcPr>
          <w:p w14:paraId="454C82A9" w14:textId="77777777" w:rsidR="005A10F9" w:rsidRPr="0023756B" w:rsidRDefault="005A10F9" w:rsidP="00CF40BE">
            <w:pPr>
              <w:pStyle w:val="Tabletext"/>
              <w:jc w:val="right"/>
              <w:rPr>
                <w:b/>
                <w:bCs/>
                <w:i/>
                <w:iCs/>
              </w:rPr>
            </w:pPr>
            <w:r>
              <w:rPr>
                <w:b/>
                <w:bCs/>
                <w:i/>
                <w:iCs/>
                <w:szCs w:val="20"/>
              </w:rPr>
              <w:t>3.4</w:t>
            </w:r>
          </w:p>
        </w:tc>
        <w:tc>
          <w:tcPr>
            <w:tcW w:w="850" w:type="dxa"/>
            <w:tcBorders>
              <w:top w:val="single" w:sz="4" w:space="0" w:color="646464"/>
            </w:tcBorders>
            <w:shd w:val="clear" w:color="auto" w:fill="E5E5E5"/>
            <w:vAlign w:val="bottom"/>
          </w:tcPr>
          <w:p w14:paraId="233D64FD" w14:textId="77777777" w:rsidR="005A10F9" w:rsidRPr="0023756B" w:rsidRDefault="005A10F9" w:rsidP="00CF40BE">
            <w:pPr>
              <w:pStyle w:val="Tabletext"/>
              <w:jc w:val="right"/>
              <w:rPr>
                <w:b/>
                <w:bCs/>
                <w:i/>
                <w:iCs/>
              </w:rPr>
            </w:pPr>
            <w:r>
              <w:rPr>
                <w:b/>
                <w:bCs/>
                <w:i/>
                <w:iCs/>
                <w:szCs w:val="20"/>
              </w:rPr>
              <w:t>4.2</w:t>
            </w:r>
          </w:p>
        </w:tc>
        <w:tc>
          <w:tcPr>
            <w:tcW w:w="851" w:type="dxa"/>
            <w:tcBorders>
              <w:top w:val="single" w:sz="4" w:space="0" w:color="646464"/>
            </w:tcBorders>
            <w:shd w:val="clear" w:color="auto" w:fill="E5E5E5"/>
            <w:vAlign w:val="bottom"/>
          </w:tcPr>
          <w:p w14:paraId="0557FE5A" w14:textId="77777777" w:rsidR="005A10F9" w:rsidRPr="0023756B" w:rsidRDefault="005A10F9" w:rsidP="00CF40BE">
            <w:pPr>
              <w:pStyle w:val="Tabletext"/>
              <w:jc w:val="right"/>
              <w:rPr>
                <w:b/>
                <w:bCs/>
                <w:i/>
                <w:iCs/>
              </w:rPr>
            </w:pPr>
            <w:r>
              <w:rPr>
                <w:b/>
                <w:bCs/>
                <w:i/>
                <w:iCs/>
                <w:szCs w:val="20"/>
              </w:rPr>
              <w:t>3.4</w:t>
            </w:r>
          </w:p>
        </w:tc>
      </w:tr>
      <w:tr w:rsidR="005A10F9" w14:paraId="7FD0C05B" w14:textId="77777777" w:rsidTr="00CF40BE">
        <w:trPr>
          <w:gridBefore w:val="1"/>
          <w:wBefore w:w="454" w:type="dxa"/>
        </w:trPr>
        <w:tc>
          <w:tcPr>
            <w:tcW w:w="9898" w:type="dxa"/>
            <w:gridSpan w:val="10"/>
            <w:tcBorders>
              <w:bottom w:val="single" w:sz="4" w:space="0" w:color="646464"/>
            </w:tcBorders>
            <w:shd w:val="clear" w:color="auto" w:fill="auto"/>
          </w:tcPr>
          <w:p w14:paraId="0289B9B1" w14:textId="77777777" w:rsidR="005A10F9" w:rsidRDefault="005A10F9" w:rsidP="00CF40BE">
            <w:pPr>
              <w:pStyle w:val="Note"/>
            </w:pPr>
            <w:r>
              <w:t>Note: All values are in real 2020 terms.</w:t>
            </w:r>
          </w:p>
          <w:p w14:paraId="78A57D9C" w14:textId="77777777" w:rsidR="005A10F9" w:rsidRDefault="005A10F9" w:rsidP="00CF40BE">
            <w:pPr>
              <w:pStyle w:val="Source"/>
            </w:pPr>
            <w:r>
              <w:t>Source: ACIL Allen estimates from various assumptions</w:t>
            </w:r>
          </w:p>
        </w:tc>
      </w:tr>
    </w:tbl>
    <w:p w14:paraId="21B2706F" w14:textId="3ABF3DD5" w:rsidR="005A10F9" w:rsidRDefault="005A10F9" w:rsidP="006574B4">
      <w:pPr>
        <w:pStyle w:val="BodyText"/>
      </w:pPr>
    </w:p>
    <w:p w14:paraId="5DA51C93" w14:textId="387760BD" w:rsidR="000C5461" w:rsidRDefault="00755AD3" w:rsidP="000C5461">
      <w:pPr>
        <w:pStyle w:val="Heading3"/>
      </w:pPr>
      <w:r>
        <w:t>Option 4</w:t>
      </w:r>
      <w:r w:rsidR="000C5461">
        <w:t xml:space="preserve"> relative to Option1</w:t>
      </w:r>
    </w:p>
    <w:p w14:paraId="22462705" w14:textId="78927770" w:rsidR="000C5461" w:rsidRDefault="000C5461" w:rsidP="000C5461">
      <w:pPr>
        <w:pStyle w:val="BodyText"/>
      </w:pPr>
      <w:r>
        <w:t>An es</w:t>
      </w:r>
      <w:r w:rsidR="00755AD3">
        <w:t>timated net benefit of Option 4</w:t>
      </w:r>
      <w:r>
        <w:t xml:space="preserve"> relative to the Option 1 is summarised in </w:t>
      </w:r>
      <w:r>
        <w:fldChar w:fldCharType="begin"/>
      </w:r>
      <w:r>
        <w:instrText xml:space="preserve"> REF _Ref74736592 \h </w:instrText>
      </w:r>
      <w:r>
        <w:fldChar w:fldCharType="separate"/>
      </w:r>
      <w:r w:rsidR="00D04AB3">
        <w:rPr>
          <w:b/>
          <w:bCs/>
          <w:lang w:val="en-US"/>
        </w:rPr>
        <w:t>Figure 4</w:t>
      </w:r>
      <w:r>
        <w:fldChar w:fldCharType="end"/>
      </w:r>
      <w:r w:rsidR="00D04AB3">
        <w:t>.</w:t>
      </w:r>
      <w:r w:rsidRPr="0055576A">
        <w:rPr>
          <w:b/>
        </w:rPr>
        <w:t>3</w:t>
      </w:r>
      <w:r>
        <w:t>. The net benefits are broadly similar to t</w:t>
      </w:r>
      <w:r w:rsidR="00755AD3">
        <w:t>he Option 3</w:t>
      </w:r>
      <w:r>
        <w:t xml:space="preserve">. </w:t>
      </w:r>
    </w:p>
    <w:p w14:paraId="7853BFB5" w14:textId="1A562CA1" w:rsidR="000C5461" w:rsidRDefault="000C5461" w:rsidP="000C5461">
      <w:pPr>
        <w:pStyle w:val="BodyText"/>
      </w:pPr>
      <w:r>
        <w:t>This indicates if a wreck incident happens to a trading ship in Year 1 in either in Territorial Sea or EEZ which results in a dispute, the estimated net benefits of accession to the Nairobi Convention under the Option</w:t>
      </w:r>
      <w:r w:rsidR="00755AD3">
        <w:t xml:space="preserve"> 4</w:t>
      </w:r>
      <w:r>
        <w:t xml:space="preserve"> relative to the Option 1 for Bulk carriers would be around $48.0 million ($38.2 million at 7% discount rate) and Container carriers would be around $7.2 million ($6 million at 7% discount rate). As can be seen, on an undiscounted basis, a disputed incident involving all vessel types are expected to result in a net benefit to the economy.</w:t>
      </w:r>
    </w:p>
    <w:p w14:paraId="55B3D497" w14:textId="78DBC694" w:rsidR="005A10F9" w:rsidRDefault="005A10F9" w:rsidP="006574B4">
      <w:pPr>
        <w:pStyle w:val="BodyText"/>
      </w:pPr>
    </w:p>
    <w:tbl>
      <w:tblPr>
        <w:tblpPr w:leftFromText="180" w:rightFromText="180" w:vertAnchor="text" w:horzAnchor="margin" w:tblpY="23"/>
        <w:tblW w:w="0" w:type="auto"/>
        <w:tblLayout w:type="fixed"/>
        <w:tblCellMar>
          <w:left w:w="0" w:type="dxa"/>
          <w:right w:w="0" w:type="dxa"/>
        </w:tblCellMar>
        <w:tblLook w:val="0000" w:firstRow="0" w:lastRow="0" w:firstColumn="0" w:lastColumn="0" w:noHBand="0" w:noVBand="0"/>
      </w:tblPr>
      <w:tblGrid>
        <w:gridCol w:w="7936"/>
      </w:tblGrid>
      <w:tr w:rsidR="000C5461" w14:paraId="4A4CFA56" w14:textId="77777777" w:rsidTr="000C5461">
        <w:tc>
          <w:tcPr>
            <w:tcW w:w="7936" w:type="dxa"/>
            <w:tcBorders>
              <w:bottom w:val="single" w:sz="4" w:space="0" w:color="000100"/>
            </w:tcBorders>
            <w:shd w:val="clear" w:color="auto" w:fill="auto"/>
            <w:tcMar>
              <w:top w:w="160" w:type="dxa"/>
              <w:bottom w:w="8" w:type="dxa"/>
            </w:tcMar>
          </w:tcPr>
          <w:p w14:paraId="50DD0671" w14:textId="3C39B5D5" w:rsidR="000C5461" w:rsidRDefault="000C5461" w:rsidP="00755AD3">
            <w:pPr>
              <w:pStyle w:val="Caption"/>
            </w:pPr>
            <w:bookmarkStart w:id="69" w:name="_Toc99543748"/>
            <w:r w:rsidRPr="00335BD3">
              <w:rPr>
                <w:rStyle w:val="CaptionLabel"/>
              </w:rPr>
              <w:lastRenderedPageBreak/>
              <w:t>Figure </w:t>
            </w:r>
            <w:r w:rsidRPr="00335BD3">
              <w:rPr>
                <w:rStyle w:val="CaptionLabel"/>
              </w:rPr>
              <w:fldChar w:fldCharType="begin"/>
            </w:r>
            <w:r w:rsidRPr="00335BD3">
              <w:rPr>
                <w:rStyle w:val="CaptionLabel"/>
              </w:rPr>
              <w:instrText xml:space="preserve"> STYLEREF 1 \S \* MERGEFORMAT </w:instrText>
            </w:r>
            <w:r w:rsidRPr="00335BD3">
              <w:rPr>
                <w:rStyle w:val="CaptionLabel"/>
              </w:rPr>
              <w:fldChar w:fldCharType="separate"/>
            </w:r>
            <w:r w:rsidR="00966CD2">
              <w:rPr>
                <w:rStyle w:val="CaptionLabel"/>
                <w:noProof/>
              </w:rPr>
              <w:t>4</w:t>
            </w:r>
            <w:r w:rsidRPr="00335BD3">
              <w:rPr>
                <w:rStyle w:val="CaptionLabel"/>
              </w:rPr>
              <w:fldChar w:fldCharType="end"/>
            </w:r>
            <w:r w:rsidRPr="00335BD3">
              <w:rPr>
                <w:rStyle w:val="CaptionLabel"/>
              </w:rPr>
              <w:t>.</w:t>
            </w:r>
            <w:r w:rsidRPr="00335BD3">
              <w:rPr>
                <w:rStyle w:val="CaptionLabel"/>
              </w:rPr>
              <w:fldChar w:fldCharType="begin"/>
            </w:r>
            <w:r w:rsidRPr="00335BD3">
              <w:rPr>
                <w:rStyle w:val="CaptionLabel"/>
              </w:rPr>
              <w:instrText xml:space="preserve"> SEQ Figure \* ARABIC \S 1 \* MERGEFORMAT </w:instrText>
            </w:r>
            <w:r w:rsidRPr="00335BD3">
              <w:rPr>
                <w:rStyle w:val="CaptionLabel"/>
              </w:rPr>
              <w:fldChar w:fldCharType="separate"/>
            </w:r>
            <w:r w:rsidR="00966CD2">
              <w:rPr>
                <w:rStyle w:val="CaptionLabel"/>
                <w:noProof/>
              </w:rPr>
              <w:t>3</w:t>
            </w:r>
            <w:r w:rsidRPr="00335BD3">
              <w:rPr>
                <w:rStyle w:val="CaptionLabel"/>
              </w:rPr>
              <w:fldChar w:fldCharType="end"/>
            </w:r>
            <w:r>
              <w:tab/>
              <w:t>Net benefits of Option</w:t>
            </w:r>
            <w:r w:rsidR="00755AD3">
              <w:t xml:space="preserve"> 4</w:t>
            </w:r>
            <w:r>
              <w:t xml:space="preserve"> relative to Option 1 over a ten-year period</w:t>
            </w:r>
            <w:bookmarkEnd w:id="69"/>
          </w:p>
        </w:tc>
      </w:tr>
      <w:tr w:rsidR="000C5461" w14:paraId="774BC0DB" w14:textId="77777777" w:rsidTr="000C5461">
        <w:tblPrEx>
          <w:tblCellMar>
            <w:left w:w="108" w:type="dxa"/>
            <w:right w:w="108" w:type="dxa"/>
          </w:tblCellMar>
        </w:tblPrEx>
        <w:tc>
          <w:tcPr>
            <w:tcW w:w="7936" w:type="dxa"/>
            <w:tcBorders>
              <w:top w:val="single" w:sz="4" w:space="0" w:color="000100"/>
            </w:tcBorders>
            <w:shd w:val="clear" w:color="auto" w:fill="auto"/>
          </w:tcPr>
          <w:p w14:paraId="062C948E" w14:textId="0B01E16A" w:rsidR="000C5461" w:rsidRDefault="00FD11C1" w:rsidP="000C5461">
            <w:pPr>
              <w:pStyle w:val="Figure"/>
            </w:pPr>
            <w:r>
              <w:rPr>
                <w:noProof/>
                <w:lang w:eastAsia="en-AU"/>
              </w:rPr>
              <w:drawing>
                <wp:inline distT="0" distB="0" distL="0" distR="0" wp14:anchorId="62315980" wp14:editId="1A4373F8">
                  <wp:extent cx="4902200" cy="22053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2200" cy="2205355"/>
                          </a:xfrm>
                          <a:prstGeom prst="rect">
                            <a:avLst/>
                          </a:prstGeom>
                        </pic:spPr>
                      </pic:pic>
                    </a:graphicData>
                  </a:graphic>
                </wp:inline>
              </w:drawing>
            </w:r>
          </w:p>
        </w:tc>
      </w:tr>
      <w:tr w:rsidR="000C5461" w14:paraId="1FE64DF7" w14:textId="77777777" w:rsidTr="000C5461">
        <w:trPr>
          <w:trHeight w:val="135"/>
        </w:trPr>
        <w:tc>
          <w:tcPr>
            <w:tcW w:w="7936" w:type="dxa"/>
            <w:tcBorders>
              <w:bottom w:val="single" w:sz="4" w:space="0" w:color="000100"/>
            </w:tcBorders>
            <w:shd w:val="clear" w:color="auto" w:fill="auto"/>
            <w:tcMar>
              <w:top w:w="12" w:type="dxa"/>
              <w:bottom w:w="113" w:type="dxa"/>
            </w:tcMar>
          </w:tcPr>
          <w:p w14:paraId="539ACF19" w14:textId="435BAF2B" w:rsidR="00F26A25" w:rsidRDefault="00F26A25" w:rsidP="000C5461">
            <w:pPr>
              <w:pStyle w:val="Source"/>
            </w:pPr>
            <w:r w:rsidRPr="00F26A25">
              <w:t>Note: All values are in real 2020 terms</w:t>
            </w:r>
          </w:p>
          <w:p w14:paraId="30329762" w14:textId="28475529" w:rsidR="000C5461" w:rsidRDefault="000C5461" w:rsidP="000C5461">
            <w:pPr>
              <w:pStyle w:val="Source"/>
            </w:pPr>
            <w:r>
              <w:t>Source: ACIL Allen estimates from various assumptions</w:t>
            </w:r>
          </w:p>
        </w:tc>
      </w:tr>
      <w:tr w:rsidR="000C5461" w14:paraId="0FC02D2F" w14:textId="77777777" w:rsidTr="000C5461">
        <w:trPr>
          <w:trHeight w:hRule="exact" w:val="160"/>
        </w:trPr>
        <w:tc>
          <w:tcPr>
            <w:tcW w:w="7936" w:type="dxa"/>
            <w:tcBorders>
              <w:top w:val="single" w:sz="4" w:space="0" w:color="000100"/>
            </w:tcBorders>
            <w:shd w:val="clear" w:color="auto" w:fill="auto"/>
            <w:tcMar>
              <w:top w:w="0" w:type="dxa"/>
              <w:bottom w:w="40" w:type="dxa"/>
            </w:tcMar>
          </w:tcPr>
          <w:p w14:paraId="5C3F9EE9" w14:textId="77777777" w:rsidR="000C5461" w:rsidRDefault="000C5461" w:rsidP="000C5461">
            <w:pPr>
              <w:pStyle w:val="spacer"/>
            </w:pPr>
          </w:p>
        </w:tc>
      </w:tr>
    </w:tbl>
    <w:p w14:paraId="2A64AEAB" w14:textId="2814A1D8" w:rsidR="000C5461" w:rsidRDefault="000C5461" w:rsidP="000C5461">
      <w:pPr>
        <w:pStyle w:val="BodyText"/>
      </w:pPr>
      <w:r>
        <w:t>The estimated incidence o</w:t>
      </w:r>
      <w:r w:rsidR="00755AD3">
        <w:t>f costs and benefits of Option 4</w:t>
      </w:r>
      <w:r>
        <w:t xml:space="preserve"> relative to Option 1 are summarised in </w:t>
      </w:r>
      <w:r>
        <w:fldChar w:fldCharType="begin"/>
      </w:r>
      <w:r>
        <w:instrText xml:space="preserve"> REF _Ref75339505 \h </w:instrText>
      </w:r>
      <w:r>
        <w:fldChar w:fldCharType="separate"/>
      </w:r>
      <w:r w:rsidR="00D04AB3">
        <w:rPr>
          <w:b/>
          <w:bCs/>
          <w:lang w:val="en-US"/>
        </w:rPr>
        <w:t>Table 4.4</w:t>
      </w:r>
      <w:r>
        <w:fldChar w:fldCharType="end"/>
      </w:r>
      <w:r w:rsidR="00D04AB3">
        <w:t>.</w:t>
      </w:r>
    </w:p>
    <w:p w14:paraId="738DA6BE" w14:textId="502120ED" w:rsidR="000C5461" w:rsidRDefault="000C5461" w:rsidP="000C5461">
      <w:pPr>
        <w:pStyle w:val="BodyText"/>
      </w:pPr>
      <w:r>
        <w:t>The distribution of benefits between the Australian Government, shipowners and the general shipping industry are</w:t>
      </w:r>
      <w:r w:rsidR="00755AD3">
        <w:t xml:space="preserve"> unchanged relative to Option 3</w:t>
      </w:r>
      <w:r>
        <w:t>.</w:t>
      </w:r>
    </w:p>
    <w:p w14:paraId="1C42B1F3" w14:textId="77777777" w:rsidR="000C5461" w:rsidRDefault="000C5461" w:rsidP="000C5461">
      <w:pPr>
        <w:pStyle w:val="BodyText"/>
      </w:pPr>
      <w:r>
        <w:t>A relatively higher economy-wide benefit occurs under this scenario due to the consistency and uniformity laws for the Territorial Sea and EEZ.</w:t>
      </w:r>
    </w:p>
    <w:p w14:paraId="45B1728C" w14:textId="403D2B55" w:rsidR="000C5461" w:rsidRDefault="000C5461" w:rsidP="000C5461">
      <w:pPr>
        <w:pStyle w:val="BodyText"/>
      </w:pPr>
      <w:r>
        <w:t>The estimated quantifiable BCR varies between 1.7 and 17.2 (undiscounted), depending on the nature of the vessel involved in the disputed incident.</w:t>
      </w:r>
    </w:p>
    <w:p w14:paraId="225E1C0C" w14:textId="61C25394" w:rsidR="005A10F9" w:rsidRDefault="005A10F9" w:rsidP="006574B4">
      <w:pPr>
        <w:pStyle w:val="BodyText"/>
      </w:pPr>
    </w:p>
    <w:p w14:paraId="7E00B931" w14:textId="03AC6890" w:rsidR="00CF663D" w:rsidRDefault="00CF663D" w:rsidP="00CF663D">
      <w:pPr>
        <w:pStyle w:val="Caption"/>
        <w:ind w:left="-784"/>
      </w:pPr>
      <w:r w:rsidRPr="00B076B7">
        <w:rPr>
          <w:rStyle w:val="CaptionLabel"/>
        </w:rPr>
        <w:t>Table </w:t>
      </w:r>
      <w:r w:rsidRPr="00B076B7">
        <w:rPr>
          <w:rStyle w:val="CaptionLabel"/>
        </w:rPr>
        <w:fldChar w:fldCharType="begin"/>
      </w:r>
      <w:r w:rsidRPr="00B076B7">
        <w:rPr>
          <w:rStyle w:val="CaptionLabel"/>
        </w:rPr>
        <w:instrText xml:space="preserve"> STYLEREF 1 \S \* MERGEFORMAT </w:instrText>
      </w:r>
      <w:r w:rsidRPr="00B076B7">
        <w:rPr>
          <w:rStyle w:val="CaptionLabel"/>
        </w:rPr>
        <w:fldChar w:fldCharType="separate"/>
      </w:r>
      <w:r w:rsidR="00966CD2">
        <w:rPr>
          <w:rStyle w:val="CaptionLabel"/>
          <w:noProof/>
        </w:rPr>
        <w:t>4</w:t>
      </w:r>
      <w:r w:rsidRPr="00B076B7">
        <w:rPr>
          <w:rStyle w:val="CaptionLabel"/>
        </w:rPr>
        <w:fldChar w:fldCharType="end"/>
      </w:r>
      <w:r w:rsidRPr="00B076B7">
        <w:rPr>
          <w:rStyle w:val="CaptionLabel"/>
        </w:rPr>
        <w:t>.</w:t>
      </w:r>
      <w:r w:rsidR="007379DC">
        <w:rPr>
          <w:rStyle w:val="CaptionLabel"/>
        </w:rPr>
        <w:t>4</w:t>
      </w:r>
      <w:r>
        <w:tab/>
        <w:t>Co</w:t>
      </w:r>
      <w:r w:rsidR="00755AD3">
        <w:t>sts and benefits under Option 4</w:t>
      </w:r>
      <w:r>
        <w:t xml:space="preserve"> relative to Option 1 over a ten-year period</w:t>
      </w:r>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247"/>
        <w:gridCol w:w="850"/>
        <w:gridCol w:w="850"/>
        <w:gridCol w:w="850"/>
        <w:gridCol w:w="850"/>
        <w:gridCol w:w="850"/>
        <w:gridCol w:w="850"/>
        <w:gridCol w:w="850"/>
        <w:gridCol w:w="850"/>
        <w:gridCol w:w="851"/>
      </w:tblGrid>
      <w:tr w:rsidR="00CF663D" w14:paraId="5EF68F59" w14:textId="77777777" w:rsidTr="00A4642C">
        <w:trPr>
          <w:tblHeader/>
        </w:trPr>
        <w:tc>
          <w:tcPr>
            <w:tcW w:w="2701" w:type="dxa"/>
            <w:gridSpan w:val="2"/>
            <w:tcBorders>
              <w:top w:val="nil"/>
              <w:bottom w:val="nil"/>
            </w:tcBorders>
            <w:shd w:val="clear" w:color="auto" w:fill="140034"/>
            <w:tcMar>
              <w:left w:w="454" w:type="dxa"/>
            </w:tcMar>
          </w:tcPr>
          <w:p w14:paraId="7CCD7FAA" w14:textId="77777777" w:rsidR="00CF663D" w:rsidRDefault="00CF663D" w:rsidP="00A4642C">
            <w:pPr>
              <w:pStyle w:val="Tablecolumnheadings"/>
            </w:pPr>
          </w:p>
        </w:tc>
        <w:tc>
          <w:tcPr>
            <w:tcW w:w="850" w:type="dxa"/>
            <w:tcBorders>
              <w:top w:val="nil"/>
              <w:bottom w:val="nil"/>
            </w:tcBorders>
            <w:shd w:val="clear" w:color="auto" w:fill="140034"/>
          </w:tcPr>
          <w:p w14:paraId="72A78821" w14:textId="77777777" w:rsidR="00CF663D" w:rsidRPr="0014439F" w:rsidRDefault="00CF663D" w:rsidP="00A4642C">
            <w:pPr>
              <w:pStyle w:val="Tablecolumnheadings"/>
              <w:jc w:val="right"/>
              <w:rPr>
                <w:sz w:val="18"/>
                <w:szCs w:val="20"/>
              </w:rPr>
            </w:pPr>
            <w:r w:rsidRPr="0014439F">
              <w:rPr>
                <w:sz w:val="18"/>
                <w:szCs w:val="20"/>
              </w:rPr>
              <w:t>Bulk carriers</w:t>
            </w:r>
          </w:p>
        </w:tc>
        <w:tc>
          <w:tcPr>
            <w:tcW w:w="850" w:type="dxa"/>
            <w:tcBorders>
              <w:top w:val="nil"/>
              <w:bottom w:val="nil"/>
            </w:tcBorders>
            <w:shd w:val="clear" w:color="auto" w:fill="140034"/>
          </w:tcPr>
          <w:p w14:paraId="201E3F12" w14:textId="77777777" w:rsidR="00CF663D" w:rsidRPr="0014439F" w:rsidRDefault="00CF663D" w:rsidP="00A4642C">
            <w:pPr>
              <w:pStyle w:val="Tablecolumnheadings"/>
              <w:jc w:val="right"/>
              <w:rPr>
                <w:sz w:val="18"/>
                <w:szCs w:val="20"/>
              </w:rPr>
            </w:pPr>
            <w:r w:rsidRPr="0014439F">
              <w:rPr>
                <w:sz w:val="18"/>
                <w:szCs w:val="20"/>
              </w:rPr>
              <w:t>Chemical tankers</w:t>
            </w:r>
          </w:p>
        </w:tc>
        <w:tc>
          <w:tcPr>
            <w:tcW w:w="850" w:type="dxa"/>
            <w:tcBorders>
              <w:top w:val="nil"/>
              <w:bottom w:val="nil"/>
            </w:tcBorders>
            <w:shd w:val="clear" w:color="auto" w:fill="140034"/>
          </w:tcPr>
          <w:p w14:paraId="43664A5D" w14:textId="77777777" w:rsidR="00CF663D" w:rsidRPr="0014439F" w:rsidRDefault="00CF663D" w:rsidP="00A4642C">
            <w:pPr>
              <w:pStyle w:val="Tablecolumnheadings"/>
              <w:jc w:val="right"/>
              <w:rPr>
                <w:sz w:val="18"/>
                <w:szCs w:val="20"/>
              </w:rPr>
            </w:pPr>
            <w:r w:rsidRPr="0014439F">
              <w:rPr>
                <w:sz w:val="18"/>
                <w:szCs w:val="20"/>
              </w:rPr>
              <w:t>Container carriers</w:t>
            </w:r>
          </w:p>
        </w:tc>
        <w:tc>
          <w:tcPr>
            <w:tcW w:w="850" w:type="dxa"/>
            <w:tcBorders>
              <w:top w:val="nil"/>
              <w:bottom w:val="nil"/>
            </w:tcBorders>
            <w:shd w:val="clear" w:color="auto" w:fill="140034"/>
          </w:tcPr>
          <w:p w14:paraId="463FADCC" w14:textId="77777777" w:rsidR="00CF663D" w:rsidRPr="0014439F" w:rsidRDefault="00CF663D" w:rsidP="00A4642C">
            <w:pPr>
              <w:pStyle w:val="Tablecolumnheadings"/>
              <w:jc w:val="right"/>
              <w:rPr>
                <w:sz w:val="18"/>
                <w:szCs w:val="20"/>
              </w:rPr>
            </w:pPr>
            <w:r w:rsidRPr="0014439F">
              <w:rPr>
                <w:sz w:val="18"/>
                <w:szCs w:val="20"/>
              </w:rPr>
              <w:t>General cargo ships</w:t>
            </w:r>
          </w:p>
        </w:tc>
        <w:tc>
          <w:tcPr>
            <w:tcW w:w="850" w:type="dxa"/>
            <w:tcBorders>
              <w:top w:val="nil"/>
              <w:bottom w:val="nil"/>
            </w:tcBorders>
            <w:shd w:val="clear" w:color="auto" w:fill="140034"/>
          </w:tcPr>
          <w:p w14:paraId="13FB470D" w14:textId="77777777" w:rsidR="00CF663D" w:rsidRPr="0014439F" w:rsidRDefault="00CF663D" w:rsidP="00A4642C">
            <w:pPr>
              <w:pStyle w:val="Tablecolumnheadings"/>
              <w:jc w:val="right"/>
              <w:rPr>
                <w:sz w:val="18"/>
                <w:szCs w:val="20"/>
              </w:rPr>
            </w:pPr>
            <w:r w:rsidRPr="0014439F">
              <w:rPr>
                <w:sz w:val="18"/>
                <w:szCs w:val="20"/>
              </w:rPr>
              <w:t>LNG tankers</w:t>
            </w:r>
          </w:p>
        </w:tc>
        <w:tc>
          <w:tcPr>
            <w:tcW w:w="850" w:type="dxa"/>
            <w:tcBorders>
              <w:top w:val="nil"/>
              <w:bottom w:val="nil"/>
            </w:tcBorders>
            <w:shd w:val="clear" w:color="auto" w:fill="140034"/>
          </w:tcPr>
          <w:p w14:paraId="29E16C54" w14:textId="77777777" w:rsidR="00CF663D" w:rsidRPr="0014439F" w:rsidRDefault="00CF663D" w:rsidP="00A4642C">
            <w:pPr>
              <w:pStyle w:val="Tablecolumnheadings"/>
              <w:jc w:val="right"/>
              <w:rPr>
                <w:sz w:val="18"/>
                <w:szCs w:val="20"/>
              </w:rPr>
            </w:pPr>
            <w:r w:rsidRPr="0014439F">
              <w:rPr>
                <w:sz w:val="18"/>
                <w:szCs w:val="20"/>
              </w:rPr>
              <w:t>LPG tankers</w:t>
            </w:r>
          </w:p>
        </w:tc>
        <w:tc>
          <w:tcPr>
            <w:tcW w:w="850" w:type="dxa"/>
            <w:tcBorders>
              <w:top w:val="nil"/>
              <w:bottom w:val="nil"/>
            </w:tcBorders>
            <w:shd w:val="clear" w:color="auto" w:fill="140034"/>
          </w:tcPr>
          <w:p w14:paraId="4805AB9B" w14:textId="77777777" w:rsidR="00CF663D" w:rsidRPr="0014439F" w:rsidRDefault="00CF663D" w:rsidP="00A4642C">
            <w:pPr>
              <w:pStyle w:val="Tablecolumnheadings"/>
              <w:jc w:val="right"/>
              <w:rPr>
                <w:sz w:val="18"/>
                <w:szCs w:val="20"/>
              </w:rPr>
            </w:pPr>
            <w:r w:rsidRPr="0014439F">
              <w:rPr>
                <w:sz w:val="18"/>
                <w:szCs w:val="20"/>
              </w:rPr>
              <w:t>Livestock carriers</w:t>
            </w:r>
          </w:p>
        </w:tc>
        <w:tc>
          <w:tcPr>
            <w:tcW w:w="850" w:type="dxa"/>
            <w:tcBorders>
              <w:top w:val="nil"/>
              <w:bottom w:val="nil"/>
            </w:tcBorders>
            <w:shd w:val="clear" w:color="auto" w:fill="140034"/>
          </w:tcPr>
          <w:p w14:paraId="1C953207" w14:textId="77777777" w:rsidR="00CF663D" w:rsidRPr="0014439F" w:rsidRDefault="00CF663D" w:rsidP="00A4642C">
            <w:pPr>
              <w:pStyle w:val="Tablecolumnheadings"/>
              <w:jc w:val="right"/>
              <w:rPr>
                <w:sz w:val="18"/>
                <w:szCs w:val="20"/>
              </w:rPr>
            </w:pPr>
            <w:r w:rsidRPr="0014439F">
              <w:rPr>
                <w:sz w:val="18"/>
                <w:szCs w:val="20"/>
              </w:rPr>
              <w:t>Tankers</w:t>
            </w:r>
          </w:p>
        </w:tc>
        <w:tc>
          <w:tcPr>
            <w:tcW w:w="851" w:type="dxa"/>
            <w:tcBorders>
              <w:top w:val="nil"/>
              <w:bottom w:val="nil"/>
              <w:right w:val="single" w:sz="6" w:space="0" w:color="140034"/>
            </w:tcBorders>
            <w:shd w:val="clear" w:color="auto" w:fill="140034"/>
          </w:tcPr>
          <w:p w14:paraId="22ACEC6B" w14:textId="77777777" w:rsidR="00CF663D" w:rsidRPr="0014439F" w:rsidRDefault="00CF663D" w:rsidP="00A4642C">
            <w:pPr>
              <w:pStyle w:val="Tablecolumnheadings"/>
              <w:jc w:val="right"/>
              <w:rPr>
                <w:sz w:val="18"/>
                <w:szCs w:val="20"/>
              </w:rPr>
            </w:pPr>
            <w:r w:rsidRPr="0014439F">
              <w:rPr>
                <w:sz w:val="18"/>
                <w:szCs w:val="20"/>
              </w:rPr>
              <w:t>Vehicle carriers</w:t>
            </w:r>
          </w:p>
        </w:tc>
      </w:tr>
      <w:tr w:rsidR="00CF663D" w14:paraId="765E6C63" w14:textId="77777777" w:rsidTr="00A4642C">
        <w:trPr>
          <w:gridBefore w:val="1"/>
          <w:wBefore w:w="454" w:type="dxa"/>
        </w:trPr>
        <w:tc>
          <w:tcPr>
            <w:tcW w:w="2247" w:type="dxa"/>
            <w:tcBorders>
              <w:top w:val="nil"/>
            </w:tcBorders>
            <w:shd w:val="clear" w:color="auto" w:fill="auto"/>
          </w:tcPr>
          <w:p w14:paraId="33E6384D" w14:textId="77777777" w:rsidR="00CF663D" w:rsidRDefault="00CF663D" w:rsidP="00A4642C">
            <w:pPr>
              <w:pStyle w:val="Tabletext"/>
              <w:keepNext/>
            </w:pPr>
          </w:p>
        </w:tc>
        <w:tc>
          <w:tcPr>
            <w:tcW w:w="850" w:type="dxa"/>
            <w:tcBorders>
              <w:top w:val="nil"/>
            </w:tcBorders>
            <w:shd w:val="clear" w:color="auto" w:fill="auto"/>
          </w:tcPr>
          <w:p w14:paraId="220ABC30" w14:textId="4206E1AD" w:rsidR="00CF663D" w:rsidRDefault="00CF663D" w:rsidP="00A4642C">
            <w:pPr>
              <w:pStyle w:val="Tabletext"/>
              <w:keepNext/>
              <w:jc w:val="right"/>
            </w:pPr>
            <w:r>
              <w:t>$m</w:t>
            </w:r>
          </w:p>
        </w:tc>
        <w:tc>
          <w:tcPr>
            <w:tcW w:w="850" w:type="dxa"/>
            <w:tcBorders>
              <w:top w:val="nil"/>
            </w:tcBorders>
            <w:shd w:val="clear" w:color="auto" w:fill="auto"/>
          </w:tcPr>
          <w:p w14:paraId="10E24B97" w14:textId="63D2F9C1" w:rsidR="00CF663D" w:rsidRDefault="00CF663D" w:rsidP="00A4642C">
            <w:pPr>
              <w:pStyle w:val="Tabletext"/>
              <w:keepNext/>
              <w:jc w:val="right"/>
            </w:pPr>
            <w:r>
              <w:t>$m</w:t>
            </w:r>
          </w:p>
        </w:tc>
        <w:tc>
          <w:tcPr>
            <w:tcW w:w="850" w:type="dxa"/>
            <w:tcBorders>
              <w:top w:val="nil"/>
            </w:tcBorders>
            <w:shd w:val="clear" w:color="auto" w:fill="auto"/>
          </w:tcPr>
          <w:p w14:paraId="547AA4A4" w14:textId="477A8340" w:rsidR="00CF663D" w:rsidRDefault="00CF663D" w:rsidP="00A4642C">
            <w:pPr>
              <w:pStyle w:val="Tabletext"/>
              <w:keepNext/>
              <w:jc w:val="right"/>
            </w:pPr>
            <w:r>
              <w:t>$m</w:t>
            </w:r>
          </w:p>
        </w:tc>
        <w:tc>
          <w:tcPr>
            <w:tcW w:w="850" w:type="dxa"/>
            <w:tcBorders>
              <w:top w:val="nil"/>
            </w:tcBorders>
            <w:shd w:val="clear" w:color="auto" w:fill="auto"/>
          </w:tcPr>
          <w:p w14:paraId="000AF7AE" w14:textId="6C38A881" w:rsidR="00CF663D" w:rsidRDefault="00CF663D" w:rsidP="00A4642C">
            <w:pPr>
              <w:pStyle w:val="Tabletext"/>
              <w:keepNext/>
              <w:jc w:val="right"/>
            </w:pPr>
            <w:r>
              <w:t>$m</w:t>
            </w:r>
          </w:p>
        </w:tc>
        <w:tc>
          <w:tcPr>
            <w:tcW w:w="850" w:type="dxa"/>
            <w:tcBorders>
              <w:top w:val="nil"/>
            </w:tcBorders>
            <w:shd w:val="clear" w:color="auto" w:fill="auto"/>
          </w:tcPr>
          <w:p w14:paraId="3FCC885B" w14:textId="3FDAA33E" w:rsidR="00CF663D" w:rsidRDefault="00CF663D" w:rsidP="007379DC">
            <w:pPr>
              <w:pStyle w:val="Tabletext"/>
              <w:keepNext/>
              <w:jc w:val="center"/>
            </w:pPr>
            <w:r>
              <w:t>$m</w:t>
            </w:r>
          </w:p>
        </w:tc>
        <w:tc>
          <w:tcPr>
            <w:tcW w:w="850" w:type="dxa"/>
            <w:tcBorders>
              <w:top w:val="nil"/>
            </w:tcBorders>
            <w:shd w:val="clear" w:color="auto" w:fill="auto"/>
          </w:tcPr>
          <w:p w14:paraId="2497E31A" w14:textId="22E813C7" w:rsidR="00CF663D" w:rsidRDefault="00CF663D" w:rsidP="00A4642C">
            <w:pPr>
              <w:pStyle w:val="Tabletext"/>
              <w:keepNext/>
              <w:jc w:val="right"/>
            </w:pPr>
            <w:r>
              <w:t>$m</w:t>
            </w:r>
          </w:p>
        </w:tc>
        <w:tc>
          <w:tcPr>
            <w:tcW w:w="850" w:type="dxa"/>
            <w:tcBorders>
              <w:top w:val="nil"/>
            </w:tcBorders>
            <w:shd w:val="clear" w:color="auto" w:fill="auto"/>
          </w:tcPr>
          <w:p w14:paraId="71F02DF7" w14:textId="66739A17" w:rsidR="00CF663D" w:rsidRDefault="00CF663D" w:rsidP="00A4642C">
            <w:pPr>
              <w:pStyle w:val="Tabletext"/>
              <w:keepNext/>
              <w:jc w:val="right"/>
            </w:pPr>
            <w:r>
              <w:t>$m</w:t>
            </w:r>
          </w:p>
        </w:tc>
        <w:tc>
          <w:tcPr>
            <w:tcW w:w="850" w:type="dxa"/>
            <w:tcBorders>
              <w:top w:val="nil"/>
            </w:tcBorders>
            <w:shd w:val="clear" w:color="auto" w:fill="auto"/>
          </w:tcPr>
          <w:p w14:paraId="26204E8C" w14:textId="5D7825D4" w:rsidR="00CF663D" w:rsidRDefault="00CF663D" w:rsidP="00A4642C">
            <w:pPr>
              <w:pStyle w:val="Tabletext"/>
              <w:keepNext/>
              <w:jc w:val="right"/>
            </w:pPr>
            <w:r>
              <w:t>$m</w:t>
            </w:r>
          </w:p>
        </w:tc>
        <w:tc>
          <w:tcPr>
            <w:tcW w:w="851" w:type="dxa"/>
            <w:tcBorders>
              <w:top w:val="nil"/>
            </w:tcBorders>
            <w:shd w:val="clear" w:color="auto" w:fill="auto"/>
          </w:tcPr>
          <w:p w14:paraId="40722767" w14:textId="4F01B3E6" w:rsidR="00CF663D" w:rsidRDefault="00CF663D" w:rsidP="00A4642C">
            <w:pPr>
              <w:pStyle w:val="Tabletext"/>
              <w:keepNext/>
              <w:jc w:val="right"/>
            </w:pPr>
            <w:r>
              <w:t>$m</w:t>
            </w:r>
          </w:p>
        </w:tc>
      </w:tr>
      <w:tr w:rsidR="00CF663D" w14:paraId="68EC922C" w14:textId="47F5115C" w:rsidTr="00A4642C">
        <w:trPr>
          <w:gridBefore w:val="1"/>
          <w:wBefore w:w="454" w:type="dxa"/>
        </w:trPr>
        <w:tc>
          <w:tcPr>
            <w:tcW w:w="2247" w:type="dxa"/>
            <w:tcBorders>
              <w:top w:val="nil"/>
            </w:tcBorders>
            <w:shd w:val="clear" w:color="auto" w:fill="D5EBDA" w:themeFill="accent6" w:themeFillTint="33"/>
          </w:tcPr>
          <w:p w14:paraId="1F71073B" w14:textId="42EB25C3" w:rsidR="00CF663D" w:rsidRPr="00F955B7" w:rsidRDefault="00CF663D" w:rsidP="00A4642C">
            <w:pPr>
              <w:pStyle w:val="Tabletext"/>
              <w:keepNext/>
              <w:rPr>
                <w:b/>
                <w:bCs/>
              </w:rPr>
            </w:pPr>
            <w:r w:rsidRPr="00F955B7">
              <w:rPr>
                <w:b/>
                <w:bCs/>
              </w:rPr>
              <w:t>Australian Government</w:t>
            </w:r>
          </w:p>
        </w:tc>
        <w:tc>
          <w:tcPr>
            <w:tcW w:w="850" w:type="dxa"/>
            <w:tcBorders>
              <w:top w:val="nil"/>
            </w:tcBorders>
            <w:shd w:val="clear" w:color="auto" w:fill="D5EBDA" w:themeFill="accent6" w:themeFillTint="33"/>
          </w:tcPr>
          <w:p w14:paraId="4E2F2040" w14:textId="52146EFF"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00F50B79" w14:textId="74F31F93"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53C5DABA" w14:textId="2E0F3CAB"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6864ED22" w14:textId="1997461D"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02EA154F" w14:textId="5B697FC7"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69403703" w14:textId="7957ECCD"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5F8B5A96" w14:textId="3D2469D0" w:rsidR="00CF663D" w:rsidRPr="00F955B7" w:rsidRDefault="00CF663D" w:rsidP="00A4642C">
            <w:pPr>
              <w:pStyle w:val="Tabletext"/>
              <w:keepNext/>
              <w:jc w:val="right"/>
              <w:rPr>
                <w:b/>
                <w:bCs/>
              </w:rPr>
            </w:pPr>
          </w:p>
        </w:tc>
        <w:tc>
          <w:tcPr>
            <w:tcW w:w="850" w:type="dxa"/>
            <w:tcBorders>
              <w:top w:val="nil"/>
            </w:tcBorders>
            <w:shd w:val="clear" w:color="auto" w:fill="D5EBDA" w:themeFill="accent6" w:themeFillTint="33"/>
          </w:tcPr>
          <w:p w14:paraId="001F1DF0" w14:textId="38FC156C" w:rsidR="00CF663D" w:rsidRPr="00F955B7" w:rsidRDefault="00CF663D" w:rsidP="00A4642C">
            <w:pPr>
              <w:pStyle w:val="Tabletext"/>
              <w:keepNext/>
              <w:jc w:val="right"/>
              <w:rPr>
                <w:b/>
                <w:bCs/>
              </w:rPr>
            </w:pPr>
          </w:p>
        </w:tc>
        <w:tc>
          <w:tcPr>
            <w:tcW w:w="851" w:type="dxa"/>
            <w:tcBorders>
              <w:top w:val="nil"/>
            </w:tcBorders>
            <w:shd w:val="clear" w:color="auto" w:fill="D5EBDA" w:themeFill="accent6" w:themeFillTint="33"/>
          </w:tcPr>
          <w:p w14:paraId="44CC33D0" w14:textId="39CEA74D" w:rsidR="00CF663D" w:rsidRPr="00F955B7" w:rsidRDefault="00CF663D" w:rsidP="00A4642C">
            <w:pPr>
              <w:pStyle w:val="Tabletext"/>
              <w:keepNext/>
              <w:jc w:val="right"/>
              <w:rPr>
                <w:b/>
                <w:bCs/>
              </w:rPr>
            </w:pPr>
          </w:p>
        </w:tc>
      </w:tr>
      <w:tr w:rsidR="00CF663D" w14:paraId="71621A0C" w14:textId="35B333C1" w:rsidTr="00A4642C">
        <w:trPr>
          <w:gridBefore w:val="1"/>
          <w:wBefore w:w="454" w:type="dxa"/>
        </w:trPr>
        <w:tc>
          <w:tcPr>
            <w:tcW w:w="2247" w:type="dxa"/>
            <w:tcBorders>
              <w:top w:val="nil"/>
            </w:tcBorders>
            <w:shd w:val="clear" w:color="auto" w:fill="auto"/>
          </w:tcPr>
          <w:p w14:paraId="56B08184" w14:textId="1FA7CED7" w:rsidR="00CF663D" w:rsidRDefault="00CF663D" w:rsidP="00A4642C">
            <w:pPr>
              <w:pStyle w:val="Tablelistbullet"/>
              <w:keepNext/>
            </w:pPr>
            <w:r>
              <w:t>avoided legal costs</w:t>
            </w:r>
          </w:p>
        </w:tc>
        <w:tc>
          <w:tcPr>
            <w:tcW w:w="850" w:type="dxa"/>
            <w:tcBorders>
              <w:top w:val="nil"/>
            </w:tcBorders>
            <w:shd w:val="clear" w:color="auto" w:fill="auto"/>
            <w:vAlign w:val="bottom"/>
          </w:tcPr>
          <w:p w14:paraId="4C65957F" w14:textId="171BAC8F" w:rsidR="00CF663D" w:rsidRDefault="00CF663D" w:rsidP="00A4642C">
            <w:pPr>
              <w:pStyle w:val="Tabletext"/>
              <w:keepNext/>
              <w:jc w:val="right"/>
            </w:pPr>
            <w:r>
              <w:rPr>
                <w:szCs w:val="20"/>
              </w:rPr>
              <w:t>16.5</w:t>
            </w:r>
          </w:p>
        </w:tc>
        <w:tc>
          <w:tcPr>
            <w:tcW w:w="850" w:type="dxa"/>
            <w:tcBorders>
              <w:top w:val="nil"/>
            </w:tcBorders>
            <w:shd w:val="clear" w:color="auto" w:fill="auto"/>
            <w:vAlign w:val="bottom"/>
          </w:tcPr>
          <w:p w14:paraId="7024FC3B" w14:textId="71104E62" w:rsidR="00CF663D" w:rsidRDefault="00CF663D" w:rsidP="00A4642C">
            <w:pPr>
              <w:pStyle w:val="Tabletext"/>
              <w:keepNext/>
              <w:jc w:val="right"/>
            </w:pPr>
            <w:r>
              <w:rPr>
                <w:szCs w:val="20"/>
              </w:rPr>
              <w:t>2.5</w:t>
            </w:r>
          </w:p>
        </w:tc>
        <w:tc>
          <w:tcPr>
            <w:tcW w:w="850" w:type="dxa"/>
            <w:tcBorders>
              <w:top w:val="nil"/>
            </w:tcBorders>
            <w:shd w:val="clear" w:color="auto" w:fill="auto"/>
            <w:vAlign w:val="bottom"/>
          </w:tcPr>
          <w:p w14:paraId="55ED4E21" w14:textId="10B18BEF" w:rsidR="00CF663D" w:rsidRDefault="00CF663D" w:rsidP="00A4642C">
            <w:pPr>
              <w:pStyle w:val="Tabletext"/>
              <w:keepNext/>
              <w:jc w:val="right"/>
            </w:pPr>
            <w:r>
              <w:rPr>
                <w:szCs w:val="20"/>
              </w:rPr>
              <w:t>3.3</w:t>
            </w:r>
          </w:p>
        </w:tc>
        <w:tc>
          <w:tcPr>
            <w:tcW w:w="850" w:type="dxa"/>
            <w:tcBorders>
              <w:top w:val="nil"/>
            </w:tcBorders>
            <w:shd w:val="clear" w:color="auto" w:fill="auto"/>
            <w:vAlign w:val="bottom"/>
          </w:tcPr>
          <w:p w14:paraId="0BDB3B02" w14:textId="11F9A24C" w:rsidR="00CF663D" w:rsidRDefault="00CF663D" w:rsidP="00A4642C">
            <w:pPr>
              <w:pStyle w:val="Tabletext"/>
              <w:keepNext/>
              <w:jc w:val="right"/>
            </w:pPr>
            <w:r>
              <w:rPr>
                <w:szCs w:val="20"/>
              </w:rPr>
              <w:t>3.3</w:t>
            </w:r>
          </w:p>
        </w:tc>
        <w:tc>
          <w:tcPr>
            <w:tcW w:w="850" w:type="dxa"/>
            <w:tcBorders>
              <w:top w:val="nil"/>
            </w:tcBorders>
            <w:shd w:val="clear" w:color="auto" w:fill="auto"/>
            <w:vAlign w:val="bottom"/>
          </w:tcPr>
          <w:p w14:paraId="7473683B" w14:textId="4DC08B92" w:rsidR="00CF663D" w:rsidRDefault="00CF663D" w:rsidP="00A4642C">
            <w:pPr>
              <w:pStyle w:val="Tabletext"/>
              <w:keepNext/>
              <w:jc w:val="right"/>
            </w:pPr>
            <w:r>
              <w:rPr>
                <w:szCs w:val="20"/>
              </w:rPr>
              <w:t>7.4</w:t>
            </w:r>
          </w:p>
        </w:tc>
        <w:tc>
          <w:tcPr>
            <w:tcW w:w="850" w:type="dxa"/>
            <w:tcBorders>
              <w:top w:val="nil"/>
            </w:tcBorders>
            <w:shd w:val="clear" w:color="auto" w:fill="auto"/>
            <w:vAlign w:val="bottom"/>
          </w:tcPr>
          <w:p w14:paraId="0A729B98" w14:textId="04B5EF9D" w:rsidR="00CF663D" w:rsidRDefault="00CF663D" w:rsidP="00A4642C">
            <w:pPr>
              <w:pStyle w:val="Tabletext"/>
              <w:keepNext/>
              <w:jc w:val="right"/>
            </w:pPr>
            <w:r>
              <w:rPr>
                <w:szCs w:val="20"/>
              </w:rPr>
              <w:t>1.7</w:t>
            </w:r>
          </w:p>
        </w:tc>
        <w:tc>
          <w:tcPr>
            <w:tcW w:w="850" w:type="dxa"/>
            <w:tcBorders>
              <w:top w:val="nil"/>
            </w:tcBorders>
            <w:shd w:val="clear" w:color="auto" w:fill="auto"/>
            <w:vAlign w:val="bottom"/>
          </w:tcPr>
          <w:p w14:paraId="69C7C8F1" w14:textId="2EC959E6" w:rsidR="00CF663D" w:rsidRDefault="00CF663D" w:rsidP="00A4642C">
            <w:pPr>
              <w:pStyle w:val="Tabletext"/>
              <w:keepNext/>
              <w:jc w:val="right"/>
            </w:pPr>
            <w:r>
              <w:rPr>
                <w:szCs w:val="20"/>
              </w:rPr>
              <w:t>3.3</w:t>
            </w:r>
          </w:p>
        </w:tc>
        <w:tc>
          <w:tcPr>
            <w:tcW w:w="850" w:type="dxa"/>
            <w:tcBorders>
              <w:top w:val="nil"/>
            </w:tcBorders>
            <w:shd w:val="clear" w:color="auto" w:fill="auto"/>
            <w:vAlign w:val="bottom"/>
          </w:tcPr>
          <w:p w14:paraId="3074C4A1" w14:textId="499753F4" w:rsidR="00CF663D" w:rsidRDefault="00CF663D" w:rsidP="00A4642C">
            <w:pPr>
              <w:pStyle w:val="Tabletext"/>
              <w:keepNext/>
              <w:jc w:val="right"/>
            </w:pPr>
            <w:r>
              <w:rPr>
                <w:szCs w:val="20"/>
              </w:rPr>
              <w:t>4.1</w:t>
            </w:r>
          </w:p>
        </w:tc>
        <w:tc>
          <w:tcPr>
            <w:tcW w:w="851" w:type="dxa"/>
            <w:tcBorders>
              <w:top w:val="nil"/>
            </w:tcBorders>
            <w:shd w:val="clear" w:color="auto" w:fill="auto"/>
            <w:vAlign w:val="bottom"/>
          </w:tcPr>
          <w:p w14:paraId="0AA830BB" w14:textId="3C9B87BD" w:rsidR="00CF663D" w:rsidRDefault="00CF663D" w:rsidP="00A4642C">
            <w:pPr>
              <w:pStyle w:val="Tabletext"/>
              <w:keepNext/>
              <w:jc w:val="right"/>
            </w:pPr>
            <w:r>
              <w:rPr>
                <w:szCs w:val="20"/>
              </w:rPr>
              <w:t>3.3</w:t>
            </w:r>
          </w:p>
        </w:tc>
      </w:tr>
      <w:tr w:rsidR="00CF663D" w14:paraId="709778F6" w14:textId="79F37D72" w:rsidTr="00A4642C">
        <w:trPr>
          <w:gridBefore w:val="1"/>
          <w:wBefore w:w="454" w:type="dxa"/>
        </w:trPr>
        <w:tc>
          <w:tcPr>
            <w:tcW w:w="2247" w:type="dxa"/>
            <w:tcBorders>
              <w:top w:val="nil"/>
            </w:tcBorders>
            <w:shd w:val="clear" w:color="auto" w:fill="auto"/>
          </w:tcPr>
          <w:p w14:paraId="5B8E2D54" w14:textId="2E43F1D8" w:rsidR="00CF663D" w:rsidRPr="00F955B7" w:rsidRDefault="00CF663D" w:rsidP="00A4642C">
            <w:pPr>
              <w:pStyle w:val="Tablelistbullet"/>
              <w:numPr>
                <w:ilvl w:val="0"/>
                <w:numId w:val="0"/>
              </w:numPr>
              <w:rPr>
                <w:i/>
                <w:iCs/>
              </w:rPr>
            </w:pPr>
            <w:r>
              <w:rPr>
                <w:i/>
                <w:iCs/>
              </w:rPr>
              <w:t>N</w:t>
            </w:r>
            <w:r w:rsidRPr="00F955B7">
              <w:rPr>
                <w:i/>
                <w:iCs/>
              </w:rPr>
              <w:t>et benefits</w:t>
            </w:r>
          </w:p>
        </w:tc>
        <w:tc>
          <w:tcPr>
            <w:tcW w:w="850" w:type="dxa"/>
            <w:tcBorders>
              <w:top w:val="nil"/>
            </w:tcBorders>
            <w:shd w:val="clear" w:color="auto" w:fill="auto"/>
            <w:vAlign w:val="bottom"/>
          </w:tcPr>
          <w:p w14:paraId="786DC9CD" w14:textId="778F0DBF" w:rsidR="00CF663D" w:rsidRPr="0023756B" w:rsidRDefault="00CF663D" w:rsidP="00A4642C">
            <w:pPr>
              <w:pStyle w:val="Tabletext"/>
              <w:jc w:val="right"/>
              <w:rPr>
                <w:i/>
                <w:iCs/>
              </w:rPr>
            </w:pPr>
            <w:r w:rsidRPr="0023756B">
              <w:rPr>
                <w:i/>
                <w:iCs/>
                <w:szCs w:val="20"/>
              </w:rPr>
              <w:t>16.5</w:t>
            </w:r>
          </w:p>
        </w:tc>
        <w:tc>
          <w:tcPr>
            <w:tcW w:w="850" w:type="dxa"/>
            <w:tcBorders>
              <w:top w:val="nil"/>
            </w:tcBorders>
            <w:shd w:val="clear" w:color="auto" w:fill="auto"/>
            <w:vAlign w:val="bottom"/>
          </w:tcPr>
          <w:p w14:paraId="26E3B8F5" w14:textId="52E0CBF8" w:rsidR="00CF663D" w:rsidRPr="0023756B" w:rsidRDefault="00CF663D" w:rsidP="00A4642C">
            <w:pPr>
              <w:pStyle w:val="Tabletext"/>
              <w:jc w:val="right"/>
              <w:rPr>
                <w:i/>
                <w:iCs/>
              </w:rPr>
            </w:pPr>
            <w:r w:rsidRPr="0023756B">
              <w:rPr>
                <w:i/>
                <w:iCs/>
                <w:szCs w:val="20"/>
              </w:rPr>
              <w:t>2.5</w:t>
            </w:r>
          </w:p>
        </w:tc>
        <w:tc>
          <w:tcPr>
            <w:tcW w:w="850" w:type="dxa"/>
            <w:tcBorders>
              <w:top w:val="nil"/>
            </w:tcBorders>
            <w:shd w:val="clear" w:color="auto" w:fill="auto"/>
            <w:vAlign w:val="bottom"/>
          </w:tcPr>
          <w:p w14:paraId="093B4FAC" w14:textId="65828420" w:rsidR="00CF663D" w:rsidRPr="0023756B" w:rsidRDefault="00CF663D" w:rsidP="00A4642C">
            <w:pPr>
              <w:pStyle w:val="Tabletext"/>
              <w:jc w:val="right"/>
              <w:rPr>
                <w:i/>
                <w:iCs/>
              </w:rPr>
            </w:pPr>
            <w:r w:rsidRPr="0023756B">
              <w:rPr>
                <w:i/>
                <w:iCs/>
                <w:szCs w:val="20"/>
              </w:rPr>
              <w:t>3.3</w:t>
            </w:r>
          </w:p>
        </w:tc>
        <w:tc>
          <w:tcPr>
            <w:tcW w:w="850" w:type="dxa"/>
            <w:tcBorders>
              <w:top w:val="nil"/>
            </w:tcBorders>
            <w:shd w:val="clear" w:color="auto" w:fill="auto"/>
            <w:vAlign w:val="bottom"/>
          </w:tcPr>
          <w:p w14:paraId="436C2398" w14:textId="1BD3464F" w:rsidR="00CF663D" w:rsidRPr="0023756B" w:rsidRDefault="00CF663D" w:rsidP="00A4642C">
            <w:pPr>
              <w:pStyle w:val="Tabletext"/>
              <w:jc w:val="right"/>
              <w:rPr>
                <w:i/>
                <w:iCs/>
              </w:rPr>
            </w:pPr>
            <w:r w:rsidRPr="0023756B">
              <w:rPr>
                <w:i/>
                <w:iCs/>
                <w:szCs w:val="20"/>
              </w:rPr>
              <w:t>3.3</w:t>
            </w:r>
          </w:p>
        </w:tc>
        <w:tc>
          <w:tcPr>
            <w:tcW w:w="850" w:type="dxa"/>
            <w:tcBorders>
              <w:top w:val="nil"/>
            </w:tcBorders>
            <w:shd w:val="clear" w:color="auto" w:fill="auto"/>
            <w:vAlign w:val="bottom"/>
          </w:tcPr>
          <w:p w14:paraId="269E5B35" w14:textId="255184CA" w:rsidR="00CF663D" w:rsidRPr="0023756B" w:rsidRDefault="00CF663D" w:rsidP="00A4642C">
            <w:pPr>
              <w:pStyle w:val="Tabletext"/>
              <w:jc w:val="right"/>
              <w:rPr>
                <w:i/>
                <w:iCs/>
              </w:rPr>
            </w:pPr>
            <w:r w:rsidRPr="0023756B">
              <w:rPr>
                <w:i/>
                <w:iCs/>
                <w:szCs w:val="20"/>
              </w:rPr>
              <w:t>7.4</w:t>
            </w:r>
          </w:p>
        </w:tc>
        <w:tc>
          <w:tcPr>
            <w:tcW w:w="850" w:type="dxa"/>
            <w:tcBorders>
              <w:top w:val="nil"/>
            </w:tcBorders>
            <w:shd w:val="clear" w:color="auto" w:fill="auto"/>
            <w:vAlign w:val="bottom"/>
          </w:tcPr>
          <w:p w14:paraId="241DC3B1" w14:textId="53CC118C" w:rsidR="00CF663D" w:rsidRPr="0023756B" w:rsidRDefault="00CF663D" w:rsidP="00A4642C">
            <w:pPr>
              <w:pStyle w:val="Tabletext"/>
              <w:jc w:val="right"/>
              <w:rPr>
                <w:i/>
                <w:iCs/>
              </w:rPr>
            </w:pPr>
            <w:r w:rsidRPr="0023756B">
              <w:rPr>
                <w:i/>
                <w:iCs/>
                <w:szCs w:val="20"/>
              </w:rPr>
              <w:t>1.7</w:t>
            </w:r>
          </w:p>
        </w:tc>
        <w:tc>
          <w:tcPr>
            <w:tcW w:w="850" w:type="dxa"/>
            <w:tcBorders>
              <w:top w:val="nil"/>
            </w:tcBorders>
            <w:shd w:val="clear" w:color="auto" w:fill="auto"/>
            <w:vAlign w:val="bottom"/>
          </w:tcPr>
          <w:p w14:paraId="24E92310" w14:textId="20A14B54" w:rsidR="00CF663D" w:rsidRPr="0023756B" w:rsidRDefault="00CF663D" w:rsidP="00A4642C">
            <w:pPr>
              <w:pStyle w:val="Tabletext"/>
              <w:jc w:val="right"/>
              <w:rPr>
                <w:i/>
                <w:iCs/>
              </w:rPr>
            </w:pPr>
            <w:r w:rsidRPr="0023756B">
              <w:rPr>
                <w:i/>
                <w:iCs/>
                <w:szCs w:val="20"/>
              </w:rPr>
              <w:t>3.3</w:t>
            </w:r>
          </w:p>
        </w:tc>
        <w:tc>
          <w:tcPr>
            <w:tcW w:w="850" w:type="dxa"/>
            <w:tcBorders>
              <w:top w:val="nil"/>
            </w:tcBorders>
            <w:shd w:val="clear" w:color="auto" w:fill="auto"/>
            <w:vAlign w:val="bottom"/>
          </w:tcPr>
          <w:p w14:paraId="1EF2D469" w14:textId="5E8E4F2C" w:rsidR="00CF663D" w:rsidRPr="0023756B" w:rsidRDefault="00CF663D" w:rsidP="00A4642C">
            <w:pPr>
              <w:pStyle w:val="Tabletext"/>
              <w:jc w:val="right"/>
              <w:rPr>
                <w:i/>
                <w:iCs/>
              </w:rPr>
            </w:pPr>
            <w:r w:rsidRPr="0023756B">
              <w:rPr>
                <w:i/>
                <w:iCs/>
                <w:szCs w:val="20"/>
              </w:rPr>
              <w:t>4.1</w:t>
            </w:r>
          </w:p>
        </w:tc>
        <w:tc>
          <w:tcPr>
            <w:tcW w:w="851" w:type="dxa"/>
            <w:tcBorders>
              <w:top w:val="nil"/>
            </w:tcBorders>
            <w:shd w:val="clear" w:color="auto" w:fill="auto"/>
            <w:vAlign w:val="bottom"/>
          </w:tcPr>
          <w:p w14:paraId="64CB9171" w14:textId="17643289" w:rsidR="00CF663D" w:rsidRPr="0023756B" w:rsidRDefault="00CF663D" w:rsidP="00A4642C">
            <w:pPr>
              <w:pStyle w:val="Tabletext"/>
              <w:jc w:val="right"/>
              <w:rPr>
                <w:i/>
                <w:iCs/>
              </w:rPr>
            </w:pPr>
            <w:r w:rsidRPr="0023756B">
              <w:rPr>
                <w:i/>
                <w:iCs/>
                <w:szCs w:val="20"/>
              </w:rPr>
              <w:t>3.3</w:t>
            </w:r>
          </w:p>
        </w:tc>
      </w:tr>
      <w:tr w:rsidR="00CF663D" w14:paraId="77FD8195" w14:textId="6942D599" w:rsidTr="00A4642C">
        <w:trPr>
          <w:gridBefore w:val="1"/>
          <w:wBefore w:w="454" w:type="dxa"/>
        </w:trPr>
        <w:tc>
          <w:tcPr>
            <w:tcW w:w="2247" w:type="dxa"/>
            <w:tcBorders>
              <w:top w:val="nil"/>
            </w:tcBorders>
            <w:shd w:val="clear" w:color="auto" w:fill="auto"/>
          </w:tcPr>
          <w:p w14:paraId="7E085832" w14:textId="185C7636" w:rsidR="00CF663D" w:rsidRPr="00F955B7" w:rsidRDefault="00CF663D" w:rsidP="00A4642C">
            <w:pPr>
              <w:pStyle w:val="Tablelistbullet"/>
              <w:numPr>
                <w:ilvl w:val="0"/>
                <w:numId w:val="0"/>
              </w:numPr>
              <w:ind w:left="280" w:hanging="280"/>
              <w:rPr>
                <w:i/>
                <w:iCs/>
              </w:rPr>
            </w:pPr>
            <w:r>
              <w:rPr>
                <w:i/>
                <w:iCs/>
              </w:rPr>
              <w:t>NPV (</w:t>
            </w:r>
            <w:r w:rsidRPr="009F0927">
              <w:rPr>
                <w:i/>
                <w:iCs/>
              </w:rPr>
              <w:t xml:space="preserve">7% </w:t>
            </w:r>
            <w:r>
              <w:rPr>
                <w:i/>
                <w:iCs/>
              </w:rPr>
              <w:t>discount rate)</w:t>
            </w:r>
          </w:p>
        </w:tc>
        <w:tc>
          <w:tcPr>
            <w:tcW w:w="850" w:type="dxa"/>
            <w:tcBorders>
              <w:top w:val="nil"/>
            </w:tcBorders>
            <w:shd w:val="clear" w:color="auto" w:fill="auto"/>
            <w:vAlign w:val="bottom"/>
          </w:tcPr>
          <w:p w14:paraId="212C667C" w14:textId="76684486" w:rsidR="00CF663D" w:rsidRPr="0023756B" w:rsidRDefault="00CF663D" w:rsidP="00A4642C">
            <w:pPr>
              <w:pStyle w:val="Tabletext"/>
              <w:jc w:val="right"/>
              <w:rPr>
                <w:i/>
                <w:iCs/>
              </w:rPr>
            </w:pPr>
            <w:r w:rsidRPr="0023756B">
              <w:rPr>
                <w:i/>
                <w:iCs/>
                <w:szCs w:val="20"/>
              </w:rPr>
              <w:t>12.3</w:t>
            </w:r>
          </w:p>
        </w:tc>
        <w:tc>
          <w:tcPr>
            <w:tcW w:w="850" w:type="dxa"/>
            <w:tcBorders>
              <w:top w:val="nil"/>
            </w:tcBorders>
            <w:shd w:val="clear" w:color="auto" w:fill="auto"/>
            <w:vAlign w:val="bottom"/>
          </w:tcPr>
          <w:p w14:paraId="3F646150" w14:textId="0D089A2E" w:rsidR="00CF663D" w:rsidRPr="0023756B" w:rsidRDefault="00CF663D" w:rsidP="00A4642C">
            <w:pPr>
              <w:pStyle w:val="Tabletext"/>
              <w:jc w:val="right"/>
              <w:rPr>
                <w:i/>
                <w:iCs/>
              </w:rPr>
            </w:pPr>
            <w:r w:rsidRPr="0023756B">
              <w:rPr>
                <w:i/>
                <w:iCs/>
                <w:szCs w:val="20"/>
              </w:rPr>
              <w:t>1.8</w:t>
            </w:r>
          </w:p>
        </w:tc>
        <w:tc>
          <w:tcPr>
            <w:tcW w:w="850" w:type="dxa"/>
            <w:tcBorders>
              <w:top w:val="nil"/>
            </w:tcBorders>
            <w:shd w:val="clear" w:color="auto" w:fill="auto"/>
            <w:vAlign w:val="bottom"/>
          </w:tcPr>
          <w:p w14:paraId="08F611BB" w14:textId="55CD7E41" w:rsidR="00CF663D" w:rsidRPr="0023756B" w:rsidRDefault="00CF663D" w:rsidP="00A4642C">
            <w:pPr>
              <w:pStyle w:val="Tabletext"/>
              <w:jc w:val="right"/>
              <w:rPr>
                <w:i/>
                <w:iCs/>
              </w:rPr>
            </w:pPr>
            <w:r w:rsidRPr="0023756B">
              <w:rPr>
                <w:i/>
                <w:iCs/>
                <w:szCs w:val="20"/>
              </w:rPr>
              <w:t>2.5</w:t>
            </w:r>
          </w:p>
        </w:tc>
        <w:tc>
          <w:tcPr>
            <w:tcW w:w="850" w:type="dxa"/>
            <w:tcBorders>
              <w:top w:val="nil"/>
            </w:tcBorders>
            <w:shd w:val="clear" w:color="auto" w:fill="auto"/>
            <w:vAlign w:val="bottom"/>
          </w:tcPr>
          <w:p w14:paraId="6312FA57" w14:textId="64CD0948" w:rsidR="00CF663D" w:rsidRPr="0023756B" w:rsidRDefault="00CF663D" w:rsidP="00A4642C">
            <w:pPr>
              <w:pStyle w:val="Tabletext"/>
              <w:jc w:val="right"/>
              <w:rPr>
                <w:i/>
                <w:iCs/>
              </w:rPr>
            </w:pPr>
            <w:r w:rsidRPr="0023756B">
              <w:rPr>
                <w:i/>
                <w:iCs/>
                <w:szCs w:val="20"/>
              </w:rPr>
              <w:t>2.5</w:t>
            </w:r>
          </w:p>
        </w:tc>
        <w:tc>
          <w:tcPr>
            <w:tcW w:w="850" w:type="dxa"/>
            <w:tcBorders>
              <w:top w:val="nil"/>
            </w:tcBorders>
            <w:shd w:val="clear" w:color="auto" w:fill="auto"/>
            <w:vAlign w:val="bottom"/>
          </w:tcPr>
          <w:p w14:paraId="6A1AB96A" w14:textId="3505FD7C" w:rsidR="00CF663D" w:rsidRPr="0023756B" w:rsidRDefault="00CF663D" w:rsidP="00A4642C">
            <w:pPr>
              <w:pStyle w:val="Tabletext"/>
              <w:jc w:val="right"/>
              <w:rPr>
                <w:i/>
                <w:iCs/>
              </w:rPr>
            </w:pPr>
            <w:r w:rsidRPr="0023756B">
              <w:rPr>
                <w:i/>
                <w:iCs/>
                <w:szCs w:val="20"/>
              </w:rPr>
              <w:t>5.5</w:t>
            </w:r>
          </w:p>
        </w:tc>
        <w:tc>
          <w:tcPr>
            <w:tcW w:w="850" w:type="dxa"/>
            <w:tcBorders>
              <w:top w:val="nil"/>
            </w:tcBorders>
            <w:shd w:val="clear" w:color="auto" w:fill="auto"/>
            <w:vAlign w:val="bottom"/>
          </w:tcPr>
          <w:p w14:paraId="1E48013C" w14:textId="6F1A2044" w:rsidR="00CF663D" w:rsidRPr="0023756B" w:rsidRDefault="00CF663D" w:rsidP="00A4642C">
            <w:pPr>
              <w:pStyle w:val="Tabletext"/>
              <w:jc w:val="right"/>
              <w:rPr>
                <w:i/>
                <w:iCs/>
              </w:rPr>
            </w:pPr>
            <w:r w:rsidRPr="0023756B">
              <w:rPr>
                <w:i/>
                <w:iCs/>
                <w:szCs w:val="20"/>
              </w:rPr>
              <w:t>1.2</w:t>
            </w:r>
          </w:p>
        </w:tc>
        <w:tc>
          <w:tcPr>
            <w:tcW w:w="850" w:type="dxa"/>
            <w:tcBorders>
              <w:top w:val="nil"/>
            </w:tcBorders>
            <w:shd w:val="clear" w:color="auto" w:fill="auto"/>
            <w:vAlign w:val="bottom"/>
          </w:tcPr>
          <w:p w14:paraId="4B641996" w14:textId="4652A34F" w:rsidR="00CF663D" w:rsidRPr="0023756B" w:rsidRDefault="00CF663D" w:rsidP="00A4642C">
            <w:pPr>
              <w:pStyle w:val="Tabletext"/>
              <w:jc w:val="right"/>
              <w:rPr>
                <w:i/>
                <w:iCs/>
              </w:rPr>
            </w:pPr>
            <w:r w:rsidRPr="0023756B">
              <w:rPr>
                <w:i/>
                <w:iCs/>
                <w:szCs w:val="20"/>
              </w:rPr>
              <w:t>2.5</w:t>
            </w:r>
          </w:p>
        </w:tc>
        <w:tc>
          <w:tcPr>
            <w:tcW w:w="850" w:type="dxa"/>
            <w:tcBorders>
              <w:top w:val="nil"/>
            </w:tcBorders>
            <w:shd w:val="clear" w:color="auto" w:fill="auto"/>
            <w:vAlign w:val="bottom"/>
          </w:tcPr>
          <w:p w14:paraId="5A367192" w14:textId="7597721A" w:rsidR="00CF663D" w:rsidRPr="0023756B" w:rsidRDefault="00CF663D" w:rsidP="00A4642C">
            <w:pPr>
              <w:pStyle w:val="Tabletext"/>
              <w:jc w:val="right"/>
              <w:rPr>
                <w:i/>
                <w:iCs/>
              </w:rPr>
            </w:pPr>
            <w:r w:rsidRPr="0023756B">
              <w:rPr>
                <w:i/>
                <w:iCs/>
                <w:szCs w:val="20"/>
              </w:rPr>
              <w:t>3.1</w:t>
            </w:r>
          </w:p>
        </w:tc>
        <w:tc>
          <w:tcPr>
            <w:tcW w:w="851" w:type="dxa"/>
            <w:tcBorders>
              <w:top w:val="nil"/>
            </w:tcBorders>
            <w:shd w:val="clear" w:color="auto" w:fill="auto"/>
            <w:vAlign w:val="bottom"/>
          </w:tcPr>
          <w:p w14:paraId="75AFE552" w14:textId="205147F9" w:rsidR="00CF663D" w:rsidRPr="0023756B" w:rsidRDefault="00CF663D" w:rsidP="00A4642C">
            <w:pPr>
              <w:pStyle w:val="Tabletext"/>
              <w:jc w:val="right"/>
              <w:rPr>
                <w:i/>
                <w:iCs/>
              </w:rPr>
            </w:pPr>
            <w:r w:rsidRPr="0023756B">
              <w:rPr>
                <w:i/>
                <w:iCs/>
                <w:szCs w:val="20"/>
              </w:rPr>
              <w:t>2.5</w:t>
            </w:r>
          </w:p>
        </w:tc>
      </w:tr>
      <w:tr w:rsidR="00CF663D" w14:paraId="3F63AD77" w14:textId="78C1240C" w:rsidTr="00A4642C">
        <w:trPr>
          <w:gridBefore w:val="1"/>
          <w:wBefore w:w="454" w:type="dxa"/>
        </w:trPr>
        <w:tc>
          <w:tcPr>
            <w:tcW w:w="2247" w:type="dxa"/>
            <w:tcBorders>
              <w:top w:val="nil"/>
            </w:tcBorders>
            <w:shd w:val="clear" w:color="auto" w:fill="D5EBDA" w:themeFill="accent6" w:themeFillTint="33"/>
          </w:tcPr>
          <w:p w14:paraId="536128A4" w14:textId="7C6C48A8" w:rsidR="00CF663D" w:rsidRPr="008B7DA8" w:rsidRDefault="00CF663D" w:rsidP="00A4642C">
            <w:pPr>
              <w:pStyle w:val="Tabletext"/>
              <w:rPr>
                <w:b/>
                <w:bCs/>
              </w:rPr>
            </w:pPr>
            <w:r>
              <w:rPr>
                <w:b/>
                <w:bCs/>
              </w:rPr>
              <w:t>Shipowners</w:t>
            </w:r>
            <w:r w:rsidRPr="008B7DA8">
              <w:rPr>
                <w:b/>
                <w:bCs/>
              </w:rPr>
              <w:t xml:space="preserve"> </w:t>
            </w:r>
            <w:r>
              <w:rPr>
                <w:b/>
                <w:bCs/>
              </w:rPr>
              <w:t>(directly)</w:t>
            </w:r>
          </w:p>
        </w:tc>
        <w:tc>
          <w:tcPr>
            <w:tcW w:w="850" w:type="dxa"/>
            <w:tcBorders>
              <w:top w:val="nil"/>
            </w:tcBorders>
            <w:shd w:val="clear" w:color="auto" w:fill="D5EBDA" w:themeFill="accent6" w:themeFillTint="33"/>
          </w:tcPr>
          <w:p w14:paraId="5160EAA0" w14:textId="612C4EF0" w:rsidR="00CF663D" w:rsidRPr="00006FC6" w:rsidRDefault="00CF663D" w:rsidP="00A4642C">
            <w:pPr>
              <w:pStyle w:val="Tabletext"/>
              <w:jc w:val="right"/>
            </w:pPr>
          </w:p>
        </w:tc>
        <w:tc>
          <w:tcPr>
            <w:tcW w:w="850" w:type="dxa"/>
            <w:tcBorders>
              <w:top w:val="nil"/>
            </w:tcBorders>
            <w:shd w:val="clear" w:color="auto" w:fill="D5EBDA" w:themeFill="accent6" w:themeFillTint="33"/>
          </w:tcPr>
          <w:p w14:paraId="0E15EE2B" w14:textId="7BDD3B67" w:rsidR="00CF663D" w:rsidRPr="00006FC6" w:rsidRDefault="00CF663D" w:rsidP="00A4642C">
            <w:pPr>
              <w:pStyle w:val="Tabletext"/>
              <w:jc w:val="right"/>
            </w:pPr>
          </w:p>
        </w:tc>
        <w:tc>
          <w:tcPr>
            <w:tcW w:w="850" w:type="dxa"/>
            <w:tcBorders>
              <w:top w:val="nil"/>
            </w:tcBorders>
            <w:shd w:val="clear" w:color="auto" w:fill="D5EBDA" w:themeFill="accent6" w:themeFillTint="33"/>
          </w:tcPr>
          <w:p w14:paraId="7A5EACA0" w14:textId="713CE609" w:rsidR="00CF663D" w:rsidRPr="00006FC6" w:rsidRDefault="00CF663D" w:rsidP="00A4642C">
            <w:pPr>
              <w:pStyle w:val="Tabletext"/>
              <w:jc w:val="right"/>
            </w:pPr>
          </w:p>
        </w:tc>
        <w:tc>
          <w:tcPr>
            <w:tcW w:w="850" w:type="dxa"/>
            <w:tcBorders>
              <w:top w:val="nil"/>
            </w:tcBorders>
            <w:shd w:val="clear" w:color="auto" w:fill="D5EBDA" w:themeFill="accent6" w:themeFillTint="33"/>
          </w:tcPr>
          <w:p w14:paraId="1D11817E" w14:textId="4851DEC8" w:rsidR="00CF663D" w:rsidRPr="00006FC6" w:rsidRDefault="00CF663D" w:rsidP="00A4642C">
            <w:pPr>
              <w:pStyle w:val="Tabletext"/>
              <w:jc w:val="right"/>
            </w:pPr>
          </w:p>
        </w:tc>
        <w:tc>
          <w:tcPr>
            <w:tcW w:w="850" w:type="dxa"/>
            <w:tcBorders>
              <w:top w:val="nil"/>
            </w:tcBorders>
            <w:shd w:val="clear" w:color="auto" w:fill="D5EBDA" w:themeFill="accent6" w:themeFillTint="33"/>
          </w:tcPr>
          <w:p w14:paraId="43A192EB" w14:textId="07DC6DB6" w:rsidR="00CF663D" w:rsidRPr="00006FC6" w:rsidRDefault="00CF663D" w:rsidP="00A4642C">
            <w:pPr>
              <w:pStyle w:val="Tabletext"/>
              <w:jc w:val="right"/>
            </w:pPr>
          </w:p>
        </w:tc>
        <w:tc>
          <w:tcPr>
            <w:tcW w:w="850" w:type="dxa"/>
            <w:tcBorders>
              <w:top w:val="nil"/>
            </w:tcBorders>
            <w:shd w:val="clear" w:color="auto" w:fill="D5EBDA" w:themeFill="accent6" w:themeFillTint="33"/>
          </w:tcPr>
          <w:p w14:paraId="288E1A8A" w14:textId="2E69846F" w:rsidR="00CF663D" w:rsidRPr="00006FC6" w:rsidRDefault="00CF663D" w:rsidP="00A4642C">
            <w:pPr>
              <w:pStyle w:val="Tabletext"/>
              <w:jc w:val="right"/>
            </w:pPr>
          </w:p>
        </w:tc>
        <w:tc>
          <w:tcPr>
            <w:tcW w:w="850" w:type="dxa"/>
            <w:tcBorders>
              <w:top w:val="nil"/>
            </w:tcBorders>
            <w:shd w:val="clear" w:color="auto" w:fill="D5EBDA" w:themeFill="accent6" w:themeFillTint="33"/>
          </w:tcPr>
          <w:p w14:paraId="6E9CD973" w14:textId="210A5B56" w:rsidR="00CF663D" w:rsidRPr="00006FC6" w:rsidRDefault="00CF663D" w:rsidP="00A4642C">
            <w:pPr>
              <w:pStyle w:val="Tabletext"/>
              <w:jc w:val="right"/>
            </w:pPr>
          </w:p>
        </w:tc>
        <w:tc>
          <w:tcPr>
            <w:tcW w:w="850" w:type="dxa"/>
            <w:tcBorders>
              <w:top w:val="nil"/>
            </w:tcBorders>
            <w:shd w:val="clear" w:color="auto" w:fill="D5EBDA" w:themeFill="accent6" w:themeFillTint="33"/>
          </w:tcPr>
          <w:p w14:paraId="124F0F42" w14:textId="255EB0E2" w:rsidR="00CF663D" w:rsidRPr="00006FC6" w:rsidRDefault="00CF663D" w:rsidP="00A4642C">
            <w:pPr>
              <w:pStyle w:val="Tabletext"/>
              <w:jc w:val="right"/>
            </w:pPr>
          </w:p>
        </w:tc>
        <w:tc>
          <w:tcPr>
            <w:tcW w:w="851" w:type="dxa"/>
            <w:tcBorders>
              <w:top w:val="nil"/>
            </w:tcBorders>
            <w:shd w:val="clear" w:color="auto" w:fill="D5EBDA" w:themeFill="accent6" w:themeFillTint="33"/>
          </w:tcPr>
          <w:p w14:paraId="7E0921D4" w14:textId="3CB4A23F" w:rsidR="00CF663D" w:rsidRPr="00006FC6" w:rsidRDefault="00CF663D" w:rsidP="00A4642C">
            <w:pPr>
              <w:pStyle w:val="Tabletext"/>
              <w:jc w:val="right"/>
            </w:pPr>
          </w:p>
        </w:tc>
      </w:tr>
      <w:tr w:rsidR="00CF663D" w14:paraId="2F54DF91" w14:textId="717FEA1C" w:rsidTr="00A4642C">
        <w:trPr>
          <w:gridBefore w:val="1"/>
          <w:wBefore w:w="454" w:type="dxa"/>
        </w:trPr>
        <w:tc>
          <w:tcPr>
            <w:tcW w:w="2247" w:type="dxa"/>
            <w:tcBorders>
              <w:top w:val="nil"/>
            </w:tcBorders>
            <w:shd w:val="clear" w:color="auto" w:fill="auto"/>
          </w:tcPr>
          <w:p w14:paraId="6E0273FC" w14:textId="02A8F820" w:rsidR="00CF663D" w:rsidRDefault="00CF663D" w:rsidP="00A4642C">
            <w:pPr>
              <w:pStyle w:val="Tablelistbullet"/>
            </w:pPr>
            <w:r>
              <w:t>compliance</w:t>
            </w:r>
            <w:r w:rsidRPr="00006FC6">
              <w:t xml:space="preserve"> costs</w:t>
            </w:r>
            <w:r>
              <w:t xml:space="preserve"> (from Section 4.2)</w:t>
            </w:r>
          </w:p>
        </w:tc>
        <w:tc>
          <w:tcPr>
            <w:tcW w:w="850" w:type="dxa"/>
            <w:tcBorders>
              <w:top w:val="nil"/>
            </w:tcBorders>
            <w:shd w:val="clear" w:color="auto" w:fill="auto"/>
            <w:vAlign w:val="bottom"/>
          </w:tcPr>
          <w:p w14:paraId="6F288EDE" w14:textId="614F4105" w:rsidR="00CF663D" w:rsidRPr="0023756B" w:rsidRDefault="00CF663D" w:rsidP="007379DC">
            <w:pPr>
              <w:pStyle w:val="Tabletext"/>
              <w:jc w:val="right"/>
              <w:rPr>
                <w:color w:val="FF0000"/>
              </w:rPr>
            </w:pPr>
            <w:r>
              <w:rPr>
                <w:color w:val="FF0000"/>
                <w:szCs w:val="20"/>
              </w:rPr>
              <w:t>–</w:t>
            </w:r>
            <w:r w:rsidR="007379DC">
              <w:rPr>
                <w:color w:val="FF0000"/>
                <w:szCs w:val="20"/>
              </w:rPr>
              <w:t>3</w:t>
            </w:r>
            <w:r w:rsidRPr="0023756B">
              <w:rPr>
                <w:color w:val="FF0000"/>
                <w:szCs w:val="20"/>
              </w:rPr>
              <w:t>.0</w:t>
            </w:r>
          </w:p>
        </w:tc>
        <w:tc>
          <w:tcPr>
            <w:tcW w:w="850" w:type="dxa"/>
            <w:tcBorders>
              <w:top w:val="nil"/>
            </w:tcBorders>
            <w:shd w:val="clear" w:color="auto" w:fill="auto"/>
            <w:vAlign w:val="bottom"/>
          </w:tcPr>
          <w:p w14:paraId="01FDD277" w14:textId="2E1EC450" w:rsidR="00CF663D" w:rsidRPr="0023756B" w:rsidRDefault="00CF663D" w:rsidP="007379DC">
            <w:pPr>
              <w:pStyle w:val="Tabletext"/>
              <w:jc w:val="right"/>
              <w:rPr>
                <w:color w:val="FF0000"/>
              </w:rPr>
            </w:pPr>
            <w:r>
              <w:rPr>
                <w:color w:val="FF0000"/>
                <w:szCs w:val="20"/>
              </w:rPr>
              <w:t>–</w:t>
            </w:r>
            <w:r w:rsidR="007379DC">
              <w:rPr>
                <w:color w:val="FF0000"/>
                <w:szCs w:val="20"/>
              </w:rPr>
              <w:t>–3</w:t>
            </w:r>
            <w:r w:rsidR="007379DC" w:rsidRPr="0023756B">
              <w:rPr>
                <w:color w:val="FF0000"/>
                <w:szCs w:val="20"/>
              </w:rPr>
              <w:t>.0</w:t>
            </w:r>
          </w:p>
        </w:tc>
        <w:tc>
          <w:tcPr>
            <w:tcW w:w="850" w:type="dxa"/>
            <w:tcBorders>
              <w:top w:val="nil"/>
            </w:tcBorders>
            <w:shd w:val="clear" w:color="auto" w:fill="auto"/>
            <w:vAlign w:val="bottom"/>
          </w:tcPr>
          <w:p w14:paraId="017FBD6E" w14:textId="3260FA3B"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0" w:type="dxa"/>
            <w:tcBorders>
              <w:top w:val="nil"/>
            </w:tcBorders>
            <w:shd w:val="clear" w:color="auto" w:fill="auto"/>
            <w:vAlign w:val="bottom"/>
          </w:tcPr>
          <w:p w14:paraId="1C92E029" w14:textId="6A0CC138"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0" w:type="dxa"/>
            <w:tcBorders>
              <w:top w:val="nil"/>
            </w:tcBorders>
            <w:shd w:val="clear" w:color="auto" w:fill="auto"/>
            <w:vAlign w:val="bottom"/>
          </w:tcPr>
          <w:p w14:paraId="49AE3C09" w14:textId="6E157310"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0" w:type="dxa"/>
            <w:tcBorders>
              <w:top w:val="nil"/>
            </w:tcBorders>
            <w:shd w:val="clear" w:color="auto" w:fill="auto"/>
            <w:vAlign w:val="bottom"/>
          </w:tcPr>
          <w:p w14:paraId="3C420657" w14:textId="51B359E1"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0" w:type="dxa"/>
            <w:tcBorders>
              <w:top w:val="nil"/>
            </w:tcBorders>
            <w:shd w:val="clear" w:color="auto" w:fill="auto"/>
            <w:vAlign w:val="bottom"/>
          </w:tcPr>
          <w:p w14:paraId="4BFA0A53" w14:textId="06C081E9"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0" w:type="dxa"/>
            <w:tcBorders>
              <w:top w:val="nil"/>
            </w:tcBorders>
            <w:shd w:val="clear" w:color="auto" w:fill="auto"/>
            <w:vAlign w:val="bottom"/>
          </w:tcPr>
          <w:p w14:paraId="526B005F" w14:textId="3C9B654B" w:rsidR="00CF663D" w:rsidRPr="0023756B" w:rsidRDefault="007379DC" w:rsidP="00A4642C">
            <w:pPr>
              <w:pStyle w:val="Tabletext"/>
              <w:jc w:val="right"/>
              <w:rPr>
                <w:color w:val="FF0000"/>
              </w:rPr>
            </w:pPr>
            <w:r>
              <w:rPr>
                <w:color w:val="FF0000"/>
                <w:szCs w:val="20"/>
              </w:rPr>
              <w:t>–3</w:t>
            </w:r>
            <w:r w:rsidRPr="0023756B">
              <w:rPr>
                <w:color w:val="FF0000"/>
                <w:szCs w:val="20"/>
              </w:rPr>
              <w:t>.0</w:t>
            </w:r>
          </w:p>
        </w:tc>
        <w:tc>
          <w:tcPr>
            <w:tcW w:w="851" w:type="dxa"/>
            <w:tcBorders>
              <w:top w:val="nil"/>
            </w:tcBorders>
            <w:shd w:val="clear" w:color="auto" w:fill="auto"/>
            <w:vAlign w:val="bottom"/>
          </w:tcPr>
          <w:p w14:paraId="6DFA1DC4" w14:textId="291958CF" w:rsidR="00CF663D" w:rsidRPr="0023756B" w:rsidRDefault="007379DC" w:rsidP="00A4642C">
            <w:pPr>
              <w:pStyle w:val="Tabletext"/>
              <w:jc w:val="right"/>
              <w:rPr>
                <w:color w:val="FF0000"/>
              </w:rPr>
            </w:pPr>
            <w:r>
              <w:rPr>
                <w:color w:val="FF0000"/>
                <w:szCs w:val="20"/>
              </w:rPr>
              <w:t>–3</w:t>
            </w:r>
            <w:r w:rsidRPr="0023756B">
              <w:rPr>
                <w:color w:val="FF0000"/>
                <w:szCs w:val="20"/>
              </w:rPr>
              <w:t>.0</w:t>
            </w:r>
          </w:p>
        </w:tc>
      </w:tr>
      <w:tr w:rsidR="00CF663D" w14:paraId="3051D077" w14:textId="40B6A021" w:rsidTr="00A4642C">
        <w:trPr>
          <w:gridBefore w:val="1"/>
          <w:wBefore w:w="454" w:type="dxa"/>
        </w:trPr>
        <w:tc>
          <w:tcPr>
            <w:tcW w:w="2247" w:type="dxa"/>
            <w:tcBorders>
              <w:top w:val="nil"/>
            </w:tcBorders>
            <w:shd w:val="clear" w:color="auto" w:fill="auto"/>
          </w:tcPr>
          <w:p w14:paraId="66117EC9" w14:textId="1ECC51A9" w:rsidR="00CF663D" w:rsidRDefault="00CF663D" w:rsidP="00A4642C">
            <w:pPr>
              <w:pStyle w:val="Tablelistbullet"/>
            </w:pPr>
            <w:r w:rsidRPr="00006FC6">
              <w:t>financial security benefits</w:t>
            </w:r>
          </w:p>
        </w:tc>
        <w:tc>
          <w:tcPr>
            <w:tcW w:w="850" w:type="dxa"/>
            <w:tcBorders>
              <w:top w:val="nil"/>
            </w:tcBorders>
            <w:shd w:val="clear" w:color="auto" w:fill="auto"/>
            <w:vAlign w:val="bottom"/>
          </w:tcPr>
          <w:p w14:paraId="4839DF4D" w14:textId="38EF37E1" w:rsidR="00CF663D" w:rsidRPr="0023756B" w:rsidRDefault="00CF663D" w:rsidP="007379DC">
            <w:pPr>
              <w:pStyle w:val="Tabletext"/>
              <w:jc w:val="right"/>
            </w:pPr>
            <w:r w:rsidRPr="0023756B">
              <w:rPr>
                <w:szCs w:val="20"/>
              </w:rPr>
              <w:t>1</w:t>
            </w:r>
            <w:r w:rsidR="007379DC">
              <w:rPr>
                <w:szCs w:val="20"/>
              </w:rPr>
              <w:t>8</w:t>
            </w:r>
            <w:r w:rsidRPr="0023756B">
              <w:rPr>
                <w:szCs w:val="20"/>
              </w:rPr>
              <w:t>.0</w:t>
            </w:r>
          </w:p>
        </w:tc>
        <w:tc>
          <w:tcPr>
            <w:tcW w:w="850" w:type="dxa"/>
            <w:tcBorders>
              <w:top w:val="nil"/>
            </w:tcBorders>
            <w:shd w:val="clear" w:color="auto" w:fill="auto"/>
            <w:vAlign w:val="bottom"/>
          </w:tcPr>
          <w:p w14:paraId="6F387798" w14:textId="1D661CED" w:rsidR="00CF663D" w:rsidRPr="0023756B" w:rsidRDefault="00CF663D" w:rsidP="007379DC">
            <w:pPr>
              <w:pStyle w:val="Tabletext"/>
              <w:jc w:val="right"/>
            </w:pPr>
            <w:r w:rsidRPr="0023756B">
              <w:rPr>
                <w:szCs w:val="20"/>
              </w:rPr>
              <w:t>2.</w:t>
            </w:r>
            <w:r w:rsidR="007379DC">
              <w:rPr>
                <w:szCs w:val="20"/>
              </w:rPr>
              <w:t>7</w:t>
            </w:r>
          </w:p>
        </w:tc>
        <w:tc>
          <w:tcPr>
            <w:tcW w:w="850" w:type="dxa"/>
            <w:tcBorders>
              <w:top w:val="nil"/>
            </w:tcBorders>
            <w:shd w:val="clear" w:color="auto" w:fill="auto"/>
            <w:vAlign w:val="bottom"/>
          </w:tcPr>
          <w:p w14:paraId="6450EE43" w14:textId="245DED95" w:rsidR="00CF663D" w:rsidRPr="0023756B" w:rsidRDefault="00CF663D" w:rsidP="007379DC">
            <w:pPr>
              <w:pStyle w:val="Tabletext"/>
              <w:jc w:val="right"/>
            </w:pPr>
            <w:r w:rsidRPr="0023756B">
              <w:rPr>
                <w:szCs w:val="20"/>
              </w:rPr>
              <w:t>3.</w:t>
            </w:r>
            <w:r w:rsidR="007379DC">
              <w:rPr>
                <w:szCs w:val="20"/>
              </w:rPr>
              <w:t>6</w:t>
            </w:r>
          </w:p>
        </w:tc>
        <w:tc>
          <w:tcPr>
            <w:tcW w:w="850" w:type="dxa"/>
            <w:tcBorders>
              <w:top w:val="nil"/>
            </w:tcBorders>
            <w:shd w:val="clear" w:color="auto" w:fill="auto"/>
            <w:vAlign w:val="bottom"/>
          </w:tcPr>
          <w:p w14:paraId="0FD17DD9" w14:textId="623D4CCC" w:rsidR="00CF663D" w:rsidRPr="0023756B" w:rsidRDefault="00CF663D" w:rsidP="007379DC">
            <w:pPr>
              <w:pStyle w:val="Tabletext"/>
              <w:jc w:val="right"/>
            </w:pPr>
            <w:r w:rsidRPr="0023756B">
              <w:rPr>
                <w:szCs w:val="20"/>
              </w:rPr>
              <w:t>3.</w:t>
            </w:r>
            <w:r w:rsidR="007379DC">
              <w:rPr>
                <w:szCs w:val="20"/>
              </w:rPr>
              <w:t>6</w:t>
            </w:r>
          </w:p>
        </w:tc>
        <w:tc>
          <w:tcPr>
            <w:tcW w:w="850" w:type="dxa"/>
            <w:tcBorders>
              <w:top w:val="nil"/>
            </w:tcBorders>
            <w:shd w:val="clear" w:color="auto" w:fill="auto"/>
            <w:vAlign w:val="bottom"/>
          </w:tcPr>
          <w:p w14:paraId="72D5AAD2" w14:textId="5D26761F" w:rsidR="00CF663D" w:rsidRPr="0023756B" w:rsidRDefault="007379DC" w:rsidP="007379DC">
            <w:pPr>
              <w:pStyle w:val="Tabletext"/>
              <w:jc w:val="right"/>
            </w:pPr>
            <w:r>
              <w:rPr>
                <w:szCs w:val="20"/>
              </w:rPr>
              <w:t>8.1</w:t>
            </w:r>
          </w:p>
        </w:tc>
        <w:tc>
          <w:tcPr>
            <w:tcW w:w="850" w:type="dxa"/>
            <w:tcBorders>
              <w:top w:val="nil"/>
            </w:tcBorders>
            <w:shd w:val="clear" w:color="auto" w:fill="auto"/>
            <w:vAlign w:val="bottom"/>
          </w:tcPr>
          <w:p w14:paraId="0A0734F3" w14:textId="69065008" w:rsidR="00CF663D" w:rsidRPr="0023756B" w:rsidRDefault="00CF663D" w:rsidP="007379DC">
            <w:pPr>
              <w:pStyle w:val="Tabletext"/>
              <w:jc w:val="right"/>
            </w:pPr>
            <w:r w:rsidRPr="0023756B">
              <w:rPr>
                <w:szCs w:val="20"/>
              </w:rPr>
              <w:t>1.</w:t>
            </w:r>
            <w:r w:rsidR="007379DC">
              <w:rPr>
                <w:szCs w:val="20"/>
              </w:rPr>
              <w:t>8</w:t>
            </w:r>
          </w:p>
        </w:tc>
        <w:tc>
          <w:tcPr>
            <w:tcW w:w="850" w:type="dxa"/>
            <w:tcBorders>
              <w:top w:val="nil"/>
            </w:tcBorders>
            <w:shd w:val="clear" w:color="auto" w:fill="auto"/>
            <w:vAlign w:val="bottom"/>
          </w:tcPr>
          <w:p w14:paraId="51870F17" w14:textId="3973F023" w:rsidR="00CF663D" w:rsidRPr="0023756B" w:rsidRDefault="00CF663D" w:rsidP="007379DC">
            <w:pPr>
              <w:pStyle w:val="Tabletext"/>
              <w:jc w:val="right"/>
            </w:pPr>
            <w:r w:rsidRPr="0023756B">
              <w:rPr>
                <w:szCs w:val="20"/>
              </w:rPr>
              <w:t>3.</w:t>
            </w:r>
            <w:r w:rsidR="007379DC">
              <w:rPr>
                <w:szCs w:val="20"/>
              </w:rPr>
              <w:t>6</w:t>
            </w:r>
          </w:p>
        </w:tc>
        <w:tc>
          <w:tcPr>
            <w:tcW w:w="850" w:type="dxa"/>
            <w:tcBorders>
              <w:top w:val="nil"/>
            </w:tcBorders>
            <w:shd w:val="clear" w:color="auto" w:fill="auto"/>
            <w:vAlign w:val="bottom"/>
          </w:tcPr>
          <w:p w14:paraId="455AC3C4" w14:textId="0CF90FC4" w:rsidR="00CF663D" w:rsidRPr="0023756B" w:rsidRDefault="007379DC" w:rsidP="007379DC">
            <w:pPr>
              <w:pStyle w:val="Tabletext"/>
              <w:jc w:val="right"/>
            </w:pPr>
            <w:r>
              <w:rPr>
                <w:szCs w:val="20"/>
              </w:rPr>
              <w:t>4.5</w:t>
            </w:r>
          </w:p>
        </w:tc>
        <w:tc>
          <w:tcPr>
            <w:tcW w:w="851" w:type="dxa"/>
            <w:tcBorders>
              <w:top w:val="nil"/>
            </w:tcBorders>
            <w:shd w:val="clear" w:color="auto" w:fill="auto"/>
            <w:vAlign w:val="bottom"/>
          </w:tcPr>
          <w:p w14:paraId="46150AF2" w14:textId="3B483D8E" w:rsidR="00CF663D" w:rsidRPr="0023756B" w:rsidRDefault="00CF663D" w:rsidP="007379DC">
            <w:pPr>
              <w:pStyle w:val="Tabletext"/>
              <w:jc w:val="right"/>
            </w:pPr>
            <w:r w:rsidRPr="0023756B">
              <w:rPr>
                <w:szCs w:val="20"/>
              </w:rPr>
              <w:t>3.</w:t>
            </w:r>
            <w:r w:rsidR="007379DC">
              <w:rPr>
                <w:szCs w:val="20"/>
              </w:rPr>
              <w:t>6</w:t>
            </w:r>
          </w:p>
        </w:tc>
      </w:tr>
      <w:tr w:rsidR="00CF663D" w14:paraId="130AB334" w14:textId="06259D2D" w:rsidTr="00A4642C">
        <w:trPr>
          <w:gridBefore w:val="1"/>
          <w:wBefore w:w="454" w:type="dxa"/>
        </w:trPr>
        <w:tc>
          <w:tcPr>
            <w:tcW w:w="2247" w:type="dxa"/>
            <w:tcBorders>
              <w:top w:val="nil"/>
            </w:tcBorders>
            <w:shd w:val="clear" w:color="auto" w:fill="auto"/>
          </w:tcPr>
          <w:p w14:paraId="4DB723F2" w14:textId="3929D8A5" w:rsidR="00CF663D" w:rsidRDefault="00CF663D" w:rsidP="00A4642C">
            <w:pPr>
              <w:pStyle w:val="Tablelistbullet"/>
            </w:pPr>
            <w:r>
              <w:t>avoided legal costs</w:t>
            </w:r>
          </w:p>
        </w:tc>
        <w:tc>
          <w:tcPr>
            <w:tcW w:w="850" w:type="dxa"/>
            <w:tcBorders>
              <w:top w:val="nil"/>
            </w:tcBorders>
            <w:shd w:val="clear" w:color="auto" w:fill="auto"/>
            <w:vAlign w:val="bottom"/>
          </w:tcPr>
          <w:p w14:paraId="05EAD608" w14:textId="7B9C5650" w:rsidR="00CF663D" w:rsidRPr="0023756B" w:rsidRDefault="00CF663D" w:rsidP="00A4642C">
            <w:pPr>
              <w:pStyle w:val="Tabletext"/>
              <w:jc w:val="right"/>
            </w:pPr>
            <w:r w:rsidRPr="0023756B">
              <w:rPr>
                <w:szCs w:val="20"/>
              </w:rPr>
              <w:t>16.5</w:t>
            </w:r>
          </w:p>
        </w:tc>
        <w:tc>
          <w:tcPr>
            <w:tcW w:w="850" w:type="dxa"/>
            <w:tcBorders>
              <w:top w:val="nil"/>
            </w:tcBorders>
            <w:shd w:val="clear" w:color="auto" w:fill="auto"/>
            <w:vAlign w:val="bottom"/>
          </w:tcPr>
          <w:p w14:paraId="1D219F97" w14:textId="4D18C450" w:rsidR="00CF663D" w:rsidRPr="0023756B" w:rsidRDefault="00CF663D" w:rsidP="00A4642C">
            <w:pPr>
              <w:pStyle w:val="Tabletext"/>
              <w:jc w:val="right"/>
            </w:pPr>
            <w:r w:rsidRPr="0023756B">
              <w:rPr>
                <w:szCs w:val="20"/>
              </w:rPr>
              <w:t>2.5</w:t>
            </w:r>
          </w:p>
        </w:tc>
        <w:tc>
          <w:tcPr>
            <w:tcW w:w="850" w:type="dxa"/>
            <w:tcBorders>
              <w:top w:val="nil"/>
            </w:tcBorders>
            <w:shd w:val="clear" w:color="auto" w:fill="auto"/>
            <w:vAlign w:val="bottom"/>
          </w:tcPr>
          <w:p w14:paraId="2DF41D8D" w14:textId="30EB2869" w:rsidR="00CF663D" w:rsidRPr="0023756B" w:rsidRDefault="00CF663D" w:rsidP="00A4642C">
            <w:pPr>
              <w:pStyle w:val="Tabletext"/>
              <w:jc w:val="right"/>
            </w:pPr>
            <w:r w:rsidRPr="0023756B">
              <w:rPr>
                <w:szCs w:val="20"/>
              </w:rPr>
              <w:t>3.3</w:t>
            </w:r>
          </w:p>
        </w:tc>
        <w:tc>
          <w:tcPr>
            <w:tcW w:w="850" w:type="dxa"/>
            <w:tcBorders>
              <w:top w:val="nil"/>
            </w:tcBorders>
            <w:shd w:val="clear" w:color="auto" w:fill="auto"/>
            <w:vAlign w:val="bottom"/>
          </w:tcPr>
          <w:p w14:paraId="091E7ED2" w14:textId="0C312883" w:rsidR="00CF663D" w:rsidRPr="0023756B" w:rsidRDefault="00CF663D" w:rsidP="00A4642C">
            <w:pPr>
              <w:pStyle w:val="Tabletext"/>
              <w:jc w:val="right"/>
            </w:pPr>
            <w:r w:rsidRPr="0023756B">
              <w:rPr>
                <w:szCs w:val="20"/>
              </w:rPr>
              <w:t>3.3</w:t>
            </w:r>
          </w:p>
        </w:tc>
        <w:tc>
          <w:tcPr>
            <w:tcW w:w="850" w:type="dxa"/>
            <w:tcBorders>
              <w:top w:val="nil"/>
            </w:tcBorders>
            <w:shd w:val="clear" w:color="auto" w:fill="auto"/>
            <w:vAlign w:val="bottom"/>
          </w:tcPr>
          <w:p w14:paraId="71F3F489" w14:textId="78363F37" w:rsidR="00CF663D" w:rsidRPr="0023756B" w:rsidRDefault="00CF663D" w:rsidP="00A4642C">
            <w:pPr>
              <w:pStyle w:val="Tabletext"/>
              <w:jc w:val="right"/>
            </w:pPr>
            <w:r w:rsidRPr="0023756B">
              <w:rPr>
                <w:szCs w:val="20"/>
              </w:rPr>
              <w:t>7.4</w:t>
            </w:r>
          </w:p>
        </w:tc>
        <w:tc>
          <w:tcPr>
            <w:tcW w:w="850" w:type="dxa"/>
            <w:tcBorders>
              <w:top w:val="nil"/>
            </w:tcBorders>
            <w:shd w:val="clear" w:color="auto" w:fill="auto"/>
            <w:vAlign w:val="bottom"/>
          </w:tcPr>
          <w:p w14:paraId="36F91917" w14:textId="071750E6" w:rsidR="00CF663D" w:rsidRPr="0023756B" w:rsidRDefault="00CF663D" w:rsidP="00A4642C">
            <w:pPr>
              <w:pStyle w:val="Tabletext"/>
              <w:jc w:val="right"/>
            </w:pPr>
            <w:r w:rsidRPr="0023756B">
              <w:rPr>
                <w:szCs w:val="20"/>
              </w:rPr>
              <w:t>1.7</w:t>
            </w:r>
          </w:p>
        </w:tc>
        <w:tc>
          <w:tcPr>
            <w:tcW w:w="850" w:type="dxa"/>
            <w:tcBorders>
              <w:top w:val="nil"/>
            </w:tcBorders>
            <w:shd w:val="clear" w:color="auto" w:fill="auto"/>
            <w:vAlign w:val="bottom"/>
          </w:tcPr>
          <w:p w14:paraId="0D4461CC" w14:textId="742F8538" w:rsidR="00CF663D" w:rsidRPr="0023756B" w:rsidRDefault="00CF663D" w:rsidP="00A4642C">
            <w:pPr>
              <w:pStyle w:val="Tabletext"/>
              <w:jc w:val="right"/>
            </w:pPr>
            <w:r w:rsidRPr="0023756B">
              <w:rPr>
                <w:szCs w:val="20"/>
              </w:rPr>
              <w:t>3.3</w:t>
            </w:r>
          </w:p>
        </w:tc>
        <w:tc>
          <w:tcPr>
            <w:tcW w:w="850" w:type="dxa"/>
            <w:tcBorders>
              <w:top w:val="nil"/>
            </w:tcBorders>
            <w:shd w:val="clear" w:color="auto" w:fill="auto"/>
            <w:vAlign w:val="bottom"/>
          </w:tcPr>
          <w:p w14:paraId="13688BCE" w14:textId="289E6944" w:rsidR="00CF663D" w:rsidRPr="0023756B" w:rsidRDefault="00CF663D" w:rsidP="00A4642C">
            <w:pPr>
              <w:pStyle w:val="Tabletext"/>
              <w:jc w:val="right"/>
            </w:pPr>
            <w:r w:rsidRPr="0023756B">
              <w:rPr>
                <w:szCs w:val="20"/>
              </w:rPr>
              <w:t>4.1</w:t>
            </w:r>
          </w:p>
        </w:tc>
        <w:tc>
          <w:tcPr>
            <w:tcW w:w="851" w:type="dxa"/>
            <w:tcBorders>
              <w:top w:val="nil"/>
            </w:tcBorders>
            <w:shd w:val="clear" w:color="auto" w:fill="auto"/>
            <w:vAlign w:val="bottom"/>
          </w:tcPr>
          <w:p w14:paraId="2CC81642" w14:textId="09AE7E08" w:rsidR="00CF663D" w:rsidRPr="0023756B" w:rsidRDefault="00CF663D" w:rsidP="00A4642C">
            <w:pPr>
              <w:pStyle w:val="Tabletext"/>
              <w:jc w:val="right"/>
            </w:pPr>
            <w:r w:rsidRPr="0023756B">
              <w:rPr>
                <w:szCs w:val="20"/>
              </w:rPr>
              <w:t>3.3</w:t>
            </w:r>
          </w:p>
        </w:tc>
      </w:tr>
      <w:tr w:rsidR="00CF663D" w14:paraId="4E6B66FA" w14:textId="77A5A88D" w:rsidTr="00A4642C">
        <w:trPr>
          <w:gridBefore w:val="1"/>
          <w:wBefore w:w="454" w:type="dxa"/>
        </w:trPr>
        <w:tc>
          <w:tcPr>
            <w:tcW w:w="2247" w:type="dxa"/>
            <w:tcBorders>
              <w:top w:val="nil"/>
            </w:tcBorders>
            <w:shd w:val="clear" w:color="auto" w:fill="auto"/>
          </w:tcPr>
          <w:p w14:paraId="1C898179" w14:textId="6C0B7786" w:rsidR="00CF663D" w:rsidRDefault="00CF663D" w:rsidP="00A4642C">
            <w:pPr>
              <w:pStyle w:val="Tablelistbullet"/>
            </w:pPr>
            <w:r>
              <w:t>increased cost recovery from owners</w:t>
            </w:r>
          </w:p>
        </w:tc>
        <w:tc>
          <w:tcPr>
            <w:tcW w:w="850" w:type="dxa"/>
            <w:tcBorders>
              <w:top w:val="nil"/>
            </w:tcBorders>
            <w:shd w:val="clear" w:color="auto" w:fill="auto"/>
            <w:vAlign w:val="bottom"/>
          </w:tcPr>
          <w:p w14:paraId="6238BF8B" w14:textId="792C708A" w:rsidR="00CF663D" w:rsidRPr="0023756B" w:rsidRDefault="00CF663D" w:rsidP="00A4642C">
            <w:pPr>
              <w:pStyle w:val="Tabletext"/>
              <w:jc w:val="right"/>
              <w:rPr>
                <w:color w:val="FF0000"/>
              </w:rPr>
            </w:pPr>
            <w:r>
              <w:rPr>
                <w:color w:val="FF0000"/>
                <w:szCs w:val="20"/>
              </w:rPr>
              <w:t>–</w:t>
            </w:r>
            <w:r w:rsidRPr="0023756B">
              <w:rPr>
                <w:color w:val="FF0000"/>
                <w:szCs w:val="20"/>
              </w:rPr>
              <w:t>18.0</w:t>
            </w:r>
          </w:p>
        </w:tc>
        <w:tc>
          <w:tcPr>
            <w:tcW w:w="850" w:type="dxa"/>
            <w:tcBorders>
              <w:top w:val="nil"/>
            </w:tcBorders>
            <w:shd w:val="clear" w:color="auto" w:fill="auto"/>
            <w:vAlign w:val="bottom"/>
          </w:tcPr>
          <w:p w14:paraId="3619275D" w14:textId="429CD272" w:rsidR="00CF663D" w:rsidRPr="0023756B" w:rsidRDefault="00CF663D" w:rsidP="00A4642C">
            <w:pPr>
              <w:pStyle w:val="Tabletext"/>
              <w:jc w:val="right"/>
              <w:rPr>
                <w:color w:val="FF0000"/>
              </w:rPr>
            </w:pPr>
            <w:r>
              <w:rPr>
                <w:color w:val="FF0000"/>
                <w:szCs w:val="20"/>
              </w:rPr>
              <w:t>–</w:t>
            </w:r>
            <w:r w:rsidRPr="0023756B">
              <w:rPr>
                <w:color w:val="FF0000"/>
                <w:szCs w:val="20"/>
              </w:rPr>
              <w:t>2.7</w:t>
            </w:r>
          </w:p>
        </w:tc>
        <w:tc>
          <w:tcPr>
            <w:tcW w:w="850" w:type="dxa"/>
            <w:tcBorders>
              <w:top w:val="nil"/>
            </w:tcBorders>
            <w:shd w:val="clear" w:color="auto" w:fill="auto"/>
            <w:vAlign w:val="bottom"/>
          </w:tcPr>
          <w:p w14:paraId="7E07FBE4" w14:textId="0149FB99" w:rsidR="00CF663D" w:rsidRPr="0023756B" w:rsidRDefault="00CF663D" w:rsidP="00A4642C">
            <w:pPr>
              <w:pStyle w:val="Tabletext"/>
              <w:jc w:val="right"/>
              <w:rPr>
                <w:color w:val="FF0000"/>
              </w:rPr>
            </w:pPr>
            <w:r>
              <w:rPr>
                <w:color w:val="FF0000"/>
                <w:szCs w:val="20"/>
              </w:rPr>
              <w:t>–</w:t>
            </w:r>
            <w:r w:rsidRPr="0023756B">
              <w:rPr>
                <w:color w:val="FF0000"/>
                <w:szCs w:val="20"/>
              </w:rPr>
              <w:t>3.6</w:t>
            </w:r>
          </w:p>
        </w:tc>
        <w:tc>
          <w:tcPr>
            <w:tcW w:w="850" w:type="dxa"/>
            <w:tcBorders>
              <w:top w:val="nil"/>
            </w:tcBorders>
            <w:shd w:val="clear" w:color="auto" w:fill="auto"/>
            <w:vAlign w:val="bottom"/>
          </w:tcPr>
          <w:p w14:paraId="13574341" w14:textId="641F268C" w:rsidR="00CF663D" w:rsidRPr="0023756B" w:rsidRDefault="00CF663D" w:rsidP="00A4642C">
            <w:pPr>
              <w:pStyle w:val="Tabletext"/>
              <w:jc w:val="right"/>
              <w:rPr>
                <w:color w:val="FF0000"/>
              </w:rPr>
            </w:pPr>
            <w:r>
              <w:rPr>
                <w:color w:val="FF0000"/>
                <w:szCs w:val="20"/>
              </w:rPr>
              <w:t>–</w:t>
            </w:r>
            <w:r w:rsidRPr="0023756B">
              <w:rPr>
                <w:color w:val="FF0000"/>
                <w:szCs w:val="20"/>
              </w:rPr>
              <w:t>3.6</w:t>
            </w:r>
          </w:p>
        </w:tc>
        <w:tc>
          <w:tcPr>
            <w:tcW w:w="850" w:type="dxa"/>
            <w:tcBorders>
              <w:top w:val="nil"/>
            </w:tcBorders>
            <w:shd w:val="clear" w:color="auto" w:fill="auto"/>
            <w:vAlign w:val="bottom"/>
          </w:tcPr>
          <w:p w14:paraId="15BBDDF9" w14:textId="3AFD77E0" w:rsidR="00CF663D" w:rsidRPr="0023756B" w:rsidRDefault="00CF663D" w:rsidP="00A4642C">
            <w:pPr>
              <w:pStyle w:val="Tabletext"/>
              <w:jc w:val="right"/>
              <w:rPr>
                <w:color w:val="FF0000"/>
              </w:rPr>
            </w:pPr>
            <w:r>
              <w:rPr>
                <w:color w:val="FF0000"/>
                <w:szCs w:val="20"/>
              </w:rPr>
              <w:t>–</w:t>
            </w:r>
            <w:r w:rsidRPr="0023756B">
              <w:rPr>
                <w:color w:val="FF0000"/>
                <w:szCs w:val="20"/>
              </w:rPr>
              <w:t>8.1</w:t>
            </w:r>
          </w:p>
        </w:tc>
        <w:tc>
          <w:tcPr>
            <w:tcW w:w="850" w:type="dxa"/>
            <w:tcBorders>
              <w:top w:val="nil"/>
            </w:tcBorders>
            <w:shd w:val="clear" w:color="auto" w:fill="auto"/>
            <w:vAlign w:val="bottom"/>
          </w:tcPr>
          <w:p w14:paraId="633F4643" w14:textId="6F716587" w:rsidR="00CF663D" w:rsidRPr="0023756B" w:rsidRDefault="00CF663D" w:rsidP="00A4642C">
            <w:pPr>
              <w:pStyle w:val="Tabletext"/>
              <w:jc w:val="right"/>
              <w:rPr>
                <w:color w:val="FF0000"/>
              </w:rPr>
            </w:pPr>
            <w:r>
              <w:rPr>
                <w:color w:val="FF0000"/>
                <w:szCs w:val="20"/>
              </w:rPr>
              <w:t>–</w:t>
            </w:r>
            <w:r w:rsidRPr="0023756B">
              <w:rPr>
                <w:color w:val="FF0000"/>
                <w:szCs w:val="20"/>
              </w:rPr>
              <w:t>1.8</w:t>
            </w:r>
          </w:p>
        </w:tc>
        <w:tc>
          <w:tcPr>
            <w:tcW w:w="850" w:type="dxa"/>
            <w:tcBorders>
              <w:top w:val="nil"/>
            </w:tcBorders>
            <w:shd w:val="clear" w:color="auto" w:fill="auto"/>
            <w:vAlign w:val="bottom"/>
          </w:tcPr>
          <w:p w14:paraId="0D776A02" w14:textId="23A31675" w:rsidR="00CF663D" w:rsidRPr="0023756B" w:rsidRDefault="00CF663D" w:rsidP="00A4642C">
            <w:pPr>
              <w:pStyle w:val="Tabletext"/>
              <w:jc w:val="right"/>
              <w:rPr>
                <w:color w:val="FF0000"/>
              </w:rPr>
            </w:pPr>
            <w:r>
              <w:rPr>
                <w:color w:val="FF0000"/>
                <w:szCs w:val="20"/>
              </w:rPr>
              <w:t>–</w:t>
            </w:r>
            <w:r w:rsidRPr="0023756B">
              <w:rPr>
                <w:color w:val="FF0000"/>
                <w:szCs w:val="20"/>
              </w:rPr>
              <w:t>3.6</w:t>
            </w:r>
          </w:p>
        </w:tc>
        <w:tc>
          <w:tcPr>
            <w:tcW w:w="850" w:type="dxa"/>
            <w:tcBorders>
              <w:top w:val="nil"/>
            </w:tcBorders>
            <w:shd w:val="clear" w:color="auto" w:fill="auto"/>
            <w:vAlign w:val="bottom"/>
          </w:tcPr>
          <w:p w14:paraId="392A9742" w14:textId="4B989523" w:rsidR="00CF663D" w:rsidRPr="0023756B" w:rsidRDefault="00CF663D" w:rsidP="00A4642C">
            <w:pPr>
              <w:pStyle w:val="Tabletext"/>
              <w:jc w:val="right"/>
              <w:rPr>
                <w:color w:val="FF0000"/>
              </w:rPr>
            </w:pPr>
            <w:r>
              <w:rPr>
                <w:color w:val="FF0000"/>
                <w:szCs w:val="20"/>
              </w:rPr>
              <w:t>–</w:t>
            </w:r>
            <w:r w:rsidRPr="0023756B">
              <w:rPr>
                <w:color w:val="FF0000"/>
                <w:szCs w:val="20"/>
              </w:rPr>
              <w:t>4.5</w:t>
            </w:r>
          </w:p>
        </w:tc>
        <w:tc>
          <w:tcPr>
            <w:tcW w:w="851" w:type="dxa"/>
            <w:tcBorders>
              <w:top w:val="nil"/>
            </w:tcBorders>
            <w:shd w:val="clear" w:color="auto" w:fill="auto"/>
            <w:vAlign w:val="bottom"/>
          </w:tcPr>
          <w:p w14:paraId="31F99239" w14:textId="08607643" w:rsidR="00CF663D" w:rsidRPr="0023756B" w:rsidRDefault="00CF663D" w:rsidP="00A4642C">
            <w:pPr>
              <w:pStyle w:val="Tabletext"/>
              <w:jc w:val="right"/>
              <w:rPr>
                <w:color w:val="FF0000"/>
              </w:rPr>
            </w:pPr>
            <w:r>
              <w:rPr>
                <w:color w:val="FF0000"/>
                <w:szCs w:val="20"/>
              </w:rPr>
              <w:t>–</w:t>
            </w:r>
            <w:r w:rsidRPr="0023756B">
              <w:rPr>
                <w:color w:val="FF0000"/>
                <w:szCs w:val="20"/>
              </w:rPr>
              <w:t>3.6</w:t>
            </w:r>
          </w:p>
        </w:tc>
      </w:tr>
      <w:tr w:rsidR="00CF663D" w14:paraId="7F0476D8" w14:textId="025F2480" w:rsidTr="00A4642C">
        <w:trPr>
          <w:gridBefore w:val="1"/>
          <w:wBefore w:w="454" w:type="dxa"/>
        </w:trPr>
        <w:tc>
          <w:tcPr>
            <w:tcW w:w="2247" w:type="dxa"/>
            <w:shd w:val="clear" w:color="auto" w:fill="auto"/>
          </w:tcPr>
          <w:p w14:paraId="095A6F99" w14:textId="1B968263" w:rsidR="00CF663D" w:rsidRPr="009F0927" w:rsidRDefault="00CF663D" w:rsidP="00A4642C">
            <w:pPr>
              <w:pStyle w:val="Tabletext"/>
              <w:rPr>
                <w:i/>
                <w:iCs/>
              </w:rPr>
            </w:pPr>
            <w:r>
              <w:rPr>
                <w:i/>
                <w:iCs/>
              </w:rPr>
              <w:t>N</w:t>
            </w:r>
            <w:r w:rsidRPr="009F0927">
              <w:rPr>
                <w:i/>
                <w:iCs/>
              </w:rPr>
              <w:t>et benefits</w:t>
            </w:r>
          </w:p>
        </w:tc>
        <w:tc>
          <w:tcPr>
            <w:tcW w:w="850" w:type="dxa"/>
            <w:shd w:val="clear" w:color="auto" w:fill="auto"/>
            <w:vAlign w:val="bottom"/>
          </w:tcPr>
          <w:p w14:paraId="6D77EDD6" w14:textId="24A5D97E" w:rsidR="00CF663D" w:rsidRPr="0023756B" w:rsidRDefault="007379DC" w:rsidP="007379DC">
            <w:pPr>
              <w:pStyle w:val="Tabletext"/>
              <w:jc w:val="right"/>
              <w:rPr>
                <w:i/>
                <w:iCs/>
                <w:color w:val="FF0000"/>
              </w:rPr>
            </w:pPr>
            <w:r>
              <w:rPr>
                <w:i/>
                <w:iCs/>
                <w:szCs w:val="20"/>
              </w:rPr>
              <w:t>13.5</w:t>
            </w:r>
          </w:p>
        </w:tc>
        <w:tc>
          <w:tcPr>
            <w:tcW w:w="850" w:type="dxa"/>
            <w:shd w:val="clear" w:color="auto" w:fill="auto"/>
            <w:vAlign w:val="bottom"/>
          </w:tcPr>
          <w:p w14:paraId="2CEC1FDB" w14:textId="5ADEB0A9" w:rsidR="00CF663D" w:rsidRPr="0023756B" w:rsidRDefault="00CF663D" w:rsidP="007379DC">
            <w:pPr>
              <w:pStyle w:val="Tabletext"/>
              <w:jc w:val="right"/>
              <w:rPr>
                <w:i/>
                <w:iCs/>
              </w:rPr>
            </w:pPr>
            <w:r>
              <w:rPr>
                <w:i/>
                <w:iCs/>
                <w:color w:val="FF0000"/>
                <w:szCs w:val="20"/>
              </w:rPr>
              <w:t>–</w:t>
            </w:r>
            <w:r w:rsidRPr="0023756B">
              <w:rPr>
                <w:i/>
                <w:iCs/>
                <w:color w:val="FF0000"/>
                <w:szCs w:val="20"/>
              </w:rPr>
              <w:t>0</w:t>
            </w:r>
            <w:r w:rsidR="007379DC">
              <w:rPr>
                <w:i/>
                <w:iCs/>
                <w:color w:val="FF0000"/>
                <w:szCs w:val="20"/>
              </w:rPr>
              <w:t>.5</w:t>
            </w:r>
          </w:p>
        </w:tc>
        <w:tc>
          <w:tcPr>
            <w:tcW w:w="850" w:type="dxa"/>
            <w:shd w:val="clear" w:color="auto" w:fill="auto"/>
            <w:vAlign w:val="bottom"/>
          </w:tcPr>
          <w:p w14:paraId="798EEACC" w14:textId="00898008" w:rsidR="00CF663D" w:rsidRPr="007379DC" w:rsidRDefault="007379DC" w:rsidP="007379DC">
            <w:pPr>
              <w:pStyle w:val="Tabletext"/>
              <w:jc w:val="right"/>
              <w:rPr>
                <w:i/>
                <w:iCs/>
                <w:color w:val="auto"/>
              </w:rPr>
            </w:pPr>
            <w:r w:rsidRPr="007379DC">
              <w:rPr>
                <w:i/>
                <w:iCs/>
                <w:color w:val="auto"/>
                <w:szCs w:val="20"/>
              </w:rPr>
              <w:t>0.3</w:t>
            </w:r>
          </w:p>
        </w:tc>
        <w:tc>
          <w:tcPr>
            <w:tcW w:w="850" w:type="dxa"/>
            <w:shd w:val="clear" w:color="auto" w:fill="auto"/>
            <w:vAlign w:val="bottom"/>
          </w:tcPr>
          <w:p w14:paraId="7AD296EE" w14:textId="243E4D2B" w:rsidR="00CF663D" w:rsidRPr="007379DC" w:rsidRDefault="007379DC" w:rsidP="00A4642C">
            <w:pPr>
              <w:pStyle w:val="Tabletext"/>
              <w:jc w:val="right"/>
              <w:rPr>
                <w:i/>
                <w:iCs/>
                <w:color w:val="auto"/>
              </w:rPr>
            </w:pPr>
            <w:r w:rsidRPr="007379DC">
              <w:rPr>
                <w:i/>
                <w:iCs/>
                <w:color w:val="auto"/>
                <w:szCs w:val="20"/>
              </w:rPr>
              <w:t>0</w:t>
            </w:r>
            <w:r w:rsidR="00CF663D" w:rsidRPr="007379DC">
              <w:rPr>
                <w:i/>
                <w:iCs/>
                <w:color w:val="auto"/>
                <w:szCs w:val="20"/>
              </w:rPr>
              <w:t>.3</w:t>
            </w:r>
          </w:p>
        </w:tc>
        <w:tc>
          <w:tcPr>
            <w:tcW w:w="850" w:type="dxa"/>
            <w:shd w:val="clear" w:color="auto" w:fill="auto"/>
            <w:vAlign w:val="bottom"/>
          </w:tcPr>
          <w:p w14:paraId="7BF52E5B" w14:textId="549CE0AE" w:rsidR="00CF663D" w:rsidRPr="0023756B" w:rsidRDefault="007379DC" w:rsidP="007379DC">
            <w:pPr>
              <w:pStyle w:val="Tabletext"/>
              <w:jc w:val="right"/>
              <w:rPr>
                <w:i/>
                <w:iCs/>
              </w:rPr>
            </w:pPr>
            <w:r>
              <w:rPr>
                <w:i/>
                <w:iCs/>
                <w:szCs w:val="20"/>
              </w:rPr>
              <w:t>4.5</w:t>
            </w:r>
          </w:p>
        </w:tc>
        <w:tc>
          <w:tcPr>
            <w:tcW w:w="850" w:type="dxa"/>
            <w:shd w:val="clear" w:color="auto" w:fill="auto"/>
            <w:vAlign w:val="bottom"/>
          </w:tcPr>
          <w:p w14:paraId="080049AE" w14:textId="1AD866E1" w:rsidR="00CF663D" w:rsidRPr="0023756B" w:rsidRDefault="00CF663D" w:rsidP="007379DC">
            <w:pPr>
              <w:pStyle w:val="Tabletext"/>
              <w:jc w:val="right"/>
              <w:rPr>
                <w:i/>
                <w:iCs/>
              </w:rPr>
            </w:pPr>
            <w:r>
              <w:rPr>
                <w:i/>
                <w:iCs/>
                <w:color w:val="FF0000"/>
                <w:szCs w:val="20"/>
              </w:rPr>
              <w:t>–</w:t>
            </w:r>
            <w:r w:rsidR="007379DC">
              <w:rPr>
                <w:i/>
                <w:iCs/>
                <w:color w:val="FF0000"/>
                <w:szCs w:val="20"/>
              </w:rPr>
              <w:t>1.</w:t>
            </w:r>
            <w:r w:rsidRPr="0023756B">
              <w:rPr>
                <w:i/>
                <w:iCs/>
                <w:color w:val="FF0000"/>
                <w:szCs w:val="20"/>
              </w:rPr>
              <w:t>3</w:t>
            </w:r>
          </w:p>
        </w:tc>
        <w:tc>
          <w:tcPr>
            <w:tcW w:w="850" w:type="dxa"/>
            <w:shd w:val="clear" w:color="auto" w:fill="auto"/>
            <w:vAlign w:val="bottom"/>
          </w:tcPr>
          <w:p w14:paraId="0E174BFD" w14:textId="6DDC4404" w:rsidR="00CF663D" w:rsidRPr="007379DC" w:rsidRDefault="007379DC" w:rsidP="007379DC">
            <w:pPr>
              <w:pStyle w:val="Tabletext"/>
              <w:jc w:val="right"/>
              <w:rPr>
                <w:i/>
                <w:iCs/>
                <w:color w:val="auto"/>
              </w:rPr>
            </w:pPr>
            <w:r w:rsidRPr="007379DC">
              <w:rPr>
                <w:i/>
                <w:iCs/>
                <w:color w:val="auto"/>
                <w:szCs w:val="20"/>
              </w:rPr>
              <w:t>0.3</w:t>
            </w:r>
          </w:p>
        </w:tc>
        <w:tc>
          <w:tcPr>
            <w:tcW w:w="850" w:type="dxa"/>
            <w:shd w:val="clear" w:color="auto" w:fill="auto"/>
            <w:vAlign w:val="bottom"/>
          </w:tcPr>
          <w:p w14:paraId="2ECAF018" w14:textId="543DE1D0" w:rsidR="00CF663D" w:rsidRPr="007379DC" w:rsidRDefault="00CF663D" w:rsidP="007379DC">
            <w:pPr>
              <w:pStyle w:val="Tabletext"/>
              <w:jc w:val="right"/>
              <w:rPr>
                <w:i/>
                <w:iCs/>
                <w:color w:val="auto"/>
              </w:rPr>
            </w:pPr>
            <w:r w:rsidRPr="007379DC">
              <w:rPr>
                <w:i/>
                <w:iCs/>
                <w:color w:val="auto"/>
                <w:szCs w:val="20"/>
              </w:rPr>
              <w:t>1.</w:t>
            </w:r>
            <w:r w:rsidR="007379DC" w:rsidRPr="007379DC">
              <w:rPr>
                <w:i/>
                <w:iCs/>
                <w:color w:val="auto"/>
                <w:szCs w:val="20"/>
              </w:rPr>
              <w:t>2</w:t>
            </w:r>
          </w:p>
        </w:tc>
        <w:tc>
          <w:tcPr>
            <w:tcW w:w="851" w:type="dxa"/>
            <w:shd w:val="clear" w:color="auto" w:fill="auto"/>
            <w:vAlign w:val="bottom"/>
          </w:tcPr>
          <w:p w14:paraId="3A6991A0" w14:textId="754999AD" w:rsidR="00CF663D" w:rsidRPr="007379DC" w:rsidRDefault="007379DC" w:rsidP="00A4642C">
            <w:pPr>
              <w:pStyle w:val="Tabletext"/>
              <w:jc w:val="right"/>
              <w:rPr>
                <w:i/>
                <w:iCs/>
                <w:color w:val="auto"/>
              </w:rPr>
            </w:pPr>
            <w:r w:rsidRPr="007379DC">
              <w:rPr>
                <w:i/>
                <w:iCs/>
                <w:color w:val="auto"/>
                <w:szCs w:val="20"/>
              </w:rPr>
              <w:t>0.</w:t>
            </w:r>
            <w:r w:rsidR="00CF663D" w:rsidRPr="007379DC">
              <w:rPr>
                <w:i/>
                <w:iCs/>
                <w:color w:val="auto"/>
                <w:szCs w:val="20"/>
              </w:rPr>
              <w:t>.3</w:t>
            </w:r>
          </w:p>
        </w:tc>
      </w:tr>
      <w:tr w:rsidR="00CF663D" w14:paraId="247B525A" w14:textId="5D668F2C" w:rsidTr="00A4642C">
        <w:trPr>
          <w:gridBefore w:val="1"/>
          <w:wBefore w:w="454" w:type="dxa"/>
        </w:trPr>
        <w:tc>
          <w:tcPr>
            <w:tcW w:w="2247" w:type="dxa"/>
            <w:shd w:val="clear" w:color="auto" w:fill="auto"/>
          </w:tcPr>
          <w:p w14:paraId="695046DC" w14:textId="690E4185" w:rsidR="00CF663D" w:rsidRPr="009F0927" w:rsidRDefault="00CF663D" w:rsidP="00A4642C">
            <w:pPr>
              <w:pStyle w:val="Tabletext"/>
              <w:rPr>
                <w:i/>
                <w:iCs/>
              </w:rPr>
            </w:pPr>
            <w:r>
              <w:rPr>
                <w:i/>
                <w:iCs/>
              </w:rPr>
              <w:t>NPV (</w:t>
            </w:r>
            <w:r w:rsidRPr="009F0927">
              <w:rPr>
                <w:i/>
                <w:iCs/>
              </w:rPr>
              <w:t xml:space="preserve">7% </w:t>
            </w:r>
            <w:r>
              <w:rPr>
                <w:i/>
                <w:iCs/>
              </w:rPr>
              <w:t>discount rate)</w:t>
            </w:r>
          </w:p>
        </w:tc>
        <w:tc>
          <w:tcPr>
            <w:tcW w:w="850" w:type="dxa"/>
            <w:shd w:val="clear" w:color="auto" w:fill="auto"/>
            <w:vAlign w:val="bottom"/>
          </w:tcPr>
          <w:p w14:paraId="47BB52A5" w14:textId="3A19468A" w:rsidR="00CF663D" w:rsidRPr="0023756B" w:rsidRDefault="007379DC" w:rsidP="007379DC">
            <w:pPr>
              <w:pStyle w:val="Tabletext"/>
              <w:jc w:val="right"/>
              <w:rPr>
                <w:i/>
                <w:iCs/>
                <w:color w:val="FF0000"/>
              </w:rPr>
            </w:pPr>
            <w:r>
              <w:rPr>
                <w:i/>
                <w:iCs/>
                <w:szCs w:val="20"/>
              </w:rPr>
              <w:t>9.1</w:t>
            </w:r>
          </w:p>
        </w:tc>
        <w:tc>
          <w:tcPr>
            <w:tcW w:w="850" w:type="dxa"/>
            <w:shd w:val="clear" w:color="auto" w:fill="auto"/>
            <w:vAlign w:val="bottom"/>
          </w:tcPr>
          <w:p w14:paraId="785E4CEB" w14:textId="160C4410" w:rsidR="00CF663D" w:rsidRPr="0023756B" w:rsidRDefault="007379DC" w:rsidP="007379DC">
            <w:pPr>
              <w:pStyle w:val="Tabletext"/>
              <w:jc w:val="right"/>
              <w:rPr>
                <w:i/>
                <w:iCs/>
              </w:rPr>
            </w:pPr>
            <w:r>
              <w:rPr>
                <w:i/>
                <w:iCs/>
                <w:color w:val="FF0000"/>
                <w:szCs w:val="20"/>
              </w:rPr>
              <w:t>-0.4</w:t>
            </w:r>
          </w:p>
        </w:tc>
        <w:tc>
          <w:tcPr>
            <w:tcW w:w="850" w:type="dxa"/>
            <w:shd w:val="clear" w:color="auto" w:fill="auto"/>
            <w:vAlign w:val="bottom"/>
          </w:tcPr>
          <w:p w14:paraId="54B9D06D" w14:textId="0AEA1FB9" w:rsidR="00CF663D" w:rsidRPr="0023756B" w:rsidRDefault="007379DC" w:rsidP="00A4642C">
            <w:pPr>
              <w:pStyle w:val="Tabletext"/>
              <w:jc w:val="right"/>
              <w:rPr>
                <w:i/>
                <w:iCs/>
              </w:rPr>
            </w:pPr>
            <w:r>
              <w:rPr>
                <w:i/>
                <w:iCs/>
              </w:rPr>
              <w:t>0.1</w:t>
            </w:r>
          </w:p>
        </w:tc>
        <w:tc>
          <w:tcPr>
            <w:tcW w:w="850" w:type="dxa"/>
            <w:shd w:val="clear" w:color="auto" w:fill="auto"/>
            <w:vAlign w:val="bottom"/>
          </w:tcPr>
          <w:p w14:paraId="777DC594" w14:textId="63A5F889" w:rsidR="00CF663D" w:rsidRPr="00B327C6" w:rsidRDefault="00B327C6" w:rsidP="00A4642C">
            <w:pPr>
              <w:pStyle w:val="Tabletext"/>
              <w:jc w:val="right"/>
              <w:rPr>
                <w:i/>
                <w:iCs/>
                <w:color w:val="auto"/>
              </w:rPr>
            </w:pPr>
            <w:r w:rsidRPr="00B327C6">
              <w:rPr>
                <w:i/>
                <w:iCs/>
                <w:color w:val="auto"/>
                <w:szCs w:val="20"/>
              </w:rPr>
              <w:t>0.1</w:t>
            </w:r>
            <w:r w:rsidR="00CF663D" w:rsidRPr="00B327C6">
              <w:rPr>
                <w:i/>
                <w:iCs/>
                <w:color w:val="auto"/>
                <w:szCs w:val="20"/>
              </w:rPr>
              <w:t>9</w:t>
            </w:r>
          </w:p>
        </w:tc>
        <w:tc>
          <w:tcPr>
            <w:tcW w:w="850" w:type="dxa"/>
            <w:shd w:val="clear" w:color="auto" w:fill="auto"/>
            <w:vAlign w:val="bottom"/>
          </w:tcPr>
          <w:p w14:paraId="2F11B2C2" w14:textId="53E311A7" w:rsidR="00CF663D" w:rsidRPr="00B327C6" w:rsidRDefault="00B327C6" w:rsidP="00B327C6">
            <w:pPr>
              <w:pStyle w:val="Tabletext"/>
              <w:jc w:val="right"/>
              <w:rPr>
                <w:i/>
                <w:iCs/>
                <w:color w:val="auto"/>
              </w:rPr>
            </w:pPr>
            <w:r w:rsidRPr="00B327C6">
              <w:rPr>
                <w:i/>
                <w:iCs/>
                <w:color w:val="auto"/>
                <w:szCs w:val="20"/>
              </w:rPr>
              <w:t>2.9</w:t>
            </w:r>
          </w:p>
        </w:tc>
        <w:tc>
          <w:tcPr>
            <w:tcW w:w="850" w:type="dxa"/>
            <w:shd w:val="clear" w:color="auto" w:fill="auto"/>
            <w:vAlign w:val="bottom"/>
          </w:tcPr>
          <w:p w14:paraId="550376D8" w14:textId="3DDE85EE" w:rsidR="00CF663D" w:rsidRPr="0023756B" w:rsidRDefault="00CF663D" w:rsidP="00B327C6">
            <w:pPr>
              <w:pStyle w:val="Tabletext"/>
              <w:jc w:val="right"/>
              <w:rPr>
                <w:i/>
                <w:iCs/>
              </w:rPr>
            </w:pPr>
            <w:r>
              <w:rPr>
                <w:i/>
                <w:iCs/>
                <w:color w:val="FF0000"/>
                <w:szCs w:val="20"/>
              </w:rPr>
              <w:t>–</w:t>
            </w:r>
            <w:r w:rsidR="00B327C6">
              <w:rPr>
                <w:i/>
                <w:iCs/>
                <w:color w:val="FF0000"/>
                <w:szCs w:val="20"/>
              </w:rPr>
              <w:t>1.0</w:t>
            </w:r>
          </w:p>
        </w:tc>
        <w:tc>
          <w:tcPr>
            <w:tcW w:w="850" w:type="dxa"/>
            <w:shd w:val="clear" w:color="auto" w:fill="auto"/>
            <w:vAlign w:val="bottom"/>
          </w:tcPr>
          <w:p w14:paraId="00F3296B" w14:textId="3251B7BE" w:rsidR="00CF663D" w:rsidRPr="0023756B" w:rsidRDefault="00B327C6" w:rsidP="00A4642C">
            <w:pPr>
              <w:pStyle w:val="Tabletext"/>
              <w:jc w:val="right"/>
              <w:rPr>
                <w:i/>
                <w:iCs/>
              </w:rPr>
            </w:pPr>
            <w:r>
              <w:rPr>
                <w:i/>
                <w:iCs/>
              </w:rPr>
              <w:t>0.1</w:t>
            </w:r>
          </w:p>
        </w:tc>
        <w:tc>
          <w:tcPr>
            <w:tcW w:w="850" w:type="dxa"/>
            <w:shd w:val="clear" w:color="auto" w:fill="auto"/>
            <w:vAlign w:val="bottom"/>
          </w:tcPr>
          <w:p w14:paraId="0B88A566" w14:textId="77549134" w:rsidR="00CF663D" w:rsidRPr="0023756B" w:rsidRDefault="00B327C6" w:rsidP="00A4642C">
            <w:pPr>
              <w:pStyle w:val="Tabletext"/>
              <w:jc w:val="right"/>
              <w:rPr>
                <w:i/>
                <w:iCs/>
              </w:rPr>
            </w:pPr>
            <w:r>
              <w:rPr>
                <w:i/>
                <w:iCs/>
              </w:rPr>
              <w:t>0.7</w:t>
            </w:r>
          </w:p>
        </w:tc>
        <w:tc>
          <w:tcPr>
            <w:tcW w:w="851" w:type="dxa"/>
            <w:shd w:val="clear" w:color="auto" w:fill="auto"/>
            <w:vAlign w:val="bottom"/>
          </w:tcPr>
          <w:p w14:paraId="143DDE06" w14:textId="18E71811" w:rsidR="00CF663D" w:rsidRPr="0023756B" w:rsidRDefault="00B327C6" w:rsidP="00A4642C">
            <w:pPr>
              <w:pStyle w:val="Tabletext"/>
              <w:jc w:val="right"/>
              <w:rPr>
                <w:i/>
                <w:iCs/>
              </w:rPr>
            </w:pPr>
            <w:r>
              <w:rPr>
                <w:i/>
                <w:iCs/>
              </w:rPr>
              <w:t>0.1</w:t>
            </w:r>
          </w:p>
        </w:tc>
      </w:tr>
      <w:tr w:rsidR="00CF663D" w14:paraId="3890C380" w14:textId="126960D6" w:rsidTr="00A4642C">
        <w:trPr>
          <w:gridBefore w:val="1"/>
          <w:wBefore w:w="454" w:type="dxa"/>
        </w:trPr>
        <w:tc>
          <w:tcPr>
            <w:tcW w:w="9898" w:type="dxa"/>
            <w:gridSpan w:val="10"/>
            <w:shd w:val="clear" w:color="auto" w:fill="D5EBDA" w:themeFill="accent6" w:themeFillTint="33"/>
          </w:tcPr>
          <w:p w14:paraId="2A131170" w14:textId="428F66D9" w:rsidR="00CF663D" w:rsidRPr="00DF2D61" w:rsidRDefault="00CF663D" w:rsidP="00A4642C">
            <w:pPr>
              <w:pStyle w:val="Tabletext"/>
              <w:rPr>
                <w:b/>
                <w:bCs/>
              </w:rPr>
            </w:pPr>
            <w:r w:rsidRPr="00DF2D61">
              <w:rPr>
                <w:b/>
                <w:bCs/>
              </w:rPr>
              <w:t>Shipping industry (indirectly)</w:t>
            </w:r>
          </w:p>
        </w:tc>
      </w:tr>
      <w:tr w:rsidR="00CF663D" w14:paraId="29BCFD23" w14:textId="1E3514D5" w:rsidTr="00A4642C">
        <w:trPr>
          <w:gridBefore w:val="1"/>
          <w:wBefore w:w="454" w:type="dxa"/>
        </w:trPr>
        <w:tc>
          <w:tcPr>
            <w:tcW w:w="2247" w:type="dxa"/>
            <w:shd w:val="clear" w:color="auto" w:fill="auto"/>
          </w:tcPr>
          <w:p w14:paraId="24A8E479" w14:textId="00B48133" w:rsidR="00CF663D" w:rsidRPr="009F0927" w:rsidRDefault="00CF663D" w:rsidP="00A4642C">
            <w:pPr>
              <w:pStyle w:val="Tablelistbullet"/>
              <w:rPr>
                <w:i/>
                <w:iCs/>
              </w:rPr>
            </w:pPr>
            <w:r>
              <w:lastRenderedPageBreak/>
              <w:t>increased cost recovery from owners</w:t>
            </w:r>
          </w:p>
        </w:tc>
        <w:tc>
          <w:tcPr>
            <w:tcW w:w="850" w:type="dxa"/>
            <w:shd w:val="clear" w:color="auto" w:fill="auto"/>
            <w:vAlign w:val="bottom"/>
          </w:tcPr>
          <w:p w14:paraId="7E51C561" w14:textId="075D2EB2" w:rsidR="00CF663D" w:rsidRPr="0023756B" w:rsidRDefault="00CF663D" w:rsidP="00A4642C">
            <w:pPr>
              <w:pStyle w:val="Tabletext"/>
              <w:jc w:val="right"/>
              <w:rPr>
                <w:i/>
                <w:iCs/>
                <w:color w:val="FF0000"/>
              </w:rPr>
            </w:pPr>
            <w:r w:rsidRPr="0023756B">
              <w:rPr>
                <w:szCs w:val="20"/>
              </w:rPr>
              <w:t>18.0</w:t>
            </w:r>
          </w:p>
        </w:tc>
        <w:tc>
          <w:tcPr>
            <w:tcW w:w="850" w:type="dxa"/>
            <w:shd w:val="clear" w:color="auto" w:fill="auto"/>
            <w:vAlign w:val="bottom"/>
          </w:tcPr>
          <w:p w14:paraId="220E08C2" w14:textId="33FD58FE" w:rsidR="00CF663D" w:rsidRPr="0023756B" w:rsidRDefault="00CF663D" w:rsidP="00A4642C">
            <w:pPr>
              <w:pStyle w:val="Tabletext"/>
              <w:jc w:val="right"/>
              <w:rPr>
                <w:i/>
                <w:iCs/>
              </w:rPr>
            </w:pPr>
            <w:r w:rsidRPr="0023756B">
              <w:rPr>
                <w:szCs w:val="20"/>
              </w:rPr>
              <w:t>2.7</w:t>
            </w:r>
          </w:p>
        </w:tc>
        <w:tc>
          <w:tcPr>
            <w:tcW w:w="850" w:type="dxa"/>
            <w:shd w:val="clear" w:color="auto" w:fill="auto"/>
            <w:vAlign w:val="bottom"/>
          </w:tcPr>
          <w:p w14:paraId="0F72D152" w14:textId="0B27C293" w:rsidR="00CF663D" w:rsidRPr="0023756B" w:rsidRDefault="00CF663D" w:rsidP="00A4642C">
            <w:pPr>
              <w:pStyle w:val="Tabletext"/>
              <w:jc w:val="right"/>
              <w:rPr>
                <w:i/>
                <w:iCs/>
              </w:rPr>
            </w:pPr>
            <w:r w:rsidRPr="0023756B">
              <w:rPr>
                <w:szCs w:val="20"/>
              </w:rPr>
              <w:t>3.6</w:t>
            </w:r>
          </w:p>
        </w:tc>
        <w:tc>
          <w:tcPr>
            <w:tcW w:w="850" w:type="dxa"/>
            <w:shd w:val="clear" w:color="auto" w:fill="auto"/>
            <w:vAlign w:val="bottom"/>
          </w:tcPr>
          <w:p w14:paraId="42D4FE45" w14:textId="78D7FD79" w:rsidR="00CF663D" w:rsidRPr="0023756B" w:rsidRDefault="00CF663D" w:rsidP="00A4642C">
            <w:pPr>
              <w:pStyle w:val="Tabletext"/>
              <w:jc w:val="right"/>
              <w:rPr>
                <w:i/>
                <w:iCs/>
              </w:rPr>
            </w:pPr>
            <w:r w:rsidRPr="0023756B">
              <w:rPr>
                <w:szCs w:val="20"/>
              </w:rPr>
              <w:t>3.6</w:t>
            </w:r>
          </w:p>
        </w:tc>
        <w:tc>
          <w:tcPr>
            <w:tcW w:w="850" w:type="dxa"/>
            <w:shd w:val="clear" w:color="auto" w:fill="auto"/>
            <w:vAlign w:val="bottom"/>
          </w:tcPr>
          <w:p w14:paraId="002B81D9" w14:textId="2C2AE402" w:rsidR="00CF663D" w:rsidRPr="0023756B" w:rsidRDefault="00CF663D" w:rsidP="00A4642C">
            <w:pPr>
              <w:pStyle w:val="Tabletext"/>
              <w:jc w:val="right"/>
              <w:rPr>
                <w:i/>
                <w:iCs/>
              </w:rPr>
            </w:pPr>
            <w:r w:rsidRPr="0023756B">
              <w:rPr>
                <w:szCs w:val="20"/>
              </w:rPr>
              <w:t>8.1</w:t>
            </w:r>
          </w:p>
        </w:tc>
        <w:tc>
          <w:tcPr>
            <w:tcW w:w="850" w:type="dxa"/>
            <w:shd w:val="clear" w:color="auto" w:fill="auto"/>
            <w:vAlign w:val="bottom"/>
          </w:tcPr>
          <w:p w14:paraId="20212113" w14:textId="5366A2B0" w:rsidR="00CF663D" w:rsidRPr="0023756B" w:rsidRDefault="00CF663D" w:rsidP="00A4642C">
            <w:pPr>
              <w:pStyle w:val="Tabletext"/>
              <w:jc w:val="right"/>
              <w:rPr>
                <w:i/>
                <w:iCs/>
              </w:rPr>
            </w:pPr>
            <w:r w:rsidRPr="0023756B">
              <w:rPr>
                <w:szCs w:val="20"/>
              </w:rPr>
              <w:t>1.8</w:t>
            </w:r>
          </w:p>
        </w:tc>
        <w:tc>
          <w:tcPr>
            <w:tcW w:w="850" w:type="dxa"/>
            <w:shd w:val="clear" w:color="auto" w:fill="auto"/>
            <w:vAlign w:val="bottom"/>
          </w:tcPr>
          <w:p w14:paraId="31FE9512" w14:textId="6B0F5F74" w:rsidR="00CF663D" w:rsidRPr="0023756B" w:rsidRDefault="00CF663D" w:rsidP="00A4642C">
            <w:pPr>
              <w:pStyle w:val="Tabletext"/>
              <w:jc w:val="right"/>
              <w:rPr>
                <w:i/>
                <w:iCs/>
              </w:rPr>
            </w:pPr>
            <w:r w:rsidRPr="0023756B">
              <w:rPr>
                <w:szCs w:val="20"/>
              </w:rPr>
              <w:t>3.6</w:t>
            </w:r>
          </w:p>
        </w:tc>
        <w:tc>
          <w:tcPr>
            <w:tcW w:w="850" w:type="dxa"/>
            <w:shd w:val="clear" w:color="auto" w:fill="auto"/>
            <w:vAlign w:val="bottom"/>
          </w:tcPr>
          <w:p w14:paraId="0EA99A20" w14:textId="3D99F8AF" w:rsidR="00CF663D" w:rsidRPr="0023756B" w:rsidRDefault="00CF663D" w:rsidP="00A4642C">
            <w:pPr>
              <w:pStyle w:val="Tabletext"/>
              <w:jc w:val="right"/>
              <w:rPr>
                <w:i/>
                <w:iCs/>
              </w:rPr>
            </w:pPr>
            <w:r w:rsidRPr="0023756B">
              <w:rPr>
                <w:szCs w:val="20"/>
              </w:rPr>
              <w:t>4.5</w:t>
            </w:r>
          </w:p>
        </w:tc>
        <w:tc>
          <w:tcPr>
            <w:tcW w:w="851" w:type="dxa"/>
            <w:shd w:val="clear" w:color="auto" w:fill="auto"/>
            <w:vAlign w:val="bottom"/>
          </w:tcPr>
          <w:p w14:paraId="1B8A7526" w14:textId="561C7EB0" w:rsidR="00CF663D" w:rsidRPr="0023756B" w:rsidRDefault="00CF663D" w:rsidP="00A4642C">
            <w:pPr>
              <w:pStyle w:val="Tabletext"/>
              <w:jc w:val="right"/>
              <w:rPr>
                <w:i/>
                <w:iCs/>
              </w:rPr>
            </w:pPr>
            <w:r w:rsidRPr="0023756B">
              <w:rPr>
                <w:szCs w:val="20"/>
              </w:rPr>
              <w:t>3.6</w:t>
            </w:r>
          </w:p>
        </w:tc>
      </w:tr>
      <w:tr w:rsidR="00CF663D" w14:paraId="30851586" w14:textId="54F49C09" w:rsidTr="00A4642C">
        <w:trPr>
          <w:gridBefore w:val="1"/>
          <w:wBefore w:w="454" w:type="dxa"/>
        </w:trPr>
        <w:tc>
          <w:tcPr>
            <w:tcW w:w="2247" w:type="dxa"/>
            <w:shd w:val="clear" w:color="auto" w:fill="auto"/>
          </w:tcPr>
          <w:p w14:paraId="5247E262" w14:textId="720A8665" w:rsidR="00CF663D" w:rsidRPr="009F0927" w:rsidRDefault="00CF663D" w:rsidP="00A4642C">
            <w:pPr>
              <w:pStyle w:val="Tabletext"/>
              <w:rPr>
                <w:i/>
                <w:iCs/>
              </w:rPr>
            </w:pPr>
            <w:r>
              <w:rPr>
                <w:i/>
                <w:iCs/>
              </w:rPr>
              <w:t>N</w:t>
            </w:r>
            <w:r w:rsidRPr="009F0927">
              <w:rPr>
                <w:i/>
                <w:iCs/>
              </w:rPr>
              <w:t>et benefits</w:t>
            </w:r>
          </w:p>
        </w:tc>
        <w:tc>
          <w:tcPr>
            <w:tcW w:w="850" w:type="dxa"/>
            <w:shd w:val="clear" w:color="auto" w:fill="auto"/>
            <w:vAlign w:val="bottom"/>
          </w:tcPr>
          <w:p w14:paraId="2AC4AC0F" w14:textId="677457AA" w:rsidR="00CF663D" w:rsidRPr="0023756B" w:rsidRDefault="00CF663D" w:rsidP="00A4642C">
            <w:pPr>
              <w:pStyle w:val="Tabletext"/>
              <w:jc w:val="right"/>
              <w:rPr>
                <w:i/>
                <w:iCs/>
                <w:color w:val="FF0000"/>
              </w:rPr>
            </w:pPr>
            <w:r w:rsidRPr="0023756B">
              <w:rPr>
                <w:i/>
                <w:iCs/>
                <w:szCs w:val="20"/>
              </w:rPr>
              <w:t>18.0</w:t>
            </w:r>
          </w:p>
        </w:tc>
        <w:tc>
          <w:tcPr>
            <w:tcW w:w="850" w:type="dxa"/>
            <w:shd w:val="clear" w:color="auto" w:fill="auto"/>
            <w:vAlign w:val="bottom"/>
          </w:tcPr>
          <w:p w14:paraId="560988D9" w14:textId="33DAA861" w:rsidR="00CF663D" w:rsidRPr="0023756B" w:rsidRDefault="00CF663D" w:rsidP="00A4642C">
            <w:pPr>
              <w:pStyle w:val="Tabletext"/>
              <w:jc w:val="right"/>
              <w:rPr>
                <w:i/>
                <w:iCs/>
              </w:rPr>
            </w:pPr>
            <w:r w:rsidRPr="0023756B">
              <w:rPr>
                <w:i/>
                <w:iCs/>
                <w:szCs w:val="20"/>
              </w:rPr>
              <w:t>2.7</w:t>
            </w:r>
          </w:p>
        </w:tc>
        <w:tc>
          <w:tcPr>
            <w:tcW w:w="850" w:type="dxa"/>
            <w:shd w:val="clear" w:color="auto" w:fill="auto"/>
            <w:vAlign w:val="bottom"/>
          </w:tcPr>
          <w:p w14:paraId="46D3DF06" w14:textId="10C3FF8B" w:rsidR="00CF663D" w:rsidRPr="0023756B" w:rsidRDefault="00CF663D" w:rsidP="00A4642C">
            <w:pPr>
              <w:pStyle w:val="Tabletext"/>
              <w:jc w:val="right"/>
              <w:rPr>
                <w:i/>
                <w:iCs/>
              </w:rPr>
            </w:pPr>
            <w:r w:rsidRPr="0023756B">
              <w:rPr>
                <w:i/>
                <w:iCs/>
                <w:szCs w:val="20"/>
              </w:rPr>
              <w:t>3.6</w:t>
            </w:r>
          </w:p>
        </w:tc>
        <w:tc>
          <w:tcPr>
            <w:tcW w:w="850" w:type="dxa"/>
            <w:shd w:val="clear" w:color="auto" w:fill="auto"/>
            <w:vAlign w:val="bottom"/>
          </w:tcPr>
          <w:p w14:paraId="491FBC20" w14:textId="1022D207" w:rsidR="00CF663D" w:rsidRPr="0023756B" w:rsidRDefault="00CF663D" w:rsidP="00A4642C">
            <w:pPr>
              <w:pStyle w:val="Tabletext"/>
              <w:jc w:val="right"/>
              <w:rPr>
                <w:i/>
                <w:iCs/>
              </w:rPr>
            </w:pPr>
            <w:r w:rsidRPr="0023756B">
              <w:rPr>
                <w:i/>
                <w:iCs/>
                <w:szCs w:val="20"/>
              </w:rPr>
              <w:t>3.6</w:t>
            </w:r>
          </w:p>
        </w:tc>
        <w:tc>
          <w:tcPr>
            <w:tcW w:w="850" w:type="dxa"/>
            <w:shd w:val="clear" w:color="auto" w:fill="auto"/>
            <w:vAlign w:val="bottom"/>
          </w:tcPr>
          <w:p w14:paraId="6180F462" w14:textId="07A276DB" w:rsidR="00CF663D" w:rsidRPr="0023756B" w:rsidRDefault="00CF663D" w:rsidP="00A4642C">
            <w:pPr>
              <w:pStyle w:val="Tabletext"/>
              <w:jc w:val="right"/>
              <w:rPr>
                <w:i/>
                <w:iCs/>
              </w:rPr>
            </w:pPr>
            <w:r w:rsidRPr="0023756B">
              <w:rPr>
                <w:i/>
                <w:iCs/>
                <w:szCs w:val="20"/>
              </w:rPr>
              <w:t>8.1</w:t>
            </w:r>
          </w:p>
        </w:tc>
        <w:tc>
          <w:tcPr>
            <w:tcW w:w="850" w:type="dxa"/>
            <w:shd w:val="clear" w:color="auto" w:fill="auto"/>
            <w:vAlign w:val="bottom"/>
          </w:tcPr>
          <w:p w14:paraId="2B2C4EDC" w14:textId="34C0306D" w:rsidR="00CF663D" w:rsidRPr="0023756B" w:rsidRDefault="00CF663D" w:rsidP="00A4642C">
            <w:pPr>
              <w:pStyle w:val="Tabletext"/>
              <w:jc w:val="right"/>
              <w:rPr>
                <w:i/>
                <w:iCs/>
              </w:rPr>
            </w:pPr>
            <w:r w:rsidRPr="0023756B">
              <w:rPr>
                <w:i/>
                <w:iCs/>
                <w:szCs w:val="20"/>
              </w:rPr>
              <w:t>1.8</w:t>
            </w:r>
          </w:p>
        </w:tc>
        <w:tc>
          <w:tcPr>
            <w:tcW w:w="850" w:type="dxa"/>
            <w:shd w:val="clear" w:color="auto" w:fill="auto"/>
            <w:vAlign w:val="bottom"/>
          </w:tcPr>
          <w:p w14:paraId="5DDA200B" w14:textId="6829DBCE" w:rsidR="00CF663D" w:rsidRPr="0023756B" w:rsidRDefault="00CF663D" w:rsidP="00A4642C">
            <w:pPr>
              <w:pStyle w:val="Tabletext"/>
              <w:jc w:val="right"/>
              <w:rPr>
                <w:i/>
                <w:iCs/>
              </w:rPr>
            </w:pPr>
            <w:r w:rsidRPr="0023756B">
              <w:rPr>
                <w:i/>
                <w:iCs/>
                <w:szCs w:val="20"/>
              </w:rPr>
              <w:t>3.6</w:t>
            </w:r>
          </w:p>
        </w:tc>
        <w:tc>
          <w:tcPr>
            <w:tcW w:w="850" w:type="dxa"/>
            <w:shd w:val="clear" w:color="auto" w:fill="auto"/>
            <w:vAlign w:val="bottom"/>
          </w:tcPr>
          <w:p w14:paraId="140C22D6" w14:textId="0FE99B39" w:rsidR="00CF663D" w:rsidRPr="0023756B" w:rsidRDefault="00CF663D" w:rsidP="00A4642C">
            <w:pPr>
              <w:pStyle w:val="Tabletext"/>
              <w:jc w:val="right"/>
              <w:rPr>
                <w:i/>
                <w:iCs/>
              </w:rPr>
            </w:pPr>
            <w:r w:rsidRPr="0023756B">
              <w:rPr>
                <w:i/>
                <w:iCs/>
                <w:szCs w:val="20"/>
              </w:rPr>
              <w:t>4.5</w:t>
            </w:r>
          </w:p>
        </w:tc>
        <w:tc>
          <w:tcPr>
            <w:tcW w:w="851" w:type="dxa"/>
            <w:shd w:val="clear" w:color="auto" w:fill="auto"/>
            <w:vAlign w:val="bottom"/>
          </w:tcPr>
          <w:p w14:paraId="30A1213E" w14:textId="36E6F292" w:rsidR="00CF663D" w:rsidRPr="0023756B" w:rsidRDefault="00CF663D" w:rsidP="00A4642C">
            <w:pPr>
              <w:pStyle w:val="Tabletext"/>
              <w:jc w:val="right"/>
              <w:rPr>
                <w:i/>
                <w:iCs/>
              </w:rPr>
            </w:pPr>
            <w:r w:rsidRPr="0023756B">
              <w:rPr>
                <w:i/>
                <w:iCs/>
                <w:szCs w:val="20"/>
              </w:rPr>
              <w:t>3.6</w:t>
            </w:r>
          </w:p>
        </w:tc>
      </w:tr>
      <w:tr w:rsidR="00CF663D" w14:paraId="1A63F277" w14:textId="3A5DC9D1" w:rsidTr="00A4642C">
        <w:trPr>
          <w:gridBefore w:val="1"/>
          <w:wBefore w:w="454" w:type="dxa"/>
        </w:trPr>
        <w:tc>
          <w:tcPr>
            <w:tcW w:w="2247" w:type="dxa"/>
            <w:shd w:val="clear" w:color="auto" w:fill="auto"/>
          </w:tcPr>
          <w:p w14:paraId="7C9792E3" w14:textId="00E22BDA" w:rsidR="00CF663D" w:rsidRPr="009F0927" w:rsidRDefault="00CF663D" w:rsidP="00A4642C">
            <w:pPr>
              <w:pStyle w:val="Tabletext"/>
              <w:rPr>
                <w:i/>
                <w:iCs/>
              </w:rPr>
            </w:pPr>
            <w:r>
              <w:rPr>
                <w:i/>
                <w:iCs/>
              </w:rPr>
              <w:t>NPV (</w:t>
            </w:r>
            <w:r w:rsidRPr="009F0927">
              <w:rPr>
                <w:i/>
                <w:iCs/>
              </w:rPr>
              <w:t xml:space="preserve">7% </w:t>
            </w:r>
            <w:r>
              <w:rPr>
                <w:i/>
                <w:iCs/>
              </w:rPr>
              <w:t>discount rate)</w:t>
            </w:r>
          </w:p>
        </w:tc>
        <w:tc>
          <w:tcPr>
            <w:tcW w:w="850" w:type="dxa"/>
            <w:shd w:val="clear" w:color="auto" w:fill="auto"/>
            <w:vAlign w:val="bottom"/>
          </w:tcPr>
          <w:p w14:paraId="5DEB0D2B" w14:textId="77025FFE" w:rsidR="00CF663D" w:rsidRPr="0023756B" w:rsidRDefault="00CF663D" w:rsidP="00A4642C">
            <w:pPr>
              <w:pStyle w:val="Tabletext"/>
              <w:jc w:val="right"/>
              <w:rPr>
                <w:i/>
                <w:iCs/>
                <w:color w:val="FF0000"/>
              </w:rPr>
            </w:pPr>
            <w:r w:rsidRPr="0023756B">
              <w:rPr>
                <w:i/>
                <w:iCs/>
                <w:szCs w:val="20"/>
              </w:rPr>
              <w:t>16.8</w:t>
            </w:r>
          </w:p>
        </w:tc>
        <w:tc>
          <w:tcPr>
            <w:tcW w:w="850" w:type="dxa"/>
            <w:shd w:val="clear" w:color="auto" w:fill="auto"/>
            <w:vAlign w:val="bottom"/>
          </w:tcPr>
          <w:p w14:paraId="1D650A75" w14:textId="1F28EDD1" w:rsidR="00CF663D" w:rsidRPr="0023756B" w:rsidRDefault="00CF663D" w:rsidP="00A4642C">
            <w:pPr>
              <w:pStyle w:val="Tabletext"/>
              <w:jc w:val="right"/>
              <w:rPr>
                <w:i/>
                <w:iCs/>
              </w:rPr>
            </w:pPr>
            <w:r w:rsidRPr="0023756B">
              <w:rPr>
                <w:i/>
                <w:iCs/>
                <w:szCs w:val="20"/>
              </w:rPr>
              <w:t>2.5</w:t>
            </w:r>
          </w:p>
        </w:tc>
        <w:tc>
          <w:tcPr>
            <w:tcW w:w="850" w:type="dxa"/>
            <w:shd w:val="clear" w:color="auto" w:fill="auto"/>
            <w:vAlign w:val="bottom"/>
          </w:tcPr>
          <w:p w14:paraId="484EEA31" w14:textId="05E470B8" w:rsidR="00CF663D" w:rsidRPr="0023756B" w:rsidRDefault="00CF663D" w:rsidP="00A4642C">
            <w:pPr>
              <w:pStyle w:val="Tabletext"/>
              <w:jc w:val="right"/>
              <w:rPr>
                <w:i/>
                <w:iCs/>
              </w:rPr>
            </w:pPr>
            <w:r w:rsidRPr="0023756B">
              <w:rPr>
                <w:i/>
                <w:iCs/>
                <w:szCs w:val="20"/>
              </w:rPr>
              <w:t>3.4</w:t>
            </w:r>
          </w:p>
        </w:tc>
        <w:tc>
          <w:tcPr>
            <w:tcW w:w="850" w:type="dxa"/>
            <w:shd w:val="clear" w:color="auto" w:fill="auto"/>
            <w:vAlign w:val="bottom"/>
          </w:tcPr>
          <w:p w14:paraId="167B42C7" w14:textId="4C7D8D10" w:rsidR="00CF663D" w:rsidRPr="0023756B" w:rsidRDefault="00CF663D" w:rsidP="00A4642C">
            <w:pPr>
              <w:pStyle w:val="Tabletext"/>
              <w:jc w:val="right"/>
              <w:rPr>
                <w:i/>
                <w:iCs/>
              </w:rPr>
            </w:pPr>
            <w:r w:rsidRPr="0023756B">
              <w:rPr>
                <w:i/>
                <w:iCs/>
                <w:szCs w:val="20"/>
              </w:rPr>
              <w:t>3.4</w:t>
            </w:r>
          </w:p>
        </w:tc>
        <w:tc>
          <w:tcPr>
            <w:tcW w:w="850" w:type="dxa"/>
            <w:shd w:val="clear" w:color="auto" w:fill="auto"/>
            <w:vAlign w:val="bottom"/>
          </w:tcPr>
          <w:p w14:paraId="11BD9221" w14:textId="25E2FE60" w:rsidR="00CF663D" w:rsidRPr="0023756B" w:rsidRDefault="00CF663D" w:rsidP="00A4642C">
            <w:pPr>
              <w:pStyle w:val="Tabletext"/>
              <w:jc w:val="right"/>
              <w:rPr>
                <w:i/>
                <w:iCs/>
              </w:rPr>
            </w:pPr>
            <w:r w:rsidRPr="0023756B">
              <w:rPr>
                <w:i/>
                <w:iCs/>
                <w:szCs w:val="20"/>
              </w:rPr>
              <w:t>7.6</w:t>
            </w:r>
          </w:p>
        </w:tc>
        <w:tc>
          <w:tcPr>
            <w:tcW w:w="850" w:type="dxa"/>
            <w:shd w:val="clear" w:color="auto" w:fill="auto"/>
            <w:vAlign w:val="bottom"/>
          </w:tcPr>
          <w:p w14:paraId="309BBA8E" w14:textId="52561EF3" w:rsidR="00CF663D" w:rsidRPr="0023756B" w:rsidRDefault="00CF663D" w:rsidP="00A4642C">
            <w:pPr>
              <w:pStyle w:val="Tabletext"/>
              <w:jc w:val="right"/>
              <w:rPr>
                <w:i/>
                <w:iCs/>
              </w:rPr>
            </w:pPr>
            <w:r w:rsidRPr="0023756B">
              <w:rPr>
                <w:i/>
                <w:iCs/>
                <w:szCs w:val="20"/>
              </w:rPr>
              <w:t>1.7</w:t>
            </w:r>
          </w:p>
        </w:tc>
        <w:tc>
          <w:tcPr>
            <w:tcW w:w="850" w:type="dxa"/>
            <w:shd w:val="clear" w:color="auto" w:fill="auto"/>
            <w:vAlign w:val="bottom"/>
          </w:tcPr>
          <w:p w14:paraId="6150A6C3" w14:textId="690EC458" w:rsidR="00CF663D" w:rsidRPr="0023756B" w:rsidRDefault="00CF663D" w:rsidP="00A4642C">
            <w:pPr>
              <w:pStyle w:val="Tabletext"/>
              <w:jc w:val="right"/>
              <w:rPr>
                <w:i/>
                <w:iCs/>
              </w:rPr>
            </w:pPr>
            <w:r w:rsidRPr="0023756B">
              <w:rPr>
                <w:i/>
                <w:iCs/>
                <w:szCs w:val="20"/>
              </w:rPr>
              <w:t>3.4</w:t>
            </w:r>
          </w:p>
        </w:tc>
        <w:tc>
          <w:tcPr>
            <w:tcW w:w="850" w:type="dxa"/>
            <w:shd w:val="clear" w:color="auto" w:fill="auto"/>
            <w:vAlign w:val="bottom"/>
          </w:tcPr>
          <w:p w14:paraId="6E1A6420" w14:textId="713FF47D" w:rsidR="00CF663D" w:rsidRPr="0023756B" w:rsidRDefault="00CF663D" w:rsidP="00A4642C">
            <w:pPr>
              <w:pStyle w:val="Tabletext"/>
              <w:jc w:val="right"/>
              <w:rPr>
                <w:i/>
                <w:iCs/>
              </w:rPr>
            </w:pPr>
            <w:r w:rsidRPr="0023756B">
              <w:rPr>
                <w:i/>
                <w:iCs/>
                <w:szCs w:val="20"/>
              </w:rPr>
              <w:t>4.2</w:t>
            </w:r>
          </w:p>
        </w:tc>
        <w:tc>
          <w:tcPr>
            <w:tcW w:w="851" w:type="dxa"/>
            <w:shd w:val="clear" w:color="auto" w:fill="auto"/>
            <w:vAlign w:val="bottom"/>
          </w:tcPr>
          <w:p w14:paraId="057FFEF0" w14:textId="57217A4D" w:rsidR="00CF663D" w:rsidRPr="0023756B" w:rsidRDefault="00CF663D" w:rsidP="00A4642C">
            <w:pPr>
              <w:pStyle w:val="Tabletext"/>
              <w:jc w:val="right"/>
              <w:rPr>
                <w:i/>
                <w:iCs/>
              </w:rPr>
            </w:pPr>
            <w:r w:rsidRPr="0023756B">
              <w:rPr>
                <w:i/>
                <w:iCs/>
                <w:szCs w:val="20"/>
              </w:rPr>
              <w:t>3.4</w:t>
            </w:r>
          </w:p>
        </w:tc>
      </w:tr>
      <w:tr w:rsidR="00CF663D" w14:paraId="30FEA394" w14:textId="350F46F4" w:rsidTr="00A4642C">
        <w:trPr>
          <w:gridBefore w:val="1"/>
          <w:wBefore w:w="454" w:type="dxa"/>
        </w:trPr>
        <w:tc>
          <w:tcPr>
            <w:tcW w:w="2247" w:type="dxa"/>
            <w:shd w:val="clear" w:color="auto" w:fill="D5EBDA" w:themeFill="accent6" w:themeFillTint="33"/>
          </w:tcPr>
          <w:p w14:paraId="07597854" w14:textId="06BD0D09" w:rsidR="00CF663D" w:rsidRPr="009F0927" w:rsidRDefault="00CF663D" w:rsidP="00A4642C">
            <w:pPr>
              <w:pStyle w:val="Tabletext"/>
              <w:rPr>
                <w:b/>
                <w:bCs/>
                <w:i/>
                <w:iCs/>
              </w:rPr>
            </w:pPr>
            <w:r w:rsidRPr="009F0927">
              <w:rPr>
                <w:b/>
                <w:bCs/>
              </w:rPr>
              <w:t xml:space="preserve">Global </w:t>
            </w:r>
            <w:r>
              <w:rPr>
                <w:b/>
                <w:bCs/>
              </w:rPr>
              <w:t>shipping</w:t>
            </w:r>
            <w:r w:rsidRPr="009F0927">
              <w:rPr>
                <w:b/>
                <w:bCs/>
              </w:rPr>
              <w:t xml:space="preserve"> industry</w:t>
            </w:r>
          </w:p>
        </w:tc>
        <w:tc>
          <w:tcPr>
            <w:tcW w:w="850" w:type="dxa"/>
            <w:shd w:val="clear" w:color="auto" w:fill="D5EBDA" w:themeFill="accent6" w:themeFillTint="33"/>
            <w:vAlign w:val="bottom"/>
          </w:tcPr>
          <w:p w14:paraId="0E69F1BB" w14:textId="166732CD"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116B43CA" w14:textId="02954843"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5B146057" w14:textId="46B521CB"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37C0E025" w14:textId="400F844C"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7D63AC8D" w14:textId="48B6B949"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73DF9781" w14:textId="7FE6DCAB"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63C41A7C" w14:textId="33738AA1" w:rsidR="00CF663D" w:rsidRPr="0023756B" w:rsidRDefault="00CF663D" w:rsidP="00A4642C">
            <w:pPr>
              <w:pStyle w:val="Tabletext"/>
              <w:jc w:val="right"/>
            </w:pPr>
            <w:r w:rsidRPr="0023756B">
              <w:rPr>
                <w:szCs w:val="20"/>
              </w:rPr>
              <w:t> </w:t>
            </w:r>
          </w:p>
        </w:tc>
        <w:tc>
          <w:tcPr>
            <w:tcW w:w="850" w:type="dxa"/>
            <w:shd w:val="clear" w:color="auto" w:fill="D5EBDA" w:themeFill="accent6" w:themeFillTint="33"/>
            <w:vAlign w:val="bottom"/>
          </w:tcPr>
          <w:p w14:paraId="7538F32A" w14:textId="1B12CD26" w:rsidR="00CF663D" w:rsidRPr="0023756B" w:rsidRDefault="00CF663D" w:rsidP="00A4642C">
            <w:pPr>
              <w:pStyle w:val="Tabletext"/>
              <w:jc w:val="right"/>
            </w:pPr>
            <w:r w:rsidRPr="0023756B">
              <w:rPr>
                <w:szCs w:val="20"/>
              </w:rPr>
              <w:t> </w:t>
            </w:r>
          </w:p>
        </w:tc>
        <w:tc>
          <w:tcPr>
            <w:tcW w:w="851" w:type="dxa"/>
            <w:shd w:val="clear" w:color="auto" w:fill="D5EBDA" w:themeFill="accent6" w:themeFillTint="33"/>
            <w:vAlign w:val="bottom"/>
          </w:tcPr>
          <w:p w14:paraId="24D59695" w14:textId="4607D1FA" w:rsidR="00CF663D" w:rsidRPr="0023756B" w:rsidRDefault="00CF663D" w:rsidP="00A4642C">
            <w:pPr>
              <w:pStyle w:val="Tabletext"/>
              <w:jc w:val="right"/>
            </w:pPr>
            <w:r w:rsidRPr="0023756B">
              <w:rPr>
                <w:szCs w:val="20"/>
              </w:rPr>
              <w:t> </w:t>
            </w:r>
          </w:p>
        </w:tc>
      </w:tr>
      <w:tr w:rsidR="00CF663D" w14:paraId="6C87B00B" w14:textId="0EB9C678" w:rsidTr="00A4642C">
        <w:trPr>
          <w:gridBefore w:val="1"/>
          <w:wBefore w:w="454" w:type="dxa"/>
        </w:trPr>
        <w:tc>
          <w:tcPr>
            <w:tcW w:w="2247" w:type="dxa"/>
            <w:shd w:val="clear" w:color="auto" w:fill="auto"/>
          </w:tcPr>
          <w:p w14:paraId="33D62940" w14:textId="1EE7510C" w:rsidR="00CF663D" w:rsidRPr="009F0927" w:rsidRDefault="00CF663D" w:rsidP="00A4642C">
            <w:pPr>
              <w:pStyle w:val="Tabletext"/>
              <w:rPr>
                <w:b/>
                <w:bCs/>
              </w:rPr>
            </w:pPr>
            <w:r>
              <w:rPr>
                <w:i/>
                <w:iCs/>
              </w:rPr>
              <w:t>N</w:t>
            </w:r>
            <w:r w:rsidRPr="009F0927">
              <w:rPr>
                <w:i/>
                <w:iCs/>
              </w:rPr>
              <w:t>et benefits</w:t>
            </w:r>
          </w:p>
        </w:tc>
        <w:tc>
          <w:tcPr>
            <w:tcW w:w="850" w:type="dxa"/>
            <w:shd w:val="clear" w:color="auto" w:fill="auto"/>
            <w:vAlign w:val="bottom"/>
          </w:tcPr>
          <w:p w14:paraId="39F956D7" w14:textId="744E3947" w:rsidR="00CF663D" w:rsidRPr="0023756B" w:rsidRDefault="00CF40BE" w:rsidP="00A4642C">
            <w:pPr>
              <w:pStyle w:val="Tabletext"/>
              <w:jc w:val="right"/>
              <w:rPr>
                <w:i/>
                <w:iCs/>
                <w:color w:val="FF0000"/>
              </w:rPr>
            </w:pPr>
            <w:r>
              <w:rPr>
                <w:i/>
                <w:iCs/>
                <w:szCs w:val="20"/>
              </w:rPr>
              <w:t>31</w:t>
            </w:r>
            <w:r w:rsidR="00CF663D" w:rsidRPr="0023756B">
              <w:rPr>
                <w:i/>
                <w:iCs/>
                <w:szCs w:val="20"/>
              </w:rPr>
              <w:t>.5</w:t>
            </w:r>
          </w:p>
        </w:tc>
        <w:tc>
          <w:tcPr>
            <w:tcW w:w="850" w:type="dxa"/>
            <w:shd w:val="clear" w:color="auto" w:fill="auto"/>
            <w:vAlign w:val="bottom"/>
          </w:tcPr>
          <w:p w14:paraId="2D8540BC" w14:textId="793F804D" w:rsidR="00CF663D" w:rsidRPr="00CF40BE" w:rsidRDefault="00CF40BE" w:rsidP="00A4642C">
            <w:pPr>
              <w:pStyle w:val="Tabletext"/>
              <w:jc w:val="right"/>
              <w:rPr>
                <w:i/>
                <w:iCs/>
                <w:color w:val="auto"/>
              </w:rPr>
            </w:pPr>
            <w:r w:rsidRPr="00CF40BE">
              <w:rPr>
                <w:i/>
                <w:iCs/>
                <w:color w:val="auto"/>
                <w:szCs w:val="20"/>
              </w:rPr>
              <w:t>2.2</w:t>
            </w:r>
          </w:p>
        </w:tc>
        <w:tc>
          <w:tcPr>
            <w:tcW w:w="850" w:type="dxa"/>
            <w:shd w:val="clear" w:color="auto" w:fill="auto"/>
            <w:vAlign w:val="bottom"/>
          </w:tcPr>
          <w:p w14:paraId="6C1142D6" w14:textId="7976C87A" w:rsidR="00CF663D" w:rsidRPr="00CF40BE" w:rsidRDefault="00CF40BE" w:rsidP="00A4642C">
            <w:pPr>
              <w:pStyle w:val="Tabletext"/>
              <w:jc w:val="right"/>
              <w:rPr>
                <w:i/>
                <w:iCs/>
                <w:color w:val="auto"/>
              </w:rPr>
            </w:pPr>
            <w:r w:rsidRPr="00CF40BE">
              <w:rPr>
                <w:i/>
                <w:iCs/>
                <w:color w:val="auto"/>
              </w:rPr>
              <w:t>3.9</w:t>
            </w:r>
          </w:p>
        </w:tc>
        <w:tc>
          <w:tcPr>
            <w:tcW w:w="850" w:type="dxa"/>
            <w:shd w:val="clear" w:color="auto" w:fill="auto"/>
            <w:vAlign w:val="bottom"/>
          </w:tcPr>
          <w:p w14:paraId="6D3E0413" w14:textId="65DEA32E" w:rsidR="00CF663D" w:rsidRPr="00CF40BE" w:rsidRDefault="00CF40BE" w:rsidP="00A4642C">
            <w:pPr>
              <w:pStyle w:val="Tabletext"/>
              <w:jc w:val="right"/>
              <w:rPr>
                <w:i/>
                <w:iCs/>
                <w:color w:val="auto"/>
              </w:rPr>
            </w:pPr>
            <w:r w:rsidRPr="00CF40BE">
              <w:rPr>
                <w:i/>
                <w:iCs/>
                <w:color w:val="auto"/>
              </w:rPr>
              <w:t>3.9</w:t>
            </w:r>
          </w:p>
        </w:tc>
        <w:tc>
          <w:tcPr>
            <w:tcW w:w="850" w:type="dxa"/>
            <w:shd w:val="clear" w:color="auto" w:fill="auto"/>
            <w:vAlign w:val="bottom"/>
          </w:tcPr>
          <w:p w14:paraId="7F2F4250" w14:textId="77BC9F8C" w:rsidR="00CF663D" w:rsidRPr="00CF40BE" w:rsidRDefault="00CF40BE" w:rsidP="00A4642C">
            <w:pPr>
              <w:pStyle w:val="Tabletext"/>
              <w:jc w:val="right"/>
              <w:rPr>
                <w:i/>
                <w:iCs/>
                <w:color w:val="auto"/>
              </w:rPr>
            </w:pPr>
            <w:r w:rsidRPr="00CF40BE">
              <w:rPr>
                <w:i/>
                <w:iCs/>
                <w:color w:val="auto"/>
              </w:rPr>
              <w:t>12.6</w:t>
            </w:r>
          </w:p>
        </w:tc>
        <w:tc>
          <w:tcPr>
            <w:tcW w:w="850" w:type="dxa"/>
            <w:shd w:val="clear" w:color="auto" w:fill="auto"/>
            <w:vAlign w:val="bottom"/>
          </w:tcPr>
          <w:p w14:paraId="530FE92D" w14:textId="6B5DF6B0" w:rsidR="00CF663D" w:rsidRPr="00CF40BE" w:rsidRDefault="00CF40BE" w:rsidP="00A4642C">
            <w:pPr>
              <w:pStyle w:val="Tabletext"/>
              <w:jc w:val="right"/>
              <w:rPr>
                <w:i/>
                <w:iCs/>
                <w:color w:val="auto"/>
              </w:rPr>
            </w:pPr>
            <w:r w:rsidRPr="00CF40BE">
              <w:rPr>
                <w:i/>
                <w:iCs/>
                <w:color w:val="auto"/>
              </w:rPr>
              <w:t>0.5</w:t>
            </w:r>
          </w:p>
        </w:tc>
        <w:tc>
          <w:tcPr>
            <w:tcW w:w="850" w:type="dxa"/>
            <w:shd w:val="clear" w:color="auto" w:fill="auto"/>
            <w:vAlign w:val="bottom"/>
          </w:tcPr>
          <w:p w14:paraId="247155C4" w14:textId="09EF43C2" w:rsidR="00CF663D" w:rsidRPr="00CF40BE" w:rsidRDefault="00CF40BE" w:rsidP="00A4642C">
            <w:pPr>
              <w:pStyle w:val="Tabletext"/>
              <w:jc w:val="right"/>
              <w:rPr>
                <w:i/>
                <w:iCs/>
                <w:color w:val="auto"/>
              </w:rPr>
            </w:pPr>
            <w:r w:rsidRPr="00CF40BE">
              <w:rPr>
                <w:i/>
                <w:iCs/>
                <w:color w:val="auto"/>
              </w:rPr>
              <w:t>3.9</w:t>
            </w:r>
          </w:p>
        </w:tc>
        <w:tc>
          <w:tcPr>
            <w:tcW w:w="850" w:type="dxa"/>
            <w:shd w:val="clear" w:color="auto" w:fill="auto"/>
            <w:vAlign w:val="bottom"/>
          </w:tcPr>
          <w:p w14:paraId="2AF401B1" w14:textId="3E4E8380" w:rsidR="00CF663D" w:rsidRPr="00CF40BE" w:rsidRDefault="00CF40BE" w:rsidP="00A4642C">
            <w:pPr>
              <w:pStyle w:val="Tabletext"/>
              <w:jc w:val="right"/>
              <w:rPr>
                <w:i/>
                <w:iCs/>
                <w:color w:val="auto"/>
              </w:rPr>
            </w:pPr>
            <w:r w:rsidRPr="00CF40BE">
              <w:rPr>
                <w:i/>
                <w:iCs/>
                <w:color w:val="auto"/>
              </w:rPr>
              <w:t>5.7</w:t>
            </w:r>
          </w:p>
        </w:tc>
        <w:tc>
          <w:tcPr>
            <w:tcW w:w="851" w:type="dxa"/>
            <w:shd w:val="clear" w:color="auto" w:fill="auto"/>
            <w:vAlign w:val="bottom"/>
          </w:tcPr>
          <w:p w14:paraId="6DF1B3B2" w14:textId="5F6E437E" w:rsidR="00CF663D" w:rsidRPr="00CF40BE" w:rsidRDefault="00CF40BE" w:rsidP="00A4642C">
            <w:pPr>
              <w:pStyle w:val="Tabletext"/>
              <w:jc w:val="right"/>
              <w:rPr>
                <w:i/>
                <w:iCs/>
                <w:color w:val="auto"/>
              </w:rPr>
            </w:pPr>
            <w:r w:rsidRPr="00CF40BE">
              <w:rPr>
                <w:i/>
                <w:iCs/>
                <w:color w:val="auto"/>
              </w:rPr>
              <w:t>3.9</w:t>
            </w:r>
          </w:p>
        </w:tc>
      </w:tr>
      <w:tr w:rsidR="00CF663D" w14:paraId="695C05E2" w14:textId="5B3D8F4E" w:rsidTr="00A4642C">
        <w:trPr>
          <w:gridBefore w:val="1"/>
          <w:wBefore w:w="454" w:type="dxa"/>
        </w:trPr>
        <w:tc>
          <w:tcPr>
            <w:tcW w:w="2247" w:type="dxa"/>
            <w:shd w:val="clear" w:color="auto" w:fill="auto"/>
          </w:tcPr>
          <w:p w14:paraId="2C7983EB" w14:textId="7E3C15B1" w:rsidR="00CF663D" w:rsidRPr="009F0927" w:rsidRDefault="00CF663D" w:rsidP="00A4642C">
            <w:pPr>
              <w:pStyle w:val="Tabletext"/>
              <w:rPr>
                <w:b/>
                <w:bCs/>
              </w:rPr>
            </w:pPr>
            <w:r>
              <w:rPr>
                <w:i/>
                <w:iCs/>
              </w:rPr>
              <w:t>NPV (</w:t>
            </w:r>
            <w:r w:rsidRPr="009F0927">
              <w:rPr>
                <w:i/>
                <w:iCs/>
              </w:rPr>
              <w:t xml:space="preserve">7% </w:t>
            </w:r>
            <w:r>
              <w:rPr>
                <w:i/>
                <w:iCs/>
              </w:rPr>
              <w:t>discount rate)</w:t>
            </w:r>
            <w:r w:rsidRPr="009F0927">
              <w:rPr>
                <w:i/>
                <w:iCs/>
              </w:rPr>
              <w:t xml:space="preserve"> </w:t>
            </w:r>
          </w:p>
        </w:tc>
        <w:tc>
          <w:tcPr>
            <w:tcW w:w="850" w:type="dxa"/>
            <w:shd w:val="clear" w:color="auto" w:fill="auto"/>
            <w:vAlign w:val="bottom"/>
          </w:tcPr>
          <w:p w14:paraId="4CC693D4" w14:textId="12171A5C" w:rsidR="00CF663D" w:rsidRPr="0023756B" w:rsidRDefault="00CF663D" w:rsidP="00CF40BE">
            <w:pPr>
              <w:pStyle w:val="Tabletext"/>
              <w:jc w:val="right"/>
              <w:rPr>
                <w:i/>
                <w:iCs/>
                <w:color w:val="FF0000"/>
              </w:rPr>
            </w:pPr>
            <w:r w:rsidRPr="0023756B">
              <w:rPr>
                <w:i/>
                <w:iCs/>
                <w:szCs w:val="20"/>
              </w:rPr>
              <w:t>2</w:t>
            </w:r>
            <w:r w:rsidR="00CF40BE">
              <w:rPr>
                <w:i/>
                <w:iCs/>
                <w:szCs w:val="20"/>
              </w:rPr>
              <w:t>5.9</w:t>
            </w:r>
          </w:p>
        </w:tc>
        <w:tc>
          <w:tcPr>
            <w:tcW w:w="850" w:type="dxa"/>
            <w:shd w:val="clear" w:color="auto" w:fill="auto"/>
            <w:vAlign w:val="bottom"/>
          </w:tcPr>
          <w:p w14:paraId="79221476" w14:textId="3C8694E4" w:rsidR="00CF663D" w:rsidRPr="00CF40BE" w:rsidRDefault="00CF40BE" w:rsidP="00A4642C">
            <w:pPr>
              <w:pStyle w:val="Tabletext"/>
              <w:jc w:val="right"/>
              <w:rPr>
                <w:i/>
                <w:iCs/>
                <w:color w:val="auto"/>
              </w:rPr>
            </w:pPr>
            <w:r w:rsidRPr="00CF40BE">
              <w:rPr>
                <w:i/>
                <w:iCs/>
                <w:color w:val="auto"/>
              </w:rPr>
              <w:t>2.1</w:t>
            </w:r>
          </w:p>
        </w:tc>
        <w:tc>
          <w:tcPr>
            <w:tcW w:w="850" w:type="dxa"/>
            <w:shd w:val="clear" w:color="auto" w:fill="auto"/>
            <w:vAlign w:val="bottom"/>
          </w:tcPr>
          <w:p w14:paraId="2B77FB03" w14:textId="022E5E29" w:rsidR="00CF663D" w:rsidRPr="00CF40BE" w:rsidRDefault="00CF40BE" w:rsidP="00A4642C">
            <w:pPr>
              <w:pStyle w:val="Tabletext"/>
              <w:jc w:val="right"/>
              <w:rPr>
                <w:i/>
                <w:iCs/>
                <w:color w:val="auto"/>
              </w:rPr>
            </w:pPr>
            <w:r w:rsidRPr="00CF40BE">
              <w:rPr>
                <w:i/>
                <w:iCs/>
                <w:color w:val="auto"/>
              </w:rPr>
              <w:t>3.5</w:t>
            </w:r>
          </w:p>
        </w:tc>
        <w:tc>
          <w:tcPr>
            <w:tcW w:w="850" w:type="dxa"/>
            <w:shd w:val="clear" w:color="auto" w:fill="auto"/>
            <w:vAlign w:val="bottom"/>
          </w:tcPr>
          <w:p w14:paraId="34E57D94" w14:textId="777B37A5" w:rsidR="00CF663D" w:rsidRPr="00CF40BE" w:rsidRDefault="00CF40BE" w:rsidP="00A4642C">
            <w:pPr>
              <w:pStyle w:val="Tabletext"/>
              <w:jc w:val="right"/>
              <w:rPr>
                <w:i/>
                <w:iCs/>
                <w:color w:val="auto"/>
              </w:rPr>
            </w:pPr>
            <w:r w:rsidRPr="00CF40BE">
              <w:rPr>
                <w:i/>
                <w:iCs/>
                <w:color w:val="auto"/>
              </w:rPr>
              <w:t>3.5</w:t>
            </w:r>
          </w:p>
        </w:tc>
        <w:tc>
          <w:tcPr>
            <w:tcW w:w="850" w:type="dxa"/>
            <w:shd w:val="clear" w:color="auto" w:fill="auto"/>
            <w:vAlign w:val="bottom"/>
          </w:tcPr>
          <w:p w14:paraId="630F6849" w14:textId="6125B45E" w:rsidR="00CF663D" w:rsidRPr="00CF40BE" w:rsidRDefault="00CF40BE" w:rsidP="00A4642C">
            <w:pPr>
              <w:pStyle w:val="Tabletext"/>
              <w:jc w:val="right"/>
              <w:rPr>
                <w:i/>
                <w:iCs/>
                <w:color w:val="auto"/>
              </w:rPr>
            </w:pPr>
            <w:r w:rsidRPr="00CF40BE">
              <w:rPr>
                <w:i/>
                <w:iCs/>
                <w:color w:val="auto"/>
              </w:rPr>
              <w:t>10.5</w:t>
            </w:r>
          </w:p>
        </w:tc>
        <w:tc>
          <w:tcPr>
            <w:tcW w:w="850" w:type="dxa"/>
            <w:shd w:val="clear" w:color="auto" w:fill="auto"/>
            <w:vAlign w:val="bottom"/>
          </w:tcPr>
          <w:p w14:paraId="6120AA55" w14:textId="6BF25776" w:rsidR="00CF663D" w:rsidRPr="00CF40BE" w:rsidRDefault="00CF40BE" w:rsidP="00A4642C">
            <w:pPr>
              <w:pStyle w:val="Tabletext"/>
              <w:jc w:val="right"/>
              <w:rPr>
                <w:i/>
                <w:iCs/>
                <w:color w:val="auto"/>
              </w:rPr>
            </w:pPr>
            <w:r w:rsidRPr="00CF40BE">
              <w:rPr>
                <w:i/>
                <w:iCs/>
                <w:color w:val="auto"/>
              </w:rPr>
              <w:t>0.7</w:t>
            </w:r>
          </w:p>
        </w:tc>
        <w:tc>
          <w:tcPr>
            <w:tcW w:w="850" w:type="dxa"/>
            <w:shd w:val="clear" w:color="auto" w:fill="auto"/>
            <w:vAlign w:val="bottom"/>
          </w:tcPr>
          <w:p w14:paraId="3D337BB6" w14:textId="01F70055" w:rsidR="00CF663D" w:rsidRPr="00CF40BE" w:rsidRDefault="00CF40BE" w:rsidP="00A4642C">
            <w:pPr>
              <w:pStyle w:val="Tabletext"/>
              <w:jc w:val="right"/>
              <w:rPr>
                <w:i/>
                <w:iCs/>
                <w:color w:val="auto"/>
              </w:rPr>
            </w:pPr>
            <w:r w:rsidRPr="00CF40BE">
              <w:rPr>
                <w:i/>
                <w:iCs/>
                <w:color w:val="auto"/>
              </w:rPr>
              <w:t>3.5</w:t>
            </w:r>
          </w:p>
        </w:tc>
        <w:tc>
          <w:tcPr>
            <w:tcW w:w="850" w:type="dxa"/>
            <w:shd w:val="clear" w:color="auto" w:fill="auto"/>
            <w:vAlign w:val="bottom"/>
          </w:tcPr>
          <w:p w14:paraId="7B1DC01E" w14:textId="2503A829" w:rsidR="00CF663D" w:rsidRPr="00CF40BE" w:rsidRDefault="00CF40BE" w:rsidP="00A4642C">
            <w:pPr>
              <w:pStyle w:val="Tabletext"/>
              <w:jc w:val="right"/>
              <w:rPr>
                <w:i/>
                <w:iCs/>
                <w:color w:val="auto"/>
              </w:rPr>
            </w:pPr>
            <w:r w:rsidRPr="00CF40BE">
              <w:rPr>
                <w:i/>
                <w:iCs/>
                <w:color w:val="auto"/>
              </w:rPr>
              <w:t>4.9</w:t>
            </w:r>
          </w:p>
        </w:tc>
        <w:tc>
          <w:tcPr>
            <w:tcW w:w="851" w:type="dxa"/>
            <w:shd w:val="clear" w:color="auto" w:fill="auto"/>
            <w:vAlign w:val="bottom"/>
          </w:tcPr>
          <w:p w14:paraId="3F603848" w14:textId="402A42B9" w:rsidR="00CF663D" w:rsidRPr="00CF40BE" w:rsidRDefault="00CF40BE" w:rsidP="00A4642C">
            <w:pPr>
              <w:pStyle w:val="Tabletext"/>
              <w:jc w:val="right"/>
              <w:rPr>
                <w:i/>
                <w:iCs/>
                <w:color w:val="auto"/>
              </w:rPr>
            </w:pPr>
            <w:r w:rsidRPr="00CF40BE">
              <w:rPr>
                <w:i/>
                <w:iCs/>
                <w:color w:val="auto"/>
              </w:rPr>
              <w:t>3.5</w:t>
            </w:r>
          </w:p>
        </w:tc>
      </w:tr>
      <w:tr w:rsidR="00CF663D" w14:paraId="005A19CB" w14:textId="77777777" w:rsidTr="00A4642C">
        <w:trPr>
          <w:gridBefore w:val="1"/>
          <w:wBefore w:w="454" w:type="dxa"/>
        </w:trPr>
        <w:tc>
          <w:tcPr>
            <w:tcW w:w="2247" w:type="dxa"/>
            <w:shd w:val="clear" w:color="auto" w:fill="D5EBDA" w:themeFill="accent6" w:themeFillTint="33"/>
          </w:tcPr>
          <w:p w14:paraId="0A5AA63E" w14:textId="77777777" w:rsidR="00CF663D" w:rsidRPr="009F0927" w:rsidRDefault="00CF663D" w:rsidP="00A4642C">
            <w:pPr>
              <w:pStyle w:val="Tabletext"/>
              <w:keepNext/>
              <w:rPr>
                <w:b/>
                <w:bCs/>
              </w:rPr>
            </w:pPr>
            <w:r>
              <w:rPr>
                <w:b/>
                <w:bCs/>
              </w:rPr>
              <w:t>TOTAL NET BENEFITS</w:t>
            </w:r>
          </w:p>
        </w:tc>
        <w:tc>
          <w:tcPr>
            <w:tcW w:w="850" w:type="dxa"/>
            <w:shd w:val="clear" w:color="auto" w:fill="D5EBDA" w:themeFill="accent6" w:themeFillTint="33"/>
            <w:vAlign w:val="bottom"/>
          </w:tcPr>
          <w:p w14:paraId="52A844A8"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1C5EBA59"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791FAF96"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4FA003BA"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48BBE8B0"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6BDA73EA"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369DB8E4" w14:textId="77777777" w:rsidR="00CF663D" w:rsidRDefault="00CF663D" w:rsidP="00A4642C">
            <w:pPr>
              <w:pStyle w:val="Tabletext"/>
              <w:keepNext/>
              <w:jc w:val="right"/>
            </w:pPr>
            <w:r>
              <w:rPr>
                <w:b/>
                <w:bCs/>
                <w:szCs w:val="20"/>
              </w:rPr>
              <w:t> </w:t>
            </w:r>
          </w:p>
        </w:tc>
        <w:tc>
          <w:tcPr>
            <w:tcW w:w="850" w:type="dxa"/>
            <w:shd w:val="clear" w:color="auto" w:fill="D5EBDA" w:themeFill="accent6" w:themeFillTint="33"/>
            <w:vAlign w:val="bottom"/>
          </w:tcPr>
          <w:p w14:paraId="5BCAD76C" w14:textId="77777777" w:rsidR="00CF663D" w:rsidRDefault="00CF663D" w:rsidP="00A4642C">
            <w:pPr>
              <w:pStyle w:val="Tabletext"/>
              <w:keepNext/>
              <w:jc w:val="right"/>
            </w:pPr>
            <w:r>
              <w:rPr>
                <w:b/>
                <w:bCs/>
                <w:szCs w:val="20"/>
              </w:rPr>
              <w:t> </w:t>
            </w:r>
          </w:p>
        </w:tc>
        <w:tc>
          <w:tcPr>
            <w:tcW w:w="851" w:type="dxa"/>
            <w:shd w:val="clear" w:color="auto" w:fill="D5EBDA" w:themeFill="accent6" w:themeFillTint="33"/>
            <w:vAlign w:val="bottom"/>
          </w:tcPr>
          <w:p w14:paraId="0FB726D9" w14:textId="77777777" w:rsidR="00CF663D" w:rsidRDefault="00CF663D" w:rsidP="00A4642C">
            <w:pPr>
              <w:pStyle w:val="Tabletext"/>
              <w:keepNext/>
              <w:jc w:val="right"/>
            </w:pPr>
            <w:r>
              <w:rPr>
                <w:b/>
                <w:bCs/>
                <w:szCs w:val="20"/>
              </w:rPr>
              <w:t> </w:t>
            </w:r>
          </w:p>
        </w:tc>
      </w:tr>
      <w:tr w:rsidR="00CF663D" w14:paraId="436AB903" w14:textId="77777777" w:rsidTr="00A4642C">
        <w:trPr>
          <w:gridBefore w:val="1"/>
          <w:wBefore w:w="454" w:type="dxa"/>
        </w:trPr>
        <w:tc>
          <w:tcPr>
            <w:tcW w:w="2247" w:type="dxa"/>
            <w:shd w:val="clear" w:color="auto" w:fill="E5E5E5" w:themeFill="accent2" w:themeFillTint="33"/>
          </w:tcPr>
          <w:p w14:paraId="47126DAE" w14:textId="7E14F963" w:rsidR="00CF663D" w:rsidRDefault="00CF663D" w:rsidP="00CF663D">
            <w:pPr>
              <w:pStyle w:val="Tabletext"/>
              <w:keepNext/>
              <w:rPr>
                <w:b/>
                <w:bCs/>
                <w:i/>
                <w:iCs/>
              </w:rPr>
            </w:pPr>
            <w:r>
              <w:rPr>
                <w:b/>
                <w:bCs/>
                <w:i/>
                <w:iCs/>
              </w:rPr>
              <w:t>N</w:t>
            </w:r>
            <w:r w:rsidRPr="009F0927">
              <w:rPr>
                <w:b/>
                <w:bCs/>
                <w:i/>
                <w:iCs/>
              </w:rPr>
              <w:t>et benefits</w:t>
            </w:r>
          </w:p>
        </w:tc>
        <w:tc>
          <w:tcPr>
            <w:tcW w:w="850" w:type="dxa"/>
            <w:shd w:val="clear" w:color="auto" w:fill="E5E5E5" w:themeFill="accent2" w:themeFillTint="33"/>
            <w:vAlign w:val="bottom"/>
          </w:tcPr>
          <w:p w14:paraId="29069569" w14:textId="5C71A249" w:rsidR="00CF663D" w:rsidRPr="0023756B" w:rsidRDefault="00CF663D" w:rsidP="00B327C6">
            <w:pPr>
              <w:pStyle w:val="Tabletext"/>
              <w:keepNext/>
              <w:jc w:val="right"/>
              <w:rPr>
                <w:b/>
                <w:bCs/>
                <w:i/>
                <w:iCs/>
                <w:szCs w:val="20"/>
              </w:rPr>
            </w:pPr>
            <w:r w:rsidRPr="0023756B">
              <w:rPr>
                <w:b/>
                <w:bCs/>
                <w:i/>
                <w:iCs/>
                <w:szCs w:val="20"/>
              </w:rPr>
              <w:t>4</w:t>
            </w:r>
            <w:r w:rsidR="00B327C6">
              <w:rPr>
                <w:b/>
                <w:bCs/>
                <w:i/>
                <w:iCs/>
                <w:szCs w:val="20"/>
              </w:rPr>
              <w:t>8</w:t>
            </w:r>
            <w:r w:rsidRPr="0023756B">
              <w:rPr>
                <w:b/>
                <w:bCs/>
                <w:i/>
                <w:iCs/>
                <w:szCs w:val="20"/>
              </w:rPr>
              <w:t>.0</w:t>
            </w:r>
          </w:p>
        </w:tc>
        <w:tc>
          <w:tcPr>
            <w:tcW w:w="850" w:type="dxa"/>
            <w:shd w:val="clear" w:color="auto" w:fill="E5E5E5" w:themeFill="accent2" w:themeFillTint="33"/>
            <w:vAlign w:val="bottom"/>
          </w:tcPr>
          <w:p w14:paraId="7C9EB7E1" w14:textId="071176E1" w:rsidR="00CF663D" w:rsidRPr="0023756B" w:rsidRDefault="00B327C6" w:rsidP="00B327C6">
            <w:pPr>
              <w:pStyle w:val="Tabletext"/>
              <w:keepNext/>
              <w:jc w:val="right"/>
              <w:rPr>
                <w:b/>
                <w:bCs/>
                <w:i/>
                <w:iCs/>
                <w:szCs w:val="20"/>
              </w:rPr>
            </w:pPr>
            <w:r>
              <w:rPr>
                <w:b/>
                <w:bCs/>
                <w:i/>
                <w:iCs/>
                <w:szCs w:val="20"/>
              </w:rPr>
              <w:t>4.7</w:t>
            </w:r>
          </w:p>
        </w:tc>
        <w:tc>
          <w:tcPr>
            <w:tcW w:w="850" w:type="dxa"/>
            <w:shd w:val="clear" w:color="auto" w:fill="E5E5E5" w:themeFill="accent2" w:themeFillTint="33"/>
            <w:vAlign w:val="bottom"/>
          </w:tcPr>
          <w:p w14:paraId="700131AA" w14:textId="26AB9BDF" w:rsidR="00CF663D" w:rsidRPr="0023756B" w:rsidRDefault="00B327C6" w:rsidP="00B327C6">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78DB3B91" w14:textId="41B0DB15" w:rsidR="00CF663D" w:rsidRPr="0023756B" w:rsidRDefault="00B327C6" w:rsidP="00B327C6">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0D8930C6" w14:textId="75BC244F" w:rsidR="00CF663D" w:rsidRPr="0023756B" w:rsidRDefault="00B327C6" w:rsidP="00B327C6">
            <w:pPr>
              <w:pStyle w:val="Tabletext"/>
              <w:keepNext/>
              <w:jc w:val="right"/>
              <w:rPr>
                <w:b/>
                <w:bCs/>
                <w:i/>
                <w:iCs/>
                <w:szCs w:val="20"/>
              </w:rPr>
            </w:pPr>
            <w:r>
              <w:rPr>
                <w:b/>
                <w:bCs/>
                <w:i/>
                <w:iCs/>
                <w:szCs w:val="20"/>
              </w:rPr>
              <w:t>20.0</w:t>
            </w:r>
          </w:p>
        </w:tc>
        <w:tc>
          <w:tcPr>
            <w:tcW w:w="850" w:type="dxa"/>
            <w:shd w:val="clear" w:color="auto" w:fill="E5E5E5" w:themeFill="accent2" w:themeFillTint="33"/>
            <w:vAlign w:val="bottom"/>
          </w:tcPr>
          <w:p w14:paraId="6320E296" w14:textId="396B2798" w:rsidR="00CF663D" w:rsidRPr="00B327C6" w:rsidRDefault="00B327C6" w:rsidP="00B327C6">
            <w:pPr>
              <w:pStyle w:val="Tabletext"/>
              <w:keepNext/>
              <w:jc w:val="right"/>
              <w:rPr>
                <w:b/>
                <w:bCs/>
                <w:i/>
                <w:iCs/>
                <w:color w:val="auto"/>
                <w:szCs w:val="20"/>
              </w:rPr>
            </w:pPr>
            <w:r>
              <w:rPr>
                <w:b/>
                <w:bCs/>
                <w:i/>
                <w:iCs/>
                <w:color w:val="auto"/>
                <w:szCs w:val="20"/>
              </w:rPr>
              <w:t>2.1</w:t>
            </w:r>
          </w:p>
        </w:tc>
        <w:tc>
          <w:tcPr>
            <w:tcW w:w="850" w:type="dxa"/>
            <w:shd w:val="clear" w:color="auto" w:fill="E5E5E5" w:themeFill="accent2" w:themeFillTint="33"/>
            <w:vAlign w:val="bottom"/>
          </w:tcPr>
          <w:p w14:paraId="7FA17958" w14:textId="30762DD2" w:rsidR="00CF663D" w:rsidRPr="0023756B" w:rsidRDefault="00B327C6" w:rsidP="00B327C6">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70B9118A" w14:textId="05263792" w:rsidR="00CF663D" w:rsidRPr="0023756B" w:rsidRDefault="00B327C6" w:rsidP="00B327C6">
            <w:pPr>
              <w:pStyle w:val="Tabletext"/>
              <w:keepNext/>
              <w:jc w:val="right"/>
              <w:rPr>
                <w:b/>
                <w:bCs/>
                <w:i/>
                <w:iCs/>
                <w:szCs w:val="20"/>
              </w:rPr>
            </w:pPr>
            <w:r>
              <w:rPr>
                <w:b/>
                <w:bCs/>
                <w:i/>
                <w:iCs/>
                <w:szCs w:val="20"/>
              </w:rPr>
              <w:t>9.8</w:t>
            </w:r>
          </w:p>
        </w:tc>
        <w:tc>
          <w:tcPr>
            <w:tcW w:w="851" w:type="dxa"/>
            <w:shd w:val="clear" w:color="auto" w:fill="E5E5E5" w:themeFill="accent2" w:themeFillTint="33"/>
            <w:vAlign w:val="bottom"/>
          </w:tcPr>
          <w:p w14:paraId="06E2BC9E" w14:textId="20D225BC" w:rsidR="00CF663D" w:rsidRPr="0023756B" w:rsidRDefault="00B327C6" w:rsidP="00B327C6">
            <w:pPr>
              <w:pStyle w:val="Tabletext"/>
              <w:keepNext/>
              <w:jc w:val="right"/>
              <w:rPr>
                <w:b/>
                <w:bCs/>
                <w:i/>
                <w:iCs/>
                <w:szCs w:val="20"/>
              </w:rPr>
            </w:pPr>
            <w:r>
              <w:rPr>
                <w:b/>
                <w:bCs/>
                <w:i/>
                <w:iCs/>
                <w:szCs w:val="20"/>
              </w:rPr>
              <w:t>7.2</w:t>
            </w:r>
          </w:p>
        </w:tc>
      </w:tr>
      <w:tr w:rsidR="00CF663D" w14:paraId="094A3978" w14:textId="77777777" w:rsidTr="00A4642C">
        <w:trPr>
          <w:gridBefore w:val="1"/>
          <w:wBefore w:w="454" w:type="dxa"/>
        </w:trPr>
        <w:tc>
          <w:tcPr>
            <w:tcW w:w="2247" w:type="dxa"/>
            <w:shd w:val="clear" w:color="auto" w:fill="E5E5E5" w:themeFill="accent2" w:themeFillTint="33"/>
          </w:tcPr>
          <w:p w14:paraId="1B9C34C0" w14:textId="4A7A1749" w:rsidR="00CF663D" w:rsidRPr="009F0927" w:rsidRDefault="00CF663D" w:rsidP="00CF663D">
            <w:pPr>
              <w:pStyle w:val="Tabletext"/>
              <w:keepNext/>
              <w:rPr>
                <w:b/>
                <w:bCs/>
              </w:rPr>
            </w:pPr>
            <w:r w:rsidRPr="0014439F">
              <w:rPr>
                <w:b/>
                <w:bCs/>
                <w:i/>
                <w:iCs/>
              </w:rPr>
              <w:t>NPV (7% discount rate)</w:t>
            </w:r>
          </w:p>
        </w:tc>
        <w:tc>
          <w:tcPr>
            <w:tcW w:w="850" w:type="dxa"/>
            <w:shd w:val="clear" w:color="auto" w:fill="E5E5E5" w:themeFill="accent2" w:themeFillTint="33"/>
            <w:vAlign w:val="bottom"/>
          </w:tcPr>
          <w:p w14:paraId="52A05F79" w14:textId="727EE580" w:rsidR="00CF663D" w:rsidRPr="0023756B" w:rsidRDefault="00B327C6" w:rsidP="00A4642C">
            <w:pPr>
              <w:pStyle w:val="Tabletext"/>
              <w:keepNext/>
              <w:jc w:val="right"/>
              <w:rPr>
                <w:b/>
                <w:bCs/>
                <w:i/>
                <w:iCs/>
              </w:rPr>
            </w:pPr>
            <w:r>
              <w:rPr>
                <w:b/>
                <w:bCs/>
                <w:i/>
                <w:iCs/>
              </w:rPr>
              <w:t>38.2</w:t>
            </w:r>
          </w:p>
        </w:tc>
        <w:tc>
          <w:tcPr>
            <w:tcW w:w="850" w:type="dxa"/>
            <w:shd w:val="clear" w:color="auto" w:fill="E5E5E5" w:themeFill="accent2" w:themeFillTint="33"/>
            <w:vAlign w:val="bottom"/>
          </w:tcPr>
          <w:p w14:paraId="6D7B963F" w14:textId="673D8E4B" w:rsidR="00CF663D" w:rsidRPr="0023756B" w:rsidRDefault="00B327C6" w:rsidP="002A5816">
            <w:pPr>
              <w:pStyle w:val="Tabletext"/>
              <w:keepNext/>
              <w:jc w:val="right"/>
              <w:rPr>
                <w:b/>
                <w:bCs/>
                <w:i/>
                <w:iCs/>
              </w:rPr>
            </w:pPr>
            <w:r>
              <w:rPr>
                <w:b/>
                <w:bCs/>
                <w:i/>
                <w:iCs/>
              </w:rPr>
              <w:t>3.9</w:t>
            </w:r>
          </w:p>
        </w:tc>
        <w:tc>
          <w:tcPr>
            <w:tcW w:w="850" w:type="dxa"/>
            <w:shd w:val="clear" w:color="auto" w:fill="E5E5E5" w:themeFill="accent2" w:themeFillTint="33"/>
            <w:vAlign w:val="bottom"/>
          </w:tcPr>
          <w:p w14:paraId="393FE14E" w14:textId="5A71A378" w:rsidR="00CF663D" w:rsidRPr="0023756B" w:rsidRDefault="00B327C6" w:rsidP="005A10F9">
            <w:pPr>
              <w:pStyle w:val="Tabletext"/>
              <w:keepNext/>
              <w:jc w:val="right"/>
              <w:rPr>
                <w:b/>
                <w:bCs/>
                <w:i/>
                <w:iCs/>
              </w:rPr>
            </w:pPr>
            <w:r>
              <w:rPr>
                <w:b/>
                <w:bCs/>
                <w:i/>
                <w:iCs/>
              </w:rPr>
              <w:t>6.0</w:t>
            </w:r>
          </w:p>
        </w:tc>
        <w:tc>
          <w:tcPr>
            <w:tcW w:w="850" w:type="dxa"/>
            <w:shd w:val="clear" w:color="auto" w:fill="E5E5E5" w:themeFill="accent2" w:themeFillTint="33"/>
            <w:vAlign w:val="bottom"/>
          </w:tcPr>
          <w:p w14:paraId="62B32EE5" w14:textId="43AC582E" w:rsidR="00CF663D" w:rsidRPr="0023756B" w:rsidRDefault="00B327C6" w:rsidP="000C5461">
            <w:pPr>
              <w:pStyle w:val="Tabletext"/>
              <w:keepNext/>
              <w:jc w:val="right"/>
              <w:rPr>
                <w:b/>
                <w:bCs/>
                <w:i/>
                <w:iCs/>
              </w:rPr>
            </w:pPr>
            <w:r>
              <w:rPr>
                <w:b/>
                <w:bCs/>
                <w:i/>
                <w:iCs/>
              </w:rPr>
              <w:t>6.0</w:t>
            </w:r>
          </w:p>
        </w:tc>
        <w:tc>
          <w:tcPr>
            <w:tcW w:w="850" w:type="dxa"/>
            <w:shd w:val="clear" w:color="auto" w:fill="E5E5E5" w:themeFill="accent2" w:themeFillTint="33"/>
            <w:vAlign w:val="bottom"/>
          </w:tcPr>
          <w:p w14:paraId="0F1B04ED" w14:textId="0B9EFFA2" w:rsidR="00CF663D" w:rsidRPr="0023756B" w:rsidRDefault="00B327C6" w:rsidP="007379DC">
            <w:pPr>
              <w:pStyle w:val="Tabletext"/>
              <w:keepNext/>
              <w:jc w:val="right"/>
              <w:rPr>
                <w:b/>
                <w:bCs/>
                <w:i/>
                <w:iCs/>
              </w:rPr>
            </w:pPr>
            <w:r>
              <w:rPr>
                <w:b/>
                <w:bCs/>
                <w:i/>
                <w:iCs/>
              </w:rPr>
              <w:t>16.0</w:t>
            </w:r>
          </w:p>
        </w:tc>
        <w:tc>
          <w:tcPr>
            <w:tcW w:w="850" w:type="dxa"/>
            <w:shd w:val="clear" w:color="auto" w:fill="E5E5E5" w:themeFill="accent2" w:themeFillTint="33"/>
            <w:vAlign w:val="bottom"/>
          </w:tcPr>
          <w:p w14:paraId="1A98A3A2" w14:textId="3EB40ABB" w:rsidR="00CF663D" w:rsidRPr="0023756B" w:rsidRDefault="00B327C6" w:rsidP="00B327C6">
            <w:pPr>
              <w:pStyle w:val="Tabletext"/>
              <w:keepNext/>
              <w:jc w:val="right"/>
              <w:rPr>
                <w:b/>
                <w:bCs/>
                <w:i/>
                <w:iCs/>
              </w:rPr>
            </w:pPr>
            <w:r>
              <w:rPr>
                <w:b/>
                <w:bCs/>
                <w:i/>
                <w:iCs/>
              </w:rPr>
              <w:t>1.9</w:t>
            </w:r>
          </w:p>
        </w:tc>
        <w:tc>
          <w:tcPr>
            <w:tcW w:w="850" w:type="dxa"/>
            <w:shd w:val="clear" w:color="auto" w:fill="E5E5E5" w:themeFill="accent2" w:themeFillTint="33"/>
            <w:vAlign w:val="bottom"/>
          </w:tcPr>
          <w:p w14:paraId="6CCA45C8" w14:textId="4BBAD5E2" w:rsidR="00CF663D" w:rsidRPr="0023756B" w:rsidRDefault="00B327C6" w:rsidP="00B327C6">
            <w:pPr>
              <w:pStyle w:val="Tabletext"/>
              <w:keepNext/>
              <w:jc w:val="right"/>
              <w:rPr>
                <w:b/>
                <w:bCs/>
                <w:i/>
                <w:iCs/>
              </w:rPr>
            </w:pPr>
            <w:r>
              <w:rPr>
                <w:b/>
                <w:bCs/>
                <w:i/>
                <w:iCs/>
              </w:rPr>
              <w:t>6.0</w:t>
            </w:r>
          </w:p>
        </w:tc>
        <w:tc>
          <w:tcPr>
            <w:tcW w:w="850" w:type="dxa"/>
            <w:shd w:val="clear" w:color="auto" w:fill="E5E5E5" w:themeFill="accent2" w:themeFillTint="33"/>
            <w:vAlign w:val="bottom"/>
          </w:tcPr>
          <w:p w14:paraId="26E3F1E2" w14:textId="0E52C5F8" w:rsidR="00CF663D" w:rsidRPr="0023756B" w:rsidRDefault="00B327C6" w:rsidP="00B327C6">
            <w:pPr>
              <w:pStyle w:val="Tabletext"/>
              <w:keepNext/>
              <w:jc w:val="right"/>
              <w:rPr>
                <w:b/>
                <w:bCs/>
                <w:i/>
                <w:iCs/>
              </w:rPr>
            </w:pPr>
            <w:r>
              <w:rPr>
                <w:b/>
                <w:bCs/>
                <w:i/>
                <w:iCs/>
              </w:rPr>
              <w:t>8.0</w:t>
            </w:r>
          </w:p>
        </w:tc>
        <w:tc>
          <w:tcPr>
            <w:tcW w:w="851" w:type="dxa"/>
            <w:shd w:val="clear" w:color="auto" w:fill="E5E5E5" w:themeFill="accent2" w:themeFillTint="33"/>
            <w:vAlign w:val="bottom"/>
          </w:tcPr>
          <w:p w14:paraId="11C3380E" w14:textId="434231F2" w:rsidR="00CF663D" w:rsidRPr="0023756B" w:rsidRDefault="00B327C6" w:rsidP="00B327C6">
            <w:pPr>
              <w:pStyle w:val="Tabletext"/>
              <w:keepNext/>
              <w:jc w:val="right"/>
              <w:rPr>
                <w:b/>
                <w:bCs/>
                <w:i/>
                <w:iCs/>
              </w:rPr>
            </w:pPr>
            <w:r>
              <w:rPr>
                <w:b/>
                <w:bCs/>
                <w:i/>
                <w:iCs/>
              </w:rPr>
              <w:t>6.0</w:t>
            </w:r>
          </w:p>
        </w:tc>
      </w:tr>
      <w:tr w:rsidR="00A4642C" w14:paraId="71FF27B6" w14:textId="77777777" w:rsidTr="00A4642C">
        <w:trPr>
          <w:gridBefore w:val="1"/>
          <w:wBefore w:w="454" w:type="dxa"/>
        </w:trPr>
        <w:tc>
          <w:tcPr>
            <w:tcW w:w="2247" w:type="dxa"/>
            <w:shd w:val="clear" w:color="auto" w:fill="CAE4EE" w:themeFill="accent5" w:themeFillTint="66"/>
          </w:tcPr>
          <w:p w14:paraId="5CA6E189" w14:textId="77777777" w:rsidR="00A4642C" w:rsidRPr="009F0927" w:rsidRDefault="00A4642C" w:rsidP="00A4642C">
            <w:pPr>
              <w:pStyle w:val="Tabletext"/>
              <w:keepNext/>
              <w:rPr>
                <w:b/>
                <w:bCs/>
                <w:i/>
                <w:iCs/>
              </w:rPr>
            </w:pPr>
            <w:r>
              <w:rPr>
                <w:b/>
                <w:bCs/>
              </w:rPr>
              <w:t>TOTAL COSTS</w:t>
            </w:r>
          </w:p>
        </w:tc>
        <w:tc>
          <w:tcPr>
            <w:tcW w:w="850" w:type="dxa"/>
            <w:shd w:val="clear" w:color="auto" w:fill="CAE4EE" w:themeFill="accent5" w:themeFillTint="66"/>
          </w:tcPr>
          <w:p w14:paraId="092720C9" w14:textId="77777777" w:rsidR="00A4642C" w:rsidRPr="00894500" w:rsidRDefault="00A4642C" w:rsidP="00A4642C">
            <w:pPr>
              <w:pStyle w:val="Tabletext"/>
              <w:keepNext/>
              <w:jc w:val="right"/>
            </w:pPr>
          </w:p>
        </w:tc>
        <w:tc>
          <w:tcPr>
            <w:tcW w:w="850" w:type="dxa"/>
            <w:shd w:val="clear" w:color="auto" w:fill="CAE4EE" w:themeFill="accent5" w:themeFillTint="66"/>
          </w:tcPr>
          <w:p w14:paraId="3D217498" w14:textId="77777777" w:rsidR="00A4642C" w:rsidRPr="00894500" w:rsidRDefault="00A4642C" w:rsidP="00A4642C">
            <w:pPr>
              <w:pStyle w:val="Tabletext"/>
              <w:keepNext/>
              <w:jc w:val="right"/>
            </w:pPr>
          </w:p>
        </w:tc>
        <w:tc>
          <w:tcPr>
            <w:tcW w:w="850" w:type="dxa"/>
            <w:shd w:val="clear" w:color="auto" w:fill="CAE4EE" w:themeFill="accent5" w:themeFillTint="66"/>
          </w:tcPr>
          <w:p w14:paraId="4782C030" w14:textId="77777777" w:rsidR="00A4642C" w:rsidRPr="00894500" w:rsidRDefault="00A4642C" w:rsidP="00A4642C">
            <w:pPr>
              <w:pStyle w:val="Tabletext"/>
              <w:keepNext/>
              <w:jc w:val="right"/>
            </w:pPr>
          </w:p>
        </w:tc>
        <w:tc>
          <w:tcPr>
            <w:tcW w:w="850" w:type="dxa"/>
            <w:shd w:val="clear" w:color="auto" w:fill="CAE4EE" w:themeFill="accent5" w:themeFillTint="66"/>
          </w:tcPr>
          <w:p w14:paraId="7E13CA86" w14:textId="77777777" w:rsidR="00A4642C" w:rsidRPr="00894500" w:rsidRDefault="00A4642C" w:rsidP="00A4642C">
            <w:pPr>
              <w:pStyle w:val="Tabletext"/>
              <w:keepNext/>
              <w:jc w:val="right"/>
            </w:pPr>
          </w:p>
        </w:tc>
        <w:tc>
          <w:tcPr>
            <w:tcW w:w="850" w:type="dxa"/>
            <w:shd w:val="clear" w:color="auto" w:fill="CAE4EE" w:themeFill="accent5" w:themeFillTint="66"/>
          </w:tcPr>
          <w:p w14:paraId="584D75C2" w14:textId="77777777" w:rsidR="00A4642C" w:rsidRPr="00894500" w:rsidRDefault="00A4642C" w:rsidP="00A4642C">
            <w:pPr>
              <w:pStyle w:val="Tabletext"/>
              <w:keepNext/>
              <w:jc w:val="right"/>
            </w:pPr>
          </w:p>
        </w:tc>
        <w:tc>
          <w:tcPr>
            <w:tcW w:w="850" w:type="dxa"/>
            <w:shd w:val="clear" w:color="auto" w:fill="CAE4EE" w:themeFill="accent5" w:themeFillTint="66"/>
          </w:tcPr>
          <w:p w14:paraId="2EAB6FB7" w14:textId="77777777" w:rsidR="00A4642C" w:rsidRPr="00894500" w:rsidRDefault="00A4642C" w:rsidP="00A4642C">
            <w:pPr>
              <w:pStyle w:val="Tabletext"/>
              <w:keepNext/>
              <w:jc w:val="right"/>
            </w:pPr>
          </w:p>
        </w:tc>
        <w:tc>
          <w:tcPr>
            <w:tcW w:w="850" w:type="dxa"/>
            <w:shd w:val="clear" w:color="auto" w:fill="CAE4EE" w:themeFill="accent5" w:themeFillTint="66"/>
          </w:tcPr>
          <w:p w14:paraId="01E989F7" w14:textId="77777777" w:rsidR="00A4642C" w:rsidRPr="00894500" w:rsidRDefault="00A4642C" w:rsidP="00A4642C">
            <w:pPr>
              <w:pStyle w:val="Tabletext"/>
              <w:keepNext/>
              <w:jc w:val="right"/>
            </w:pPr>
          </w:p>
        </w:tc>
        <w:tc>
          <w:tcPr>
            <w:tcW w:w="850" w:type="dxa"/>
            <w:shd w:val="clear" w:color="auto" w:fill="CAE4EE" w:themeFill="accent5" w:themeFillTint="66"/>
          </w:tcPr>
          <w:p w14:paraId="775E6AF8" w14:textId="77777777" w:rsidR="00A4642C" w:rsidRPr="00894500" w:rsidRDefault="00A4642C" w:rsidP="00A4642C">
            <w:pPr>
              <w:pStyle w:val="Tabletext"/>
              <w:keepNext/>
              <w:jc w:val="right"/>
            </w:pPr>
          </w:p>
        </w:tc>
        <w:tc>
          <w:tcPr>
            <w:tcW w:w="851" w:type="dxa"/>
            <w:shd w:val="clear" w:color="auto" w:fill="CAE4EE" w:themeFill="accent5" w:themeFillTint="66"/>
          </w:tcPr>
          <w:p w14:paraId="7C3AACAB" w14:textId="77777777" w:rsidR="00A4642C" w:rsidRPr="00894500" w:rsidRDefault="00A4642C" w:rsidP="00A4642C">
            <w:pPr>
              <w:pStyle w:val="Tabletext"/>
              <w:keepNext/>
              <w:jc w:val="right"/>
            </w:pPr>
          </w:p>
        </w:tc>
      </w:tr>
      <w:tr w:rsidR="00B327C6" w14:paraId="24171236" w14:textId="77777777" w:rsidTr="00B327C6">
        <w:trPr>
          <w:gridBefore w:val="1"/>
          <w:wBefore w:w="454" w:type="dxa"/>
        </w:trPr>
        <w:tc>
          <w:tcPr>
            <w:tcW w:w="2247" w:type="dxa"/>
            <w:shd w:val="clear" w:color="auto" w:fill="auto"/>
          </w:tcPr>
          <w:p w14:paraId="64A35A3D" w14:textId="77777777" w:rsidR="00B327C6" w:rsidRPr="009F0927" w:rsidRDefault="00B327C6" w:rsidP="00B327C6">
            <w:pPr>
              <w:pStyle w:val="Tabletext"/>
              <w:rPr>
                <w:b/>
                <w:bCs/>
                <w:i/>
                <w:iCs/>
              </w:rPr>
            </w:pPr>
            <w:r>
              <w:rPr>
                <w:b/>
                <w:bCs/>
                <w:i/>
                <w:iCs/>
              </w:rPr>
              <w:t>Undiscounted</w:t>
            </w:r>
          </w:p>
        </w:tc>
        <w:tc>
          <w:tcPr>
            <w:tcW w:w="850" w:type="dxa"/>
            <w:shd w:val="clear" w:color="auto" w:fill="auto"/>
            <w:vAlign w:val="bottom"/>
          </w:tcPr>
          <w:p w14:paraId="69C9D05E" w14:textId="2BC1BC33" w:rsidR="00B327C6" w:rsidRPr="00B327C6" w:rsidRDefault="00B327C6" w:rsidP="00B327C6">
            <w:pPr>
              <w:pStyle w:val="Tabletext"/>
              <w:jc w:val="right"/>
              <w:rPr>
                <w:b/>
                <w:bCs/>
                <w:i/>
                <w:iCs/>
                <w:color w:val="auto"/>
              </w:rPr>
            </w:pPr>
            <w:r w:rsidRPr="00B327C6">
              <w:rPr>
                <w:b/>
                <w:bCs/>
                <w:i/>
                <w:iCs/>
                <w:color w:val="auto"/>
              </w:rPr>
              <w:t>3.0</w:t>
            </w:r>
          </w:p>
        </w:tc>
        <w:tc>
          <w:tcPr>
            <w:tcW w:w="850" w:type="dxa"/>
            <w:shd w:val="clear" w:color="auto" w:fill="auto"/>
          </w:tcPr>
          <w:p w14:paraId="7E4B89CD" w14:textId="54A9D4E6" w:rsidR="00B327C6" w:rsidRPr="00B327C6" w:rsidRDefault="00B327C6" w:rsidP="00B327C6">
            <w:pPr>
              <w:pStyle w:val="Tabletext"/>
              <w:jc w:val="right"/>
              <w:rPr>
                <w:b/>
                <w:bCs/>
                <w:i/>
                <w:iCs/>
                <w:color w:val="auto"/>
              </w:rPr>
            </w:pPr>
            <w:r w:rsidRPr="00583F95">
              <w:rPr>
                <w:b/>
                <w:bCs/>
                <w:i/>
                <w:iCs/>
                <w:color w:val="auto"/>
              </w:rPr>
              <w:t>3.0</w:t>
            </w:r>
          </w:p>
        </w:tc>
        <w:tc>
          <w:tcPr>
            <w:tcW w:w="850" w:type="dxa"/>
            <w:shd w:val="clear" w:color="auto" w:fill="auto"/>
          </w:tcPr>
          <w:p w14:paraId="32F26DA4" w14:textId="125950FA" w:rsidR="00B327C6" w:rsidRPr="00B327C6" w:rsidRDefault="00B327C6" w:rsidP="00B327C6">
            <w:pPr>
              <w:pStyle w:val="Tabletext"/>
              <w:jc w:val="right"/>
              <w:rPr>
                <w:b/>
                <w:bCs/>
                <w:i/>
                <w:iCs/>
                <w:color w:val="auto"/>
              </w:rPr>
            </w:pPr>
            <w:r w:rsidRPr="00583F95">
              <w:rPr>
                <w:b/>
                <w:bCs/>
                <w:i/>
                <w:iCs/>
                <w:color w:val="auto"/>
              </w:rPr>
              <w:t>3.0</w:t>
            </w:r>
          </w:p>
        </w:tc>
        <w:tc>
          <w:tcPr>
            <w:tcW w:w="850" w:type="dxa"/>
            <w:shd w:val="clear" w:color="auto" w:fill="auto"/>
          </w:tcPr>
          <w:p w14:paraId="19650346" w14:textId="07843CFF" w:rsidR="00B327C6" w:rsidRPr="0023756B" w:rsidRDefault="00B327C6" w:rsidP="00B327C6">
            <w:pPr>
              <w:pStyle w:val="Tabletext"/>
              <w:jc w:val="right"/>
              <w:rPr>
                <w:b/>
                <w:bCs/>
                <w:i/>
                <w:iCs/>
                <w:color w:val="FF0000"/>
              </w:rPr>
            </w:pPr>
            <w:r w:rsidRPr="00583F95">
              <w:rPr>
                <w:b/>
                <w:bCs/>
                <w:i/>
                <w:iCs/>
                <w:color w:val="auto"/>
              </w:rPr>
              <w:t>3.0</w:t>
            </w:r>
          </w:p>
        </w:tc>
        <w:tc>
          <w:tcPr>
            <w:tcW w:w="850" w:type="dxa"/>
            <w:shd w:val="clear" w:color="auto" w:fill="auto"/>
          </w:tcPr>
          <w:p w14:paraId="533B4DF9" w14:textId="7724C29F" w:rsidR="00B327C6" w:rsidRPr="0023756B" w:rsidRDefault="00B327C6" w:rsidP="00B327C6">
            <w:pPr>
              <w:pStyle w:val="Tabletext"/>
              <w:jc w:val="right"/>
              <w:rPr>
                <w:b/>
                <w:bCs/>
                <w:i/>
                <w:iCs/>
                <w:color w:val="FF0000"/>
              </w:rPr>
            </w:pPr>
            <w:r w:rsidRPr="00583F95">
              <w:rPr>
                <w:b/>
                <w:bCs/>
                <w:i/>
                <w:iCs/>
                <w:color w:val="auto"/>
              </w:rPr>
              <w:t>3.0</w:t>
            </w:r>
          </w:p>
        </w:tc>
        <w:tc>
          <w:tcPr>
            <w:tcW w:w="850" w:type="dxa"/>
            <w:shd w:val="clear" w:color="auto" w:fill="auto"/>
          </w:tcPr>
          <w:p w14:paraId="252B367B" w14:textId="584B529C" w:rsidR="00B327C6" w:rsidRPr="0023756B" w:rsidRDefault="00B327C6" w:rsidP="00B327C6">
            <w:pPr>
              <w:pStyle w:val="Tabletext"/>
              <w:jc w:val="right"/>
              <w:rPr>
                <w:b/>
                <w:bCs/>
                <w:i/>
                <w:iCs/>
                <w:color w:val="FF0000"/>
              </w:rPr>
            </w:pPr>
            <w:r w:rsidRPr="00583F95">
              <w:rPr>
                <w:b/>
                <w:bCs/>
                <w:i/>
                <w:iCs/>
                <w:color w:val="auto"/>
              </w:rPr>
              <w:t>3.0</w:t>
            </w:r>
          </w:p>
        </w:tc>
        <w:tc>
          <w:tcPr>
            <w:tcW w:w="850" w:type="dxa"/>
            <w:shd w:val="clear" w:color="auto" w:fill="auto"/>
          </w:tcPr>
          <w:p w14:paraId="05D5CB2D" w14:textId="5CAD0675" w:rsidR="00B327C6" w:rsidRPr="0023756B" w:rsidRDefault="00B327C6" w:rsidP="00B327C6">
            <w:pPr>
              <w:pStyle w:val="Tabletext"/>
              <w:jc w:val="right"/>
              <w:rPr>
                <w:b/>
                <w:bCs/>
                <w:i/>
                <w:iCs/>
                <w:color w:val="FF0000"/>
              </w:rPr>
            </w:pPr>
            <w:r w:rsidRPr="00583F95">
              <w:rPr>
                <w:b/>
                <w:bCs/>
                <w:i/>
                <w:iCs/>
                <w:color w:val="auto"/>
              </w:rPr>
              <w:t>3.0</w:t>
            </w:r>
          </w:p>
        </w:tc>
        <w:tc>
          <w:tcPr>
            <w:tcW w:w="850" w:type="dxa"/>
            <w:shd w:val="clear" w:color="auto" w:fill="auto"/>
          </w:tcPr>
          <w:p w14:paraId="75E0438D" w14:textId="74DDA3E5" w:rsidR="00B327C6" w:rsidRPr="0023756B" w:rsidRDefault="00B327C6" w:rsidP="00B327C6">
            <w:pPr>
              <w:pStyle w:val="Tabletext"/>
              <w:jc w:val="right"/>
              <w:rPr>
                <w:b/>
                <w:bCs/>
                <w:i/>
                <w:iCs/>
                <w:color w:val="FF0000"/>
              </w:rPr>
            </w:pPr>
            <w:r w:rsidRPr="00583F95">
              <w:rPr>
                <w:b/>
                <w:bCs/>
                <w:i/>
                <w:iCs/>
                <w:color w:val="auto"/>
              </w:rPr>
              <w:t>3.0</w:t>
            </w:r>
          </w:p>
        </w:tc>
        <w:tc>
          <w:tcPr>
            <w:tcW w:w="851" w:type="dxa"/>
            <w:shd w:val="clear" w:color="auto" w:fill="auto"/>
          </w:tcPr>
          <w:p w14:paraId="378C7FFE" w14:textId="75E58FE2" w:rsidR="00B327C6" w:rsidRPr="0023756B" w:rsidRDefault="00B327C6" w:rsidP="00B327C6">
            <w:pPr>
              <w:pStyle w:val="Tabletext"/>
              <w:jc w:val="right"/>
              <w:rPr>
                <w:b/>
                <w:bCs/>
                <w:i/>
                <w:iCs/>
                <w:color w:val="FF0000"/>
              </w:rPr>
            </w:pPr>
            <w:r w:rsidRPr="00583F95">
              <w:rPr>
                <w:b/>
                <w:bCs/>
                <w:i/>
                <w:iCs/>
                <w:color w:val="auto"/>
              </w:rPr>
              <w:t>3.0</w:t>
            </w:r>
          </w:p>
        </w:tc>
      </w:tr>
      <w:tr w:rsidR="00B327C6" w14:paraId="52FBA91E" w14:textId="77777777" w:rsidTr="00CF40BE">
        <w:trPr>
          <w:gridBefore w:val="1"/>
          <w:wBefore w:w="454" w:type="dxa"/>
        </w:trPr>
        <w:tc>
          <w:tcPr>
            <w:tcW w:w="2247" w:type="dxa"/>
            <w:shd w:val="clear" w:color="auto" w:fill="auto"/>
          </w:tcPr>
          <w:p w14:paraId="24225A6A" w14:textId="39C253E8" w:rsidR="00B327C6" w:rsidRPr="009F0927" w:rsidRDefault="00B327C6" w:rsidP="00B327C6">
            <w:pPr>
              <w:pStyle w:val="Tabletext"/>
              <w:rPr>
                <w:b/>
                <w:bCs/>
                <w:i/>
                <w:iCs/>
              </w:rPr>
            </w:pPr>
            <w:r>
              <w:rPr>
                <w:b/>
                <w:bCs/>
                <w:i/>
                <w:iCs/>
              </w:rPr>
              <w:t>D</w:t>
            </w:r>
            <w:r w:rsidRPr="009F0927">
              <w:rPr>
                <w:b/>
                <w:bCs/>
                <w:i/>
                <w:iCs/>
              </w:rPr>
              <w:t xml:space="preserve">iscounted @7% </w:t>
            </w:r>
          </w:p>
        </w:tc>
        <w:tc>
          <w:tcPr>
            <w:tcW w:w="850" w:type="dxa"/>
            <w:shd w:val="clear" w:color="auto" w:fill="auto"/>
            <w:vAlign w:val="bottom"/>
          </w:tcPr>
          <w:p w14:paraId="54F36235" w14:textId="2248C11C" w:rsidR="00B327C6" w:rsidRPr="0023756B" w:rsidRDefault="00B327C6" w:rsidP="00B327C6">
            <w:pPr>
              <w:pStyle w:val="Tabletext"/>
              <w:jc w:val="right"/>
              <w:rPr>
                <w:b/>
                <w:bCs/>
                <w:i/>
                <w:iCs/>
                <w:color w:val="FF0000"/>
              </w:rPr>
            </w:pPr>
            <w:r w:rsidRPr="00B327C6">
              <w:rPr>
                <w:b/>
                <w:bCs/>
                <w:i/>
                <w:iCs/>
                <w:color w:val="auto"/>
              </w:rPr>
              <w:t>2.1</w:t>
            </w:r>
          </w:p>
        </w:tc>
        <w:tc>
          <w:tcPr>
            <w:tcW w:w="850" w:type="dxa"/>
            <w:shd w:val="clear" w:color="auto" w:fill="auto"/>
          </w:tcPr>
          <w:p w14:paraId="180B72F5" w14:textId="1C842B0D"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0A45E378" w14:textId="15744A85"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36342A7E" w14:textId="295B9E05"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0A4EEA96" w14:textId="3AC9E728"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108A228F" w14:textId="6EB5ABFD"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1E5C85EB" w14:textId="4A940D88" w:rsidR="00B327C6" w:rsidRPr="0023756B" w:rsidRDefault="00B327C6" w:rsidP="00B327C6">
            <w:pPr>
              <w:pStyle w:val="Tabletext"/>
              <w:jc w:val="right"/>
              <w:rPr>
                <w:b/>
                <w:bCs/>
                <w:i/>
                <w:iCs/>
                <w:color w:val="FF0000"/>
              </w:rPr>
            </w:pPr>
            <w:r w:rsidRPr="000629B1">
              <w:rPr>
                <w:b/>
                <w:bCs/>
                <w:i/>
                <w:iCs/>
                <w:color w:val="auto"/>
              </w:rPr>
              <w:t>2.1</w:t>
            </w:r>
          </w:p>
        </w:tc>
        <w:tc>
          <w:tcPr>
            <w:tcW w:w="850" w:type="dxa"/>
            <w:shd w:val="clear" w:color="auto" w:fill="auto"/>
          </w:tcPr>
          <w:p w14:paraId="5E8A442A" w14:textId="2CD807BA" w:rsidR="00B327C6" w:rsidRPr="0023756B" w:rsidRDefault="00B327C6" w:rsidP="00B327C6">
            <w:pPr>
              <w:pStyle w:val="Tabletext"/>
              <w:jc w:val="right"/>
              <w:rPr>
                <w:b/>
                <w:bCs/>
                <w:i/>
                <w:iCs/>
                <w:color w:val="FF0000"/>
              </w:rPr>
            </w:pPr>
            <w:r w:rsidRPr="000629B1">
              <w:rPr>
                <w:b/>
                <w:bCs/>
                <w:i/>
                <w:iCs/>
                <w:color w:val="auto"/>
              </w:rPr>
              <w:t>2.1</w:t>
            </w:r>
          </w:p>
        </w:tc>
        <w:tc>
          <w:tcPr>
            <w:tcW w:w="851" w:type="dxa"/>
            <w:shd w:val="clear" w:color="auto" w:fill="auto"/>
          </w:tcPr>
          <w:p w14:paraId="7965D725" w14:textId="76AD44EE" w:rsidR="00B327C6" w:rsidRPr="0023756B" w:rsidRDefault="00B327C6" w:rsidP="00B327C6">
            <w:pPr>
              <w:pStyle w:val="Tabletext"/>
              <w:jc w:val="right"/>
              <w:rPr>
                <w:b/>
                <w:bCs/>
                <w:i/>
                <w:iCs/>
                <w:color w:val="FF0000"/>
              </w:rPr>
            </w:pPr>
            <w:r w:rsidRPr="000629B1">
              <w:rPr>
                <w:b/>
                <w:bCs/>
                <w:i/>
                <w:iCs/>
                <w:color w:val="auto"/>
              </w:rPr>
              <w:t>2.1</w:t>
            </w:r>
          </w:p>
        </w:tc>
      </w:tr>
      <w:tr w:rsidR="00A4642C" w14:paraId="13594DF3" w14:textId="77777777" w:rsidTr="00A4642C">
        <w:trPr>
          <w:gridBefore w:val="1"/>
          <w:wBefore w:w="454" w:type="dxa"/>
        </w:trPr>
        <w:tc>
          <w:tcPr>
            <w:tcW w:w="2247" w:type="dxa"/>
            <w:shd w:val="clear" w:color="auto" w:fill="CAE4EE" w:themeFill="accent5" w:themeFillTint="66"/>
          </w:tcPr>
          <w:p w14:paraId="1B93B559" w14:textId="77777777" w:rsidR="00A4642C" w:rsidRPr="009F0927" w:rsidRDefault="00A4642C" w:rsidP="00A4642C">
            <w:pPr>
              <w:pStyle w:val="Tabletext"/>
              <w:keepNext/>
              <w:rPr>
                <w:b/>
                <w:bCs/>
                <w:i/>
                <w:iCs/>
              </w:rPr>
            </w:pPr>
            <w:r>
              <w:rPr>
                <w:b/>
                <w:bCs/>
              </w:rPr>
              <w:t>TOTAL BENEFITS</w:t>
            </w:r>
          </w:p>
        </w:tc>
        <w:tc>
          <w:tcPr>
            <w:tcW w:w="850" w:type="dxa"/>
            <w:shd w:val="clear" w:color="auto" w:fill="CAE4EE" w:themeFill="accent5" w:themeFillTint="66"/>
            <w:vAlign w:val="bottom"/>
          </w:tcPr>
          <w:p w14:paraId="0CA0DBD2"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21DBB84"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9AF8196"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7D0B07AB"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2B322375"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3D870E8E"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01462945" w14:textId="77777777" w:rsidR="00A4642C" w:rsidRPr="0023756B" w:rsidRDefault="00A4642C" w:rsidP="00A4642C">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7BA9DAB5" w14:textId="77777777" w:rsidR="00A4642C" w:rsidRPr="0023756B" w:rsidRDefault="00A4642C" w:rsidP="00A4642C">
            <w:pPr>
              <w:pStyle w:val="Tabletext"/>
              <w:keepNext/>
              <w:jc w:val="right"/>
              <w:rPr>
                <w:b/>
                <w:bCs/>
                <w:i/>
                <w:iCs/>
              </w:rPr>
            </w:pPr>
            <w:r w:rsidRPr="0023756B">
              <w:rPr>
                <w:b/>
                <w:bCs/>
                <w:i/>
                <w:iCs/>
                <w:szCs w:val="20"/>
              </w:rPr>
              <w:t> </w:t>
            </w:r>
          </w:p>
        </w:tc>
        <w:tc>
          <w:tcPr>
            <w:tcW w:w="851" w:type="dxa"/>
            <w:shd w:val="clear" w:color="auto" w:fill="CAE4EE" w:themeFill="accent5" w:themeFillTint="66"/>
            <w:vAlign w:val="bottom"/>
          </w:tcPr>
          <w:p w14:paraId="3E385D1F" w14:textId="77777777" w:rsidR="00A4642C" w:rsidRPr="0023756B" w:rsidRDefault="00A4642C" w:rsidP="00A4642C">
            <w:pPr>
              <w:pStyle w:val="Tabletext"/>
              <w:keepNext/>
              <w:jc w:val="right"/>
              <w:rPr>
                <w:b/>
                <w:bCs/>
                <w:i/>
                <w:iCs/>
              </w:rPr>
            </w:pPr>
            <w:r w:rsidRPr="0023756B">
              <w:rPr>
                <w:b/>
                <w:bCs/>
                <w:i/>
                <w:iCs/>
                <w:szCs w:val="20"/>
              </w:rPr>
              <w:t> </w:t>
            </w:r>
          </w:p>
        </w:tc>
      </w:tr>
      <w:tr w:rsidR="00A4642C" w14:paraId="1555021C" w14:textId="77777777" w:rsidTr="00A4642C">
        <w:trPr>
          <w:gridBefore w:val="1"/>
          <w:wBefore w:w="454" w:type="dxa"/>
        </w:trPr>
        <w:tc>
          <w:tcPr>
            <w:tcW w:w="2247" w:type="dxa"/>
            <w:shd w:val="clear" w:color="auto" w:fill="auto"/>
          </w:tcPr>
          <w:p w14:paraId="64101507" w14:textId="77777777" w:rsidR="00A4642C" w:rsidRPr="009F0927" w:rsidRDefault="00A4642C" w:rsidP="00A4642C">
            <w:pPr>
              <w:pStyle w:val="Tabletext"/>
              <w:rPr>
                <w:b/>
                <w:bCs/>
                <w:i/>
                <w:iCs/>
              </w:rPr>
            </w:pPr>
            <w:r>
              <w:rPr>
                <w:b/>
                <w:bCs/>
                <w:i/>
                <w:iCs/>
              </w:rPr>
              <w:t>Undiscounted</w:t>
            </w:r>
          </w:p>
        </w:tc>
        <w:tc>
          <w:tcPr>
            <w:tcW w:w="850" w:type="dxa"/>
            <w:shd w:val="clear" w:color="auto" w:fill="auto"/>
            <w:vAlign w:val="bottom"/>
          </w:tcPr>
          <w:p w14:paraId="58039EC2" w14:textId="714EC470" w:rsidR="00A4642C" w:rsidRPr="0023756B" w:rsidRDefault="00B327C6" w:rsidP="002A5816">
            <w:pPr>
              <w:pStyle w:val="Tabletext"/>
              <w:jc w:val="right"/>
              <w:rPr>
                <w:b/>
                <w:bCs/>
                <w:i/>
                <w:iCs/>
              </w:rPr>
            </w:pPr>
            <w:r>
              <w:rPr>
                <w:b/>
                <w:bCs/>
                <w:i/>
                <w:iCs/>
                <w:szCs w:val="20"/>
              </w:rPr>
              <w:t>51.0</w:t>
            </w:r>
          </w:p>
        </w:tc>
        <w:tc>
          <w:tcPr>
            <w:tcW w:w="850" w:type="dxa"/>
            <w:shd w:val="clear" w:color="auto" w:fill="auto"/>
            <w:vAlign w:val="bottom"/>
          </w:tcPr>
          <w:p w14:paraId="1DEE63ED" w14:textId="6BF83AE5" w:rsidR="00A4642C" w:rsidRPr="0023756B" w:rsidRDefault="00B327C6" w:rsidP="005A10F9">
            <w:pPr>
              <w:pStyle w:val="Tabletext"/>
              <w:jc w:val="right"/>
              <w:rPr>
                <w:b/>
                <w:bCs/>
                <w:i/>
                <w:iCs/>
              </w:rPr>
            </w:pPr>
            <w:r>
              <w:rPr>
                <w:b/>
                <w:bCs/>
                <w:i/>
                <w:iCs/>
                <w:szCs w:val="20"/>
              </w:rPr>
              <w:t>7.7</w:t>
            </w:r>
          </w:p>
        </w:tc>
        <w:tc>
          <w:tcPr>
            <w:tcW w:w="850" w:type="dxa"/>
            <w:shd w:val="clear" w:color="auto" w:fill="auto"/>
            <w:vAlign w:val="bottom"/>
          </w:tcPr>
          <w:p w14:paraId="5D7C40B4" w14:textId="6BB2E09F" w:rsidR="00A4642C" w:rsidRPr="0023756B" w:rsidRDefault="00B327C6" w:rsidP="000C5461">
            <w:pPr>
              <w:pStyle w:val="Tabletext"/>
              <w:jc w:val="right"/>
              <w:rPr>
                <w:b/>
                <w:bCs/>
                <w:i/>
                <w:iCs/>
              </w:rPr>
            </w:pPr>
            <w:r>
              <w:rPr>
                <w:b/>
                <w:bCs/>
                <w:i/>
                <w:iCs/>
              </w:rPr>
              <w:t>10.2</w:t>
            </w:r>
          </w:p>
        </w:tc>
        <w:tc>
          <w:tcPr>
            <w:tcW w:w="850" w:type="dxa"/>
            <w:shd w:val="clear" w:color="auto" w:fill="auto"/>
            <w:vAlign w:val="bottom"/>
          </w:tcPr>
          <w:p w14:paraId="02CB2FC8" w14:textId="02FEBD02" w:rsidR="00A4642C" w:rsidRPr="0023756B" w:rsidRDefault="00B327C6" w:rsidP="007379DC">
            <w:pPr>
              <w:pStyle w:val="Tabletext"/>
              <w:jc w:val="right"/>
              <w:rPr>
                <w:b/>
                <w:bCs/>
                <w:i/>
                <w:iCs/>
              </w:rPr>
            </w:pPr>
            <w:r>
              <w:rPr>
                <w:b/>
                <w:bCs/>
                <w:i/>
                <w:iCs/>
              </w:rPr>
              <w:t>20.1</w:t>
            </w:r>
          </w:p>
        </w:tc>
        <w:tc>
          <w:tcPr>
            <w:tcW w:w="850" w:type="dxa"/>
            <w:shd w:val="clear" w:color="auto" w:fill="auto"/>
            <w:vAlign w:val="bottom"/>
          </w:tcPr>
          <w:p w14:paraId="47F4BED5" w14:textId="5B84CF45" w:rsidR="00A4642C" w:rsidRPr="0023756B" w:rsidRDefault="00B327C6" w:rsidP="00B327C6">
            <w:pPr>
              <w:pStyle w:val="Tabletext"/>
              <w:jc w:val="right"/>
              <w:rPr>
                <w:b/>
                <w:bCs/>
                <w:i/>
                <w:iCs/>
              </w:rPr>
            </w:pPr>
            <w:r>
              <w:rPr>
                <w:b/>
                <w:bCs/>
                <w:i/>
                <w:iCs/>
              </w:rPr>
              <w:t>23.0</w:t>
            </w:r>
          </w:p>
        </w:tc>
        <w:tc>
          <w:tcPr>
            <w:tcW w:w="850" w:type="dxa"/>
            <w:shd w:val="clear" w:color="auto" w:fill="auto"/>
            <w:vAlign w:val="bottom"/>
          </w:tcPr>
          <w:p w14:paraId="1349CD8C" w14:textId="63769368" w:rsidR="00A4642C" w:rsidRPr="0023756B" w:rsidRDefault="00B327C6" w:rsidP="00B327C6">
            <w:pPr>
              <w:pStyle w:val="Tabletext"/>
              <w:jc w:val="right"/>
              <w:rPr>
                <w:b/>
                <w:bCs/>
                <w:i/>
                <w:iCs/>
              </w:rPr>
            </w:pPr>
            <w:r>
              <w:rPr>
                <w:b/>
                <w:bCs/>
                <w:i/>
                <w:iCs/>
              </w:rPr>
              <w:t>5.1</w:t>
            </w:r>
          </w:p>
        </w:tc>
        <w:tc>
          <w:tcPr>
            <w:tcW w:w="850" w:type="dxa"/>
            <w:shd w:val="clear" w:color="auto" w:fill="auto"/>
            <w:vAlign w:val="bottom"/>
          </w:tcPr>
          <w:p w14:paraId="115F2803" w14:textId="56EADB3A" w:rsidR="00A4642C" w:rsidRPr="0023756B" w:rsidRDefault="00B327C6" w:rsidP="00B327C6">
            <w:pPr>
              <w:pStyle w:val="Tabletext"/>
              <w:jc w:val="right"/>
              <w:rPr>
                <w:b/>
                <w:bCs/>
                <w:i/>
                <w:iCs/>
              </w:rPr>
            </w:pPr>
            <w:r>
              <w:rPr>
                <w:b/>
                <w:bCs/>
                <w:i/>
                <w:iCs/>
              </w:rPr>
              <w:t>10.2</w:t>
            </w:r>
          </w:p>
        </w:tc>
        <w:tc>
          <w:tcPr>
            <w:tcW w:w="850" w:type="dxa"/>
            <w:shd w:val="clear" w:color="auto" w:fill="auto"/>
            <w:vAlign w:val="bottom"/>
          </w:tcPr>
          <w:p w14:paraId="0A8EBEC1" w14:textId="234949F2" w:rsidR="00A4642C" w:rsidRPr="0023756B" w:rsidRDefault="00B327C6" w:rsidP="00B327C6">
            <w:pPr>
              <w:pStyle w:val="Tabletext"/>
              <w:jc w:val="right"/>
              <w:rPr>
                <w:b/>
                <w:bCs/>
                <w:i/>
                <w:iCs/>
              </w:rPr>
            </w:pPr>
            <w:r>
              <w:rPr>
                <w:b/>
                <w:bCs/>
                <w:i/>
                <w:iCs/>
              </w:rPr>
              <w:t>12.8</w:t>
            </w:r>
          </w:p>
        </w:tc>
        <w:tc>
          <w:tcPr>
            <w:tcW w:w="851" w:type="dxa"/>
            <w:shd w:val="clear" w:color="auto" w:fill="auto"/>
            <w:vAlign w:val="bottom"/>
          </w:tcPr>
          <w:p w14:paraId="2138A66A" w14:textId="5C8A6C34" w:rsidR="00A4642C" w:rsidRPr="0023756B" w:rsidRDefault="00B327C6" w:rsidP="00B327C6">
            <w:pPr>
              <w:pStyle w:val="Tabletext"/>
              <w:jc w:val="right"/>
              <w:rPr>
                <w:b/>
                <w:bCs/>
                <w:i/>
                <w:iCs/>
              </w:rPr>
            </w:pPr>
            <w:r>
              <w:rPr>
                <w:b/>
                <w:bCs/>
                <w:i/>
                <w:iCs/>
              </w:rPr>
              <w:t>10.2</w:t>
            </w:r>
          </w:p>
        </w:tc>
      </w:tr>
      <w:tr w:rsidR="00A4642C" w14:paraId="33133F57" w14:textId="77777777" w:rsidTr="00A4642C">
        <w:trPr>
          <w:gridBefore w:val="1"/>
          <w:wBefore w:w="454" w:type="dxa"/>
        </w:trPr>
        <w:tc>
          <w:tcPr>
            <w:tcW w:w="2247" w:type="dxa"/>
            <w:shd w:val="clear" w:color="auto" w:fill="auto"/>
          </w:tcPr>
          <w:p w14:paraId="793E983A" w14:textId="50804E85" w:rsidR="00A4642C" w:rsidRPr="009F0927" w:rsidRDefault="00A4642C" w:rsidP="00A4642C">
            <w:pPr>
              <w:pStyle w:val="Tabletext"/>
              <w:rPr>
                <w:b/>
                <w:bCs/>
                <w:i/>
                <w:iCs/>
              </w:rPr>
            </w:pPr>
            <w:r>
              <w:rPr>
                <w:b/>
                <w:bCs/>
                <w:i/>
                <w:iCs/>
              </w:rPr>
              <w:t>D</w:t>
            </w:r>
            <w:r w:rsidRPr="009F0927">
              <w:rPr>
                <w:b/>
                <w:bCs/>
                <w:i/>
                <w:iCs/>
              </w:rPr>
              <w:t xml:space="preserve">iscounted @7% </w:t>
            </w:r>
          </w:p>
        </w:tc>
        <w:tc>
          <w:tcPr>
            <w:tcW w:w="850" w:type="dxa"/>
            <w:shd w:val="clear" w:color="auto" w:fill="auto"/>
            <w:vAlign w:val="bottom"/>
          </w:tcPr>
          <w:p w14:paraId="7162E1C7" w14:textId="34FC4948" w:rsidR="00A4642C" w:rsidRPr="0023756B" w:rsidRDefault="00B327C6" w:rsidP="002A5816">
            <w:pPr>
              <w:pStyle w:val="Tabletext"/>
              <w:jc w:val="right"/>
              <w:rPr>
                <w:b/>
                <w:bCs/>
                <w:i/>
                <w:iCs/>
              </w:rPr>
            </w:pPr>
            <w:r>
              <w:rPr>
                <w:b/>
                <w:bCs/>
                <w:i/>
                <w:iCs/>
              </w:rPr>
              <w:t>40.2</w:t>
            </w:r>
          </w:p>
        </w:tc>
        <w:tc>
          <w:tcPr>
            <w:tcW w:w="850" w:type="dxa"/>
            <w:shd w:val="clear" w:color="auto" w:fill="auto"/>
            <w:vAlign w:val="bottom"/>
          </w:tcPr>
          <w:p w14:paraId="797C811B" w14:textId="4B2AC0E6" w:rsidR="00A4642C" w:rsidRPr="0023756B" w:rsidRDefault="00B327C6" w:rsidP="005A10F9">
            <w:pPr>
              <w:pStyle w:val="Tabletext"/>
              <w:jc w:val="right"/>
              <w:rPr>
                <w:b/>
                <w:bCs/>
                <w:i/>
                <w:iCs/>
              </w:rPr>
            </w:pPr>
            <w:r>
              <w:rPr>
                <w:b/>
                <w:bCs/>
                <w:i/>
                <w:iCs/>
              </w:rPr>
              <w:t>6.0</w:t>
            </w:r>
          </w:p>
        </w:tc>
        <w:tc>
          <w:tcPr>
            <w:tcW w:w="850" w:type="dxa"/>
            <w:shd w:val="clear" w:color="auto" w:fill="auto"/>
            <w:vAlign w:val="bottom"/>
          </w:tcPr>
          <w:p w14:paraId="3871E5B7" w14:textId="4DC2C0DB" w:rsidR="00A4642C" w:rsidRPr="0023756B" w:rsidRDefault="00B327C6" w:rsidP="000C5461">
            <w:pPr>
              <w:pStyle w:val="Tabletext"/>
              <w:jc w:val="right"/>
              <w:rPr>
                <w:b/>
                <w:bCs/>
                <w:i/>
                <w:iCs/>
              </w:rPr>
            </w:pPr>
            <w:r>
              <w:rPr>
                <w:b/>
                <w:bCs/>
                <w:i/>
                <w:iCs/>
              </w:rPr>
              <w:t>8.0</w:t>
            </w:r>
          </w:p>
        </w:tc>
        <w:tc>
          <w:tcPr>
            <w:tcW w:w="850" w:type="dxa"/>
            <w:shd w:val="clear" w:color="auto" w:fill="auto"/>
            <w:vAlign w:val="bottom"/>
          </w:tcPr>
          <w:p w14:paraId="04866F88" w14:textId="216464CB" w:rsidR="00A4642C" w:rsidRPr="0023756B" w:rsidRDefault="00B327C6" w:rsidP="007379DC">
            <w:pPr>
              <w:pStyle w:val="Tabletext"/>
              <w:jc w:val="right"/>
              <w:rPr>
                <w:b/>
                <w:bCs/>
                <w:i/>
                <w:iCs/>
              </w:rPr>
            </w:pPr>
            <w:r>
              <w:rPr>
                <w:b/>
                <w:bCs/>
                <w:i/>
                <w:iCs/>
              </w:rPr>
              <w:t>8.0</w:t>
            </w:r>
          </w:p>
        </w:tc>
        <w:tc>
          <w:tcPr>
            <w:tcW w:w="850" w:type="dxa"/>
            <w:shd w:val="clear" w:color="auto" w:fill="auto"/>
            <w:vAlign w:val="bottom"/>
          </w:tcPr>
          <w:p w14:paraId="347163E9" w14:textId="5698E432" w:rsidR="00A4642C" w:rsidRPr="0023756B" w:rsidRDefault="00B327C6" w:rsidP="00B327C6">
            <w:pPr>
              <w:pStyle w:val="Tabletext"/>
              <w:jc w:val="right"/>
              <w:rPr>
                <w:b/>
                <w:bCs/>
                <w:i/>
                <w:iCs/>
              </w:rPr>
            </w:pPr>
            <w:r>
              <w:rPr>
                <w:b/>
                <w:bCs/>
                <w:i/>
                <w:iCs/>
              </w:rPr>
              <w:t>18.1</w:t>
            </w:r>
          </w:p>
        </w:tc>
        <w:tc>
          <w:tcPr>
            <w:tcW w:w="850" w:type="dxa"/>
            <w:shd w:val="clear" w:color="auto" w:fill="auto"/>
            <w:vAlign w:val="bottom"/>
          </w:tcPr>
          <w:p w14:paraId="7D12C1A0" w14:textId="329067B8" w:rsidR="00A4642C" w:rsidRPr="0023756B" w:rsidRDefault="00B327C6" w:rsidP="00B327C6">
            <w:pPr>
              <w:pStyle w:val="Tabletext"/>
              <w:jc w:val="right"/>
              <w:rPr>
                <w:b/>
                <w:bCs/>
                <w:i/>
                <w:iCs/>
              </w:rPr>
            </w:pPr>
            <w:r>
              <w:rPr>
                <w:b/>
                <w:bCs/>
                <w:i/>
                <w:iCs/>
              </w:rPr>
              <w:t>4.0</w:t>
            </w:r>
          </w:p>
        </w:tc>
        <w:tc>
          <w:tcPr>
            <w:tcW w:w="850" w:type="dxa"/>
            <w:shd w:val="clear" w:color="auto" w:fill="auto"/>
            <w:vAlign w:val="bottom"/>
          </w:tcPr>
          <w:p w14:paraId="539B0B1D" w14:textId="61798040" w:rsidR="00A4642C" w:rsidRPr="0023756B" w:rsidRDefault="00B327C6" w:rsidP="00B327C6">
            <w:pPr>
              <w:pStyle w:val="Tabletext"/>
              <w:jc w:val="right"/>
              <w:rPr>
                <w:b/>
                <w:bCs/>
                <w:i/>
                <w:iCs/>
              </w:rPr>
            </w:pPr>
            <w:r>
              <w:rPr>
                <w:b/>
                <w:bCs/>
                <w:i/>
                <w:iCs/>
              </w:rPr>
              <w:t>8.0</w:t>
            </w:r>
          </w:p>
        </w:tc>
        <w:tc>
          <w:tcPr>
            <w:tcW w:w="850" w:type="dxa"/>
            <w:shd w:val="clear" w:color="auto" w:fill="auto"/>
            <w:vAlign w:val="bottom"/>
          </w:tcPr>
          <w:p w14:paraId="7E063844" w14:textId="2127056A" w:rsidR="00A4642C" w:rsidRPr="0023756B" w:rsidRDefault="00B327C6" w:rsidP="00B327C6">
            <w:pPr>
              <w:pStyle w:val="Tabletext"/>
              <w:jc w:val="right"/>
              <w:rPr>
                <w:b/>
                <w:bCs/>
                <w:i/>
                <w:iCs/>
              </w:rPr>
            </w:pPr>
            <w:r>
              <w:rPr>
                <w:b/>
                <w:bCs/>
                <w:i/>
                <w:iCs/>
              </w:rPr>
              <w:t>10.1</w:t>
            </w:r>
          </w:p>
        </w:tc>
        <w:tc>
          <w:tcPr>
            <w:tcW w:w="851" w:type="dxa"/>
            <w:shd w:val="clear" w:color="auto" w:fill="auto"/>
            <w:vAlign w:val="bottom"/>
          </w:tcPr>
          <w:p w14:paraId="4FA975A6" w14:textId="49EBBD5F" w:rsidR="00A4642C" w:rsidRPr="0023756B" w:rsidRDefault="00B327C6" w:rsidP="00B327C6">
            <w:pPr>
              <w:pStyle w:val="Tabletext"/>
              <w:jc w:val="right"/>
              <w:rPr>
                <w:b/>
                <w:bCs/>
                <w:i/>
                <w:iCs/>
              </w:rPr>
            </w:pPr>
            <w:r>
              <w:rPr>
                <w:b/>
                <w:bCs/>
                <w:i/>
                <w:iCs/>
              </w:rPr>
              <w:t>8.0</w:t>
            </w:r>
          </w:p>
        </w:tc>
      </w:tr>
      <w:tr w:rsidR="00A4642C" w14:paraId="608AD5AD" w14:textId="77777777" w:rsidTr="00A4642C">
        <w:trPr>
          <w:gridBefore w:val="1"/>
          <w:wBefore w:w="454" w:type="dxa"/>
        </w:trPr>
        <w:tc>
          <w:tcPr>
            <w:tcW w:w="2247" w:type="dxa"/>
            <w:tcBorders>
              <w:bottom w:val="single" w:sz="4" w:space="0" w:color="646464"/>
            </w:tcBorders>
            <w:shd w:val="clear" w:color="auto" w:fill="CAE4EE" w:themeFill="accent5" w:themeFillTint="66"/>
          </w:tcPr>
          <w:p w14:paraId="0471C4E0" w14:textId="77777777" w:rsidR="00A4642C" w:rsidRDefault="00A4642C" w:rsidP="00A4642C">
            <w:pPr>
              <w:pStyle w:val="Tabletext"/>
              <w:rPr>
                <w:b/>
                <w:bCs/>
                <w:i/>
                <w:iCs/>
              </w:rPr>
            </w:pPr>
            <w:r>
              <w:rPr>
                <w:b/>
                <w:bCs/>
              </w:rPr>
              <w:t>BENEFIT COST RATIO</w:t>
            </w:r>
          </w:p>
        </w:tc>
        <w:tc>
          <w:tcPr>
            <w:tcW w:w="850" w:type="dxa"/>
            <w:tcBorders>
              <w:bottom w:val="single" w:sz="4" w:space="0" w:color="646464"/>
            </w:tcBorders>
            <w:shd w:val="clear" w:color="auto" w:fill="CAE4EE" w:themeFill="accent5" w:themeFillTint="66"/>
            <w:vAlign w:val="bottom"/>
          </w:tcPr>
          <w:p w14:paraId="1B9A77CE"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FF2D6AE"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72229791"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341D8505"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B84E7A8"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4B805E0"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2C6474F" w14:textId="77777777" w:rsidR="00A4642C" w:rsidRPr="0023756B" w:rsidRDefault="00A4642C" w:rsidP="00A4642C">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BAA4884" w14:textId="77777777" w:rsidR="00A4642C" w:rsidRPr="0023756B" w:rsidRDefault="00A4642C" w:rsidP="00A4642C">
            <w:pPr>
              <w:pStyle w:val="Tabletext"/>
              <w:jc w:val="right"/>
              <w:rPr>
                <w:b/>
                <w:bCs/>
                <w:i/>
                <w:iCs/>
                <w:szCs w:val="20"/>
              </w:rPr>
            </w:pPr>
            <w:r w:rsidRPr="00193D3E">
              <w:rPr>
                <w:b/>
                <w:bCs/>
                <w:i/>
                <w:iCs/>
                <w:szCs w:val="20"/>
              </w:rPr>
              <w:t> </w:t>
            </w:r>
          </w:p>
        </w:tc>
        <w:tc>
          <w:tcPr>
            <w:tcW w:w="851" w:type="dxa"/>
            <w:tcBorders>
              <w:bottom w:val="single" w:sz="4" w:space="0" w:color="646464"/>
            </w:tcBorders>
            <w:shd w:val="clear" w:color="auto" w:fill="CAE4EE" w:themeFill="accent5" w:themeFillTint="66"/>
            <w:vAlign w:val="bottom"/>
          </w:tcPr>
          <w:p w14:paraId="1EACA6E1" w14:textId="77777777" w:rsidR="00A4642C" w:rsidRPr="0023756B" w:rsidRDefault="00A4642C" w:rsidP="00A4642C">
            <w:pPr>
              <w:pStyle w:val="Tabletext"/>
              <w:jc w:val="right"/>
              <w:rPr>
                <w:b/>
                <w:bCs/>
                <w:i/>
                <w:iCs/>
                <w:szCs w:val="20"/>
              </w:rPr>
            </w:pPr>
            <w:r w:rsidRPr="00193D3E">
              <w:rPr>
                <w:b/>
                <w:bCs/>
                <w:i/>
                <w:iCs/>
                <w:szCs w:val="20"/>
              </w:rPr>
              <w:t> </w:t>
            </w:r>
          </w:p>
        </w:tc>
      </w:tr>
      <w:tr w:rsidR="00A4642C" w14:paraId="4031FE4A" w14:textId="77777777" w:rsidTr="00A4642C">
        <w:trPr>
          <w:gridBefore w:val="1"/>
          <w:wBefore w:w="454" w:type="dxa"/>
        </w:trPr>
        <w:tc>
          <w:tcPr>
            <w:tcW w:w="2247" w:type="dxa"/>
            <w:tcBorders>
              <w:top w:val="single" w:sz="4" w:space="0" w:color="646464"/>
              <w:bottom w:val="single" w:sz="4" w:space="0" w:color="646464"/>
            </w:tcBorders>
            <w:shd w:val="clear" w:color="auto" w:fill="E5E5E5"/>
          </w:tcPr>
          <w:p w14:paraId="49343789" w14:textId="77777777" w:rsidR="00A4642C" w:rsidRDefault="00A4642C" w:rsidP="00A4642C">
            <w:pPr>
              <w:pStyle w:val="Tabletext"/>
              <w:rPr>
                <w:b/>
                <w:bCs/>
                <w:i/>
                <w:iCs/>
              </w:rPr>
            </w:pPr>
            <w:r w:rsidRPr="00193D3E">
              <w:rPr>
                <w:b/>
                <w:bCs/>
                <w:i/>
                <w:iCs/>
              </w:rPr>
              <w:t>Undiscounted</w:t>
            </w:r>
          </w:p>
        </w:tc>
        <w:tc>
          <w:tcPr>
            <w:tcW w:w="850" w:type="dxa"/>
            <w:tcBorders>
              <w:top w:val="single" w:sz="4" w:space="0" w:color="646464"/>
              <w:bottom w:val="single" w:sz="4" w:space="0" w:color="646464"/>
            </w:tcBorders>
            <w:shd w:val="clear" w:color="auto" w:fill="E5E5E5"/>
            <w:vAlign w:val="bottom"/>
          </w:tcPr>
          <w:p w14:paraId="7343514B" w14:textId="0E37A1F9" w:rsidR="00A4642C" w:rsidRPr="0023756B" w:rsidRDefault="00B327C6" w:rsidP="00A4642C">
            <w:pPr>
              <w:pStyle w:val="Tabletext"/>
              <w:jc w:val="right"/>
              <w:rPr>
                <w:b/>
                <w:bCs/>
                <w:i/>
                <w:iCs/>
                <w:szCs w:val="20"/>
              </w:rPr>
            </w:pPr>
            <w:r>
              <w:rPr>
                <w:b/>
                <w:bCs/>
                <w:i/>
                <w:iCs/>
                <w:szCs w:val="20"/>
              </w:rPr>
              <w:t>17.2</w:t>
            </w:r>
          </w:p>
        </w:tc>
        <w:tc>
          <w:tcPr>
            <w:tcW w:w="850" w:type="dxa"/>
            <w:tcBorders>
              <w:top w:val="single" w:sz="4" w:space="0" w:color="646464"/>
              <w:bottom w:val="single" w:sz="4" w:space="0" w:color="646464"/>
            </w:tcBorders>
            <w:shd w:val="clear" w:color="auto" w:fill="E5E5E5"/>
            <w:vAlign w:val="bottom"/>
          </w:tcPr>
          <w:p w14:paraId="789291DE" w14:textId="106E2A26" w:rsidR="00A4642C" w:rsidRPr="0023756B" w:rsidRDefault="00B327C6" w:rsidP="002A5816">
            <w:pPr>
              <w:pStyle w:val="Tabletext"/>
              <w:jc w:val="right"/>
              <w:rPr>
                <w:b/>
                <w:bCs/>
                <w:i/>
                <w:iCs/>
                <w:szCs w:val="20"/>
              </w:rPr>
            </w:pPr>
            <w:r>
              <w:rPr>
                <w:b/>
                <w:bCs/>
                <w:i/>
                <w:iCs/>
                <w:szCs w:val="20"/>
              </w:rPr>
              <w:t>2.6</w:t>
            </w:r>
          </w:p>
        </w:tc>
        <w:tc>
          <w:tcPr>
            <w:tcW w:w="850" w:type="dxa"/>
            <w:tcBorders>
              <w:top w:val="single" w:sz="4" w:space="0" w:color="646464"/>
              <w:bottom w:val="single" w:sz="4" w:space="0" w:color="646464"/>
            </w:tcBorders>
            <w:shd w:val="clear" w:color="auto" w:fill="E5E5E5"/>
            <w:vAlign w:val="bottom"/>
          </w:tcPr>
          <w:p w14:paraId="29F2F9F2" w14:textId="45D8D208" w:rsidR="00A4642C" w:rsidRPr="0023756B" w:rsidRDefault="00B327C6" w:rsidP="005A10F9">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696B7BF9" w14:textId="235E8BC7" w:rsidR="00A4642C" w:rsidRPr="0023756B" w:rsidRDefault="00B327C6" w:rsidP="000C5461">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5B7FEF19" w14:textId="1DA1CFE5" w:rsidR="00A4642C" w:rsidRPr="0023756B" w:rsidRDefault="00B327C6" w:rsidP="007379DC">
            <w:pPr>
              <w:pStyle w:val="Tabletext"/>
              <w:jc w:val="right"/>
              <w:rPr>
                <w:b/>
                <w:bCs/>
                <w:i/>
                <w:iCs/>
                <w:szCs w:val="20"/>
              </w:rPr>
            </w:pPr>
            <w:r>
              <w:rPr>
                <w:b/>
                <w:bCs/>
                <w:i/>
                <w:iCs/>
                <w:szCs w:val="20"/>
              </w:rPr>
              <w:t>7.7</w:t>
            </w:r>
          </w:p>
        </w:tc>
        <w:tc>
          <w:tcPr>
            <w:tcW w:w="850" w:type="dxa"/>
            <w:tcBorders>
              <w:top w:val="single" w:sz="4" w:space="0" w:color="646464"/>
              <w:bottom w:val="single" w:sz="4" w:space="0" w:color="646464"/>
            </w:tcBorders>
            <w:shd w:val="clear" w:color="auto" w:fill="E5E5E5"/>
            <w:vAlign w:val="bottom"/>
          </w:tcPr>
          <w:p w14:paraId="560484A5" w14:textId="29193BCB" w:rsidR="00A4642C" w:rsidRPr="0023756B" w:rsidRDefault="00B327C6" w:rsidP="00B327C6">
            <w:pPr>
              <w:pStyle w:val="Tabletext"/>
              <w:jc w:val="right"/>
              <w:rPr>
                <w:b/>
                <w:bCs/>
                <w:i/>
                <w:iCs/>
                <w:szCs w:val="20"/>
              </w:rPr>
            </w:pPr>
            <w:r>
              <w:rPr>
                <w:b/>
                <w:bCs/>
                <w:i/>
                <w:iCs/>
                <w:szCs w:val="20"/>
              </w:rPr>
              <w:t>1.7</w:t>
            </w:r>
          </w:p>
        </w:tc>
        <w:tc>
          <w:tcPr>
            <w:tcW w:w="850" w:type="dxa"/>
            <w:tcBorders>
              <w:top w:val="single" w:sz="4" w:space="0" w:color="646464"/>
              <w:bottom w:val="single" w:sz="4" w:space="0" w:color="646464"/>
            </w:tcBorders>
            <w:shd w:val="clear" w:color="auto" w:fill="E5E5E5"/>
            <w:vAlign w:val="bottom"/>
          </w:tcPr>
          <w:p w14:paraId="0661A3BC" w14:textId="2C623F92" w:rsidR="00A4642C" w:rsidRPr="0023756B" w:rsidRDefault="00B327C6" w:rsidP="00B327C6">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6AD30516" w14:textId="133E9F3A" w:rsidR="00A4642C" w:rsidRPr="0023756B" w:rsidRDefault="00B327C6" w:rsidP="00B327C6">
            <w:pPr>
              <w:pStyle w:val="Tabletext"/>
              <w:jc w:val="right"/>
              <w:rPr>
                <w:b/>
                <w:bCs/>
                <w:i/>
                <w:iCs/>
                <w:szCs w:val="20"/>
              </w:rPr>
            </w:pPr>
            <w:r>
              <w:rPr>
                <w:b/>
                <w:bCs/>
                <w:i/>
                <w:iCs/>
                <w:szCs w:val="20"/>
              </w:rPr>
              <w:t>4.3</w:t>
            </w:r>
          </w:p>
        </w:tc>
        <w:tc>
          <w:tcPr>
            <w:tcW w:w="851" w:type="dxa"/>
            <w:tcBorders>
              <w:top w:val="single" w:sz="4" w:space="0" w:color="646464"/>
              <w:bottom w:val="single" w:sz="4" w:space="0" w:color="646464"/>
            </w:tcBorders>
            <w:shd w:val="clear" w:color="auto" w:fill="E5E5E5"/>
            <w:vAlign w:val="bottom"/>
          </w:tcPr>
          <w:p w14:paraId="3C771A1F" w14:textId="3632BBDE" w:rsidR="00A4642C" w:rsidRPr="0023756B" w:rsidRDefault="00B327C6" w:rsidP="00B327C6">
            <w:pPr>
              <w:pStyle w:val="Tabletext"/>
              <w:jc w:val="right"/>
              <w:rPr>
                <w:b/>
                <w:bCs/>
                <w:i/>
                <w:iCs/>
                <w:szCs w:val="20"/>
              </w:rPr>
            </w:pPr>
            <w:r>
              <w:rPr>
                <w:b/>
                <w:bCs/>
                <w:i/>
                <w:iCs/>
                <w:szCs w:val="20"/>
              </w:rPr>
              <w:t>3.4</w:t>
            </w:r>
          </w:p>
        </w:tc>
      </w:tr>
      <w:tr w:rsidR="00A4642C" w14:paraId="34EDE1F3" w14:textId="77777777" w:rsidTr="00A4642C">
        <w:trPr>
          <w:gridBefore w:val="1"/>
          <w:wBefore w:w="454" w:type="dxa"/>
        </w:trPr>
        <w:tc>
          <w:tcPr>
            <w:tcW w:w="2247" w:type="dxa"/>
            <w:tcBorders>
              <w:top w:val="single" w:sz="4" w:space="0" w:color="646464"/>
            </w:tcBorders>
            <w:shd w:val="clear" w:color="auto" w:fill="E5E5E5"/>
          </w:tcPr>
          <w:p w14:paraId="58F52D5B" w14:textId="5CDE65F2" w:rsidR="00A4642C" w:rsidRPr="009F0927" w:rsidRDefault="00A4642C" w:rsidP="00A4642C">
            <w:pPr>
              <w:pStyle w:val="Tabletext"/>
              <w:rPr>
                <w:b/>
                <w:bCs/>
                <w:i/>
                <w:iCs/>
              </w:rPr>
            </w:pPr>
            <w:r w:rsidRPr="00193D3E">
              <w:rPr>
                <w:b/>
                <w:bCs/>
                <w:i/>
                <w:iCs/>
              </w:rPr>
              <w:t xml:space="preserve">Discounted @7% </w:t>
            </w:r>
          </w:p>
        </w:tc>
        <w:tc>
          <w:tcPr>
            <w:tcW w:w="850" w:type="dxa"/>
            <w:tcBorders>
              <w:top w:val="single" w:sz="4" w:space="0" w:color="646464"/>
            </w:tcBorders>
            <w:shd w:val="clear" w:color="auto" w:fill="E5E5E5"/>
            <w:vAlign w:val="bottom"/>
          </w:tcPr>
          <w:p w14:paraId="50D9D90B" w14:textId="3798E3D0" w:rsidR="00A4642C" w:rsidRPr="0023756B" w:rsidRDefault="00B327C6" w:rsidP="002A5816">
            <w:pPr>
              <w:pStyle w:val="Tabletext"/>
              <w:jc w:val="right"/>
              <w:rPr>
                <w:b/>
                <w:bCs/>
                <w:i/>
                <w:iCs/>
              </w:rPr>
            </w:pPr>
            <w:r>
              <w:rPr>
                <w:b/>
                <w:bCs/>
                <w:i/>
                <w:iCs/>
              </w:rPr>
              <w:t>19.3</w:t>
            </w:r>
          </w:p>
        </w:tc>
        <w:tc>
          <w:tcPr>
            <w:tcW w:w="850" w:type="dxa"/>
            <w:tcBorders>
              <w:top w:val="single" w:sz="4" w:space="0" w:color="646464"/>
            </w:tcBorders>
            <w:shd w:val="clear" w:color="auto" w:fill="E5E5E5"/>
            <w:vAlign w:val="bottom"/>
          </w:tcPr>
          <w:p w14:paraId="506864CB" w14:textId="71DD2E2B" w:rsidR="00A4642C" w:rsidRPr="0023756B" w:rsidRDefault="00B327C6" w:rsidP="005A10F9">
            <w:pPr>
              <w:pStyle w:val="Tabletext"/>
              <w:jc w:val="right"/>
              <w:rPr>
                <w:b/>
                <w:bCs/>
                <w:i/>
                <w:iCs/>
              </w:rPr>
            </w:pPr>
            <w:r>
              <w:rPr>
                <w:b/>
                <w:bCs/>
                <w:i/>
                <w:iCs/>
              </w:rPr>
              <w:t>2.9</w:t>
            </w:r>
          </w:p>
        </w:tc>
        <w:tc>
          <w:tcPr>
            <w:tcW w:w="850" w:type="dxa"/>
            <w:tcBorders>
              <w:top w:val="single" w:sz="4" w:space="0" w:color="646464"/>
            </w:tcBorders>
            <w:shd w:val="clear" w:color="auto" w:fill="E5E5E5"/>
            <w:vAlign w:val="bottom"/>
          </w:tcPr>
          <w:p w14:paraId="4FEFABDE" w14:textId="7D41BEB6" w:rsidR="00A4642C" w:rsidRPr="0023756B" w:rsidRDefault="00B327C6" w:rsidP="000C5461">
            <w:pPr>
              <w:pStyle w:val="Tabletext"/>
              <w:jc w:val="right"/>
              <w:rPr>
                <w:b/>
                <w:bCs/>
                <w:i/>
                <w:iCs/>
              </w:rPr>
            </w:pPr>
            <w:r>
              <w:rPr>
                <w:b/>
                <w:bCs/>
                <w:i/>
                <w:iCs/>
              </w:rPr>
              <w:t>3.9</w:t>
            </w:r>
          </w:p>
        </w:tc>
        <w:tc>
          <w:tcPr>
            <w:tcW w:w="850" w:type="dxa"/>
            <w:tcBorders>
              <w:top w:val="single" w:sz="4" w:space="0" w:color="646464"/>
            </w:tcBorders>
            <w:shd w:val="clear" w:color="auto" w:fill="E5E5E5"/>
            <w:vAlign w:val="bottom"/>
          </w:tcPr>
          <w:p w14:paraId="38A1419C" w14:textId="34D96E62" w:rsidR="00A4642C" w:rsidRPr="0023756B" w:rsidRDefault="00B327C6" w:rsidP="007379DC">
            <w:pPr>
              <w:pStyle w:val="Tabletext"/>
              <w:jc w:val="right"/>
              <w:rPr>
                <w:b/>
                <w:bCs/>
                <w:i/>
                <w:iCs/>
              </w:rPr>
            </w:pPr>
            <w:r>
              <w:rPr>
                <w:b/>
                <w:bCs/>
                <w:i/>
                <w:iCs/>
              </w:rPr>
              <w:t>3.9</w:t>
            </w:r>
          </w:p>
        </w:tc>
        <w:tc>
          <w:tcPr>
            <w:tcW w:w="850" w:type="dxa"/>
            <w:tcBorders>
              <w:top w:val="single" w:sz="4" w:space="0" w:color="646464"/>
            </w:tcBorders>
            <w:shd w:val="clear" w:color="auto" w:fill="E5E5E5"/>
            <w:vAlign w:val="bottom"/>
          </w:tcPr>
          <w:p w14:paraId="1D5ECEF9" w14:textId="5A159426" w:rsidR="00A4642C" w:rsidRPr="0023756B" w:rsidRDefault="00B327C6" w:rsidP="00B327C6">
            <w:pPr>
              <w:pStyle w:val="Tabletext"/>
              <w:jc w:val="right"/>
              <w:rPr>
                <w:b/>
                <w:bCs/>
                <w:i/>
                <w:iCs/>
              </w:rPr>
            </w:pPr>
            <w:r>
              <w:rPr>
                <w:b/>
                <w:bCs/>
                <w:i/>
                <w:iCs/>
              </w:rPr>
              <w:t>8.7</w:t>
            </w:r>
          </w:p>
        </w:tc>
        <w:tc>
          <w:tcPr>
            <w:tcW w:w="850" w:type="dxa"/>
            <w:tcBorders>
              <w:top w:val="single" w:sz="4" w:space="0" w:color="646464"/>
            </w:tcBorders>
            <w:shd w:val="clear" w:color="auto" w:fill="E5E5E5"/>
            <w:vAlign w:val="bottom"/>
          </w:tcPr>
          <w:p w14:paraId="5936DD01" w14:textId="1FCFB3C9" w:rsidR="00A4642C" w:rsidRPr="0023756B" w:rsidRDefault="00B327C6" w:rsidP="00B327C6">
            <w:pPr>
              <w:pStyle w:val="Tabletext"/>
              <w:jc w:val="right"/>
              <w:rPr>
                <w:b/>
                <w:bCs/>
                <w:i/>
                <w:iCs/>
              </w:rPr>
            </w:pPr>
            <w:r>
              <w:rPr>
                <w:b/>
                <w:bCs/>
                <w:i/>
                <w:iCs/>
              </w:rPr>
              <w:t>1.0</w:t>
            </w:r>
          </w:p>
        </w:tc>
        <w:tc>
          <w:tcPr>
            <w:tcW w:w="850" w:type="dxa"/>
            <w:tcBorders>
              <w:top w:val="single" w:sz="4" w:space="0" w:color="646464"/>
            </w:tcBorders>
            <w:shd w:val="clear" w:color="auto" w:fill="E5E5E5"/>
            <w:vAlign w:val="bottom"/>
          </w:tcPr>
          <w:p w14:paraId="28C95232" w14:textId="7625CE85" w:rsidR="00A4642C" w:rsidRPr="0023756B" w:rsidRDefault="00B327C6" w:rsidP="00B327C6">
            <w:pPr>
              <w:pStyle w:val="Tabletext"/>
              <w:jc w:val="right"/>
              <w:rPr>
                <w:b/>
                <w:bCs/>
                <w:i/>
                <w:iCs/>
              </w:rPr>
            </w:pPr>
            <w:r>
              <w:rPr>
                <w:b/>
                <w:bCs/>
                <w:i/>
                <w:iCs/>
              </w:rPr>
              <w:t>3.9</w:t>
            </w:r>
          </w:p>
        </w:tc>
        <w:tc>
          <w:tcPr>
            <w:tcW w:w="850" w:type="dxa"/>
            <w:tcBorders>
              <w:top w:val="single" w:sz="4" w:space="0" w:color="646464"/>
            </w:tcBorders>
            <w:shd w:val="clear" w:color="auto" w:fill="E5E5E5"/>
            <w:vAlign w:val="bottom"/>
          </w:tcPr>
          <w:p w14:paraId="4E63120B" w14:textId="607AC285" w:rsidR="00A4642C" w:rsidRPr="0023756B" w:rsidRDefault="00B327C6" w:rsidP="00B327C6">
            <w:pPr>
              <w:pStyle w:val="Tabletext"/>
              <w:jc w:val="right"/>
              <w:rPr>
                <w:b/>
                <w:bCs/>
                <w:i/>
                <w:iCs/>
              </w:rPr>
            </w:pPr>
            <w:r>
              <w:rPr>
                <w:b/>
                <w:bCs/>
                <w:i/>
                <w:iCs/>
              </w:rPr>
              <w:t>4.8</w:t>
            </w:r>
          </w:p>
        </w:tc>
        <w:tc>
          <w:tcPr>
            <w:tcW w:w="851" w:type="dxa"/>
            <w:tcBorders>
              <w:top w:val="single" w:sz="4" w:space="0" w:color="646464"/>
            </w:tcBorders>
            <w:shd w:val="clear" w:color="auto" w:fill="E5E5E5"/>
            <w:vAlign w:val="bottom"/>
          </w:tcPr>
          <w:p w14:paraId="49B80D95" w14:textId="356739CE" w:rsidR="00A4642C" w:rsidRPr="0023756B" w:rsidRDefault="00B327C6" w:rsidP="00B327C6">
            <w:pPr>
              <w:pStyle w:val="Tabletext"/>
              <w:jc w:val="right"/>
              <w:rPr>
                <w:b/>
                <w:bCs/>
                <w:i/>
                <w:iCs/>
              </w:rPr>
            </w:pPr>
            <w:r>
              <w:rPr>
                <w:b/>
                <w:bCs/>
                <w:i/>
                <w:iCs/>
              </w:rPr>
              <w:t>3.9</w:t>
            </w:r>
          </w:p>
        </w:tc>
      </w:tr>
      <w:tr w:rsidR="00A4642C" w14:paraId="5CB380DB" w14:textId="77777777" w:rsidTr="00A4642C">
        <w:trPr>
          <w:gridBefore w:val="1"/>
          <w:wBefore w:w="454" w:type="dxa"/>
        </w:trPr>
        <w:tc>
          <w:tcPr>
            <w:tcW w:w="9898" w:type="dxa"/>
            <w:gridSpan w:val="10"/>
            <w:tcBorders>
              <w:bottom w:val="single" w:sz="4" w:space="0" w:color="646464"/>
            </w:tcBorders>
            <w:shd w:val="clear" w:color="auto" w:fill="auto"/>
          </w:tcPr>
          <w:p w14:paraId="2501F26F" w14:textId="77777777" w:rsidR="00A4642C" w:rsidRDefault="00A4642C" w:rsidP="00A4642C">
            <w:pPr>
              <w:pStyle w:val="Note"/>
            </w:pPr>
            <w:r>
              <w:t>Note: All values are in real 2020 terms.</w:t>
            </w:r>
          </w:p>
          <w:p w14:paraId="56BE46EB" w14:textId="77777777" w:rsidR="00A4642C" w:rsidRDefault="00A4642C" w:rsidP="00A4642C">
            <w:pPr>
              <w:pStyle w:val="Source"/>
            </w:pPr>
            <w:r>
              <w:t>Source: ACIL Allen estimates from various assumptions</w:t>
            </w:r>
          </w:p>
        </w:tc>
      </w:tr>
      <w:tr w:rsidR="00A4642C" w14:paraId="150565DF" w14:textId="77777777" w:rsidTr="00A4642C">
        <w:trPr>
          <w:gridBefore w:val="1"/>
          <w:wBefore w:w="454" w:type="dxa"/>
          <w:trHeight w:hRule="exact" w:val="160"/>
        </w:trPr>
        <w:tc>
          <w:tcPr>
            <w:tcW w:w="9898" w:type="dxa"/>
            <w:gridSpan w:val="10"/>
            <w:tcBorders>
              <w:top w:val="single" w:sz="4" w:space="0" w:color="646464"/>
              <w:bottom w:val="nil"/>
            </w:tcBorders>
            <w:shd w:val="clear" w:color="auto" w:fill="auto"/>
          </w:tcPr>
          <w:p w14:paraId="6D634971" w14:textId="77777777" w:rsidR="00A4642C" w:rsidRDefault="00A4642C" w:rsidP="00A4642C">
            <w:pPr>
              <w:pStyle w:val="spacer"/>
            </w:pPr>
          </w:p>
        </w:tc>
      </w:tr>
    </w:tbl>
    <w:p w14:paraId="06369157" w14:textId="77777777" w:rsidR="00BB361C" w:rsidRPr="00B2057C" w:rsidRDefault="00BB361C" w:rsidP="00FD11C1">
      <w:pPr>
        <w:pStyle w:val="BodyText"/>
      </w:pPr>
      <w:r w:rsidRPr="00FD11C1">
        <w:rPr>
          <w:b/>
        </w:rPr>
        <w:t>Sensitivity analysis</w:t>
      </w:r>
    </w:p>
    <w:p w14:paraId="76726176" w14:textId="16AC989C" w:rsidR="00BB361C" w:rsidRDefault="00BB361C" w:rsidP="00BB361C">
      <w:pPr>
        <w:pStyle w:val="BodyText"/>
      </w:pPr>
      <w:r>
        <w:t>As per the se</w:t>
      </w:r>
      <w:r w:rsidR="00755AD3">
        <w:t>nsitivity analysis for Option 3</w:t>
      </w:r>
      <w:r>
        <w:t xml:space="preserve">, </w:t>
      </w:r>
      <w:r w:rsidR="00773DF9">
        <w:t xml:space="preserve">the compliance </w:t>
      </w:r>
      <w:r w:rsidR="00755AD3">
        <w:t>costs associated with Option 4</w:t>
      </w:r>
      <w:r>
        <w:t xml:space="preserve"> </w:t>
      </w:r>
      <w:r w:rsidR="00773DF9">
        <w:t xml:space="preserve">have been </w:t>
      </w:r>
      <w:r>
        <w:t xml:space="preserve">estimated with medium to high certainty, </w:t>
      </w:r>
      <w:r w:rsidR="00773DF9">
        <w:t>and these will happen on a recurring basis.</w:t>
      </w:r>
      <w:r w:rsidR="00773DF9" w:rsidRPr="00773DF9">
        <w:t xml:space="preserve"> </w:t>
      </w:r>
      <w:r w:rsidR="00773DF9">
        <w:t>There is, however, high uncertainty around the key sources of economic benefit (namely the financial security benefit and the avoided legal costs), particularly because these are linked to specific circumstances of a shipwreck incident which result in a shipowner disputing the Australian Government’s right to force payment for clean-up.</w:t>
      </w:r>
    </w:p>
    <w:p w14:paraId="5304C703" w14:textId="78180518" w:rsidR="00BB361C" w:rsidRDefault="00755AD3" w:rsidP="00BB361C">
      <w:pPr>
        <w:pStyle w:val="BodyText"/>
      </w:pPr>
      <w:r>
        <w:t>As per the Option 3</w:t>
      </w:r>
      <w:r w:rsidR="00BB361C">
        <w:t xml:space="preserve"> findings, </w:t>
      </w:r>
      <w:r w:rsidR="00773DF9">
        <w:t>based on a single incident occurring, the above analysis calculates that accession to the Na</w:t>
      </w:r>
      <w:r>
        <w:t>irobi Convention under Option 4</w:t>
      </w:r>
      <w:r w:rsidR="00773DF9">
        <w:t xml:space="preserve"> is broadly economically beneficial, with the distributional analysis showing that there will be a beneficial social impact in terms of supporting the polluter pays principle.</w:t>
      </w:r>
    </w:p>
    <w:p w14:paraId="79538E8F" w14:textId="26079168" w:rsidR="00BB361C" w:rsidRDefault="00BB361C" w:rsidP="00BB361C">
      <w:pPr>
        <w:pStyle w:val="BodyText"/>
      </w:pPr>
      <w:r>
        <w:t>This im</w:t>
      </w:r>
      <w:r w:rsidR="00755AD3">
        <w:t>plies the finding that Option 4</w:t>
      </w:r>
      <w:r>
        <w:t xml:space="preserve"> will result in a net economic</w:t>
      </w:r>
      <w:r w:rsidR="00773DF9">
        <w:t xml:space="preserve"> and social</w:t>
      </w:r>
      <w:r>
        <w:t xml:space="preserve"> benefit should be reasonably robust. </w:t>
      </w:r>
    </w:p>
    <w:p w14:paraId="01DECDA6" w14:textId="4F9B75FF" w:rsidR="00CF40BE" w:rsidRDefault="00CF40BE" w:rsidP="00BB361C">
      <w:pPr>
        <w:pStyle w:val="BodyText"/>
      </w:pPr>
    </w:p>
    <w:p w14:paraId="00F1773A" w14:textId="0C8A8D34" w:rsidR="00CF40BE" w:rsidRDefault="00CF40BE" w:rsidP="00CF40BE">
      <w:pPr>
        <w:pStyle w:val="Caption"/>
        <w:ind w:left="-784"/>
      </w:pPr>
      <w:r w:rsidRPr="00B076B7">
        <w:rPr>
          <w:rStyle w:val="CaptionLabel"/>
        </w:rPr>
        <w:lastRenderedPageBreak/>
        <w:t>Table </w:t>
      </w:r>
      <w:r w:rsidRPr="00B076B7">
        <w:rPr>
          <w:rStyle w:val="CaptionLabel"/>
        </w:rPr>
        <w:fldChar w:fldCharType="begin"/>
      </w:r>
      <w:r w:rsidRPr="00B076B7">
        <w:rPr>
          <w:rStyle w:val="CaptionLabel"/>
        </w:rPr>
        <w:instrText xml:space="preserve"> STYLEREF 1 \S \* MERGEFORMAT </w:instrText>
      </w:r>
      <w:r w:rsidRPr="00B076B7">
        <w:rPr>
          <w:rStyle w:val="CaptionLabel"/>
        </w:rPr>
        <w:fldChar w:fldCharType="separate"/>
      </w:r>
      <w:r w:rsidR="00966CD2">
        <w:rPr>
          <w:rStyle w:val="CaptionLabel"/>
          <w:noProof/>
        </w:rPr>
        <w:t>4</w:t>
      </w:r>
      <w:r w:rsidRPr="00B076B7">
        <w:rPr>
          <w:rStyle w:val="CaptionLabel"/>
        </w:rPr>
        <w:fldChar w:fldCharType="end"/>
      </w:r>
      <w:r w:rsidRPr="00B076B7">
        <w:rPr>
          <w:rStyle w:val="CaptionLabel"/>
        </w:rPr>
        <w:t>.</w:t>
      </w:r>
      <w:r>
        <w:rPr>
          <w:rStyle w:val="CaptionLabel"/>
        </w:rPr>
        <w:t>5</w:t>
      </w:r>
      <w:r>
        <w:tab/>
        <w:t>C</w:t>
      </w:r>
      <w:r w:rsidR="00755AD3">
        <w:t>osts and benefits under Option 4</w:t>
      </w:r>
      <w:r>
        <w:t xml:space="preserve"> relative to Option 1 over a ten-year period – sensitivity analysis </w:t>
      </w:r>
    </w:p>
    <w:tbl>
      <w:tblPr>
        <w:tblW w:w="10352" w:type="dxa"/>
        <w:tblInd w:w="-2417"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247"/>
        <w:gridCol w:w="850"/>
        <w:gridCol w:w="850"/>
        <w:gridCol w:w="850"/>
        <w:gridCol w:w="850"/>
        <w:gridCol w:w="850"/>
        <w:gridCol w:w="850"/>
        <w:gridCol w:w="850"/>
        <w:gridCol w:w="850"/>
        <w:gridCol w:w="851"/>
      </w:tblGrid>
      <w:tr w:rsidR="00CF40BE" w14:paraId="6773C6F1" w14:textId="77777777" w:rsidTr="00CF40BE">
        <w:trPr>
          <w:tblHeader/>
        </w:trPr>
        <w:tc>
          <w:tcPr>
            <w:tcW w:w="2701" w:type="dxa"/>
            <w:gridSpan w:val="2"/>
            <w:tcBorders>
              <w:top w:val="nil"/>
              <w:bottom w:val="nil"/>
            </w:tcBorders>
            <w:shd w:val="clear" w:color="auto" w:fill="140034"/>
            <w:tcMar>
              <w:left w:w="454" w:type="dxa"/>
            </w:tcMar>
          </w:tcPr>
          <w:p w14:paraId="6CDC9789" w14:textId="77777777" w:rsidR="00CF40BE" w:rsidRDefault="00CF40BE" w:rsidP="00CF40BE">
            <w:pPr>
              <w:pStyle w:val="Tablecolumnheadings"/>
            </w:pPr>
          </w:p>
        </w:tc>
        <w:tc>
          <w:tcPr>
            <w:tcW w:w="850" w:type="dxa"/>
            <w:tcBorders>
              <w:top w:val="nil"/>
              <w:bottom w:val="nil"/>
            </w:tcBorders>
            <w:shd w:val="clear" w:color="auto" w:fill="140034"/>
          </w:tcPr>
          <w:p w14:paraId="65AE5CD3" w14:textId="77777777" w:rsidR="00CF40BE" w:rsidRPr="0014439F" w:rsidRDefault="00CF40BE" w:rsidP="00CF40BE">
            <w:pPr>
              <w:pStyle w:val="Tablecolumnheadings"/>
              <w:jc w:val="right"/>
              <w:rPr>
                <w:sz w:val="18"/>
                <w:szCs w:val="20"/>
              </w:rPr>
            </w:pPr>
            <w:r w:rsidRPr="0014439F">
              <w:rPr>
                <w:sz w:val="18"/>
                <w:szCs w:val="20"/>
              </w:rPr>
              <w:t>Bulk carriers</w:t>
            </w:r>
          </w:p>
        </w:tc>
        <w:tc>
          <w:tcPr>
            <w:tcW w:w="850" w:type="dxa"/>
            <w:tcBorders>
              <w:top w:val="nil"/>
              <w:bottom w:val="nil"/>
            </w:tcBorders>
            <w:shd w:val="clear" w:color="auto" w:fill="140034"/>
          </w:tcPr>
          <w:p w14:paraId="6D2C06CE" w14:textId="77777777" w:rsidR="00CF40BE" w:rsidRPr="0014439F" w:rsidRDefault="00CF40BE" w:rsidP="00CF40BE">
            <w:pPr>
              <w:pStyle w:val="Tablecolumnheadings"/>
              <w:jc w:val="right"/>
              <w:rPr>
                <w:sz w:val="18"/>
                <w:szCs w:val="20"/>
              </w:rPr>
            </w:pPr>
            <w:r w:rsidRPr="0014439F">
              <w:rPr>
                <w:sz w:val="18"/>
                <w:szCs w:val="20"/>
              </w:rPr>
              <w:t>Chemical tankers</w:t>
            </w:r>
          </w:p>
        </w:tc>
        <w:tc>
          <w:tcPr>
            <w:tcW w:w="850" w:type="dxa"/>
            <w:tcBorders>
              <w:top w:val="nil"/>
              <w:bottom w:val="nil"/>
            </w:tcBorders>
            <w:shd w:val="clear" w:color="auto" w:fill="140034"/>
          </w:tcPr>
          <w:p w14:paraId="4D0E0C37" w14:textId="77777777" w:rsidR="00CF40BE" w:rsidRPr="0014439F" w:rsidRDefault="00CF40BE" w:rsidP="00CF40BE">
            <w:pPr>
              <w:pStyle w:val="Tablecolumnheadings"/>
              <w:jc w:val="right"/>
              <w:rPr>
                <w:sz w:val="18"/>
                <w:szCs w:val="20"/>
              </w:rPr>
            </w:pPr>
            <w:r w:rsidRPr="0014439F">
              <w:rPr>
                <w:sz w:val="18"/>
                <w:szCs w:val="20"/>
              </w:rPr>
              <w:t>Container carriers</w:t>
            </w:r>
          </w:p>
        </w:tc>
        <w:tc>
          <w:tcPr>
            <w:tcW w:w="850" w:type="dxa"/>
            <w:tcBorders>
              <w:top w:val="nil"/>
              <w:bottom w:val="nil"/>
            </w:tcBorders>
            <w:shd w:val="clear" w:color="auto" w:fill="140034"/>
          </w:tcPr>
          <w:p w14:paraId="2EF76BBB" w14:textId="77777777" w:rsidR="00CF40BE" w:rsidRPr="0014439F" w:rsidRDefault="00CF40BE" w:rsidP="00CF40BE">
            <w:pPr>
              <w:pStyle w:val="Tablecolumnheadings"/>
              <w:jc w:val="right"/>
              <w:rPr>
                <w:sz w:val="18"/>
                <w:szCs w:val="20"/>
              </w:rPr>
            </w:pPr>
            <w:r w:rsidRPr="0014439F">
              <w:rPr>
                <w:sz w:val="18"/>
                <w:szCs w:val="20"/>
              </w:rPr>
              <w:t>General cargo ships</w:t>
            </w:r>
          </w:p>
        </w:tc>
        <w:tc>
          <w:tcPr>
            <w:tcW w:w="850" w:type="dxa"/>
            <w:tcBorders>
              <w:top w:val="nil"/>
              <w:bottom w:val="nil"/>
            </w:tcBorders>
            <w:shd w:val="clear" w:color="auto" w:fill="140034"/>
          </w:tcPr>
          <w:p w14:paraId="64EC9EED" w14:textId="77777777" w:rsidR="00CF40BE" w:rsidRPr="0014439F" w:rsidRDefault="00CF40BE" w:rsidP="00CF40BE">
            <w:pPr>
              <w:pStyle w:val="Tablecolumnheadings"/>
              <w:jc w:val="right"/>
              <w:rPr>
                <w:sz w:val="18"/>
                <w:szCs w:val="20"/>
              </w:rPr>
            </w:pPr>
            <w:r w:rsidRPr="0014439F">
              <w:rPr>
                <w:sz w:val="18"/>
                <w:szCs w:val="20"/>
              </w:rPr>
              <w:t>LNG tankers</w:t>
            </w:r>
          </w:p>
        </w:tc>
        <w:tc>
          <w:tcPr>
            <w:tcW w:w="850" w:type="dxa"/>
            <w:tcBorders>
              <w:top w:val="nil"/>
              <w:bottom w:val="nil"/>
            </w:tcBorders>
            <w:shd w:val="clear" w:color="auto" w:fill="140034"/>
          </w:tcPr>
          <w:p w14:paraId="6499DA90" w14:textId="77777777" w:rsidR="00CF40BE" w:rsidRPr="0014439F" w:rsidRDefault="00CF40BE" w:rsidP="00CF40BE">
            <w:pPr>
              <w:pStyle w:val="Tablecolumnheadings"/>
              <w:jc w:val="right"/>
              <w:rPr>
                <w:sz w:val="18"/>
                <w:szCs w:val="20"/>
              </w:rPr>
            </w:pPr>
            <w:r w:rsidRPr="0014439F">
              <w:rPr>
                <w:sz w:val="18"/>
                <w:szCs w:val="20"/>
              </w:rPr>
              <w:t>LPG tankers</w:t>
            </w:r>
          </w:p>
        </w:tc>
        <w:tc>
          <w:tcPr>
            <w:tcW w:w="850" w:type="dxa"/>
            <w:tcBorders>
              <w:top w:val="nil"/>
              <w:bottom w:val="nil"/>
            </w:tcBorders>
            <w:shd w:val="clear" w:color="auto" w:fill="140034"/>
          </w:tcPr>
          <w:p w14:paraId="7D62B8CD" w14:textId="77777777" w:rsidR="00CF40BE" w:rsidRPr="0014439F" w:rsidRDefault="00CF40BE" w:rsidP="00CF40BE">
            <w:pPr>
              <w:pStyle w:val="Tablecolumnheadings"/>
              <w:jc w:val="right"/>
              <w:rPr>
                <w:sz w:val="18"/>
                <w:szCs w:val="20"/>
              </w:rPr>
            </w:pPr>
            <w:r w:rsidRPr="0014439F">
              <w:rPr>
                <w:sz w:val="18"/>
                <w:szCs w:val="20"/>
              </w:rPr>
              <w:t>Livestock carriers</w:t>
            </w:r>
          </w:p>
        </w:tc>
        <w:tc>
          <w:tcPr>
            <w:tcW w:w="850" w:type="dxa"/>
            <w:tcBorders>
              <w:top w:val="nil"/>
              <w:bottom w:val="nil"/>
            </w:tcBorders>
            <w:shd w:val="clear" w:color="auto" w:fill="140034"/>
          </w:tcPr>
          <w:p w14:paraId="4F587F4A" w14:textId="77777777" w:rsidR="00CF40BE" w:rsidRPr="0014439F" w:rsidRDefault="00CF40BE" w:rsidP="00CF40BE">
            <w:pPr>
              <w:pStyle w:val="Tablecolumnheadings"/>
              <w:jc w:val="right"/>
              <w:rPr>
                <w:sz w:val="18"/>
                <w:szCs w:val="20"/>
              </w:rPr>
            </w:pPr>
            <w:r w:rsidRPr="0014439F">
              <w:rPr>
                <w:sz w:val="18"/>
                <w:szCs w:val="20"/>
              </w:rPr>
              <w:t>Tankers</w:t>
            </w:r>
          </w:p>
        </w:tc>
        <w:tc>
          <w:tcPr>
            <w:tcW w:w="851" w:type="dxa"/>
            <w:tcBorders>
              <w:top w:val="nil"/>
              <w:bottom w:val="nil"/>
              <w:right w:val="single" w:sz="6" w:space="0" w:color="140034"/>
            </w:tcBorders>
            <w:shd w:val="clear" w:color="auto" w:fill="140034"/>
          </w:tcPr>
          <w:p w14:paraId="11182C9A" w14:textId="77777777" w:rsidR="00CF40BE" w:rsidRPr="0014439F" w:rsidRDefault="00CF40BE" w:rsidP="00CF40BE">
            <w:pPr>
              <w:pStyle w:val="Tablecolumnheadings"/>
              <w:jc w:val="right"/>
              <w:rPr>
                <w:sz w:val="18"/>
                <w:szCs w:val="20"/>
              </w:rPr>
            </w:pPr>
            <w:r w:rsidRPr="0014439F">
              <w:rPr>
                <w:sz w:val="18"/>
                <w:szCs w:val="20"/>
              </w:rPr>
              <w:t>Vehicle carriers</w:t>
            </w:r>
          </w:p>
        </w:tc>
      </w:tr>
      <w:tr w:rsidR="00CF40BE" w14:paraId="444603DF" w14:textId="77777777" w:rsidTr="00CF40BE">
        <w:trPr>
          <w:gridBefore w:val="1"/>
          <w:wBefore w:w="454" w:type="dxa"/>
        </w:trPr>
        <w:tc>
          <w:tcPr>
            <w:tcW w:w="2247" w:type="dxa"/>
            <w:tcBorders>
              <w:top w:val="nil"/>
            </w:tcBorders>
            <w:shd w:val="clear" w:color="auto" w:fill="auto"/>
          </w:tcPr>
          <w:p w14:paraId="5FA3F1D4" w14:textId="77777777" w:rsidR="00CF40BE" w:rsidRDefault="00CF40BE" w:rsidP="00CF40BE">
            <w:pPr>
              <w:pStyle w:val="Tabletext"/>
              <w:keepNext/>
            </w:pPr>
          </w:p>
        </w:tc>
        <w:tc>
          <w:tcPr>
            <w:tcW w:w="850" w:type="dxa"/>
            <w:tcBorders>
              <w:top w:val="nil"/>
            </w:tcBorders>
            <w:shd w:val="clear" w:color="auto" w:fill="auto"/>
          </w:tcPr>
          <w:p w14:paraId="2F812988" w14:textId="77777777" w:rsidR="00CF40BE" w:rsidRDefault="00CF40BE" w:rsidP="00CF40BE">
            <w:pPr>
              <w:pStyle w:val="Tabletext"/>
              <w:keepNext/>
              <w:jc w:val="right"/>
            </w:pPr>
            <w:r>
              <w:t>$m</w:t>
            </w:r>
          </w:p>
        </w:tc>
        <w:tc>
          <w:tcPr>
            <w:tcW w:w="850" w:type="dxa"/>
            <w:tcBorders>
              <w:top w:val="nil"/>
            </w:tcBorders>
            <w:shd w:val="clear" w:color="auto" w:fill="auto"/>
          </w:tcPr>
          <w:p w14:paraId="0923263E" w14:textId="77777777" w:rsidR="00CF40BE" w:rsidRDefault="00CF40BE" w:rsidP="00CF40BE">
            <w:pPr>
              <w:pStyle w:val="Tabletext"/>
              <w:keepNext/>
              <w:jc w:val="right"/>
            </w:pPr>
            <w:r>
              <w:t>$m</w:t>
            </w:r>
          </w:p>
        </w:tc>
        <w:tc>
          <w:tcPr>
            <w:tcW w:w="850" w:type="dxa"/>
            <w:tcBorders>
              <w:top w:val="nil"/>
            </w:tcBorders>
            <w:shd w:val="clear" w:color="auto" w:fill="auto"/>
          </w:tcPr>
          <w:p w14:paraId="247ED837" w14:textId="77777777" w:rsidR="00CF40BE" w:rsidRDefault="00CF40BE" w:rsidP="00CF40BE">
            <w:pPr>
              <w:pStyle w:val="Tabletext"/>
              <w:keepNext/>
              <w:jc w:val="right"/>
            </w:pPr>
            <w:r>
              <w:t>$m</w:t>
            </w:r>
          </w:p>
        </w:tc>
        <w:tc>
          <w:tcPr>
            <w:tcW w:w="850" w:type="dxa"/>
            <w:tcBorders>
              <w:top w:val="nil"/>
            </w:tcBorders>
            <w:shd w:val="clear" w:color="auto" w:fill="auto"/>
          </w:tcPr>
          <w:p w14:paraId="31397898" w14:textId="77777777" w:rsidR="00CF40BE" w:rsidRDefault="00CF40BE" w:rsidP="00CF40BE">
            <w:pPr>
              <w:pStyle w:val="Tabletext"/>
              <w:keepNext/>
              <w:jc w:val="right"/>
            </w:pPr>
            <w:r>
              <w:t>$m</w:t>
            </w:r>
          </w:p>
        </w:tc>
        <w:tc>
          <w:tcPr>
            <w:tcW w:w="850" w:type="dxa"/>
            <w:tcBorders>
              <w:top w:val="nil"/>
            </w:tcBorders>
            <w:shd w:val="clear" w:color="auto" w:fill="auto"/>
          </w:tcPr>
          <w:p w14:paraId="04D4250E" w14:textId="77777777" w:rsidR="00CF40BE" w:rsidRDefault="00CF40BE" w:rsidP="00CF40BE">
            <w:pPr>
              <w:pStyle w:val="Tabletext"/>
              <w:keepNext/>
              <w:jc w:val="center"/>
            </w:pPr>
            <w:r>
              <w:t>$m</w:t>
            </w:r>
          </w:p>
        </w:tc>
        <w:tc>
          <w:tcPr>
            <w:tcW w:w="850" w:type="dxa"/>
            <w:tcBorders>
              <w:top w:val="nil"/>
            </w:tcBorders>
            <w:shd w:val="clear" w:color="auto" w:fill="auto"/>
          </w:tcPr>
          <w:p w14:paraId="599E48A6" w14:textId="77777777" w:rsidR="00CF40BE" w:rsidRDefault="00CF40BE" w:rsidP="00CF40BE">
            <w:pPr>
              <w:pStyle w:val="Tabletext"/>
              <w:keepNext/>
              <w:jc w:val="right"/>
            </w:pPr>
            <w:r>
              <w:t>$m</w:t>
            </w:r>
          </w:p>
        </w:tc>
        <w:tc>
          <w:tcPr>
            <w:tcW w:w="850" w:type="dxa"/>
            <w:tcBorders>
              <w:top w:val="nil"/>
            </w:tcBorders>
            <w:shd w:val="clear" w:color="auto" w:fill="auto"/>
          </w:tcPr>
          <w:p w14:paraId="2855FBD9" w14:textId="77777777" w:rsidR="00CF40BE" w:rsidRDefault="00CF40BE" w:rsidP="00CF40BE">
            <w:pPr>
              <w:pStyle w:val="Tabletext"/>
              <w:keepNext/>
              <w:jc w:val="right"/>
            </w:pPr>
            <w:r>
              <w:t>$m</w:t>
            </w:r>
          </w:p>
        </w:tc>
        <w:tc>
          <w:tcPr>
            <w:tcW w:w="850" w:type="dxa"/>
            <w:tcBorders>
              <w:top w:val="nil"/>
            </w:tcBorders>
            <w:shd w:val="clear" w:color="auto" w:fill="auto"/>
          </w:tcPr>
          <w:p w14:paraId="05AB6AC2" w14:textId="77777777" w:rsidR="00CF40BE" w:rsidRDefault="00CF40BE" w:rsidP="00CF40BE">
            <w:pPr>
              <w:pStyle w:val="Tabletext"/>
              <w:keepNext/>
              <w:jc w:val="right"/>
            </w:pPr>
            <w:r>
              <w:t>$m</w:t>
            </w:r>
          </w:p>
        </w:tc>
        <w:tc>
          <w:tcPr>
            <w:tcW w:w="851" w:type="dxa"/>
            <w:tcBorders>
              <w:top w:val="nil"/>
            </w:tcBorders>
            <w:shd w:val="clear" w:color="auto" w:fill="auto"/>
          </w:tcPr>
          <w:p w14:paraId="1C2B4D6D" w14:textId="77777777" w:rsidR="00CF40BE" w:rsidRDefault="00CF40BE" w:rsidP="00CF40BE">
            <w:pPr>
              <w:pStyle w:val="Tabletext"/>
              <w:keepNext/>
              <w:jc w:val="right"/>
            </w:pPr>
            <w:r>
              <w:t>$m</w:t>
            </w:r>
          </w:p>
        </w:tc>
      </w:tr>
      <w:tr w:rsidR="00CF40BE" w14:paraId="638337EF" w14:textId="77777777" w:rsidTr="00CF40BE">
        <w:trPr>
          <w:gridBefore w:val="1"/>
          <w:wBefore w:w="454" w:type="dxa"/>
        </w:trPr>
        <w:tc>
          <w:tcPr>
            <w:tcW w:w="2247" w:type="dxa"/>
            <w:shd w:val="clear" w:color="auto" w:fill="D5EBDA" w:themeFill="accent6" w:themeFillTint="33"/>
          </w:tcPr>
          <w:p w14:paraId="4D0F6178" w14:textId="77777777" w:rsidR="00CF40BE" w:rsidRPr="009F0927" w:rsidRDefault="00CF40BE" w:rsidP="00CF40BE">
            <w:pPr>
              <w:pStyle w:val="Tabletext"/>
              <w:keepNext/>
              <w:rPr>
                <w:b/>
                <w:bCs/>
              </w:rPr>
            </w:pPr>
            <w:r>
              <w:rPr>
                <w:b/>
                <w:bCs/>
              </w:rPr>
              <w:t>TOTAL NET BENEFITS</w:t>
            </w:r>
          </w:p>
        </w:tc>
        <w:tc>
          <w:tcPr>
            <w:tcW w:w="850" w:type="dxa"/>
            <w:shd w:val="clear" w:color="auto" w:fill="D5EBDA" w:themeFill="accent6" w:themeFillTint="33"/>
            <w:vAlign w:val="bottom"/>
          </w:tcPr>
          <w:p w14:paraId="621B222A"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45FAA2D6"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3B45D611"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01321A5A"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7A29AFCE"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2C4A6C1F"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3E22B110" w14:textId="77777777" w:rsidR="00CF40BE" w:rsidRDefault="00CF40BE" w:rsidP="00CF40BE">
            <w:pPr>
              <w:pStyle w:val="Tabletext"/>
              <w:keepNext/>
              <w:jc w:val="right"/>
            </w:pPr>
            <w:r>
              <w:rPr>
                <w:b/>
                <w:bCs/>
                <w:szCs w:val="20"/>
              </w:rPr>
              <w:t> </w:t>
            </w:r>
          </w:p>
        </w:tc>
        <w:tc>
          <w:tcPr>
            <w:tcW w:w="850" w:type="dxa"/>
            <w:shd w:val="clear" w:color="auto" w:fill="D5EBDA" w:themeFill="accent6" w:themeFillTint="33"/>
            <w:vAlign w:val="bottom"/>
          </w:tcPr>
          <w:p w14:paraId="53EF7772" w14:textId="77777777" w:rsidR="00CF40BE" w:rsidRDefault="00CF40BE" w:rsidP="00CF40BE">
            <w:pPr>
              <w:pStyle w:val="Tabletext"/>
              <w:keepNext/>
              <w:jc w:val="right"/>
            </w:pPr>
            <w:r>
              <w:rPr>
                <w:b/>
                <w:bCs/>
                <w:szCs w:val="20"/>
              </w:rPr>
              <w:t> </w:t>
            </w:r>
          </w:p>
        </w:tc>
        <w:tc>
          <w:tcPr>
            <w:tcW w:w="851" w:type="dxa"/>
            <w:shd w:val="clear" w:color="auto" w:fill="D5EBDA" w:themeFill="accent6" w:themeFillTint="33"/>
            <w:vAlign w:val="bottom"/>
          </w:tcPr>
          <w:p w14:paraId="24C638F1" w14:textId="77777777" w:rsidR="00CF40BE" w:rsidRDefault="00CF40BE" w:rsidP="00CF40BE">
            <w:pPr>
              <w:pStyle w:val="Tabletext"/>
              <w:keepNext/>
              <w:jc w:val="right"/>
            </w:pPr>
            <w:r>
              <w:rPr>
                <w:b/>
                <w:bCs/>
                <w:szCs w:val="20"/>
              </w:rPr>
              <w:t> </w:t>
            </w:r>
          </w:p>
        </w:tc>
      </w:tr>
      <w:tr w:rsidR="00CF40BE" w14:paraId="622E4CCE" w14:textId="77777777" w:rsidTr="00CF40BE">
        <w:trPr>
          <w:gridBefore w:val="1"/>
          <w:wBefore w:w="454" w:type="dxa"/>
        </w:trPr>
        <w:tc>
          <w:tcPr>
            <w:tcW w:w="2247" w:type="dxa"/>
            <w:shd w:val="clear" w:color="auto" w:fill="E5E5E5" w:themeFill="accent2" w:themeFillTint="33"/>
          </w:tcPr>
          <w:p w14:paraId="3C05C97B" w14:textId="77777777" w:rsidR="00CF40BE" w:rsidRDefault="00CF40BE" w:rsidP="00CF40BE">
            <w:pPr>
              <w:pStyle w:val="Tabletext"/>
              <w:keepNext/>
              <w:rPr>
                <w:b/>
                <w:bCs/>
                <w:i/>
                <w:iCs/>
              </w:rPr>
            </w:pPr>
            <w:r>
              <w:rPr>
                <w:b/>
                <w:bCs/>
                <w:i/>
                <w:iCs/>
              </w:rPr>
              <w:t xml:space="preserve">Undiscounted </w:t>
            </w:r>
          </w:p>
        </w:tc>
        <w:tc>
          <w:tcPr>
            <w:tcW w:w="850" w:type="dxa"/>
            <w:shd w:val="clear" w:color="auto" w:fill="E5E5E5" w:themeFill="accent2" w:themeFillTint="33"/>
            <w:vAlign w:val="bottom"/>
          </w:tcPr>
          <w:p w14:paraId="450F3E9D" w14:textId="64D38B6A" w:rsidR="00CF40BE" w:rsidRPr="0023756B" w:rsidRDefault="00CF40BE" w:rsidP="00CF40BE">
            <w:pPr>
              <w:pStyle w:val="Tabletext"/>
              <w:keepNext/>
              <w:jc w:val="right"/>
              <w:rPr>
                <w:b/>
                <w:bCs/>
                <w:i/>
                <w:iCs/>
                <w:szCs w:val="20"/>
              </w:rPr>
            </w:pPr>
            <w:r>
              <w:rPr>
                <w:b/>
                <w:bCs/>
                <w:i/>
                <w:iCs/>
                <w:szCs w:val="20"/>
              </w:rPr>
              <w:t>48.0</w:t>
            </w:r>
          </w:p>
        </w:tc>
        <w:tc>
          <w:tcPr>
            <w:tcW w:w="850" w:type="dxa"/>
            <w:shd w:val="clear" w:color="auto" w:fill="E5E5E5" w:themeFill="accent2" w:themeFillTint="33"/>
            <w:vAlign w:val="bottom"/>
          </w:tcPr>
          <w:p w14:paraId="74E1D916" w14:textId="6F4B7F04" w:rsidR="00CF40BE" w:rsidRPr="0023756B" w:rsidRDefault="00CF40BE" w:rsidP="00CF40BE">
            <w:pPr>
              <w:pStyle w:val="Tabletext"/>
              <w:keepNext/>
              <w:jc w:val="right"/>
              <w:rPr>
                <w:b/>
                <w:bCs/>
                <w:i/>
                <w:iCs/>
                <w:szCs w:val="20"/>
              </w:rPr>
            </w:pPr>
            <w:r>
              <w:rPr>
                <w:b/>
                <w:bCs/>
                <w:i/>
                <w:iCs/>
                <w:szCs w:val="20"/>
              </w:rPr>
              <w:t>4.7</w:t>
            </w:r>
          </w:p>
        </w:tc>
        <w:tc>
          <w:tcPr>
            <w:tcW w:w="850" w:type="dxa"/>
            <w:shd w:val="clear" w:color="auto" w:fill="E5E5E5" w:themeFill="accent2" w:themeFillTint="33"/>
            <w:vAlign w:val="bottom"/>
          </w:tcPr>
          <w:p w14:paraId="175208D8" w14:textId="4CA6A31B" w:rsidR="00CF40BE" w:rsidRPr="0023756B" w:rsidRDefault="00CF40BE" w:rsidP="00CF40BE">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412A1704" w14:textId="41711579" w:rsidR="00CF40BE" w:rsidRPr="0023756B" w:rsidRDefault="00CF40BE" w:rsidP="00CF40BE">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06C1D869" w14:textId="0A028D37" w:rsidR="00CF40BE" w:rsidRPr="0023756B" w:rsidRDefault="00CF40BE" w:rsidP="00CF40BE">
            <w:pPr>
              <w:pStyle w:val="Tabletext"/>
              <w:keepNext/>
              <w:jc w:val="right"/>
              <w:rPr>
                <w:b/>
                <w:bCs/>
                <w:i/>
                <w:iCs/>
                <w:szCs w:val="20"/>
              </w:rPr>
            </w:pPr>
            <w:r>
              <w:rPr>
                <w:b/>
                <w:bCs/>
                <w:i/>
                <w:iCs/>
                <w:szCs w:val="20"/>
              </w:rPr>
              <w:t>20.0</w:t>
            </w:r>
          </w:p>
        </w:tc>
        <w:tc>
          <w:tcPr>
            <w:tcW w:w="850" w:type="dxa"/>
            <w:shd w:val="clear" w:color="auto" w:fill="E5E5E5" w:themeFill="accent2" w:themeFillTint="33"/>
            <w:vAlign w:val="bottom"/>
          </w:tcPr>
          <w:p w14:paraId="5597F375" w14:textId="4119E314" w:rsidR="00CF40BE" w:rsidRPr="006F451B" w:rsidRDefault="00CF40BE" w:rsidP="00CF40BE">
            <w:pPr>
              <w:pStyle w:val="Tabletext"/>
              <w:keepNext/>
              <w:jc w:val="right"/>
              <w:rPr>
                <w:b/>
                <w:bCs/>
                <w:i/>
                <w:iCs/>
                <w:color w:val="auto"/>
                <w:szCs w:val="20"/>
              </w:rPr>
            </w:pPr>
            <w:r>
              <w:rPr>
                <w:b/>
                <w:bCs/>
                <w:i/>
                <w:iCs/>
                <w:color w:val="auto"/>
                <w:szCs w:val="20"/>
              </w:rPr>
              <w:t>2.1</w:t>
            </w:r>
          </w:p>
        </w:tc>
        <w:tc>
          <w:tcPr>
            <w:tcW w:w="850" w:type="dxa"/>
            <w:shd w:val="clear" w:color="auto" w:fill="E5E5E5" w:themeFill="accent2" w:themeFillTint="33"/>
            <w:vAlign w:val="bottom"/>
          </w:tcPr>
          <w:p w14:paraId="4163BC00" w14:textId="14770E55" w:rsidR="00CF40BE" w:rsidRPr="0023756B" w:rsidRDefault="00CF40BE" w:rsidP="00CF40BE">
            <w:pPr>
              <w:pStyle w:val="Tabletext"/>
              <w:keepNext/>
              <w:jc w:val="right"/>
              <w:rPr>
                <w:b/>
                <w:bCs/>
                <w:i/>
                <w:iCs/>
                <w:szCs w:val="20"/>
              </w:rPr>
            </w:pPr>
            <w:r>
              <w:rPr>
                <w:b/>
                <w:bCs/>
                <w:i/>
                <w:iCs/>
                <w:szCs w:val="20"/>
              </w:rPr>
              <w:t>7.2</w:t>
            </w:r>
          </w:p>
        </w:tc>
        <w:tc>
          <w:tcPr>
            <w:tcW w:w="850" w:type="dxa"/>
            <w:shd w:val="clear" w:color="auto" w:fill="E5E5E5" w:themeFill="accent2" w:themeFillTint="33"/>
            <w:vAlign w:val="bottom"/>
          </w:tcPr>
          <w:p w14:paraId="2A302671" w14:textId="7B6C67C0" w:rsidR="00CF40BE" w:rsidRPr="0023756B" w:rsidRDefault="00CF40BE" w:rsidP="00CF40BE">
            <w:pPr>
              <w:pStyle w:val="Tabletext"/>
              <w:keepNext/>
              <w:jc w:val="right"/>
              <w:rPr>
                <w:b/>
                <w:bCs/>
                <w:i/>
                <w:iCs/>
                <w:szCs w:val="20"/>
              </w:rPr>
            </w:pPr>
            <w:r>
              <w:rPr>
                <w:b/>
                <w:bCs/>
                <w:i/>
                <w:iCs/>
                <w:szCs w:val="20"/>
              </w:rPr>
              <w:t>9.8</w:t>
            </w:r>
          </w:p>
        </w:tc>
        <w:tc>
          <w:tcPr>
            <w:tcW w:w="851" w:type="dxa"/>
            <w:shd w:val="clear" w:color="auto" w:fill="E5E5E5" w:themeFill="accent2" w:themeFillTint="33"/>
            <w:vAlign w:val="bottom"/>
          </w:tcPr>
          <w:p w14:paraId="143F79BF" w14:textId="765CCE81" w:rsidR="00CF40BE" w:rsidRPr="0023756B" w:rsidRDefault="00CF40BE" w:rsidP="00CF40BE">
            <w:pPr>
              <w:pStyle w:val="Tabletext"/>
              <w:keepNext/>
              <w:jc w:val="right"/>
              <w:rPr>
                <w:b/>
                <w:bCs/>
                <w:i/>
                <w:iCs/>
                <w:szCs w:val="20"/>
              </w:rPr>
            </w:pPr>
            <w:r>
              <w:rPr>
                <w:b/>
                <w:bCs/>
                <w:i/>
                <w:iCs/>
                <w:szCs w:val="20"/>
              </w:rPr>
              <w:t>7.2</w:t>
            </w:r>
          </w:p>
        </w:tc>
      </w:tr>
      <w:tr w:rsidR="00CF40BE" w14:paraId="47EB9E14" w14:textId="77777777" w:rsidTr="00CF40BE">
        <w:trPr>
          <w:gridBefore w:val="1"/>
          <w:wBefore w:w="454" w:type="dxa"/>
        </w:trPr>
        <w:tc>
          <w:tcPr>
            <w:tcW w:w="2247" w:type="dxa"/>
            <w:shd w:val="clear" w:color="auto" w:fill="E5E5E5" w:themeFill="accent2" w:themeFillTint="33"/>
          </w:tcPr>
          <w:p w14:paraId="2545726C" w14:textId="77777777" w:rsidR="00CF40BE" w:rsidRDefault="00CF40BE" w:rsidP="00CF40BE">
            <w:pPr>
              <w:pStyle w:val="Tabletext"/>
              <w:keepNext/>
              <w:rPr>
                <w:b/>
                <w:bCs/>
                <w:i/>
                <w:iCs/>
              </w:rPr>
            </w:pPr>
            <w:r>
              <w:rPr>
                <w:b/>
                <w:bCs/>
                <w:i/>
                <w:iCs/>
              </w:rPr>
              <w:t>NPV (3</w:t>
            </w:r>
            <w:r w:rsidRPr="0014439F">
              <w:rPr>
                <w:b/>
                <w:bCs/>
                <w:i/>
                <w:iCs/>
              </w:rPr>
              <w:t>% discount rate)</w:t>
            </w:r>
          </w:p>
        </w:tc>
        <w:tc>
          <w:tcPr>
            <w:tcW w:w="850" w:type="dxa"/>
            <w:shd w:val="clear" w:color="auto" w:fill="E5E5E5" w:themeFill="accent2" w:themeFillTint="33"/>
            <w:vAlign w:val="bottom"/>
          </w:tcPr>
          <w:p w14:paraId="74436F2D" w14:textId="4722D8D5" w:rsidR="00CF40BE" w:rsidRPr="0023756B" w:rsidRDefault="00CF40BE" w:rsidP="00CF40BE">
            <w:pPr>
              <w:pStyle w:val="Tabletext"/>
              <w:keepNext/>
              <w:jc w:val="right"/>
              <w:rPr>
                <w:b/>
                <w:bCs/>
                <w:i/>
                <w:iCs/>
                <w:szCs w:val="20"/>
              </w:rPr>
            </w:pPr>
            <w:r>
              <w:rPr>
                <w:b/>
                <w:bCs/>
                <w:i/>
                <w:iCs/>
                <w:szCs w:val="20"/>
              </w:rPr>
              <w:t>43.4</w:t>
            </w:r>
          </w:p>
        </w:tc>
        <w:tc>
          <w:tcPr>
            <w:tcW w:w="850" w:type="dxa"/>
            <w:shd w:val="clear" w:color="auto" w:fill="E5E5E5" w:themeFill="accent2" w:themeFillTint="33"/>
            <w:vAlign w:val="bottom"/>
          </w:tcPr>
          <w:p w14:paraId="5A0CF84C" w14:textId="79635D74" w:rsidR="00CF40BE" w:rsidRPr="0023756B" w:rsidRDefault="00CF40BE" w:rsidP="00CF40BE">
            <w:pPr>
              <w:pStyle w:val="Tabletext"/>
              <w:keepNext/>
              <w:jc w:val="right"/>
              <w:rPr>
                <w:b/>
                <w:bCs/>
                <w:i/>
                <w:iCs/>
                <w:szCs w:val="20"/>
              </w:rPr>
            </w:pPr>
            <w:r>
              <w:rPr>
                <w:b/>
                <w:bCs/>
                <w:i/>
                <w:iCs/>
                <w:szCs w:val="20"/>
              </w:rPr>
              <w:t>4.4</w:t>
            </w:r>
          </w:p>
        </w:tc>
        <w:tc>
          <w:tcPr>
            <w:tcW w:w="850" w:type="dxa"/>
            <w:shd w:val="clear" w:color="auto" w:fill="E5E5E5" w:themeFill="accent2" w:themeFillTint="33"/>
            <w:vAlign w:val="bottom"/>
          </w:tcPr>
          <w:p w14:paraId="3E9E6BA1" w14:textId="01BC3D53" w:rsidR="00CF40BE" w:rsidRPr="0023756B" w:rsidRDefault="00CF40BE" w:rsidP="00CF40BE">
            <w:pPr>
              <w:pStyle w:val="Tabletext"/>
              <w:keepNext/>
              <w:jc w:val="right"/>
              <w:rPr>
                <w:b/>
                <w:bCs/>
                <w:i/>
                <w:iCs/>
                <w:szCs w:val="20"/>
              </w:rPr>
            </w:pPr>
            <w:r>
              <w:rPr>
                <w:b/>
                <w:bCs/>
                <w:i/>
                <w:iCs/>
                <w:szCs w:val="20"/>
              </w:rPr>
              <w:t>6.6</w:t>
            </w:r>
          </w:p>
        </w:tc>
        <w:tc>
          <w:tcPr>
            <w:tcW w:w="850" w:type="dxa"/>
            <w:shd w:val="clear" w:color="auto" w:fill="E5E5E5" w:themeFill="accent2" w:themeFillTint="33"/>
            <w:vAlign w:val="bottom"/>
          </w:tcPr>
          <w:p w14:paraId="5E93C82B" w14:textId="7490B946" w:rsidR="00CF40BE" w:rsidRPr="0023756B" w:rsidRDefault="00CF40BE" w:rsidP="00CF40BE">
            <w:pPr>
              <w:pStyle w:val="Tabletext"/>
              <w:keepNext/>
              <w:jc w:val="right"/>
              <w:rPr>
                <w:b/>
                <w:bCs/>
                <w:i/>
                <w:iCs/>
                <w:szCs w:val="20"/>
              </w:rPr>
            </w:pPr>
            <w:r>
              <w:rPr>
                <w:b/>
                <w:bCs/>
                <w:i/>
                <w:iCs/>
                <w:szCs w:val="20"/>
              </w:rPr>
              <w:t>6.6</w:t>
            </w:r>
          </w:p>
        </w:tc>
        <w:tc>
          <w:tcPr>
            <w:tcW w:w="850" w:type="dxa"/>
            <w:shd w:val="clear" w:color="auto" w:fill="E5E5E5" w:themeFill="accent2" w:themeFillTint="33"/>
            <w:vAlign w:val="bottom"/>
          </w:tcPr>
          <w:p w14:paraId="6672FACD" w14:textId="4FC82ADB" w:rsidR="00CF40BE" w:rsidRPr="0023756B" w:rsidRDefault="00CF40BE" w:rsidP="00CF40BE">
            <w:pPr>
              <w:pStyle w:val="Tabletext"/>
              <w:keepNext/>
              <w:jc w:val="right"/>
              <w:rPr>
                <w:b/>
                <w:bCs/>
                <w:i/>
                <w:iCs/>
                <w:szCs w:val="20"/>
              </w:rPr>
            </w:pPr>
            <w:r>
              <w:rPr>
                <w:b/>
                <w:bCs/>
                <w:i/>
                <w:iCs/>
                <w:szCs w:val="20"/>
              </w:rPr>
              <w:t>18.1</w:t>
            </w:r>
          </w:p>
        </w:tc>
        <w:tc>
          <w:tcPr>
            <w:tcW w:w="850" w:type="dxa"/>
            <w:shd w:val="clear" w:color="auto" w:fill="E5E5E5" w:themeFill="accent2" w:themeFillTint="33"/>
            <w:vAlign w:val="bottom"/>
          </w:tcPr>
          <w:p w14:paraId="640C7ADD" w14:textId="35BB4509" w:rsidR="00CF40BE" w:rsidRPr="006F451B" w:rsidRDefault="00CF40BE" w:rsidP="00CF40BE">
            <w:pPr>
              <w:pStyle w:val="Tabletext"/>
              <w:keepNext/>
              <w:jc w:val="right"/>
              <w:rPr>
                <w:b/>
                <w:bCs/>
                <w:i/>
                <w:iCs/>
                <w:color w:val="auto"/>
                <w:szCs w:val="20"/>
              </w:rPr>
            </w:pPr>
            <w:r>
              <w:rPr>
                <w:b/>
                <w:bCs/>
                <w:i/>
                <w:iCs/>
                <w:color w:val="auto"/>
                <w:szCs w:val="20"/>
              </w:rPr>
              <w:t>2.1</w:t>
            </w:r>
          </w:p>
        </w:tc>
        <w:tc>
          <w:tcPr>
            <w:tcW w:w="850" w:type="dxa"/>
            <w:shd w:val="clear" w:color="auto" w:fill="E5E5E5" w:themeFill="accent2" w:themeFillTint="33"/>
            <w:vAlign w:val="bottom"/>
          </w:tcPr>
          <w:p w14:paraId="4DD25BCF" w14:textId="216DC0D2" w:rsidR="00CF40BE" w:rsidRPr="0023756B" w:rsidRDefault="00CF40BE" w:rsidP="00CF40BE">
            <w:pPr>
              <w:pStyle w:val="Tabletext"/>
              <w:keepNext/>
              <w:jc w:val="right"/>
              <w:rPr>
                <w:b/>
                <w:bCs/>
                <w:i/>
                <w:iCs/>
                <w:szCs w:val="20"/>
              </w:rPr>
            </w:pPr>
            <w:r>
              <w:rPr>
                <w:b/>
                <w:bCs/>
                <w:i/>
                <w:iCs/>
                <w:szCs w:val="20"/>
              </w:rPr>
              <w:t>6.6</w:t>
            </w:r>
          </w:p>
        </w:tc>
        <w:tc>
          <w:tcPr>
            <w:tcW w:w="850" w:type="dxa"/>
            <w:shd w:val="clear" w:color="auto" w:fill="E5E5E5" w:themeFill="accent2" w:themeFillTint="33"/>
            <w:vAlign w:val="bottom"/>
          </w:tcPr>
          <w:p w14:paraId="1A18E0C7" w14:textId="68DE3C5E" w:rsidR="00CF40BE" w:rsidRPr="0023756B" w:rsidRDefault="00CF40BE" w:rsidP="00CF40BE">
            <w:pPr>
              <w:pStyle w:val="Tabletext"/>
              <w:keepNext/>
              <w:jc w:val="right"/>
              <w:rPr>
                <w:b/>
                <w:bCs/>
                <w:i/>
                <w:iCs/>
                <w:szCs w:val="20"/>
              </w:rPr>
            </w:pPr>
            <w:r>
              <w:rPr>
                <w:b/>
                <w:bCs/>
                <w:i/>
                <w:iCs/>
                <w:szCs w:val="20"/>
              </w:rPr>
              <w:t>8.9</w:t>
            </w:r>
          </w:p>
        </w:tc>
        <w:tc>
          <w:tcPr>
            <w:tcW w:w="851" w:type="dxa"/>
            <w:shd w:val="clear" w:color="auto" w:fill="E5E5E5" w:themeFill="accent2" w:themeFillTint="33"/>
            <w:vAlign w:val="bottom"/>
          </w:tcPr>
          <w:p w14:paraId="4773FE32" w14:textId="5FC90BD3" w:rsidR="00CF40BE" w:rsidRPr="0023756B" w:rsidRDefault="00CF40BE" w:rsidP="00CF40BE">
            <w:pPr>
              <w:pStyle w:val="Tabletext"/>
              <w:keepNext/>
              <w:jc w:val="right"/>
              <w:rPr>
                <w:b/>
                <w:bCs/>
                <w:i/>
                <w:iCs/>
                <w:szCs w:val="20"/>
              </w:rPr>
            </w:pPr>
            <w:r>
              <w:rPr>
                <w:b/>
                <w:bCs/>
                <w:i/>
                <w:iCs/>
                <w:szCs w:val="20"/>
              </w:rPr>
              <w:t>6.6</w:t>
            </w:r>
          </w:p>
        </w:tc>
      </w:tr>
      <w:tr w:rsidR="00CF40BE" w14:paraId="4A3E8E04" w14:textId="77777777" w:rsidTr="00CF40BE">
        <w:trPr>
          <w:gridBefore w:val="1"/>
          <w:wBefore w:w="454" w:type="dxa"/>
        </w:trPr>
        <w:tc>
          <w:tcPr>
            <w:tcW w:w="2247" w:type="dxa"/>
            <w:shd w:val="clear" w:color="auto" w:fill="E5E5E5" w:themeFill="accent2" w:themeFillTint="33"/>
          </w:tcPr>
          <w:p w14:paraId="351C3DE8" w14:textId="77777777" w:rsidR="00CF40BE" w:rsidRPr="009F0927" w:rsidRDefault="00CF40BE" w:rsidP="00CF40BE">
            <w:pPr>
              <w:pStyle w:val="Tabletext"/>
              <w:keepNext/>
              <w:rPr>
                <w:b/>
                <w:bCs/>
              </w:rPr>
            </w:pPr>
            <w:r w:rsidRPr="0014439F">
              <w:rPr>
                <w:b/>
                <w:bCs/>
                <w:i/>
                <w:iCs/>
              </w:rPr>
              <w:t>NPV (7% discount rate)</w:t>
            </w:r>
          </w:p>
        </w:tc>
        <w:tc>
          <w:tcPr>
            <w:tcW w:w="850" w:type="dxa"/>
            <w:shd w:val="clear" w:color="auto" w:fill="E5E5E5" w:themeFill="accent2" w:themeFillTint="33"/>
            <w:vAlign w:val="bottom"/>
          </w:tcPr>
          <w:p w14:paraId="177FC28D" w14:textId="1E85F74D" w:rsidR="00CF40BE" w:rsidRPr="0023756B" w:rsidRDefault="00CF40BE" w:rsidP="00CF40BE">
            <w:pPr>
              <w:pStyle w:val="Tabletext"/>
              <w:keepNext/>
              <w:jc w:val="right"/>
              <w:rPr>
                <w:b/>
                <w:bCs/>
                <w:i/>
                <w:iCs/>
              </w:rPr>
            </w:pPr>
            <w:r>
              <w:rPr>
                <w:b/>
                <w:bCs/>
                <w:i/>
                <w:iCs/>
              </w:rPr>
              <w:t>38.2</w:t>
            </w:r>
          </w:p>
        </w:tc>
        <w:tc>
          <w:tcPr>
            <w:tcW w:w="850" w:type="dxa"/>
            <w:shd w:val="clear" w:color="auto" w:fill="E5E5E5" w:themeFill="accent2" w:themeFillTint="33"/>
            <w:vAlign w:val="bottom"/>
          </w:tcPr>
          <w:p w14:paraId="1B5769D3" w14:textId="7F8461E1" w:rsidR="00CF40BE" w:rsidRPr="0023756B" w:rsidRDefault="00CF40BE" w:rsidP="00CF40BE">
            <w:pPr>
              <w:pStyle w:val="Tabletext"/>
              <w:keepNext/>
              <w:jc w:val="right"/>
              <w:rPr>
                <w:b/>
                <w:bCs/>
                <w:i/>
                <w:iCs/>
              </w:rPr>
            </w:pPr>
            <w:r>
              <w:rPr>
                <w:b/>
                <w:bCs/>
                <w:i/>
                <w:iCs/>
              </w:rPr>
              <w:t>3.9</w:t>
            </w:r>
          </w:p>
        </w:tc>
        <w:tc>
          <w:tcPr>
            <w:tcW w:w="850" w:type="dxa"/>
            <w:shd w:val="clear" w:color="auto" w:fill="E5E5E5" w:themeFill="accent2" w:themeFillTint="33"/>
            <w:vAlign w:val="bottom"/>
          </w:tcPr>
          <w:p w14:paraId="03838BE3" w14:textId="47CC585D" w:rsidR="00CF40BE" w:rsidRPr="0023756B" w:rsidRDefault="00CF40BE" w:rsidP="00CF40BE">
            <w:pPr>
              <w:pStyle w:val="Tabletext"/>
              <w:keepNext/>
              <w:jc w:val="right"/>
              <w:rPr>
                <w:b/>
                <w:bCs/>
                <w:i/>
                <w:iCs/>
              </w:rPr>
            </w:pPr>
            <w:r>
              <w:rPr>
                <w:b/>
                <w:bCs/>
                <w:i/>
                <w:iCs/>
              </w:rPr>
              <w:t>6.0</w:t>
            </w:r>
          </w:p>
        </w:tc>
        <w:tc>
          <w:tcPr>
            <w:tcW w:w="850" w:type="dxa"/>
            <w:shd w:val="clear" w:color="auto" w:fill="E5E5E5" w:themeFill="accent2" w:themeFillTint="33"/>
            <w:vAlign w:val="bottom"/>
          </w:tcPr>
          <w:p w14:paraId="689A3AD6" w14:textId="5F974320" w:rsidR="00CF40BE" w:rsidRPr="0023756B" w:rsidRDefault="00CF40BE" w:rsidP="00CF40BE">
            <w:pPr>
              <w:pStyle w:val="Tabletext"/>
              <w:keepNext/>
              <w:jc w:val="right"/>
              <w:rPr>
                <w:b/>
                <w:bCs/>
                <w:i/>
                <w:iCs/>
              </w:rPr>
            </w:pPr>
            <w:r>
              <w:rPr>
                <w:b/>
                <w:bCs/>
                <w:i/>
                <w:iCs/>
              </w:rPr>
              <w:t>6.0</w:t>
            </w:r>
          </w:p>
        </w:tc>
        <w:tc>
          <w:tcPr>
            <w:tcW w:w="850" w:type="dxa"/>
            <w:shd w:val="clear" w:color="auto" w:fill="E5E5E5" w:themeFill="accent2" w:themeFillTint="33"/>
            <w:vAlign w:val="bottom"/>
          </w:tcPr>
          <w:p w14:paraId="7FD0067E" w14:textId="14243F5E" w:rsidR="00CF40BE" w:rsidRPr="0023756B" w:rsidRDefault="00CF40BE" w:rsidP="00CF40BE">
            <w:pPr>
              <w:pStyle w:val="Tabletext"/>
              <w:keepNext/>
              <w:jc w:val="right"/>
              <w:rPr>
                <w:b/>
                <w:bCs/>
                <w:i/>
                <w:iCs/>
              </w:rPr>
            </w:pPr>
            <w:r>
              <w:rPr>
                <w:b/>
                <w:bCs/>
                <w:i/>
                <w:iCs/>
              </w:rPr>
              <w:t>16.0</w:t>
            </w:r>
          </w:p>
        </w:tc>
        <w:tc>
          <w:tcPr>
            <w:tcW w:w="850" w:type="dxa"/>
            <w:shd w:val="clear" w:color="auto" w:fill="E5E5E5" w:themeFill="accent2" w:themeFillTint="33"/>
            <w:vAlign w:val="bottom"/>
          </w:tcPr>
          <w:p w14:paraId="6A961F69" w14:textId="1AD5F845" w:rsidR="00CF40BE" w:rsidRPr="0023756B" w:rsidRDefault="00CF40BE" w:rsidP="00CF40BE">
            <w:pPr>
              <w:pStyle w:val="Tabletext"/>
              <w:keepNext/>
              <w:jc w:val="right"/>
              <w:rPr>
                <w:b/>
                <w:bCs/>
                <w:i/>
                <w:iCs/>
              </w:rPr>
            </w:pPr>
            <w:r>
              <w:rPr>
                <w:b/>
                <w:bCs/>
                <w:i/>
                <w:iCs/>
              </w:rPr>
              <w:t>1.9</w:t>
            </w:r>
          </w:p>
        </w:tc>
        <w:tc>
          <w:tcPr>
            <w:tcW w:w="850" w:type="dxa"/>
            <w:shd w:val="clear" w:color="auto" w:fill="E5E5E5" w:themeFill="accent2" w:themeFillTint="33"/>
            <w:vAlign w:val="bottom"/>
          </w:tcPr>
          <w:p w14:paraId="1C3FE0EE" w14:textId="3FC5BA34" w:rsidR="00CF40BE" w:rsidRPr="0023756B" w:rsidRDefault="004C6451" w:rsidP="00CF40BE">
            <w:pPr>
              <w:pStyle w:val="Tabletext"/>
              <w:keepNext/>
              <w:jc w:val="right"/>
              <w:rPr>
                <w:b/>
                <w:bCs/>
                <w:i/>
                <w:iCs/>
              </w:rPr>
            </w:pPr>
            <w:r>
              <w:rPr>
                <w:b/>
                <w:bCs/>
                <w:i/>
                <w:iCs/>
              </w:rPr>
              <w:t>6.0</w:t>
            </w:r>
          </w:p>
        </w:tc>
        <w:tc>
          <w:tcPr>
            <w:tcW w:w="850" w:type="dxa"/>
            <w:shd w:val="clear" w:color="auto" w:fill="E5E5E5" w:themeFill="accent2" w:themeFillTint="33"/>
            <w:vAlign w:val="bottom"/>
          </w:tcPr>
          <w:p w14:paraId="59A4BF82" w14:textId="71F88972" w:rsidR="00CF40BE" w:rsidRPr="0023756B" w:rsidRDefault="004C6451" w:rsidP="00CF40BE">
            <w:pPr>
              <w:pStyle w:val="Tabletext"/>
              <w:keepNext/>
              <w:jc w:val="right"/>
              <w:rPr>
                <w:b/>
                <w:bCs/>
                <w:i/>
                <w:iCs/>
              </w:rPr>
            </w:pPr>
            <w:r>
              <w:rPr>
                <w:b/>
                <w:bCs/>
                <w:i/>
                <w:iCs/>
              </w:rPr>
              <w:t>8.0</w:t>
            </w:r>
          </w:p>
        </w:tc>
        <w:tc>
          <w:tcPr>
            <w:tcW w:w="851" w:type="dxa"/>
            <w:shd w:val="clear" w:color="auto" w:fill="E5E5E5" w:themeFill="accent2" w:themeFillTint="33"/>
            <w:vAlign w:val="bottom"/>
          </w:tcPr>
          <w:p w14:paraId="2053CF25" w14:textId="11C84BD0" w:rsidR="00CF40BE" w:rsidRPr="0023756B" w:rsidRDefault="004C6451" w:rsidP="00CF40BE">
            <w:pPr>
              <w:pStyle w:val="Tabletext"/>
              <w:keepNext/>
              <w:jc w:val="right"/>
              <w:rPr>
                <w:b/>
                <w:bCs/>
                <w:i/>
                <w:iCs/>
              </w:rPr>
            </w:pPr>
            <w:r>
              <w:rPr>
                <w:b/>
                <w:bCs/>
                <w:i/>
                <w:iCs/>
                <w:szCs w:val="20"/>
              </w:rPr>
              <w:t>6</w:t>
            </w:r>
            <w:r w:rsidR="00CF40BE">
              <w:rPr>
                <w:b/>
                <w:bCs/>
                <w:i/>
                <w:iCs/>
                <w:szCs w:val="20"/>
              </w:rPr>
              <w:t>.0</w:t>
            </w:r>
          </w:p>
        </w:tc>
      </w:tr>
      <w:tr w:rsidR="00CF40BE" w14:paraId="55CCE94A" w14:textId="77777777" w:rsidTr="00CF40BE">
        <w:trPr>
          <w:gridBefore w:val="1"/>
          <w:wBefore w:w="454" w:type="dxa"/>
        </w:trPr>
        <w:tc>
          <w:tcPr>
            <w:tcW w:w="2247" w:type="dxa"/>
            <w:shd w:val="clear" w:color="auto" w:fill="E5E5E5" w:themeFill="accent2" w:themeFillTint="33"/>
          </w:tcPr>
          <w:p w14:paraId="5CDB058B" w14:textId="77777777" w:rsidR="00CF40BE" w:rsidRPr="0014439F" w:rsidRDefault="00CF40BE" w:rsidP="00CF40BE">
            <w:pPr>
              <w:pStyle w:val="Tabletext"/>
              <w:rPr>
                <w:b/>
                <w:bCs/>
              </w:rPr>
            </w:pPr>
            <w:r>
              <w:rPr>
                <w:b/>
                <w:bCs/>
                <w:i/>
                <w:iCs/>
              </w:rPr>
              <w:t>NPV (10</w:t>
            </w:r>
            <w:r w:rsidRPr="0014439F">
              <w:rPr>
                <w:b/>
                <w:bCs/>
                <w:i/>
                <w:iCs/>
              </w:rPr>
              <w:t>% discount rate)</w:t>
            </w:r>
          </w:p>
        </w:tc>
        <w:tc>
          <w:tcPr>
            <w:tcW w:w="850" w:type="dxa"/>
            <w:shd w:val="clear" w:color="auto" w:fill="E5E5E5" w:themeFill="accent2" w:themeFillTint="33"/>
            <w:vAlign w:val="bottom"/>
          </w:tcPr>
          <w:p w14:paraId="59709A62" w14:textId="5166BA95" w:rsidR="00CF40BE" w:rsidRPr="0023756B" w:rsidRDefault="004C6451" w:rsidP="00CF40BE">
            <w:pPr>
              <w:pStyle w:val="Tabletext"/>
              <w:jc w:val="right"/>
              <w:rPr>
                <w:b/>
                <w:bCs/>
                <w:i/>
                <w:iCs/>
              </w:rPr>
            </w:pPr>
            <w:r>
              <w:rPr>
                <w:b/>
                <w:bCs/>
                <w:i/>
                <w:iCs/>
              </w:rPr>
              <w:t>34.9</w:t>
            </w:r>
          </w:p>
        </w:tc>
        <w:tc>
          <w:tcPr>
            <w:tcW w:w="850" w:type="dxa"/>
            <w:shd w:val="clear" w:color="auto" w:fill="E5E5E5" w:themeFill="accent2" w:themeFillTint="33"/>
            <w:vAlign w:val="bottom"/>
          </w:tcPr>
          <w:p w14:paraId="4FDF893A" w14:textId="2E245A11" w:rsidR="00CF40BE" w:rsidRPr="0023756B" w:rsidRDefault="004C6451" w:rsidP="00CF40BE">
            <w:pPr>
              <w:pStyle w:val="Tabletext"/>
              <w:jc w:val="right"/>
              <w:rPr>
                <w:b/>
                <w:bCs/>
                <w:i/>
                <w:iCs/>
              </w:rPr>
            </w:pPr>
            <w:r>
              <w:rPr>
                <w:b/>
                <w:bCs/>
                <w:i/>
                <w:iCs/>
              </w:rPr>
              <w:t>3.7</w:t>
            </w:r>
          </w:p>
        </w:tc>
        <w:tc>
          <w:tcPr>
            <w:tcW w:w="850" w:type="dxa"/>
            <w:shd w:val="clear" w:color="auto" w:fill="E5E5E5" w:themeFill="accent2" w:themeFillTint="33"/>
            <w:vAlign w:val="bottom"/>
          </w:tcPr>
          <w:p w14:paraId="4DA057ED" w14:textId="64B489B1" w:rsidR="00CF40BE" w:rsidRPr="0023756B" w:rsidRDefault="004C6451" w:rsidP="00CF40BE">
            <w:pPr>
              <w:pStyle w:val="Tabletext"/>
              <w:jc w:val="right"/>
              <w:rPr>
                <w:b/>
                <w:bCs/>
                <w:i/>
                <w:iCs/>
              </w:rPr>
            </w:pPr>
            <w:r>
              <w:rPr>
                <w:b/>
                <w:bCs/>
                <w:i/>
                <w:iCs/>
              </w:rPr>
              <w:t>5.5</w:t>
            </w:r>
          </w:p>
        </w:tc>
        <w:tc>
          <w:tcPr>
            <w:tcW w:w="850" w:type="dxa"/>
            <w:shd w:val="clear" w:color="auto" w:fill="E5E5E5" w:themeFill="accent2" w:themeFillTint="33"/>
            <w:vAlign w:val="bottom"/>
          </w:tcPr>
          <w:p w14:paraId="1B5A017B" w14:textId="4B43C20B" w:rsidR="00CF40BE" w:rsidRPr="0023756B" w:rsidRDefault="004C6451" w:rsidP="00CF40BE">
            <w:pPr>
              <w:pStyle w:val="Tabletext"/>
              <w:jc w:val="right"/>
              <w:rPr>
                <w:b/>
                <w:bCs/>
                <w:i/>
                <w:iCs/>
              </w:rPr>
            </w:pPr>
            <w:r>
              <w:rPr>
                <w:b/>
                <w:bCs/>
                <w:i/>
                <w:iCs/>
              </w:rPr>
              <w:t>5.5</w:t>
            </w:r>
          </w:p>
        </w:tc>
        <w:tc>
          <w:tcPr>
            <w:tcW w:w="850" w:type="dxa"/>
            <w:shd w:val="clear" w:color="auto" w:fill="E5E5E5" w:themeFill="accent2" w:themeFillTint="33"/>
            <w:vAlign w:val="bottom"/>
          </w:tcPr>
          <w:p w14:paraId="66F7921D" w14:textId="30CA201A" w:rsidR="00CF40BE" w:rsidRPr="0023756B" w:rsidRDefault="004C6451" w:rsidP="00CF40BE">
            <w:pPr>
              <w:pStyle w:val="Tabletext"/>
              <w:jc w:val="right"/>
              <w:rPr>
                <w:b/>
                <w:bCs/>
                <w:i/>
                <w:iCs/>
              </w:rPr>
            </w:pPr>
            <w:r>
              <w:rPr>
                <w:b/>
                <w:bCs/>
                <w:i/>
                <w:iCs/>
              </w:rPr>
              <w:t>14.7</w:t>
            </w:r>
          </w:p>
        </w:tc>
        <w:tc>
          <w:tcPr>
            <w:tcW w:w="850" w:type="dxa"/>
            <w:shd w:val="clear" w:color="auto" w:fill="E5E5E5" w:themeFill="accent2" w:themeFillTint="33"/>
            <w:vAlign w:val="bottom"/>
          </w:tcPr>
          <w:p w14:paraId="42AD58D9" w14:textId="3098A5FA" w:rsidR="00CF40BE" w:rsidRPr="0023756B" w:rsidRDefault="004C6451" w:rsidP="00CF40BE">
            <w:pPr>
              <w:pStyle w:val="Tabletext"/>
              <w:jc w:val="right"/>
              <w:rPr>
                <w:b/>
                <w:bCs/>
                <w:i/>
                <w:iCs/>
              </w:rPr>
            </w:pPr>
            <w:r>
              <w:rPr>
                <w:b/>
                <w:bCs/>
                <w:i/>
                <w:iCs/>
              </w:rPr>
              <w:t>1.8</w:t>
            </w:r>
          </w:p>
        </w:tc>
        <w:tc>
          <w:tcPr>
            <w:tcW w:w="850" w:type="dxa"/>
            <w:shd w:val="clear" w:color="auto" w:fill="E5E5E5" w:themeFill="accent2" w:themeFillTint="33"/>
            <w:vAlign w:val="bottom"/>
          </w:tcPr>
          <w:p w14:paraId="0F364F68" w14:textId="16ECED6A" w:rsidR="00CF40BE" w:rsidRPr="0023756B" w:rsidRDefault="004C6451" w:rsidP="00CF40BE">
            <w:pPr>
              <w:pStyle w:val="Tabletext"/>
              <w:jc w:val="right"/>
              <w:rPr>
                <w:b/>
                <w:bCs/>
                <w:i/>
                <w:iCs/>
              </w:rPr>
            </w:pPr>
            <w:r>
              <w:rPr>
                <w:b/>
                <w:bCs/>
                <w:i/>
                <w:iCs/>
              </w:rPr>
              <w:t>5.5</w:t>
            </w:r>
          </w:p>
        </w:tc>
        <w:tc>
          <w:tcPr>
            <w:tcW w:w="850" w:type="dxa"/>
            <w:shd w:val="clear" w:color="auto" w:fill="E5E5E5" w:themeFill="accent2" w:themeFillTint="33"/>
            <w:vAlign w:val="bottom"/>
          </w:tcPr>
          <w:p w14:paraId="319102B4" w14:textId="1C35147B" w:rsidR="00CF40BE" w:rsidRPr="0023756B" w:rsidRDefault="004C6451" w:rsidP="00CF40BE">
            <w:pPr>
              <w:pStyle w:val="Tabletext"/>
              <w:jc w:val="right"/>
              <w:rPr>
                <w:b/>
                <w:bCs/>
                <w:i/>
                <w:iCs/>
              </w:rPr>
            </w:pPr>
            <w:r>
              <w:rPr>
                <w:b/>
                <w:bCs/>
                <w:i/>
                <w:iCs/>
              </w:rPr>
              <w:t>7.3</w:t>
            </w:r>
          </w:p>
        </w:tc>
        <w:tc>
          <w:tcPr>
            <w:tcW w:w="851" w:type="dxa"/>
            <w:shd w:val="clear" w:color="auto" w:fill="E5E5E5" w:themeFill="accent2" w:themeFillTint="33"/>
            <w:vAlign w:val="bottom"/>
          </w:tcPr>
          <w:p w14:paraId="23217687" w14:textId="09B59E5A" w:rsidR="00CF40BE" w:rsidRPr="0023756B" w:rsidRDefault="004C6451" w:rsidP="004C6451">
            <w:pPr>
              <w:pStyle w:val="Tabletext"/>
              <w:jc w:val="right"/>
              <w:rPr>
                <w:b/>
                <w:bCs/>
                <w:i/>
                <w:iCs/>
              </w:rPr>
            </w:pPr>
            <w:r>
              <w:rPr>
                <w:b/>
                <w:bCs/>
                <w:i/>
                <w:iCs/>
                <w:szCs w:val="20"/>
              </w:rPr>
              <w:t>5.5</w:t>
            </w:r>
          </w:p>
        </w:tc>
      </w:tr>
      <w:tr w:rsidR="00CF40BE" w14:paraId="5AB4C309" w14:textId="77777777" w:rsidTr="00CF40BE">
        <w:trPr>
          <w:gridBefore w:val="1"/>
          <w:wBefore w:w="454" w:type="dxa"/>
        </w:trPr>
        <w:tc>
          <w:tcPr>
            <w:tcW w:w="2247" w:type="dxa"/>
            <w:shd w:val="clear" w:color="auto" w:fill="CAE4EE" w:themeFill="accent5" w:themeFillTint="66"/>
          </w:tcPr>
          <w:p w14:paraId="311EAA54" w14:textId="77777777" w:rsidR="00CF40BE" w:rsidRPr="009F0927" w:rsidRDefault="00CF40BE" w:rsidP="00CF40BE">
            <w:pPr>
              <w:pStyle w:val="Tabletext"/>
              <w:keepNext/>
              <w:rPr>
                <w:b/>
                <w:bCs/>
                <w:i/>
                <w:iCs/>
              </w:rPr>
            </w:pPr>
            <w:r>
              <w:rPr>
                <w:b/>
                <w:bCs/>
              </w:rPr>
              <w:t>TOTAL COSTS</w:t>
            </w:r>
          </w:p>
        </w:tc>
        <w:tc>
          <w:tcPr>
            <w:tcW w:w="850" w:type="dxa"/>
            <w:shd w:val="clear" w:color="auto" w:fill="CAE4EE" w:themeFill="accent5" w:themeFillTint="66"/>
          </w:tcPr>
          <w:p w14:paraId="00792852" w14:textId="77777777" w:rsidR="00CF40BE" w:rsidRPr="00894500" w:rsidRDefault="00CF40BE" w:rsidP="00CF40BE">
            <w:pPr>
              <w:pStyle w:val="Tabletext"/>
              <w:keepNext/>
              <w:jc w:val="right"/>
            </w:pPr>
          </w:p>
        </w:tc>
        <w:tc>
          <w:tcPr>
            <w:tcW w:w="850" w:type="dxa"/>
            <w:shd w:val="clear" w:color="auto" w:fill="CAE4EE" w:themeFill="accent5" w:themeFillTint="66"/>
          </w:tcPr>
          <w:p w14:paraId="430C700F" w14:textId="77777777" w:rsidR="00CF40BE" w:rsidRPr="00894500" w:rsidRDefault="00CF40BE" w:rsidP="00CF40BE">
            <w:pPr>
              <w:pStyle w:val="Tabletext"/>
              <w:keepNext/>
              <w:jc w:val="right"/>
            </w:pPr>
          </w:p>
        </w:tc>
        <w:tc>
          <w:tcPr>
            <w:tcW w:w="850" w:type="dxa"/>
            <w:shd w:val="clear" w:color="auto" w:fill="CAE4EE" w:themeFill="accent5" w:themeFillTint="66"/>
          </w:tcPr>
          <w:p w14:paraId="4F33D7FA" w14:textId="77777777" w:rsidR="00CF40BE" w:rsidRPr="00894500" w:rsidRDefault="00CF40BE" w:rsidP="00CF40BE">
            <w:pPr>
              <w:pStyle w:val="Tabletext"/>
              <w:keepNext/>
              <w:jc w:val="right"/>
            </w:pPr>
          </w:p>
        </w:tc>
        <w:tc>
          <w:tcPr>
            <w:tcW w:w="850" w:type="dxa"/>
            <w:shd w:val="clear" w:color="auto" w:fill="CAE4EE" w:themeFill="accent5" w:themeFillTint="66"/>
          </w:tcPr>
          <w:p w14:paraId="12F15FAD" w14:textId="77777777" w:rsidR="00CF40BE" w:rsidRPr="00894500" w:rsidRDefault="00CF40BE" w:rsidP="00CF40BE">
            <w:pPr>
              <w:pStyle w:val="Tabletext"/>
              <w:keepNext/>
              <w:jc w:val="right"/>
            </w:pPr>
          </w:p>
        </w:tc>
        <w:tc>
          <w:tcPr>
            <w:tcW w:w="850" w:type="dxa"/>
            <w:shd w:val="clear" w:color="auto" w:fill="CAE4EE" w:themeFill="accent5" w:themeFillTint="66"/>
          </w:tcPr>
          <w:p w14:paraId="50F018C2" w14:textId="77777777" w:rsidR="00CF40BE" w:rsidRPr="00894500" w:rsidRDefault="00CF40BE" w:rsidP="00CF40BE">
            <w:pPr>
              <w:pStyle w:val="Tabletext"/>
              <w:keepNext/>
              <w:jc w:val="right"/>
            </w:pPr>
          </w:p>
        </w:tc>
        <w:tc>
          <w:tcPr>
            <w:tcW w:w="850" w:type="dxa"/>
            <w:shd w:val="clear" w:color="auto" w:fill="CAE4EE" w:themeFill="accent5" w:themeFillTint="66"/>
          </w:tcPr>
          <w:p w14:paraId="25F2AB10" w14:textId="77777777" w:rsidR="00CF40BE" w:rsidRPr="00894500" w:rsidRDefault="00CF40BE" w:rsidP="00CF40BE">
            <w:pPr>
              <w:pStyle w:val="Tabletext"/>
              <w:keepNext/>
              <w:jc w:val="right"/>
            </w:pPr>
          </w:p>
        </w:tc>
        <w:tc>
          <w:tcPr>
            <w:tcW w:w="850" w:type="dxa"/>
            <w:shd w:val="clear" w:color="auto" w:fill="CAE4EE" w:themeFill="accent5" w:themeFillTint="66"/>
          </w:tcPr>
          <w:p w14:paraId="69993D75" w14:textId="77777777" w:rsidR="00CF40BE" w:rsidRPr="00894500" w:rsidRDefault="00CF40BE" w:rsidP="00CF40BE">
            <w:pPr>
              <w:pStyle w:val="Tabletext"/>
              <w:keepNext/>
              <w:jc w:val="right"/>
            </w:pPr>
          </w:p>
        </w:tc>
        <w:tc>
          <w:tcPr>
            <w:tcW w:w="850" w:type="dxa"/>
            <w:shd w:val="clear" w:color="auto" w:fill="CAE4EE" w:themeFill="accent5" w:themeFillTint="66"/>
          </w:tcPr>
          <w:p w14:paraId="36D797A2" w14:textId="77777777" w:rsidR="00CF40BE" w:rsidRPr="00894500" w:rsidRDefault="00CF40BE" w:rsidP="00CF40BE">
            <w:pPr>
              <w:pStyle w:val="Tabletext"/>
              <w:keepNext/>
              <w:jc w:val="right"/>
            </w:pPr>
          </w:p>
        </w:tc>
        <w:tc>
          <w:tcPr>
            <w:tcW w:w="851" w:type="dxa"/>
            <w:shd w:val="clear" w:color="auto" w:fill="CAE4EE" w:themeFill="accent5" w:themeFillTint="66"/>
          </w:tcPr>
          <w:p w14:paraId="07E0EB6F" w14:textId="77777777" w:rsidR="00CF40BE" w:rsidRPr="00894500" w:rsidRDefault="00CF40BE" w:rsidP="00CF40BE">
            <w:pPr>
              <w:pStyle w:val="Tabletext"/>
              <w:keepNext/>
              <w:jc w:val="right"/>
            </w:pPr>
          </w:p>
        </w:tc>
      </w:tr>
      <w:tr w:rsidR="004C6451" w14:paraId="7F92408E" w14:textId="77777777" w:rsidTr="00404B6E">
        <w:trPr>
          <w:gridBefore w:val="1"/>
          <w:wBefore w:w="454" w:type="dxa"/>
        </w:trPr>
        <w:tc>
          <w:tcPr>
            <w:tcW w:w="2247" w:type="dxa"/>
            <w:shd w:val="clear" w:color="auto" w:fill="auto"/>
          </w:tcPr>
          <w:p w14:paraId="63AB1592" w14:textId="77777777" w:rsidR="004C6451" w:rsidRPr="009F0927" w:rsidRDefault="004C6451" w:rsidP="004C6451">
            <w:pPr>
              <w:pStyle w:val="Tabletext"/>
              <w:rPr>
                <w:b/>
                <w:bCs/>
                <w:i/>
                <w:iCs/>
              </w:rPr>
            </w:pPr>
            <w:r>
              <w:rPr>
                <w:b/>
                <w:bCs/>
                <w:i/>
                <w:iCs/>
              </w:rPr>
              <w:t>Undiscounted</w:t>
            </w:r>
          </w:p>
        </w:tc>
        <w:tc>
          <w:tcPr>
            <w:tcW w:w="850" w:type="dxa"/>
            <w:shd w:val="clear" w:color="auto" w:fill="auto"/>
            <w:vAlign w:val="bottom"/>
          </w:tcPr>
          <w:p w14:paraId="3567720F" w14:textId="748101D1" w:rsidR="004C6451" w:rsidRPr="0023756B" w:rsidRDefault="004C6451" w:rsidP="004C6451">
            <w:pPr>
              <w:pStyle w:val="Tabletext"/>
              <w:jc w:val="right"/>
              <w:rPr>
                <w:b/>
                <w:bCs/>
                <w:i/>
                <w:iCs/>
                <w:color w:val="FF0000"/>
              </w:rPr>
            </w:pPr>
            <w:r>
              <w:rPr>
                <w:b/>
                <w:bCs/>
                <w:i/>
                <w:iCs/>
                <w:szCs w:val="20"/>
              </w:rPr>
              <w:t>3.0</w:t>
            </w:r>
          </w:p>
        </w:tc>
        <w:tc>
          <w:tcPr>
            <w:tcW w:w="850" w:type="dxa"/>
            <w:shd w:val="clear" w:color="auto" w:fill="auto"/>
          </w:tcPr>
          <w:p w14:paraId="5C8F7221" w14:textId="78851F1D"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061A3D2D" w14:textId="0B0E68EF"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37A98B04" w14:textId="17FD9C6F"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7E46DD9C" w14:textId="4586499A"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7FB09C9C" w14:textId="7DE8589E"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3574FF17" w14:textId="771684D8" w:rsidR="004C6451" w:rsidRPr="0023756B" w:rsidRDefault="004C6451" w:rsidP="004C6451">
            <w:pPr>
              <w:pStyle w:val="Tabletext"/>
              <w:jc w:val="right"/>
              <w:rPr>
                <w:b/>
                <w:bCs/>
                <w:i/>
                <w:iCs/>
                <w:color w:val="FF0000"/>
              </w:rPr>
            </w:pPr>
            <w:r w:rsidRPr="000C164D">
              <w:rPr>
                <w:b/>
                <w:bCs/>
                <w:i/>
                <w:iCs/>
                <w:szCs w:val="20"/>
              </w:rPr>
              <w:t>3.0</w:t>
            </w:r>
          </w:p>
        </w:tc>
        <w:tc>
          <w:tcPr>
            <w:tcW w:w="850" w:type="dxa"/>
            <w:shd w:val="clear" w:color="auto" w:fill="auto"/>
          </w:tcPr>
          <w:p w14:paraId="646AD6EA" w14:textId="4EF46D7B" w:rsidR="004C6451" w:rsidRPr="0023756B" w:rsidRDefault="004C6451" w:rsidP="004C6451">
            <w:pPr>
              <w:pStyle w:val="Tabletext"/>
              <w:jc w:val="right"/>
              <w:rPr>
                <w:b/>
                <w:bCs/>
                <w:i/>
                <w:iCs/>
                <w:color w:val="FF0000"/>
              </w:rPr>
            </w:pPr>
            <w:r w:rsidRPr="000C164D">
              <w:rPr>
                <w:b/>
                <w:bCs/>
                <w:i/>
                <w:iCs/>
                <w:szCs w:val="20"/>
              </w:rPr>
              <w:t>3.0</w:t>
            </w:r>
          </w:p>
        </w:tc>
        <w:tc>
          <w:tcPr>
            <w:tcW w:w="851" w:type="dxa"/>
            <w:shd w:val="clear" w:color="auto" w:fill="auto"/>
          </w:tcPr>
          <w:p w14:paraId="71C3CCBC" w14:textId="5F6B4508" w:rsidR="004C6451" w:rsidRPr="0023756B" w:rsidRDefault="004C6451" w:rsidP="004C6451">
            <w:pPr>
              <w:pStyle w:val="Tabletext"/>
              <w:jc w:val="right"/>
              <w:rPr>
                <w:b/>
                <w:bCs/>
                <w:i/>
                <w:iCs/>
                <w:color w:val="FF0000"/>
              </w:rPr>
            </w:pPr>
            <w:r w:rsidRPr="000C164D">
              <w:rPr>
                <w:b/>
                <w:bCs/>
                <w:i/>
                <w:iCs/>
                <w:szCs w:val="20"/>
              </w:rPr>
              <w:t>3.0</w:t>
            </w:r>
          </w:p>
        </w:tc>
      </w:tr>
      <w:tr w:rsidR="004C6451" w14:paraId="652AD80F" w14:textId="77777777" w:rsidTr="00404B6E">
        <w:trPr>
          <w:gridBefore w:val="1"/>
          <w:wBefore w:w="454" w:type="dxa"/>
        </w:trPr>
        <w:tc>
          <w:tcPr>
            <w:tcW w:w="2247" w:type="dxa"/>
            <w:shd w:val="clear" w:color="auto" w:fill="auto"/>
          </w:tcPr>
          <w:p w14:paraId="28C375F5" w14:textId="77777777" w:rsidR="004C6451" w:rsidRDefault="004C6451" w:rsidP="004C6451">
            <w:pPr>
              <w:pStyle w:val="Tabletext"/>
              <w:rPr>
                <w:b/>
                <w:bCs/>
                <w:i/>
                <w:iCs/>
              </w:rPr>
            </w:pPr>
            <w:r>
              <w:rPr>
                <w:b/>
                <w:bCs/>
                <w:i/>
                <w:iCs/>
              </w:rPr>
              <w:t>NPV (3</w:t>
            </w:r>
            <w:r w:rsidRPr="0014439F">
              <w:rPr>
                <w:b/>
                <w:bCs/>
                <w:i/>
                <w:iCs/>
              </w:rPr>
              <w:t>% discount rate)</w:t>
            </w:r>
          </w:p>
        </w:tc>
        <w:tc>
          <w:tcPr>
            <w:tcW w:w="850" w:type="dxa"/>
            <w:shd w:val="clear" w:color="auto" w:fill="auto"/>
            <w:vAlign w:val="bottom"/>
          </w:tcPr>
          <w:p w14:paraId="6D9100E8" w14:textId="7D732B74" w:rsidR="004C6451" w:rsidRPr="0023756B" w:rsidRDefault="004C6451" w:rsidP="004C6451">
            <w:pPr>
              <w:pStyle w:val="Tabletext"/>
              <w:jc w:val="right"/>
              <w:rPr>
                <w:b/>
                <w:bCs/>
                <w:i/>
                <w:iCs/>
                <w:szCs w:val="20"/>
              </w:rPr>
            </w:pPr>
            <w:r>
              <w:rPr>
                <w:b/>
                <w:bCs/>
                <w:i/>
                <w:iCs/>
                <w:szCs w:val="20"/>
              </w:rPr>
              <w:t>2.5</w:t>
            </w:r>
          </w:p>
        </w:tc>
        <w:tc>
          <w:tcPr>
            <w:tcW w:w="850" w:type="dxa"/>
            <w:shd w:val="clear" w:color="auto" w:fill="auto"/>
          </w:tcPr>
          <w:p w14:paraId="6EDCBA5E" w14:textId="21BE317C"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24E68C2E" w14:textId="15A639B4"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3B9C8712" w14:textId="1B1BEECC"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7EF68684" w14:textId="610D8C08"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52937302" w14:textId="2F74BD41"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7DAFF3B5" w14:textId="41505AED" w:rsidR="004C6451" w:rsidRPr="0023756B" w:rsidRDefault="004C6451" w:rsidP="004C6451">
            <w:pPr>
              <w:pStyle w:val="Tabletext"/>
              <w:jc w:val="right"/>
              <w:rPr>
                <w:b/>
                <w:bCs/>
                <w:i/>
                <w:iCs/>
                <w:szCs w:val="20"/>
              </w:rPr>
            </w:pPr>
            <w:r w:rsidRPr="00217D2E">
              <w:rPr>
                <w:b/>
                <w:bCs/>
                <w:i/>
                <w:iCs/>
                <w:szCs w:val="20"/>
              </w:rPr>
              <w:t>2.5</w:t>
            </w:r>
          </w:p>
        </w:tc>
        <w:tc>
          <w:tcPr>
            <w:tcW w:w="850" w:type="dxa"/>
            <w:shd w:val="clear" w:color="auto" w:fill="auto"/>
          </w:tcPr>
          <w:p w14:paraId="62255ABE" w14:textId="6980E2B6" w:rsidR="004C6451" w:rsidRPr="0023756B" w:rsidRDefault="004C6451" w:rsidP="004C6451">
            <w:pPr>
              <w:pStyle w:val="Tabletext"/>
              <w:jc w:val="right"/>
              <w:rPr>
                <w:b/>
                <w:bCs/>
                <w:i/>
                <w:iCs/>
                <w:szCs w:val="20"/>
              </w:rPr>
            </w:pPr>
            <w:r w:rsidRPr="00217D2E">
              <w:rPr>
                <w:b/>
                <w:bCs/>
                <w:i/>
                <w:iCs/>
                <w:szCs w:val="20"/>
              </w:rPr>
              <w:t>2.5</w:t>
            </w:r>
          </w:p>
        </w:tc>
        <w:tc>
          <w:tcPr>
            <w:tcW w:w="851" w:type="dxa"/>
            <w:shd w:val="clear" w:color="auto" w:fill="auto"/>
          </w:tcPr>
          <w:p w14:paraId="4E170BC1" w14:textId="0C55708B" w:rsidR="004C6451" w:rsidRPr="0023756B" w:rsidRDefault="004C6451" w:rsidP="004C6451">
            <w:pPr>
              <w:pStyle w:val="Tabletext"/>
              <w:jc w:val="right"/>
              <w:rPr>
                <w:b/>
                <w:bCs/>
                <w:i/>
                <w:iCs/>
                <w:szCs w:val="20"/>
              </w:rPr>
            </w:pPr>
            <w:r w:rsidRPr="00217D2E">
              <w:rPr>
                <w:b/>
                <w:bCs/>
                <w:i/>
                <w:iCs/>
                <w:szCs w:val="20"/>
              </w:rPr>
              <w:t>2.5</w:t>
            </w:r>
          </w:p>
        </w:tc>
      </w:tr>
      <w:tr w:rsidR="004C6451" w14:paraId="41F84D3D" w14:textId="77777777" w:rsidTr="00CF40BE">
        <w:trPr>
          <w:gridBefore w:val="1"/>
          <w:wBefore w:w="454" w:type="dxa"/>
        </w:trPr>
        <w:tc>
          <w:tcPr>
            <w:tcW w:w="2247" w:type="dxa"/>
            <w:shd w:val="clear" w:color="auto" w:fill="auto"/>
          </w:tcPr>
          <w:p w14:paraId="37AF9556" w14:textId="77777777" w:rsidR="004C6451" w:rsidRDefault="004C6451" w:rsidP="004C6451">
            <w:pPr>
              <w:pStyle w:val="Tabletext"/>
              <w:rPr>
                <w:b/>
                <w:bCs/>
                <w:i/>
                <w:iCs/>
              </w:rPr>
            </w:pPr>
            <w:r w:rsidRPr="0014439F">
              <w:rPr>
                <w:b/>
                <w:bCs/>
                <w:i/>
                <w:iCs/>
              </w:rPr>
              <w:t>NPV (7% discount rate)</w:t>
            </w:r>
          </w:p>
        </w:tc>
        <w:tc>
          <w:tcPr>
            <w:tcW w:w="850" w:type="dxa"/>
            <w:shd w:val="clear" w:color="auto" w:fill="auto"/>
            <w:vAlign w:val="bottom"/>
          </w:tcPr>
          <w:p w14:paraId="6600CE92" w14:textId="349F242B" w:rsidR="004C6451" w:rsidRPr="0023756B" w:rsidRDefault="004C6451" w:rsidP="004C6451">
            <w:pPr>
              <w:pStyle w:val="Tabletext"/>
              <w:jc w:val="right"/>
              <w:rPr>
                <w:b/>
                <w:bCs/>
                <w:i/>
                <w:iCs/>
                <w:szCs w:val="20"/>
              </w:rPr>
            </w:pPr>
            <w:r>
              <w:rPr>
                <w:b/>
                <w:bCs/>
                <w:i/>
                <w:iCs/>
                <w:szCs w:val="20"/>
              </w:rPr>
              <w:t>2.1</w:t>
            </w:r>
          </w:p>
        </w:tc>
        <w:tc>
          <w:tcPr>
            <w:tcW w:w="850" w:type="dxa"/>
            <w:shd w:val="clear" w:color="auto" w:fill="auto"/>
          </w:tcPr>
          <w:p w14:paraId="48019812" w14:textId="2B589821"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0033CD00" w14:textId="69B879C9"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5E4C2009" w14:textId="5855250F"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2975EB77" w14:textId="03A25A73"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2BD6EF33" w14:textId="43834A7A"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6FA34F7E" w14:textId="372E8CB6" w:rsidR="004C6451" w:rsidRPr="0023756B" w:rsidRDefault="004C6451" w:rsidP="004C6451">
            <w:pPr>
              <w:pStyle w:val="Tabletext"/>
              <w:jc w:val="right"/>
              <w:rPr>
                <w:b/>
                <w:bCs/>
                <w:i/>
                <w:iCs/>
                <w:szCs w:val="20"/>
              </w:rPr>
            </w:pPr>
            <w:r w:rsidRPr="0056017D">
              <w:rPr>
                <w:b/>
                <w:bCs/>
                <w:i/>
                <w:iCs/>
                <w:szCs w:val="20"/>
              </w:rPr>
              <w:t>2.1</w:t>
            </w:r>
          </w:p>
        </w:tc>
        <w:tc>
          <w:tcPr>
            <w:tcW w:w="850" w:type="dxa"/>
            <w:shd w:val="clear" w:color="auto" w:fill="auto"/>
          </w:tcPr>
          <w:p w14:paraId="672D780D" w14:textId="0E86A2E0" w:rsidR="004C6451" w:rsidRPr="0023756B" w:rsidRDefault="004C6451" w:rsidP="004C6451">
            <w:pPr>
              <w:pStyle w:val="Tabletext"/>
              <w:jc w:val="right"/>
              <w:rPr>
                <w:b/>
                <w:bCs/>
                <w:i/>
                <w:iCs/>
                <w:szCs w:val="20"/>
              </w:rPr>
            </w:pPr>
            <w:r w:rsidRPr="0056017D">
              <w:rPr>
                <w:b/>
                <w:bCs/>
                <w:i/>
                <w:iCs/>
                <w:szCs w:val="20"/>
              </w:rPr>
              <w:t>2.1</w:t>
            </w:r>
          </w:p>
        </w:tc>
        <w:tc>
          <w:tcPr>
            <w:tcW w:w="851" w:type="dxa"/>
            <w:shd w:val="clear" w:color="auto" w:fill="auto"/>
          </w:tcPr>
          <w:p w14:paraId="56637E7C" w14:textId="039FEBAA" w:rsidR="004C6451" w:rsidRPr="0023756B" w:rsidRDefault="004C6451" w:rsidP="004C6451">
            <w:pPr>
              <w:pStyle w:val="Tabletext"/>
              <w:jc w:val="right"/>
              <w:rPr>
                <w:b/>
                <w:bCs/>
                <w:i/>
                <w:iCs/>
                <w:szCs w:val="20"/>
              </w:rPr>
            </w:pPr>
            <w:r w:rsidRPr="0056017D">
              <w:rPr>
                <w:b/>
                <w:bCs/>
                <w:i/>
                <w:iCs/>
                <w:szCs w:val="20"/>
              </w:rPr>
              <w:t>2.1</w:t>
            </w:r>
          </w:p>
        </w:tc>
      </w:tr>
      <w:tr w:rsidR="004C6451" w14:paraId="38483961" w14:textId="77777777" w:rsidTr="00CF40BE">
        <w:trPr>
          <w:gridBefore w:val="1"/>
          <w:wBefore w:w="454" w:type="dxa"/>
        </w:trPr>
        <w:tc>
          <w:tcPr>
            <w:tcW w:w="2247" w:type="dxa"/>
            <w:shd w:val="clear" w:color="auto" w:fill="auto"/>
          </w:tcPr>
          <w:p w14:paraId="6DB7F01A" w14:textId="77777777" w:rsidR="004C6451" w:rsidRPr="009F0927" w:rsidRDefault="004C6451" w:rsidP="004C6451">
            <w:pPr>
              <w:pStyle w:val="Tabletext"/>
              <w:rPr>
                <w:b/>
                <w:bCs/>
                <w:i/>
                <w:iCs/>
              </w:rPr>
            </w:pPr>
            <w:r>
              <w:rPr>
                <w:b/>
                <w:bCs/>
                <w:i/>
                <w:iCs/>
              </w:rPr>
              <w:t>NPV (10</w:t>
            </w:r>
            <w:r w:rsidRPr="0014439F">
              <w:rPr>
                <w:b/>
                <w:bCs/>
                <w:i/>
                <w:iCs/>
              </w:rPr>
              <w:t>% discount rate)</w:t>
            </w:r>
          </w:p>
        </w:tc>
        <w:tc>
          <w:tcPr>
            <w:tcW w:w="850" w:type="dxa"/>
            <w:shd w:val="clear" w:color="auto" w:fill="auto"/>
            <w:vAlign w:val="bottom"/>
          </w:tcPr>
          <w:p w14:paraId="44831892" w14:textId="617739DB" w:rsidR="004C6451" w:rsidRPr="0023756B" w:rsidRDefault="004C6451" w:rsidP="004C6451">
            <w:pPr>
              <w:pStyle w:val="Tabletext"/>
              <w:jc w:val="right"/>
              <w:rPr>
                <w:b/>
                <w:bCs/>
                <w:i/>
                <w:iCs/>
                <w:color w:val="FF0000"/>
              </w:rPr>
            </w:pPr>
            <w:r>
              <w:rPr>
                <w:b/>
                <w:bCs/>
                <w:i/>
                <w:iCs/>
                <w:szCs w:val="20"/>
              </w:rPr>
              <w:t>1</w:t>
            </w:r>
            <w:r w:rsidRPr="0023756B">
              <w:rPr>
                <w:b/>
                <w:bCs/>
                <w:i/>
                <w:iCs/>
                <w:szCs w:val="20"/>
              </w:rPr>
              <w:t>.</w:t>
            </w:r>
            <w:r>
              <w:rPr>
                <w:b/>
                <w:bCs/>
                <w:i/>
                <w:iCs/>
                <w:szCs w:val="20"/>
              </w:rPr>
              <w:t>8</w:t>
            </w:r>
          </w:p>
        </w:tc>
        <w:tc>
          <w:tcPr>
            <w:tcW w:w="850" w:type="dxa"/>
            <w:shd w:val="clear" w:color="auto" w:fill="auto"/>
          </w:tcPr>
          <w:p w14:paraId="74526E14" w14:textId="709F16F7"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1955FBB1" w14:textId="33475BBF"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12A563AF" w14:textId="76971325"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6DEDF4C2" w14:textId="03FDD78F"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5CD39B8E" w14:textId="7824ADC7"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3D0371C6" w14:textId="506D5829" w:rsidR="004C6451" w:rsidRPr="0023756B" w:rsidRDefault="004C6451" w:rsidP="004C6451">
            <w:pPr>
              <w:pStyle w:val="Tabletext"/>
              <w:jc w:val="right"/>
              <w:rPr>
                <w:b/>
                <w:bCs/>
                <w:i/>
                <w:iCs/>
                <w:color w:val="FF0000"/>
              </w:rPr>
            </w:pPr>
            <w:r w:rsidRPr="00775F7C">
              <w:rPr>
                <w:b/>
                <w:bCs/>
                <w:i/>
                <w:iCs/>
                <w:szCs w:val="20"/>
              </w:rPr>
              <w:t>1.8</w:t>
            </w:r>
          </w:p>
        </w:tc>
        <w:tc>
          <w:tcPr>
            <w:tcW w:w="850" w:type="dxa"/>
            <w:shd w:val="clear" w:color="auto" w:fill="auto"/>
          </w:tcPr>
          <w:p w14:paraId="483094F1" w14:textId="4D2D5E18" w:rsidR="004C6451" w:rsidRPr="0023756B" w:rsidRDefault="004C6451" w:rsidP="004C6451">
            <w:pPr>
              <w:pStyle w:val="Tabletext"/>
              <w:jc w:val="right"/>
              <w:rPr>
                <w:b/>
                <w:bCs/>
                <w:i/>
                <w:iCs/>
                <w:color w:val="FF0000"/>
              </w:rPr>
            </w:pPr>
            <w:r w:rsidRPr="00775F7C">
              <w:rPr>
                <w:b/>
                <w:bCs/>
                <w:i/>
                <w:iCs/>
                <w:szCs w:val="20"/>
              </w:rPr>
              <w:t>1.8</w:t>
            </w:r>
          </w:p>
        </w:tc>
        <w:tc>
          <w:tcPr>
            <w:tcW w:w="851" w:type="dxa"/>
            <w:shd w:val="clear" w:color="auto" w:fill="auto"/>
          </w:tcPr>
          <w:p w14:paraId="0ACEBD7E" w14:textId="1B0C4C1D" w:rsidR="004C6451" w:rsidRPr="0023756B" w:rsidRDefault="004C6451" w:rsidP="004C6451">
            <w:pPr>
              <w:pStyle w:val="Tabletext"/>
              <w:jc w:val="right"/>
              <w:rPr>
                <w:b/>
                <w:bCs/>
                <w:i/>
                <w:iCs/>
                <w:color w:val="FF0000"/>
              </w:rPr>
            </w:pPr>
            <w:r w:rsidRPr="00775F7C">
              <w:rPr>
                <w:b/>
                <w:bCs/>
                <w:i/>
                <w:iCs/>
                <w:szCs w:val="20"/>
              </w:rPr>
              <w:t>1.8</w:t>
            </w:r>
          </w:p>
        </w:tc>
      </w:tr>
      <w:tr w:rsidR="00CF40BE" w14:paraId="3236BCEC" w14:textId="77777777" w:rsidTr="00CF40BE">
        <w:trPr>
          <w:gridBefore w:val="1"/>
          <w:wBefore w:w="454" w:type="dxa"/>
        </w:trPr>
        <w:tc>
          <w:tcPr>
            <w:tcW w:w="2247" w:type="dxa"/>
            <w:shd w:val="clear" w:color="auto" w:fill="CAE4EE" w:themeFill="accent5" w:themeFillTint="66"/>
          </w:tcPr>
          <w:p w14:paraId="45CE1754" w14:textId="77777777" w:rsidR="00CF40BE" w:rsidRPr="009F0927" w:rsidRDefault="00CF40BE" w:rsidP="00CF40BE">
            <w:pPr>
              <w:pStyle w:val="Tabletext"/>
              <w:keepNext/>
              <w:rPr>
                <w:b/>
                <w:bCs/>
                <w:i/>
                <w:iCs/>
              </w:rPr>
            </w:pPr>
            <w:r>
              <w:rPr>
                <w:b/>
                <w:bCs/>
              </w:rPr>
              <w:t>TOTAL BENEFITS</w:t>
            </w:r>
          </w:p>
        </w:tc>
        <w:tc>
          <w:tcPr>
            <w:tcW w:w="850" w:type="dxa"/>
            <w:shd w:val="clear" w:color="auto" w:fill="CAE4EE" w:themeFill="accent5" w:themeFillTint="66"/>
            <w:vAlign w:val="bottom"/>
          </w:tcPr>
          <w:p w14:paraId="0E61CA3C"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589815AB"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5D8431F6"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337D9956"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74705274"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41820A8"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7CA991E3" w14:textId="77777777" w:rsidR="00CF40BE" w:rsidRPr="0023756B" w:rsidRDefault="00CF40BE" w:rsidP="00CF40BE">
            <w:pPr>
              <w:pStyle w:val="Tabletext"/>
              <w:keepNext/>
              <w:jc w:val="right"/>
              <w:rPr>
                <w:b/>
                <w:bCs/>
                <w:i/>
                <w:iCs/>
              </w:rPr>
            </w:pPr>
            <w:r w:rsidRPr="0023756B">
              <w:rPr>
                <w:b/>
                <w:bCs/>
                <w:i/>
                <w:iCs/>
                <w:szCs w:val="20"/>
              </w:rPr>
              <w:t> </w:t>
            </w:r>
          </w:p>
        </w:tc>
        <w:tc>
          <w:tcPr>
            <w:tcW w:w="850" w:type="dxa"/>
            <w:shd w:val="clear" w:color="auto" w:fill="CAE4EE" w:themeFill="accent5" w:themeFillTint="66"/>
            <w:vAlign w:val="bottom"/>
          </w:tcPr>
          <w:p w14:paraId="104EAEE6" w14:textId="77777777" w:rsidR="00CF40BE" w:rsidRPr="0023756B" w:rsidRDefault="00CF40BE" w:rsidP="00CF40BE">
            <w:pPr>
              <w:pStyle w:val="Tabletext"/>
              <w:keepNext/>
              <w:jc w:val="right"/>
              <w:rPr>
                <w:b/>
                <w:bCs/>
                <w:i/>
                <w:iCs/>
              </w:rPr>
            </w:pPr>
            <w:r w:rsidRPr="0023756B">
              <w:rPr>
                <w:b/>
                <w:bCs/>
                <w:i/>
                <w:iCs/>
                <w:szCs w:val="20"/>
              </w:rPr>
              <w:t> </w:t>
            </w:r>
          </w:p>
        </w:tc>
        <w:tc>
          <w:tcPr>
            <w:tcW w:w="851" w:type="dxa"/>
            <w:shd w:val="clear" w:color="auto" w:fill="CAE4EE" w:themeFill="accent5" w:themeFillTint="66"/>
            <w:vAlign w:val="bottom"/>
          </w:tcPr>
          <w:p w14:paraId="359863BB" w14:textId="77777777" w:rsidR="00CF40BE" w:rsidRPr="0023756B" w:rsidRDefault="00CF40BE" w:rsidP="00CF40BE">
            <w:pPr>
              <w:pStyle w:val="Tabletext"/>
              <w:keepNext/>
              <w:jc w:val="right"/>
              <w:rPr>
                <w:b/>
                <w:bCs/>
                <w:i/>
                <w:iCs/>
              </w:rPr>
            </w:pPr>
            <w:r w:rsidRPr="0023756B">
              <w:rPr>
                <w:b/>
                <w:bCs/>
                <w:i/>
                <w:iCs/>
                <w:szCs w:val="20"/>
              </w:rPr>
              <w:t> </w:t>
            </w:r>
          </w:p>
        </w:tc>
      </w:tr>
      <w:tr w:rsidR="00CF40BE" w14:paraId="78FF5982" w14:textId="77777777" w:rsidTr="00CF40BE">
        <w:trPr>
          <w:gridBefore w:val="1"/>
          <w:wBefore w:w="454" w:type="dxa"/>
        </w:trPr>
        <w:tc>
          <w:tcPr>
            <w:tcW w:w="2247" w:type="dxa"/>
            <w:shd w:val="clear" w:color="auto" w:fill="auto"/>
          </w:tcPr>
          <w:p w14:paraId="78FA8837" w14:textId="77777777" w:rsidR="00CF40BE" w:rsidRPr="009F0927" w:rsidRDefault="00CF40BE" w:rsidP="00CF40BE">
            <w:pPr>
              <w:pStyle w:val="Tabletext"/>
              <w:rPr>
                <w:b/>
                <w:bCs/>
                <w:i/>
                <w:iCs/>
              </w:rPr>
            </w:pPr>
            <w:r>
              <w:rPr>
                <w:b/>
                <w:bCs/>
                <w:i/>
                <w:iCs/>
              </w:rPr>
              <w:t>Undiscounted</w:t>
            </w:r>
          </w:p>
        </w:tc>
        <w:tc>
          <w:tcPr>
            <w:tcW w:w="850" w:type="dxa"/>
            <w:shd w:val="clear" w:color="auto" w:fill="auto"/>
            <w:vAlign w:val="bottom"/>
          </w:tcPr>
          <w:p w14:paraId="3E48A80E" w14:textId="78BF088A" w:rsidR="00CF40BE" w:rsidRPr="0023756B" w:rsidRDefault="004C6451" w:rsidP="00CF40BE">
            <w:pPr>
              <w:pStyle w:val="Tabletext"/>
              <w:jc w:val="right"/>
              <w:rPr>
                <w:b/>
                <w:bCs/>
                <w:i/>
                <w:iCs/>
              </w:rPr>
            </w:pPr>
            <w:r>
              <w:rPr>
                <w:b/>
                <w:bCs/>
                <w:i/>
                <w:iCs/>
              </w:rPr>
              <w:t>51.0</w:t>
            </w:r>
          </w:p>
        </w:tc>
        <w:tc>
          <w:tcPr>
            <w:tcW w:w="850" w:type="dxa"/>
            <w:shd w:val="clear" w:color="auto" w:fill="auto"/>
            <w:vAlign w:val="bottom"/>
          </w:tcPr>
          <w:p w14:paraId="04640784" w14:textId="659352FE" w:rsidR="00CF40BE" w:rsidRPr="0023756B" w:rsidRDefault="004C6451" w:rsidP="00CF40BE">
            <w:pPr>
              <w:pStyle w:val="Tabletext"/>
              <w:jc w:val="right"/>
              <w:rPr>
                <w:b/>
                <w:bCs/>
                <w:i/>
                <w:iCs/>
              </w:rPr>
            </w:pPr>
            <w:r>
              <w:rPr>
                <w:b/>
                <w:bCs/>
                <w:i/>
                <w:iCs/>
              </w:rPr>
              <w:t>7.7</w:t>
            </w:r>
          </w:p>
        </w:tc>
        <w:tc>
          <w:tcPr>
            <w:tcW w:w="850" w:type="dxa"/>
            <w:shd w:val="clear" w:color="auto" w:fill="auto"/>
            <w:vAlign w:val="bottom"/>
          </w:tcPr>
          <w:p w14:paraId="0C81120C" w14:textId="03D04EEB" w:rsidR="00CF40BE" w:rsidRPr="0023756B" w:rsidRDefault="004C6451" w:rsidP="00CF40BE">
            <w:pPr>
              <w:pStyle w:val="Tabletext"/>
              <w:jc w:val="right"/>
              <w:rPr>
                <w:b/>
                <w:bCs/>
                <w:i/>
                <w:iCs/>
              </w:rPr>
            </w:pPr>
            <w:r>
              <w:rPr>
                <w:b/>
                <w:bCs/>
                <w:i/>
                <w:iCs/>
              </w:rPr>
              <w:t>10.2</w:t>
            </w:r>
          </w:p>
        </w:tc>
        <w:tc>
          <w:tcPr>
            <w:tcW w:w="850" w:type="dxa"/>
            <w:shd w:val="clear" w:color="auto" w:fill="auto"/>
            <w:vAlign w:val="bottom"/>
          </w:tcPr>
          <w:p w14:paraId="4E9E0796" w14:textId="07C0FEA1" w:rsidR="00CF40BE" w:rsidRPr="0023756B" w:rsidRDefault="004C6451" w:rsidP="00CF40BE">
            <w:pPr>
              <w:pStyle w:val="Tabletext"/>
              <w:jc w:val="right"/>
              <w:rPr>
                <w:b/>
                <w:bCs/>
                <w:i/>
                <w:iCs/>
              </w:rPr>
            </w:pPr>
            <w:r>
              <w:rPr>
                <w:b/>
                <w:bCs/>
                <w:i/>
                <w:iCs/>
              </w:rPr>
              <w:t>10.2</w:t>
            </w:r>
          </w:p>
        </w:tc>
        <w:tc>
          <w:tcPr>
            <w:tcW w:w="850" w:type="dxa"/>
            <w:shd w:val="clear" w:color="auto" w:fill="auto"/>
            <w:vAlign w:val="bottom"/>
          </w:tcPr>
          <w:p w14:paraId="1F95EC4C" w14:textId="66719466" w:rsidR="00CF40BE" w:rsidRPr="0023756B" w:rsidRDefault="004C6451" w:rsidP="00CF40BE">
            <w:pPr>
              <w:pStyle w:val="Tabletext"/>
              <w:jc w:val="right"/>
              <w:rPr>
                <w:b/>
                <w:bCs/>
                <w:i/>
                <w:iCs/>
              </w:rPr>
            </w:pPr>
            <w:r>
              <w:rPr>
                <w:b/>
                <w:bCs/>
                <w:i/>
                <w:iCs/>
              </w:rPr>
              <w:t>23.0</w:t>
            </w:r>
          </w:p>
        </w:tc>
        <w:tc>
          <w:tcPr>
            <w:tcW w:w="850" w:type="dxa"/>
            <w:shd w:val="clear" w:color="auto" w:fill="auto"/>
            <w:vAlign w:val="bottom"/>
          </w:tcPr>
          <w:p w14:paraId="5596DB2D" w14:textId="079FA671" w:rsidR="00CF40BE" w:rsidRPr="0023756B" w:rsidRDefault="004C6451" w:rsidP="00CF40BE">
            <w:pPr>
              <w:pStyle w:val="Tabletext"/>
              <w:jc w:val="right"/>
              <w:rPr>
                <w:b/>
                <w:bCs/>
                <w:i/>
                <w:iCs/>
              </w:rPr>
            </w:pPr>
            <w:r>
              <w:rPr>
                <w:b/>
                <w:bCs/>
                <w:i/>
                <w:iCs/>
              </w:rPr>
              <w:t>5.1</w:t>
            </w:r>
          </w:p>
        </w:tc>
        <w:tc>
          <w:tcPr>
            <w:tcW w:w="850" w:type="dxa"/>
            <w:shd w:val="clear" w:color="auto" w:fill="auto"/>
            <w:vAlign w:val="bottom"/>
          </w:tcPr>
          <w:p w14:paraId="176336B3" w14:textId="23CA643C" w:rsidR="00CF40BE" w:rsidRPr="0023756B" w:rsidRDefault="004C6451" w:rsidP="00CF40BE">
            <w:pPr>
              <w:pStyle w:val="Tabletext"/>
              <w:jc w:val="right"/>
              <w:rPr>
                <w:b/>
                <w:bCs/>
                <w:i/>
                <w:iCs/>
              </w:rPr>
            </w:pPr>
            <w:r>
              <w:rPr>
                <w:b/>
                <w:bCs/>
                <w:i/>
                <w:iCs/>
              </w:rPr>
              <w:t>10.2</w:t>
            </w:r>
          </w:p>
        </w:tc>
        <w:tc>
          <w:tcPr>
            <w:tcW w:w="850" w:type="dxa"/>
            <w:shd w:val="clear" w:color="auto" w:fill="auto"/>
            <w:vAlign w:val="bottom"/>
          </w:tcPr>
          <w:p w14:paraId="54363357" w14:textId="49F1A40D" w:rsidR="00CF40BE" w:rsidRPr="0023756B" w:rsidRDefault="004C6451" w:rsidP="00CF40BE">
            <w:pPr>
              <w:pStyle w:val="Tabletext"/>
              <w:jc w:val="right"/>
              <w:rPr>
                <w:b/>
                <w:bCs/>
                <w:i/>
                <w:iCs/>
              </w:rPr>
            </w:pPr>
            <w:r>
              <w:rPr>
                <w:b/>
                <w:bCs/>
                <w:i/>
                <w:iCs/>
              </w:rPr>
              <w:t>12.8</w:t>
            </w:r>
          </w:p>
        </w:tc>
        <w:tc>
          <w:tcPr>
            <w:tcW w:w="851" w:type="dxa"/>
            <w:shd w:val="clear" w:color="auto" w:fill="auto"/>
            <w:vAlign w:val="bottom"/>
          </w:tcPr>
          <w:p w14:paraId="3E5C60EE" w14:textId="6EC706CF" w:rsidR="00CF40BE" w:rsidRPr="0023756B" w:rsidRDefault="004C6451" w:rsidP="004C6451">
            <w:pPr>
              <w:pStyle w:val="Tabletext"/>
              <w:jc w:val="right"/>
              <w:rPr>
                <w:b/>
                <w:bCs/>
                <w:i/>
                <w:iCs/>
              </w:rPr>
            </w:pPr>
            <w:r>
              <w:rPr>
                <w:b/>
                <w:bCs/>
                <w:i/>
                <w:iCs/>
                <w:szCs w:val="20"/>
              </w:rPr>
              <w:t>10.2</w:t>
            </w:r>
            <w:r w:rsidR="00CF40BE" w:rsidRPr="0023756B">
              <w:rPr>
                <w:b/>
                <w:bCs/>
                <w:i/>
                <w:iCs/>
                <w:szCs w:val="20"/>
              </w:rPr>
              <w:t xml:space="preserve"> </w:t>
            </w:r>
          </w:p>
        </w:tc>
      </w:tr>
      <w:tr w:rsidR="00CF40BE" w14:paraId="661ACE79" w14:textId="77777777" w:rsidTr="00CF40BE">
        <w:trPr>
          <w:gridBefore w:val="1"/>
          <w:wBefore w:w="454" w:type="dxa"/>
        </w:trPr>
        <w:tc>
          <w:tcPr>
            <w:tcW w:w="2247" w:type="dxa"/>
            <w:shd w:val="clear" w:color="auto" w:fill="auto"/>
          </w:tcPr>
          <w:p w14:paraId="7719C244" w14:textId="77777777" w:rsidR="00CF40BE" w:rsidRDefault="00CF40BE" w:rsidP="00CF40BE">
            <w:pPr>
              <w:pStyle w:val="Tabletext"/>
              <w:rPr>
                <w:b/>
                <w:bCs/>
                <w:i/>
                <w:iCs/>
              </w:rPr>
            </w:pPr>
            <w:r>
              <w:rPr>
                <w:b/>
                <w:bCs/>
                <w:i/>
                <w:iCs/>
              </w:rPr>
              <w:t>NPV (3</w:t>
            </w:r>
            <w:r w:rsidRPr="0014439F">
              <w:rPr>
                <w:b/>
                <w:bCs/>
                <w:i/>
                <w:iCs/>
              </w:rPr>
              <w:t>% discount rate)</w:t>
            </w:r>
          </w:p>
        </w:tc>
        <w:tc>
          <w:tcPr>
            <w:tcW w:w="850" w:type="dxa"/>
            <w:shd w:val="clear" w:color="auto" w:fill="auto"/>
            <w:vAlign w:val="bottom"/>
          </w:tcPr>
          <w:p w14:paraId="323E963A" w14:textId="35395580" w:rsidR="00CF40BE" w:rsidRPr="0023756B" w:rsidRDefault="004C6451" w:rsidP="00CF40BE">
            <w:pPr>
              <w:pStyle w:val="Tabletext"/>
              <w:jc w:val="right"/>
              <w:rPr>
                <w:b/>
                <w:bCs/>
                <w:i/>
                <w:iCs/>
                <w:szCs w:val="20"/>
              </w:rPr>
            </w:pPr>
            <w:r>
              <w:rPr>
                <w:b/>
                <w:bCs/>
                <w:i/>
                <w:iCs/>
                <w:szCs w:val="20"/>
              </w:rPr>
              <w:t>45.9</w:t>
            </w:r>
          </w:p>
        </w:tc>
        <w:tc>
          <w:tcPr>
            <w:tcW w:w="850" w:type="dxa"/>
            <w:shd w:val="clear" w:color="auto" w:fill="auto"/>
            <w:vAlign w:val="bottom"/>
          </w:tcPr>
          <w:p w14:paraId="2615FBB9" w14:textId="38520764" w:rsidR="00CF40BE" w:rsidRPr="0023756B" w:rsidRDefault="004C6451" w:rsidP="00CF40BE">
            <w:pPr>
              <w:pStyle w:val="Tabletext"/>
              <w:jc w:val="right"/>
              <w:rPr>
                <w:b/>
                <w:bCs/>
                <w:i/>
                <w:iCs/>
                <w:szCs w:val="20"/>
              </w:rPr>
            </w:pPr>
            <w:r>
              <w:rPr>
                <w:b/>
                <w:bCs/>
                <w:i/>
                <w:iCs/>
                <w:szCs w:val="20"/>
              </w:rPr>
              <w:t>6.9</w:t>
            </w:r>
          </w:p>
        </w:tc>
        <w:tc>
          <w:tcPr>
            <w:tcW w:w="850" w:type="dxa"/>
            <w:shd w:val="clear" w:color="auto" w:fill="auto"/>
            <w:vAlign w:val="bottom"/>
          </w:tcPr>
          <w:p w14:paraId="3466BB14" w14:textId="04A6D20F" w:rsidR="00CF40BE" w:rsidRPr="0023756B" w:rsidRDefault="004C6451" w:rsidP="00CF40BE">
            <w:pPr>
              <w:pStyle w:val="Tabletext"/>
              <w:jc w:val="right"/>
              <w:rPr>
                <w:b/>
                <w:bCs/>
                <w:i/>
                <w:iCs/>
                <w:szCs w:val="20"/>
              </w:rPr>
            </w:pPr>
            <w:r>
              <w:rPr>
                <w:b/>
                <w:bCs/>
                <w:i/>
                <w:iCs/>
                <w:szCs w:val="20"/>
              </w:rPr>
              <w:t>9.2</w:t>
            </w:r>
          </w:p>
        </w:tc>
        <w:tc>
          <w:tcPr>
            <w:tcW w:w="850" w:type="dxa"/>
            <w:shd w:val="clear" w:color="auto" w:fill="auto"/>
            <w:vAlign w:val="bottom"/>
          </w:tcPr>
          <w:p w14:paraId="6423C40E" w14:textId="7CF7A632" w:rsidR="00CF40BE" w:rsidRPr="0023756B" w:rsidRDefault="004C6451" w:rsidP="00CF40BE">
            <w:pPr>
              <w:pStyle w:val="Tabletext"/>
              <w:jc w:val="right"/>
              <w:rPr>
                <w:b/>
                <w:bCs/>
                <w:i/>
                <w:iCs/>
                <w:szCs w:val="20"/>
              </w:rPr>
            </w:pPr>
            <w:r>
              <w:rPr>
                <w:b/>
                <w:bCs/>
                <w:i/>
                <w:iCs/>
                <w:szCs w:val="20"/>
              </w:rPr>
              <w:t>9.2</w:t>
            </w:r>
          </w:p>
        </w:tc>
        <w:tc>
          <w:tcPr>
            <w:tcW w:w="850" w:type="dxa"/>
            <w:shd w:val="clear" w:color="auto" w:fill="auto"/>
            <w:vAlign w:val="bottom"/>
          </w:tcPr>
          <w:p w14:paraId="4B254C77" w14:textId="1BD26C85" w:rsidR="00CF40BE" w:rsidRPr="0023756B" w:rsidRDefault="004C6451" w:rsidP="00CF40BE">
            <w:pPr>
              <w:pStyle w:val="Tabletext"/>
              <w:jc w:val="right"/>
              <w:rPr>
                <w:b/>
                <w:bCs/>
                <w:i/>
                <w:iCs/>
                <w:szCs w:val="20"/>
              </w:rPr>
            </w:pPr>
            <w:r>
              <w:rPr>
                <w:b/>
                <w:bCs/>
                <w:i/>
                <w:iCs/>
                <w:szCs w:val="20"/>
              </w:rPr>
              <w:t>20.7</w:t>
            </w:r>
          </w:p>
        </w:tc>
        <w:tc>
          <w:tcPr>
            <w:tcW w:w="850" w:type="dxa"/>
            <w:shd w:val="clear" w:color="auto" w:fill="auto"/>
            <w:vAlign w:val="bottom"/>
          </w:tcPr>
          <w:p w14:paraId="70F342F9" w14:textId="0A1B8E02" w:rsidR="00CF40BE" w:rsidRPr="0023756B" w:rsidRDefault="004C6451" w:rsidP="00CF40BE">
            <w:pPr>
              <w:pStyle w:val="Tabletext"/>
              <w:jc w:val="right"/>
              <w:rPr>
                <w:b/>
                <w:bCs/>
                <w:i/>
                <w:iCs/>
                <w:szCs w:val="20"/>
              </w:rPr>
            </w:pPr>
            <w:r>
              <w:rPr>
                <w:b/>
                <w:bCs/>
                <w:i/>
                <w:iCs/>
                <w:szCs w:val="20"/>
              </w:rPr>
              <w:t>4.6</w:t>
            </w:r>
          </w:p>
        </w:tc>
        <w:tc>
          <w:tcPr>
            <w:tcW w:w="850" w:type="dxa"/>
            <w:shd w:val="clear" w:color="auto" w:fill="auto"/>
            <w:vAlign w:val="bottom"/>
          </w:tcPr>
          <w:p w14:paraId="3F5D512E" w14:textId="6C1C54AE" w:rsidR="00CF40BE" w:rsidRPr="0023756B" w:rsidRDefault="004C6451" w:rsidP="00CF40BE">
            <w:pPr>
              <w:pStyle w:val="Tabletext"/>
              <w:jc w:val="right"/>
              <w:rPr>
                <w:b/>
                <w:bCs/>
                <w:i/>
                <w:iCs/>
                <w:szCs w:val="20"/>
              </w:rPr>
            </w:pPr>
            <w:r>
              <w:rPr>
                <w:b/>
                <w:bCs/>
                <w:i/>
                <w:iCs/>
                <w:szCs w:val="20"/>
              </w:rPr>
              <w:t>9.2</w:t>
            </w:r>
          </w:p>
        </w:tc>
        <w:tc>
          <w:tcPr>
            <w:tcW w:w="850" w:type="dxa"/>
            <w:shd w:val="clear" w:color="auto" w:fill="auto"/>
            <w:vAlign w:val="bottom"/>
          </w:tcPr>
          <w:p w14:paraId="7A001BF6" w14:textId="05B596E9" w:rsidR="00CF40BE" w:rsidRPr="0023756B" w:rsidRDefault="004C6451" w:rsidP="00CF40BE">
            <w:pPr>
              <w:pStyle w:val="Tabletext"/>
              <w:jc w:val="right"/>
              <w:rPr>
                <w:b/>
                <w:bCs/>
                <w:i/>
                <w:iCs/>
                <w:szCs w:val="20"/>
              </w:rPr>
            </w:pPr>
            <w:r>
              <w:rPr>
                <w:b/>
                <w:bCs/>
                <w:i/>
                <w:iCs/>
                <w:szCs w:val="20"/>
              </w:rPr>
              <w:t>11.5</w:t>
            </w:r>
          </w:p>
        </w:tc>
        <w:tc>
          <w:tcPr>
            <w:tcW w:w="851" w:type="dxa"/>
            <w:shd w:val="clear" w:color="auto" w:fill="auto"/>
            <w:vAlign w:val="bottom"/>
          </w:tcPr>
          <w:p w14:paraId="713DACCB" w14:textId="0F6D5CB9" w:rsidR="00CF40BE" w:rsidRPr="0023756B" w:rsidRDefault="004C6451" w:rsidP="00CF40BE">
            <w:pPr>
              <w:pStyle w:val="Tabletext"/>
              <w:jc w:val="right"/>
              <w:rPr>
                <w:b/>
                <w:bCs/>
                <w:i/>
                <w:iCs/>
                <w:szCs w:val="20"/>
              </w:rPr>
            </w:pPr>
            <w:r>
              <w:rPr>
                <w:b/>
                <w:bCs/>
                <w:i/>
                <w:iCs/>
                <w:szCs w:val="20"/>
              </w:rPr>
              <w:t>9.2</w:t>
            </w:r>
          </w:p>
        </w:tc>
      </w:tr>
      <w:tr w:rsidR="00CF40BE" w14:paraId="7F46DBCE" w14:textId="77777777" w:rsidTr="00CF40BE">
        <w:trPr>
          <w:gridBefore w:val="1"/>
          <w:wBefore w:w="454" w:type="dxa"/>
        </w:trPr>
        <w:tc>
          <w:tcPr>
            <w:tcW w:w="2247" w:type="dxa"/>
            <w:shd w:val="clear" w:color="auto" w:fill="auto"/>
          </w:tcPr>
          <w:p w14:paraId="2D6FD2FF" w14:textId="77777777" w:rsidR="00CF40BE" w:rsidRDefault="00CF40BE" w:rsidP="00CF40BE">
            <w:pPr>
              <w:pStyle w:val="Tabletext"/>
              <w:rPr>
                <w:b/>
                <w:bCs/>
                <w:i/>
                <w:iCs/>
              </w:rPr>
            </w:pPr>
            <w:r w:rsidRPr="0014439F">
              <w:rPr>
                <w:b/>
                <w:bCs/>
                <w:i/>
                <w:iCs/>
              </w:rPr>
              <w:t>NPV (7% discount rate)</w:t>
            </w:r>
          </w:p>
        </w:tc>
        <w:tc>
          <w:tcPr>
            <w:tcW w:w="850" w:type="dxa"/>
            <w:shd w:val="clear" w:color="auto" w:fill="auto"/>
            <w:vAlign w:val="bottom"/>
          </w:tcPr>
          <w:p w14:paraId="35FE4EB7" w14:textId="2CCBF039" w:rsidR="00CF40BE" w:rsidRPr="0023756B" w:rsidRDefault="004C6451" w:rsidP="00CF40BE">
            <w:pPr>
              <w:pStyle w:val="Tabletext"/>
              <w:jc w:val="right"/>
              <w:rPr>
                <w:b/>
                <w:bCs/>
                <w:i/>
                <w:iCs/>
                <w:szCs w:val="20"/>
              </w:rPr>
            </w:pPr>
            <w:r>
              <w:rPr>
                <w:b/>
                <w:bCs/>
                <w:i/>
                <w:iCs/>
                <w:szCs w:val="20"/>
              </w:rPr>
              <w:t>40.2</w:t>
            </w:r>
          </w:p>
        </w:tc>
        <w:tc>
          <w:tcPr>
            <w:tcW w:w="850" w:type="dxa"/>
            <w:shd w:val="clear" w:color="auto" w:fill="auto"/>
            <w:vAlign w:val="bottom"/>
          </w:tcPr>
          <w:p w14:paraId="781E804B" w14:textId="637EFDFF" w:rsidR="00CF40BE" w:rsidRPr="0023756B" w:rsidRDefault="004C6451" w:rsidP="00CF40BE">
            <w:pPr>
              <w:pStyle w:val="Tabletext"/>
              <w:jc w:val="right"/>
              <w:rPr>
                <w:b/>
                <w:bCs/>
                <w:i/>
                <w:iCs/>
                <w:szCs w:val="20"/>
              </w:rPr>
            </w:pPr>
            <w:r>
              <w:rPr>
                <w:b/>
                <w:bCs/>
                <w:i/>
                <w:iCs/>
                <w:szCs w:val="20"/>
              </w:rPr>
              <w:t>6.0</w:t>
            </w:r>
          </w:p>
        </w:tc>
        <w:tc>
          <w:tcPr>
            <w:tcW w:w="850" w:type="dxa"/>
            <w:shd w:val="clear" w:color="auto" w:fill="auto"/>
            <w:vAlign w:val="bottom"/>
          </w:tcPr>
          <w:p w14:paraId="452CB7D4" w14:textId="67676076" w:rsidR="00CF40BE" w:rsidRPr="0023756B" w:rsidRDefault="004C6451" w:rsidP="00CF40BE">
            <w:pPr>
              <w:pStyle w:val="Tabletext"/>
              <w:jc w:val="right"/>
              <w:rPr>
                <w:b/>
                <w:bCs/>
                <w:i/>
                <w:iCs/>
                <w:szCs w:val="20"/>
              </w:rPr>
            </w:pPr>
            <w:r>
              <w:rPr>
                <w:b/>
                <w:bCs/>
                <w:i/>
                <w:iCs/>
                <w:szCs w:val="20"/>
              </w:rPr>
              <w:t>8.0</w:t>
            </w:r>
          </w:p>
        </w:tc>
        <w:tc>
          <w:tcPr>
            <w:tcW w:w="850" w:type="dxa"/>
            <w:shd w:val="clear" w:color="auto" w:fill="auto"/>
            <w:vAlign w:val="bottom"/>
          </w:tcPr>
          <w:p w14:paraId="5F952026" w14:textId="335E6C8F" w:rsidR="00CF40BE" w:rsidRPr="0023756B" w:rsidRDefault="004C6451" w:rsidP="00CF40BE">
            <w:pPr>
              <w:pStyle w:val="Tabletext"/>
              <w:jc w:val="right"/>
              <w:rPr>
                <w:b/>
                <w:bCs/>
                <w:i/>
                <w:iCs/>
                <w:szCs w:val="20"/>
              </w:rPr>
            </w:pPr>
            <w:r>
              <w:rPr>
                <w:b/>
                <w:bCs/>
                <w:i/>
                <w:iCs/>
                <w:szCs w:val="20"/>
              </w:rPr>
              <w:t>8.0</w:t>
            </w:r>
          </w:p>
        </w:tc>
        <w:tc>
          <w:tcPr>
            <w:tcW w:w="850" w:type="dxa"/>
            <w:shd w:val="clear" w:color="auto" w:fill="auto"/>
            <w:vAlign w:val="bottom"/>
          </w:tcPr>
          <w:p w14:paraId="76FF2D5D" w14:textId="57763092" w:rsidR="00CF40BE" w:rsidRPr="0023756B" w:rsidRDefault="004C6451" w:rsidP="00CF40BE">
            <w:pPr>
              <w:pStyle w:val="Tabletext"/>
              <w:jc w:val="right"/>
              <w:rPr>
                <w:b/>
                <w:bCs/>
                <w:i/>
                <w:iCs/>
                <w:szCs w:val="20"/>
              </w:rPr>
            </w:pPr>
            <w:r>
              <w:rPr>
                <w:b/>
                <w:bCs/>
                <w:i/>
                <w:iCs/>
                <w:szCs w:val="20"/>
              </w:rPr>
              <w:t>18.1</w:t>
            </w:r>
          </w:p>
        </w:tc>
        <w:tc>
          <w:tcPr>
            <w:tcW w:w="850" w:type="dxa"/>
            <w:shd w:val="clear" w:color="auto" w:fill="auto"/>
            <w:vAlign w:val="bottom"/>
          </w:tcPr>
          <w:p w14:paraId="367C47A4" w14:textId="62799579" w:rsidR="00CF40BE" w:rsidRPr="0023756B" w:rsidRDefault="004C6451" w:rsidP="00CF40BE">
            <w:pPr>
              <w:pStyle w:val="Tabletext"/>
              <w:jc w:val="right"/>
              <w:rPr>
                <w:b/>
                <w:bCs/>
                <w:i/>
                <w:iCs/>
                <w:szCs w:val="20"/>
              </w:rPr>
            </w:pPr>
            <w:r>
              <w:rPr>
                <w:b/>
                <w:bCs/>
                <w:i/>
                <w:iCs/>
                <w:szCs w:val="20"/>
              </w:rPr>
              <w:t>4.0</w:t>
            </w:r>
          </w:p>
        </w:tc>
        <w:tc>
          <w:tcPr>
            <w:tcW w:w="850" w:type="dxa"/>
            <w:shd w:val="clear" w:color="auto" w:fill="auto"/>
            <w:vAlign w:val="bottom"/>
          </w:tcPr>
          <w:p w14:paraId="58D525FC" w14:textId="6536FE38" w:rsidR="00CF40BE" w:rsidRPr="0023756B" w:rsidRDefault="004C6451" w:rsidP="00CF40BE">
            <w:pPr>
              <w:pStyle w:val="Tabletext"/>
              <w:jc w:val="right"/>
              <w:rPr>
                <w:b/>
                <w:bCs/>
                <w:i/>
                <w:iCs/>
                <w:szCs w:val="20"/>
              </w:rPr>
            </w:pPr>
            <w:r>
              <w:rPr>
                <w:b/>
                <w:bCs/>
                <w:i/>
                <w:iCs/>
                <w:szCs w:val="20"/>
              </w:rPr>
              <w:t>8.0</w:t>
            </w:r>
          </w:p>
        </w:tc>
        <w:tc>
          <w:tcPr>
            <w:tcW w:w="850" w:type="dxa"/>
            <w:shd w:val="clear" w:color="auto" w:fill="auto"/>
            <w:vAlign w:val="bottom"/>
          </w:tcPr>
          <w:p w14:paraId="041F125C" w14:textId="179747FC" w:rsidR="00CF40BE" w:rsidRPr="0023756B" w:rsidRDefault="004C6451" w:rsidP="00CF40BE">
            <w:pPr>
              <w:pStyle w:val="Tabletext"/>
              <w:jc w:val="right"/>
              <w:rPr>
                <w:b/>
                <w:bCs/>
                <w:i/>
                <w:iCs/>
                <w:szCs w:val="20"/>
              </w:rPr>
            </w:pPr>
            <w:r>
              <w:rPr>
                <w:b/>
                <w:bCs/>
                <w:i/>
                <w:iCs/>
                <w:szCs w:val="20"/>
              </w:rPr>
              <w:t>10.1</w:t>
            </w:r>
          </w:p>
        </w:tc>
        <w:tc>
          <w:tcPr>
            <w:tcW w:w="851" w:type="dxa"/>
            <w:shd w:val="clear" w:color="auto" w:fill="auto"/>
            <w:vAlign w:val="bottom"/>
          </w:tcPr>
          <w:p w14:paraId="371016C9" w14:textId="1CAD64F5" w:rsidR="00CF40BE" w:rsidRPr="0023756B" w:rsidRDefault="004C6451" w:rsidP="00CF40BE">
            <w:pPr>
              <w:pStyle w:val="Tabletext"/>
              <w:jc w:val="right"/>
              <w:rPr>
                <w:b/>
                <w:bCs/>
                <w:i/>
                <w:iCs/>
                <w:szCs w:val="20"/>
              </w:rPr>
            </w:pPr>
            <w:r>
              <w:rPr>
                <w:b/>
                <w:bCs/>
                <w:i/>
                <w:iCs/>
                <w:szCs w:val="20"/>
              </w:rPr>
              <w:t>8.0</w:t>
            </w:r>
          </w:p>
        </w:tc>
      </w:tr>
      <w:tr w:rsidR="00CF40BE" w14:paraId="3608B5E8" w14:textId="77777777" w:rsidTr="00CF40BE">
        <w:trPr>
          <w:gridBefore w:val="1"/>
          <w:wBefore w:w="454" w:type="dxa"/>
        </w:trPr>
        <w:tc>
          <w:tcPr>
            <w:tcW w:w="2247" w:type="dxa"/>
            <w:shd w:val="clear" w:color="auto" w:fill="auto"/>
          </w:tcPr>
          <w:p w14:paraId="5C6B7647" w14:textId="77777777" w:rsidR="00CF40BE" w:rsidRPr="009F0927" w:rsidRDefault="00CF40BE" w:rsidP="00CF40BE">
            <w:pPr>
              <w:pStyle w:val="Tabletext"/>
              <w:rPr>
                <w:b/>
                <w:bCs/>
                <w:i/>
                <w:iCs/>
              </w:rPr>
            </w:pPr>
            <w:r>
              <w:rPr>
                <w:b/>
                <w:bCs/>
                <w:i/>
                <w:iCs/>
              </w:rPr>
              <w:t>NPV (10</w:t>
            </w:r>
            <w:r w:rsidRPr="0014439F">
              <w:rPr>
                <w:b/>
                <w:bCs/>
                <w:i/>
                <w:iCs/>
              </w:rPr>
              <w:t>% discount rate)</w:t>
            </w:r>
          </w:p>
        </w:tc>
        <w:tc>
          <w:tcPr>
            <w:tcW w:w="850" w:type="dxa"/>
            <w:shd w:val="clear" w:color="auto" w:fill="auto"/>
            <w:vAlign w:val="bottom"/>
          </w:tcPr>
          <w:p w14:paraId="21A57928" w14:textId="5065D56F" w:rsidR="00CF40BE" w:rsidRPr="0023756B" w:rsidRDefault="004C6451" w:rsidP="00CF40BE">
            <w:pPr>
              <w:pStyle w:val="Tabletext"/>
              <w:jc w:val="right"/>
              <w:rPr>
                <w:b/>
                <w:bCs/>
                <w:i/>
                <w:iCs/>
              </w:rPr>
            </w:pPr>
            <w:r>
              <w:rPr>
                <w:b/>
                <w:bCs/>
                <w:i/>
                <w:iCs/>
              </w:rPr>
              <w:t>36.7</w:t>
            </w:r>
          </w:p>
        </w:tc>
        <w:tc>
          <w:tcPr>
            <w:tcW w:w="850" w:type="dxa"/>
            <w:shd w:val="clear" w:color="auto" w:fill="auto"/>
            <w:vAlign w:val="bottom"/>
          </w:tcPr>
          <w:p w14:paraId="6425B491" w14:textId="3D383DB3" w:rsidR="00CF40BE" w:rsidRPr="0023756B" w:rsidRDefault="004C6451" w:rsidP="00CF40BE">
            <w:pPr>
              <w:pStyle w:val="Tabletext"/>
              <w:jc w:val="right"/>
              <w:rPr>
                <w:b/>
                <w:bCs/>
                <w:i/>
                <w:iCs/>
              </w:rPr>
            </w:pPr>
            <w:r>
              <w:rPr>
                <w:b/>
                <w:bCs/>
                <w:i/>
                <w:iCs/>
              </w:rPr>
              <w:t>5.5</w:t>
            </w:r>
          </w:p>
        </w:tc>
        <w:tc>
          <w:tcPr>
            <w:tcW w:w="850" w:type="dxa"/>
            <w:shd w:val="clear" w:color="auto" w:fill="auto"/>
            <w:vAlign w:val="bottom"/>
          </w:tcPr>
          <w:p w14:paraId="158D11FE" w14:textId="24FC232E" w:rsidR="00CF40BE" w:rsidRPr="0023756B" w:rsidRDefault="004C6451" w:rsidP="00CF40BE">
            <w:pPr>
              <w:pStyle w:val="Tabletext"/>
              <w:jc w:val="right"/>
              <w:rPr>
                <w:b/>
                <w:bCs/>
                <w:i/>
                <w:iCs/>
              </w:rPr>
            </w:pPr>
            <w:r>
              <w:rPr>
                <w:b/>
                <w:bCs/>
                <w:i/>
                <w:iCs/>
              </w:rPr>
              <w:t>7.3</w:t>
            </w:r>
          </w:p>
        </w:tc>
        <w:tc>
          <w:tcPr>
            <w:tcW w:w="850" w:type="dxa"/>
            <w:shd w:val="clear" w:color="auto" w:fill="auto"/>
            <w:vAlign w:val="bottom"/>
          </w:tcPr>
          <w:p w14:paraId="5FF805A7" w14:textId="7E481109" w:rsidR="00CF40BE" w:rsidRPr="0023756B" w:rsidRDefault="004C6451" w:rsidP="00CF40BE">
            <w:pPr>
              <w:pStyle w:val="Tabletext"/>
              <w:jc w:val="right"/>
              <w:rPr>
                <w:b/>
                <w:bCs/>
                <w:i/>
                <w:iCs/>
              </w:rPr>
            </w:pPr>
            <w:r>
              <w:rPr>
                <w:b/>
                <w:bCs/>
                <w:i/>
                <w:iCs/>
              </w:rPr>
              <w:t>7.3</w:t>
            </w:r>
          </w:p>
        </w:tc>
        <w:tc>
          <w:tcPr>
            <w:tcW w:w="850" w:type="dxa"/>
            <w:shd w:val="clear" w:color="auto" w:fill="auto"/>
            <w:vAlign w:val="bottom"/>
          </w:tcPr>
          <w:p w14:paraId="48FDC357" w14:textId="6B4D2D06" w:rsidR="00CF40BE" w:rsidRPr="0023756B" w:rsidRDefault="004C6451" w:rsidP="00CF40BE">
            <w:pPr>
              <w:pStyle w:val="Tabletext"/>
              <w:jc w:val="right"/>
              <w:rPr>
                <w:b/>
                <w:bCs/>
                <w:i/>
                <w:iCs/>
              </w:rPr>
            </w:pPr>
            <w:r>
              <w:rPr>
                <w:b/>
                <w:bCs/>
                <w:i/>
                <w:iCs/>
              </w:rPr>
              <w:t>16.5</w:t>
            </w:r>
          </w:p>
        </w:tc>
        <w:tc>
          <w:tcPr>
            <w:tcW w:w="850" w:type="dxa"/>
            <w:shd w:val="clear" w:color="auto" w:fill="auto"/>
            <w:vAlign w:val="bottom"/>
          </w:tcPr>
          <w:p w14:paraId="4A3BBB1E" w14:textId="56BF4A74" w:rsidR="00CF40BE" w:rsidRPr="0023756B" w:rsidRDefault="004C6451" w:rsidP="00CF40BE">
            <w:pPr>
              <w:pStyle w:val="Tabletext"/>
              <w:jc w:val="right"/>
              <w:rPr>
                <w:b/>
                <w:bCs/>
                <w:i/>
                <w:iCs/>
              </w:rPr>
            </w:pPr>
            <w:r>
              <w:rPr>
                <w:b/>
                <w:bCs/>
                <w:i/>
                <w:iCs/>
              </w:rPr>
              <w:t>3.7</w:t>
            </w:r>
          </w:p>
        </w:tc>
        <w:tc>
          <w:tcPr>
            <w:tcW w:w="850" w:type="dxa"/>
            <w:shd w:val="clear" w:color="auto" w:fill="auto"/>
            <w:vAlign w:val="bottom"/>
          </w:tcPr>
          <w:p w14:paraId="708657EB" w14:textId="46EA77B4" w:rsidR="00CF40BE" w:rsidRPr="0023756B" w:rsidRDefault="004C6451" w:rsidP="00CF40BE">
            <w:pPr>
              <w:pStyle w:val="Tabletext"/>
              <w:jc w:val="right"/>
              <w:rPr>
                <w:b/>
                <w:bCs/>
                <w:i/>
                <w:iCs/>
              </w:rPr>
            </w:pPr>
            <w:r>
              <w:rPr>
                <w:b/>
                <w:bCs/>
                <w:i/>
                <w:iCs/>
              </w:rPr>
              <w:t>7.3</w:t>
            </w:r>
          </w:p>
        </w:tc>
        <w:tc>
          <w:tcPr>
            <w:tcW w:w="850" w:type="dxa"/>
            <w:shd w:val="clear" w:color="auto" w:fill="auto"/>
            <w:vAlign w:val="bottom"/>
          </w:tcPr>
          <w:p w14:paraId="6CE7D365" w14:textId="24A3D289" w:rsidR="00CF40BE" w:rsidRPr="0023756B" w:rsidRDefault="004C6451" w:rsidP="00CF40BE">
            <w:pPr>
              <w:pStyle w:val="Tabletext"/>
              <w:jc w:val="right"/>
              <w:rPr>
                <w:b/>
                <w:bCs/>
                <w:i/>
                <w:iCs/>
              </w:rPr>
            </w:pPr>
            <w:r>
              <w:rPr>
                <w:b/>
                <w:bCs/>
                <w:i/>
                <w:iCs/>
              </w:rPr>
              <w:t>9.2</w:t>
            </w:r>
          </w:p>
        </w:tc>
        <w:tc>
          <w:tcPr>
            <w:tcW w:w="851" w:type="dxa"/>
            <w:shd w:val="clear" w:color="auto" w:fill="auto"/>
            <w:vAlign w:val="bottom"/>
          </w:tcPr>
          <w:p w14:paraId="14A5C1CE" w14:textId="5FD018CC" w:rsidR="00CF40BE" w:rsidRPr="0023756B" w:rsidRDefault="004C6451" w:rsidP="00CF40BE">
            <w:pPr>
              <w:pStyle w:val="Tabletext"/>
              <w:jc w:val="right"/>
              <w:rPr>
                <w:b/>
                <w:bCs/>
                <w:i/>
                <w:iCs/>
              </w:rPr>
            </w:pPr>
            <w:r>
              <w:rPr>
                <w:b/>
                <w:bCs/>
                <w:i/>
                <w:iCs/>
              </w:rPr>
              <w:t>7.3</w:t>
            </w:r>
          </w:p>
        </w:tc>
      </w:tr>
      <w:tr w:rsidR="00CF40BE" w14:paraId="1A940DD6" w14:textId="77777777" w:rsidTr="00CF40BE">
        <w:trPr>
          <w:gridBefore w:val="1"/>
          <w:wBefore w:w="454" w:type="dxa"/>
        </w:trPr>
        <w:tc>
          <w:tcPr>
            <w:tcW w:w="2247" w:type="dxa"/>
            <w:tcBorders>
              <w:bottom w:val="single" w:sz="4" w:space="0" w:color="646464"/>
            </w:tcBorders>
            <w:shd w:val="clear" w:color="auto" w:fill="CAE4EE" w:themeFill="accent5" w:themeFillTint="66"/>
          </w:tcPr>
          <w:p w14:paraId="0737565C" w14:textId="77777777" w:rsidR="00CF40BE" w:rsidRDefault="00CF40BE" w:rsidP="00CF40BE">
            <w:pPr>
              <w:pStyle w:val="Tabletext"/>
              <w:rPr>
                <w:b/>
                <w:bCs/>
                <w:i/>
                <w:iCs/>
              </w:rPr>
            </w:pPr>
            <w:r>
              <w:rPr>
                <w:b/>
                <w:bCs/>
              </w:rPr>
              <w:t>BENEFIT COST RATIO</w:t>
            </w:r>
          </w:p>
        </w:tc>
        <w:tc>
          <w:tcPr>
            <w:tcW w:w="850" w:type="dxa"/>
            <w:tcBorders>
              <w:bottom w:val="single" w:sz="4" w:space="0" w:color="646464"/>
            </w:tcBorders>
            <w:shd w:val="clear" w:color="auto" w:fill="CAE4EE" w:themeFill="accent5" w:themeFillTint="66"/>
            <w:vAlign w:val="bottom"/>
          </w:tcPr>
          <w:p w14:paraId="70F8A910"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0E7ABA02"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153EA77C"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1FAC01D6"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24CF34A7"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3C23B034"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402B83F2" w14:textId="77777777" w:rsidR="00CF40BE" w:rsidRPr="0023756B" w:rsidRDefault="00CF40BE" w:rsidP="00CF40BE">
            <w:pPr>
              <w:pStyle w:val="Tabletext"/>
              <w:jc w:val="right"/>
              <w:rPr>
                <w:b/>
                <w:bCs/>
                <w:i/>
                <w:iCs/>
                <w:szCs w:val="20"/>
              </w:rPr>
            </w:pPr>
            <w:r w:rsidRPr="00193D3E">
              <w:rPr>
                <w:b/>
                <w:bCs/>
                <w:i/>
                <w:iCs/>
                <w:szCs w:val="20"/>
              </w:rPr>
              <w:t> </w:t>
            </w:r>
          </w:p>
        </w:tc>
        <w:tc>
          <w:tcPr>
            <w:tcW w:w="850" w:type="dxa"/>
            <w:tcBorders>
              <w:bottom w:val="single" w:sz="4" w:space="0" w:color="646464"/>
            </w:tcBorders>
            <w:shd w:val="clear" w:color="auto" w:fill="CAE4EE" w:themeFill="accent5" w:themeFillTint="66"/>
            <w:vAlign w:val="bottom"/>
          </w:tcPr>
          <w:p w14:paraId="6071B893" w14:textId="77777777" w:rsidR="00CF40BE" w:rsidRPr="0023756B" w:rsidRDefault="00CF40BE" w:rsidP="00CF40BE">
            <w:pPr>
              <w:pStyle w:val="Tabletext"/>
              <w:jc w:val="right"/>
              <w:rPr>
                <w:b/>
                <w:bCs/>
                <w:i/>
                <w:iCs/>
                <w:szCs w:val="20"/>
              </w:rPr>
            </w:pPr>
            <w:r w:rsidRPr="00193D3E">
              <w:rPr>
                <w:b/>
                <w:bCs/>
                <w:i/>
                <w:iCs/>
                <w:szCs w:val="20"/>
              </w:rPr>
              <w:t> </w:t>
            </w:r>
          </w:p>
        </w:tc>
        <w:tc>
          <w:tcPr>
            <w:tcW w:w="851" w:type="dxa"/>
            <w:tcBorders>
              <w:bottom w:val="single" w:sz="4" w:space="0" w:color="646464"/>
            </w:tcBorders>
            <w:shd w:val="clear" w:color="auto" w:fill="CAE4EE" w:themeFill="accent5" w:themeFillTint="66"/>
            <w:vAlign w:val="bottom"/>
          </w:tcPr>
          <w:p w14:paraId="05C2BB32" w14:textId="77777777" w:rsidR="00CF40BE" w:rsidRPr="0023756B" w:rsidRDefault="00CF40BE" w:rsidP="00CF40BE">
            <w:pPr>
              <w:pStyle w:val="Tabletext"/>
              <w:jc w:val="right"/>
              <w:rPr>
                <w:b/>
                <w:bCs/>
                <w:i/>
                <w:iCs/>
                <w:szCs w:val="20"/>
              </w:rPr>
            </w:pPr>
            <w:r w:rsidRPr="00193D3E">
              <w:rPr>
                <w:b/>
                <w:bCs/>
                <w:i/>
                <w:iCs/>
                <w:szCs w:val="20"/>
              </w:rPr>
              <w:t> </w:t>
            </w:r>
          </w:p>
        </w:tc>
      </w:tr>
      <w:tr w:rsidR="00CF40BE" w14:paraId="5637495E"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3CE385B6" w14:textId="77777777" w:rsidR="00CF40BE" w:rsidRDefault="00CF40BE" w:rsidP="00CF40BE">
            <w:pPr>
              <w:pStyle w:val="Tabletext"/>
              <w:rPr>
                <w:b/>
                <w:bCs/>
                <w:i/>
                <w:iCs/>
              </w:rPr>
            </w:pPr>
            <w:r w:rsidRPr="00193D3E">
              <w:rPr>
                <w:b/>
                <w:bCs/>
                <w:i/>
                <w:iCs/>
              </w:rPr>
              <w:t>Undiscounted</w:t>
            </w:r>
          </w:p>
        </w:tc>
        <w:tc>
          <w:tcPr>
            <w:tcW w:w="850" w:type="dxa"/>
            <w:tcBorders>
              <w:top w:val="single" w:sz="4" w:space="0" w:color="646464"/>
              <w:bottom w:val="single" w:sz="4" w:space="0" w:color="646464"/>
            </w:tcBorders>
            <w:shd w:val="clear" w:color="auto" w:fill="E5E5E5"/>
            <w:vAlign w:val="bottom"/>
          </w:tcPr>
          <w:p w14:paraId="7F8D6F14" w14:textId="0BDEDA93" w:rsidR="00CF40BE" w:rsidRPr="0023756B" w:rsidRDefault="004C6451" w:rsidP="00CF40BE">
            <w:pPr>
              <w:pStyle w:val="Tabletext"/>
              <w:jc w:val="right"/>
              <w:rPr>
                <w:b/>
                <w:bCs/>
                <w:i/>
                <w:iCs/>
                <w:szCs w:val="20"/>
              </w:rPr>
            </w:pPr>
            <w:r>
              <w:rPr>
                <w:b/>
                <w:bCs/>
                <w:i/>
                <w:iCs/>
                <w:szCs w:val="20"/>
              </w:rPr>
              <w:t>17.2</w:t>
            </w:r>
          </w:p>
        </w:tc>
        <w:tc>
          <w:tcPr>
            <w:tcW w:w="850" w:type="dxa"/>
            <w:tcBorders>
              <w:top w:val="single" w:sz="4" w:space="0" w:color="646464"/>
              <w:bottom w:val="single" w:sz="4" w:space="0" w:color="646464"/>
            </w:tcBorders>
            <w:shd w:val="clear" w:color="auto" w:fill="E5E5E5"/>
            <w:vAlign w:val="bottom"/>
          </w:tcPr>
          <w:p w14:paraId="6FEB5BE8" w14:textId="4EB1207E" w:rsidR="00CF40BE" w:rsidRPr="0023756B" w:rsidRDefault="004C6451" w:rsidP="00CF40BE">
            <w:pPr>
              <w:pStyle w:val="Tabletext"/>
              <w:jc w:val="right"/>
              <w:rPr>
                <w:b/>
                <w:bCs/>
                <w:i/>
                <w:iCs/>
                <w:szCs w:val="20"/>
              </w:rPr>
            </w:pPr>
            <w:r>
              <w:rPr>
                <w:b/>
                <w:bCs/>
                <w:i/>
                <w:iCs/>
                <w:szCs w:val="20"/>
              </w:rPr>
              <w:t>2.6</w:t>
            </w:r>
          </w:p>
        </w:tc>
        <w:tc>
          <w:tcPr>
            <w:tcW w:w="850" w:type="dxa"/>
            <w:tcBorders>
              <w:top w:val="single" w:sz="4" w:space="0" w:color="646464"/>
              <w:bottom w:val="single" w:sz="4" w:space="0" w:color="646464"/>
            </w:tcBorders>
            <w:shd w:val="clear" w:color="auto" w:fill="E5E5E5"/>
            <w:vAlign w:val="bottom"/>
          </w:tcPr>
          <w:p w14:paraId="3331C70C" w14:textId="33279E35" w:rsidR="00CF40BE" w:rsidRPr="0023756B" w:rsidRDefault="004C6451" w:rsidP="00CF40BE">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17ADE344" w14:textId="028030A5" w:rsidR="00CF40BE" w:rsidRPr="0023756B" w:rsidRDefault="004C6451" w:rsidP="00CF40BE">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04F45B42" w14:textId="1D3475F2" w:rsidR="00CF40BE" w:rsidRPr="0023756B" w:rsidRDefault="004C6451" w:rsidP="00CF40BE">
            <w:pPr>
              <w:pStyle w:val="Tabletext"/>
              <w:jc w:val="right"/>
              <w:rPr>
                <w:b/>
                <w:bCs/>
                <w:i/>
                <w:iCs/>
                <w:szCs w:val="20"/>
              </w:rPr>
            </w:pPr>
            <w:r>
              <w:rPr>
                <w:b/>
                <w:bCs/>
                <w:i/>
                <w:iCs/>
                <w:szCs w:val="20"/>
              </w:rPr>
              <w:t>7.7</w:t>
            </w:r>
          </w:p>
        </w:tc>
        <w:tc>
          <w:tcPr>
            <w:tcW w:w="850" w:type="dxa"/>
            <w:tcBorders>
              <w:top w:val="single" w:sz="4" w:space="0" w:color="646464"/>
              <w:bottom w:val="single" w:sz="4" w:space="0" w:color="646464"/>
            </w:tcBorders>
            <w:shd w:val="clear" w:color="auto" w:fill="E5E5E5"/>
            <w:vAlign w:val="bottom"/>
          </w:tcPr>
          <w:p w14:paraId="2D5DA541" w14:textId="7E7DEE8E" w:rsidR="00CF40BE" w:rsidRPr="0023756B" w:rsidRDefault="004C6451" w:rsidP="00CF40BE">
            <w:pPr>
              <w:pStyle w:val="Tabletext"/>
              <w:jc w:val="right"/>
              <w:rPr>
                <w:b/>
                <w:bCs/>
                <w:i/>
                <w:iCs/>
                <w:szCs w:val="20"/>
              </w:rPr>
            </w:pPr>
            <w:r>
              <w:rPr>
                <w:b/>
                <w:bCs/>
                <w:i/>
                <w:iCs/>
                <w:szCs w:val="20"/>
              </w:rPr>
              <w:t>1.7</w:t>
            </w:r>
          </w:p>
        </w:tc>
        <w:tc>
          <w:tcPr>
            <w:tcW w:w="850" w:type="dxa"/>
            <w:tcBorders>
              <w:top w:val="single" w:sz="4" w:space="0" w:color="646464"/>
              <w:bottom w:val="single" w:sz="4" w:space="0" w:color="646464"/>
            </w:tcBorders>
            <w:shd w:val="clear" w:color="auto" w:fill="E5E5E5"/>
            <w:vAlign w:val="bottom"/>
          </w:tcPr>
          <w:p w14:paraId="7C9983E1" w14:textId="65AE9F02" w:rsidR="00CF40BE" w:rsidRPr="0023756B" w:rsidRDefault="004C6451" w:rsidP="00CF40BE">
            <w:pPr>
              <w:pStyle w:val="Tabletext"/>
              <w:jc w:val="right"/>
              <w:rPr>
                <w:b/>
                <w:bCs/>
                <w:i/>
                <w:iCs/>
                <w:szCs w:val="20"/>
              </w:rPr>
            </w:pPr>
            <w:r>
              <w:rPr>
                <w:b/>
                <w:bCs/>
                <w:i/>
                <w:iCs/>
                <w:szCs w:val="20"/>
              </w:rPr>
              <w:t>3.4</w:t>
            </w:r>
          </w:p>
        </w:tc>
        <w:tc>
          <w:tcPr>
            <w:tcW w:w="850" w:type="dxa"/>
            <w:tcBorders>
              <w:top w:val="single" w:sz="4" w:space="0" w:color="646464"/>
              <w:bottom w:val="single" w:sz="4" w:space="0" w:color="646464"/>
            </w:tcBorders>
            <w:shd w:val="clear" w:color="auto" w:fill="E5E5E5"/>
            <w:vAlign w:val="bottom"/>
          </w:tcPr>
          <w:p w14:paraId="286543B4" w14:textId="28975DDB" w:rsidR="00CF40BE" w:rsidRPr="0023756B" w:rsidRDefault="004C6451" w:rsidP="00CF40BE">
            <w:pPr>
              <w:pStyle w:val="Tabletext"/>
              <w:jc w:val="right"/>
              <w:rPr>
                <w:b/>
                <w:bCs/>
                <w:i/>
                <w:iCs/>
                <w:szCs w:val="20"/>
              </w:rPr>
            </w:pPr>
            <w:r>
              <w:rPr>
                <w:b/>
                <w:bCs/>
                <w:i/>
                <w:iCs/>
                <w:szCs w:val="20"/>
              </w:rPr>
              <w:t>4.3</w:t>
            </w:r>
          </w:p>
        </w:tc>
        <w:tc>
          <w:tcPr>
            <w:tcW w:w="851" w:type="dxa"/>
            <w:tcBorders>
              <w:top w:val="single" w:sz="4" w:space="0" w:color="646464"/>
              <w:bottom w:val="single" w:sz="4" w:space="0" w:color="646464"/>
            </w:tcBorders>
            <w:shd w:val="clear" w:color="auto" w:fill="E5E5E5"/>
            <w:vAlign w:val="bottom"/>
          </w:tcPr>
          <w:p w14:paraId="4FE318B2" w14:textId="048E1525" w:rsidR="00CF40BE" w:rsidRPr="0023756B" w:rsidRDefault="004C6451" w:rsidP="00CF40BE">
            <w:pPr>
              <w:pStyle w:val="Tabletext"/>
              <w:jc w:val="right"/>
              <w:rPr>
                <w:b/>
                <w:bCs/>
                <w:i/>
                <w:iCs/>
                <w:szCs w:val="20"/>
              </w:rPr>
            </w:pPr>
            <w:r>
              <w:rPr>
                <w:b/>
                <w:bCs/>
                <w:i/>
                <w:iCs/>
                <w:szCs w:val="20"/>
              </w:rPr>
              <w:t>3.4</w:t>
            </w:r>
          </w:p>
        </w:tc>
      </w:tr>
      <w:tr w:rsidR="00CF40BE" w14:paraId="62171229"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220679C9" w14:textId="77777777" w:rsidR="00CF40BE" w:rsidRPr="00193D3E" w:rsidRDefault="00CF40BE" w:rsidP="00CF40BE">
            <w:pPr>
              <w:pStyle w:val="Tabletext"/>
              <w:rPr>
                <w:b/>
                <w:bCs/>
                <w:i/>
                <w:iCs/>
              </w:rPr>
            </w:pPr>
            <w:r>
              <w:rPr>
                <w:b/>
                <w:bCs/>
                <w:i/>
                <w:iCs/>
              </w:rPr>
              <w:t>NPV (3</w:t>
            </w:r>
            <w:r w:rsidRPr="0014439F">
              <w:rPr>
                <w:b/>
                <w:bCs/>
                <w:i/>
                <w:iCs/>
              </w:rPr>
              <w:t>% discount rate)</w:t>
            </w:r>
          </w:p>
        </w:tc>
        <w:tc>
          <w:tcPr>
            <w:tcW w:w="850" w:type="dxa"/>
            <w:tcBorders>
              <w:top w:val="single" w:sz="4" w:space="0" w:color="646464"/>
              <w:bottom w:val="single" w:sz="4" w:space="0" w:color="646464"/>
            </w:tcBorders>
            <w:shd w:val="clear" w:color="auto" w:fill="E5E5E5"/>
            <w:vAlign w:val="bottom"/>
          </w:tcPr>
          <w:p w14:paraId="6D7AD74D" w14:textId="040B51EB" w:rsidR="00CF40BE" w:rsidRPr="0023756B" w:rsidRDefault="004C6451" w:rsidP="00CF40BE">
            <w:pPr>
              <w:pStyle w:val="Tabletext"/>
              <w:jc w:val="right"/>
              <w:rPr>
                <w:b/>
                <w:bCs/>
                <w:i/>
                <w:iCs/>
                <w:szCs w:val="20"/>
              </w:rPr>
            </w:pPr>
            <w:r>
              <w:rPr>
                <w:b/>
                <w:bCs/>
                <w:i/>
                <w:iCs/>
                <w:szCs w:val="20"/>
              </w:rPr>
              <w:t>18.1</w:t>
            </w:r>
          </w:p>
        </w:tc>
        <w:tc>
          <w:tcPr>
            <w:tcW w:w="850" w:type="dxa"/>
            <w:tcBorders>
              <w:top w:val="single" w:sz="4" w:space="0" w:color="646464"/>
              <w:bottom w:val="single" w:sz="4" w:space="0" w:color="646464"/>
            </w:tcBorders>
            <w:shd w:val="clear" w:color="auto" w:fill="E5E5E5"/>
            <w:vAlign w:val="bottom"/>
          </w:tcPr>
          <w:p w14:paraId="1CA2A986" w14:textId="10418CB9" w:rsidR="00CF40BE" w:rsidRPr="0023756B" w:rsidRDefault="004C6451" w:rsidP="00CF40BE">
            <w:pPr>
              <w:pStyle w:val="Tabletext"/>
              <w:jc w:val="right"/>
              <w:rPr>
                <w:b/>
                <w:bCs/>
                <w:i/>
                <w:iCs/>
                <w:szCs w:val="20"/>
              </w:rPr>
            </w:pPr>
            <w:r>
              <w:rPr>
                <w:b/>
                <w:bCs/>
                <w:i/>
                <w:iCs/>
                <w:szCs w:val="20"/>
              </w:rPr>
              <w:t>2.7</w:t>
            </w:r>
          </w:p>
        </w:tc>
        <w:tc>
          <w:tcPr>
            <w:tcW w:w="850" w:type="dxa"/>
            <w:tcBorders>
              <w:top w:val="single" w:sz="4" w:space="0" w:color="646464"/>
              <w:bottom w:val="single" w:sz="4" w:space="0" w:color="646464"/>
            </w:tcBorders>
            <w:shd w:val="clear" w:color="auto" w:fill="E5E5E5"/>
            <w:vAlign w:val="bottom"/>
          </w:tcPr>
          <w:p w14:paraId="274E3998" w14:textId="7C4FB1D9" w:rsidR="00CF40BE" w:rsidRPr="0023756B" w:rsidRDefault="004C6451" w:rsidP="00CF40BE">
            <w:pPr>
              <w:pStyle w:val="Tabletext"/>
              <w:jc w:val="right"/>
              <w:rPr>
                <w:b/>
                <w:bCs/>
                <w:i/>
                <w:iCs/>
                <w:szCs w:val="20"/>
              </w:rPr>
            </w:pPr>
            <w:r>
              <w:rPr>
                <w:b/>
                <w:bCs/>
                <w:i/>
                <w:iCs/>
                <w:szCs w:val="20"/>
              </w:rPr>
              <w:t>3.6</w:t>
            </w:r>
          </w:p>
        </w:tc>
        <w:tc>
          <w:tcPr>
            <w:tcW w:w="850" w:type="dxa"/>
            <w:tcBorders>
              <w:top w:val="single" w:sz="4" w:space="0" w:color="646464"/>
              <w:bottom w:val="single" w:sz="4" w:space="0" w:color="646464"/>
            </w:tcBorders>
            <w:shd w:val="clear" w:color="auto" w:fill="E5E5E5"/>
            <w:vAlign w:val="bottom"/>
          </w:tcPr>
          <w:p w14:paraId="7F0453BB" w14:textId="750E42E9" w:rsidR="00CF40BE" w:rsidRPr="0023756B" w:rsidRDefault="004C6451" w:rsidP="00CF40BE">
            <w:pPr>
              <w:pStyle w:val="Tabletext"/>
              <w:jc w:val="right"/>
              <w:rPr>
                <w:b/>
                <w:bCs/>
                <w:i/>
                <w:iCs/>
                <w:szCs w:val="20"/>
              </w:rPr>
            </w:pPr>
            <w:r>
              <w:rPr>
                <w:b/>
                <w:bCs/>
                <w:i/>
                <w:iCs/>
                <w:szCs w:val="20"/>
              </w:rPr>
              <w:t>3.6</w:t>
            </w:r>
          </w:p>
        </w:tc>
        <w:tc>
          <w:tcPr>
            <w:tcW w:w="850" w:type="dxa"/>
            <w:tcBorders>
              <w:top w:val="single" w:sz="4" w:space="0" w:color="646464"/>
              <w:bottom w:val="single" w:sz="4" w:space="0" w:color="646464"/>
            </w:tcBorders>
            <w:shd w:val="clear" w:color="auto" w:fill="E5E5E5"/>
            <w:vAlign w:val="bottom"/>
          </w:tcPr>
          <w:p w14:paraId="640D3321" w14:textId="1393B6E9" w:rsidR="00CF40BE" w:rsidRPr="0023756B" w:rsidRDefault="004C6451" w:rsidP="00CF40BE">
            <w:pPr>
              <w:pStyle w:val="Tabletext"/>
              <w:jc w:val="right"/>
              <w:rPr>
                <w:b/>
                <w:bCs/>
                <w:i/>
                <w:iCs/>
                <w:szCs w:val="20"/>
              </w:rPr>
            </w:pPr>
            <w:r>
              <w:rPr>
                <w:b/>
                <w:bCs/>
                <w:i/>
                <w:iCs/>
                <w:szCs w:val="20"/>
              </w:rPr>
              <w:t>8.1</w:t>
            </w:r>
          </w:p>
        </w:tc>
        <w:tc>
          <w:tcPr>
            <w:tcW w:w="850" w:type="dxa"/>
            <w:tcBorders>
              <w:top w:val="single" w:sz="4" w:space="0" w:color="646464"/>
              <w:bottom w:val="single" w:sz="4" w:space="0" w:color="646464"/>
            </w:tcBorders>
            <w:shd w:val="clear" w:color="auto" w:fill="E5E5E5"/>
            <w:vAlign w:val="bottom"/>
          </w:tcPr>
          <w:p w14:paraId="696F5F1D" w14:textId="6812036A" w:rsidR="00CF40BE" w:rsidRPr="0023756B" w:rsidRDefault="004C6451" w:rsidP="00CF40BE">
            <w:pPr>
              <w:pStyle w:val="Tabletext"/>
              <w:jc w:val="right"/>
              <w:rPr>
                <w:b/>
                <w:bCs/>
                <w:i/>
                <w:iCs/>
                <w:szCs w:val="20"/>
              </w:rPr>
            </w:pPr>
            <w:r>
              <w:rPr>
                <w:b/>
                <w:bCs/>
                <w:i/>
                <w:iCs/>
                <w:szCs w:val="20"/>
              </w:rPr>
              <w:t>1.8</w:t>
            </w:r>
          </w:p>
        </w:tc>
        <w:tc>
          <w:tcPr>
            <w:tcW w:w="850" w:type="dxa"/>
            <w:tcBorders>
              <w:top w:val="single" w:sz="4" w:space="0" w:color="646464"/>
              <w:bottom w:val="single" w:sz="4" w:space="0" w:color="646464"/>
            </w:tcBorders>
            <w:shd w:val="clear" w:color="auto" w:fill="E5E5E5"/>
            <w:vAlign w:val="bottom"/>
          </w:tcPr>
          <w:p w14:paraId="70A0CB7A" w14:textId="70B1609D" w:rsidR="00CF40BE" w:rsidRPr="0023756B" w:rsidRDefault="004C6451" w:rsidP="00CF40BE">
            <w:pPr>
              <w:pStyle w:val="Tabletext"/>
              <w:jc w:val="right"/>
              <w:rPr>
                <w:b/>
                <w:bCs/>
                <w:i/>
                <w:iCs/>
                <w:szCs w:val="20"/>
              </w:rPr>
            </w:pPr>
            <w:r>
              <w:rPr>
                <w:b/>
                <w:bCs/>
                <w:i/>
                <w:iCs/>
                <w:szCs w:val="20"/>
              </w:rPr>
              <w:t>3.6</w:t>
            </w:r>
          </w:p>
        </w:tc>
        <w:tc>
          <w:tcPr>
            <w:tcW w:w="850" w:type="dxa"/>
            <w:tcBorders>
              <w:top w:val="single" w:sz="4" w:space="0" w:color="646464"/>
              <w:bottom w:val="single" w:sz="4" w:space="0" w:color="646464"/>
            </w:tcBorders>
            <w:shd w:val="clear" w:color="auto" w:fill="E5E5E5"/>
            <w:vAlign w:val="bottom"/>
          </w:tcPr>
          <w:p w14:paraId="63AAEF65" w14:textId="6CCA7445" w:rsidR="00CF40BE" w:rsidRPr="0023756B" w:rsidRDefault="004C6451" w:rsidP="00CF40BE">
            <w:pPr>
              <w:pStyle w:val="Tabletext"/>
              <w:jc w:val="right"/>
              <w:rPr>
                <w:b/>
                <w:bCs/>
                <w:i/>
                <w:iCs/>
                <w:szCs w:val="20"/>
              </w:rPr>
            </w:pPr>
            <w:r>
              <w:rPr>
                <w:b/>
                <w:bCs/>
                <w:i/>
                <w:iCs/>
                <w:szCs w:val="20"/>
              </w:rPr>
              <w:t>4.5</w:t>
            </w:r>
          </w:p>
        </w:tc>
        <w:tc>
          <w:tcPr>
            <w:tcW w:w="851" w:type="dxa"/>
            <w:tcBorders>
              <w:top w:val="single" w:sz="4" w:space="0" w:color="646464"/>
              <w:bottom w:val="single" w:sz="4" w:space="0" w:color="646464"/>
            </w:tcBorders>
            <w:shd w:val="clear" w:color="auto" w:fill="E5E5E5"/>
            <w:vAlign w:val="bottom"/>
          </w:tcPr>
          <w:p w14:paraId="2FAEDB12" w14:textId="53767E5B" w:rsidR="00CF40BE" w:rsidRPr="0023756B" w:rsidRDefault="004C6451" w:rsidP="00CF40BE">
            <w:pPr>
              <w:pStyle w:val="Tabletext"/>
              <w:jc w:val="right"/>
              <w:rPr>
                <w:b/>
                <w:bCs/>
                <w:i/>
                <w:iCs/>
                <w:szCs w:val="20"/>
              </w:rPr>
            </w:pPr>
            <w:r>
              <w:rPr>
                <w:b/>
                <w:bCs/>
                <w:i/>
                <w:iCs/>
                <w:szCs w:val="20"/>
              </w:rPr>
              <w:t>3.6</w:t>
            </w:r>
          </w:p>
        </w:tc>
      </w:tr>
      <w:tr w:rsidR="00CF40BE" w14:paraId="0321195A" w14:textId="77777777" w:rsidTr="00CF40BE">
        <w:trPr>
          <w:gridBefore w:val="1"/>
          <w:wBefore w:w="454" w:type="dxa"/>
        </w:trPr>
        <w:tc>
          <w:tcPr>
            <w:tcW w:w="2247" w:type="dxa"/>
            <w:tcBorders>
              <w:top w:val="single" w:sz="4" w:space="0" w:color="646464"/>
              <w:bottom w:val="single" w:sz="4" w:space="0" w:color="646464"/>
            </w:tcBorders>
            <w:shd w:val="clear" w:color="auto" w:fill="E5E5E5"/>
          </w:tcPr>
          <w:p w14:paraId="2A2099D2" w14:textId="77777777" w:rsidR="00CF40BE" w:rsidRPr="00193D3E" w:rsidRDefault="00CF40BE" w:rsidP="00CF40BE">
            <w:pPr>
              <w:pStyle w:val="Tabletext"/>
              <w:rPr>
                <w:b/>
                <w:bCs/>
                <w:i/>
                <w:iCs/>
              </w:rPr>
            </w:pPr>
            <w:r w:rsidRPr="0014439F">
              <w:rPr>
                <w:b/>
                <w:bCs/>
                <w:i/>
                <w:iCs/>
              </w:rPr>
              <w:t>NPV (7% discount rate)</w:t>
            </w:r>
          </w:p>
        </w:tc>
        <w:tc>
          <w:tcPr>
            <w:tcW w:w="850" w:type="dxa"/>
            <w:tcBorders>
              <w:top w:val="single" w:sz="4" w:space="0" w:color="646464"/>
              <w:bottom w:val="single" w:sz="4" w:space="0" w:color="646464"/>
            </w:tcBorders>
            <w:shd w:val="clear" w:color="auto" w:fill="E5E5E5"/>
            <w:vAlign w:val="bottom"/>
          </w:tcPr>
          <w:p w14:paraId="3FB9C87C" w14:textId="506B8D4C" w:rsidR="00CF40BE" w:rsidRPr="0023756B" w:rsidRDefault="004C6451" w:rsidP="00CF40BE">
            <w:pPr>
              <w:pStyle w:val="Tabletext"/>
              <w:jc w:val="right"/>
              <w:rPr>
                <w:b/>
                <w:bCs/>
                <w:i/>
                <w:iCs/>
                <w:szCs w:val="20"/>
              </w:rPr>
            </w:pPr>
            <w:r>
              <w:rPr>
                <w:b/>
                <w:bCs/>
                <w:i/>
                <w:iCs/>
                <w:szCs w:val="20"/>
              </w:rPr>
              <w:t>19.3</w:t>
            </w:r>
          </w:p>
        </w:tc>
        <w:tc>
          <w:tcPr>
            <w:tcW w:w="850" w:type="dxa"/>
            <w:tcBorders>
              <w:top w:val="single" w:sz="4" w:space="0" w:color="646464"/>
              <w:bottom w:val="single" w:sz="4" w:space="0" w:color="646464"/>
            </w:tcBorders>
            <w:shd w:val="clear" w:color="auto" w:fill="E5E5E5"/>
            <w:vAlign w:val="bottom"/>
          </w:tcPr>
          <w:p w14:paraId="554D038E" w14:textId="62618E87" w:rsidR="00CF40BE" w:rsidRPr="0023756B" w:rsidRDefault="00CF40BE" w:rsidP="004C6451">
            <w:pPr>
              <w:pStyle w:val="Tabletext"/>
              <w:jc w:val="right"/>
              <w:rPr>
                <w:b/>
                <w:bCs/>
                <w:i/>
                <w:iCs/>
                <w:szCs w:val="20"/>
              </w:rPr>
            </w:pPr>
            <w:r>
              <w:rPr>
                <w:b/>
                <w:bCs/>
                <w:i/>
                <w:iCs/>
                <w:szCs w:val="20"/>
              </w:rPr>
              <w:t>2.</w:t>
            </w:r>
            <w:r w:rsidR="004C6451">
              <w:rPr>
                <w:b/>
                <w:bCs/>
                <w:i/>
                <w:iCs/>
                <w:szCs w:val="20"/>
              </w:rPr>
              <w:t>9</w:t>
            </w:r>
          </w:p>
        </w:tc>
        <w:tc>
          <w:tcPr>
            <w:tcW w:w="850" w:type="dxa"/>
            <w:tcBorders>
              <w:top w:val="single" w:sz="4" w:space="0" w:color="646464"/>
              <w:bottom w:val="single" w:sz="4" w:space="0" w:color="646464"/>
            </w:tcBorders>
            <w:shd w:val="clear" w:color="auto" w:fill="E5E5E5"/>
            <w:vAlign w:val="bottom"/>
          </w:tcPr>
          <w:p w14:paraId="068E3582" w14:textId="118CCD6C" w:rsidR="00CF40BE" w:rsidRPr="0023756B" w:rsidRDefault="00CF40BE" w:rsidP="004C6451">
            <w:pPr>
              <w:pStyle w:val="Tabletext"/>
              <w:jc w:val="right"/>
              <w:rPr>
                <w:b/>
                <w:bCs/>
                <w:i/>
                <w:iCs/>
                <w:szCs w:val="20"/>
              </w:rPr>
            </w:pPr>
            <w:r>
              <w:rPr>
                <w:b/>
                <w:bCs/>
                <w:i/>
                <w:iCs/>
                <w:szCs w:val="20"/>
              </w:rPr>
              <w:t>3.</w:t>
            </w:r>
            <w:r w:rsidR="004C6451">
              <w:rPr>
                <w:b/>
                <w:bCs/>
                <w:i/>
                <w:iCs/>
                <w:szCs w:val="20"/>
              </w:rPr>
              <w:t>9</w:t>
            </w:r>
          </w:p>
        </w:tc>
        <w:tc>
          <w:tcPr>
            <w:tcW w:w="850" w:type="dxa"/>
            <w:tcBorders>
              <w:top w:val="single" w:sz="4" w:space="0" w:color="646464"/>
              <w:bottom w:val="single" w:sz="4" w:space="0" w:color="646464"/>
            </w:tcBorders>
            <w:shd w:val="clear" w:color="auto" w:fill="E5E5E5"/>
            <w:vAlign w:val="bottom"/>
          </w:tcPr>
          <w:p w14:paraId="18A76451" w14:textId="55E2EF39" w:rsidR="00CF40BE" w:rsidRPr="0023756B" w:rsidRDefault="00CF40BE" w:rsidP="004C6451">
            <w:pPr>
              <w:pStyle w:val="Tabletext"/>
              <w:jc w:val="right"/>
              <w:rPr>
                <w:b/>
                <w:bCs/>
                <w:i/>
                <w:iCs/>
                <w:szCs w:val="20"/>
              </w:rPr>
            </w:pPr>
            <w:r>
              <w:rPr>
                <w:b/>
                <w:bCs/>
                <w:i/>
                <w:iCs/>
                <w:szCs w:val="20"/>
              </w:rPr>
              <w:t>3.</w:t>
            </w:r>
            <w:r w:rsidR="004C6451">
              <w:rPr>
                <w:b/>
                <w:bCs/>
                <w:i/>
                <w:iCs/>
                <w:szCs w:val="20"/>
              </w:rPr>
              <w:t>9</w:t>
            </w:r>
          </w:p>
        </w:tc>
        <w:tc>
          <w:tcPr>
            <w:tcW w:w="850" w:type="dxa"/>
            <w:tcBorders>
              <w:top w:val="single" w:sz="4" w:space="0" w:color="646464"/>
              <w:bottom w:val="single" w:sz="4" w:space="0" w:color="646464"/>
            </w:tcBorders>
            <w:shd w:val="clear" w:color="auto" w:fill="E5E5E5"/>
            <w:vAlign w:val="bottom"/>
          </w:tcPr>
          <w:p w14:paraId="68C031B8" w14:textId="6DE82B52" w:rsidR="00CF40BE" w:rsidRPr="0023756B" w:rsidRDefault="004C6451" w:rsidP="004C6451">
            <w:pPr>
              <w:pStyle w:val="Tabletext"/>
              <w:jc w:val="right"/>
              <w:rPr>
                <w:b/>
                <w:bCs/>
                <w:i/>
                <w:iCs/>
                <w:szCs w:val="20"/>
              </w:rPr>
            </w:pPr>
            <w:r>
              <w:rPr>
                <w:b/>
                <w:bCs/>
                <w:i/>
                <w:iCs/>
                <w:szCs w:val="20"/>
              </w:rPr>
              <w:t>8.</w:t>
            </w:r>
            <w:r w:rsidR="00CF40BE">
              <w:rPr>
                <w:b/>
                <w:bCs/>
                <w:i/>
                <w:iCs/>
                <w:szCs w:val="20"/>
              </w:rPr>
              <w:t>7</w:t>
            </w:r>
          </w:p>
        </w:tc>
        <w:tc>
          <w:tcPr>
            <w:tcW w:w="850" w:type="dxa"/>
            <w:tcBorders>
              <w:top w:val="single" w:sz="4" w:space="0" w:color="646464"/>
              <w:bottom w:val="single" w:sz="4" w:space="0" w:color="646464"/>
            </w:tcBorders>
            <w:shd w:val="clear" w:color="auto" w:fill="E5E5E5"/>
            <w:vAlign w:val="bottom"/>
          </w:tcPr>
          <w:p w14:paraId="304045D3" w14:textId="719014D7" w:rsidR="00CF40BE" w:rsidRPr="0023756B" w:rsidRDefault="00CF40BE" w:rsidP="004C6451">
            <w:pPr>
              <w:pStyle w:val="Tabletext"/>
              <w:jc w:val="right"/>
              <w:rPr>
                <w:b/>
                <w:bCs/>
                <w:i/>
                <w:iCs/>
                <w:szCs w:val="20"/>
              </w:rPr>
            </w:pPr>
            <w:r>
              <w:rPr>
                <w:b/>
                <w:bCs/>
                <w:i/>
                <w:iCs/>
                <w:szCs w:val="20"/>
              </w:rPr>
              <w:t>1.</w:t>
            </w:r>
            <w:r w:rsidR="004C6451">
              <w:rPr>
                <w:b/>
                <w:bCs/>
                <w:i/>
                <w:iCs/>
                <w:szCs w:val="20"/>
              </w:rPr>
              <w:t>9</w:t>
            </w:r>
          </w:p>
        </w:tc>
        <w:tc>
          <w:tcPr>
            <w:tcW w:w="850" w:type="dxa"/>
            <w:tcBorders>
              <w:top w:val="single" w:sz="4" w:space="0" w:color="646464"/>
              <w:bottom w:val="single" w:sz="4" w:space="0" w:color="646464"/>
            </w:tcBorders>
            <w:shd w:val="clear" w:color="auto" w:fill="E5E5E5"/>
            <w:vAlign w:val="bottom"/>
          </w:tcPr>
          <w:p w14:paraId="2CC36B4C" w14:textId="74B1A062" w:rsidR="00CF40BE" w:rsidRPr="0023756B" w:rsidRDefault="00CF40BE" w:rsidP="004C6451">
            <w:pPr>
              <w:pStyle w:val="Tabletext"/>
              <w:jc w:val="right"/>
              <w:rPr>
                <w:b/>
                <w:bCs/>
                <w:i/>
                <w:iCs/>
                <w:szCs w:val="20"/>
              </w:rPr>
            </w:pPr>
            <w:r>
              <w:rPr>
                <w:b/>
                <w:bCs/>
                <w:i/>
                <w:iCs/>
                <w:szCs w:val="20"/>
              </w:rPr>
              <w:t>3.</w:t>
            </w:r>
            <w:r w:rsidR="004C6451">
              <w:rPr>
                <w:b/>
                <w:bCs/>
                <w:i/>
                <w:iCs/>
                <w:szCs w:val="20"/>
              </w:rPr>
              <w:t>9</w:t>
            </w:r>
          </w:p>
        </w:tc>
        <w:tc>
          <w:tcPr>
            <w:tcW w:w="850" w:type="dxa"/>
            <w:tcBorders>
              <w:top w:val="single" w:sz="4" w:space="0" w:color="646464"/>
              <w:bottom w:val="single" w:sz="4" w:space="0" w:color="646464"/>
            </w:tcBorders>
            <w:shd w:val="clear" w:color="auto" w:fill="E5E5E5"/>
            <w:vAlign w:val="bottom"/>
          </w:tcPr>
          <w:p w14:paraId="5FF80C90" w14:textId="53A55709" w:rsidR="00CF40BE" w:rsidRPr="0023756B" w:rsidRDefault="00CF40BE" w:rsidP="004C6451">
            <w:pPr>
              <w:pStyle w:val="Tabletext"/>
              <w:jc w:val="right"/>
              <w:rPr>
                <w:b/>
                <w:bCs/>
                <w:i/>
                <w:iCs/>
                <w:szCs w:val="20"/>
              </w:rPr>
            </w:pPr>
            <w:r>
              <w:rPr>
                <w:b/>
                <w:bCs/>
                <w:i/>
                <w:iCs/>
                <w:szCs w:val="20"/>
              </w:rPr>
              <w:t>4.</w:t>
            </w:r>
            <w:r w:rsidR="004C6451">
              <w:rPr>
                <w:b/>
                <w:bCs/>
                <w:i/>
                <w:iCs/>
                <w:szCs w:val="20"/>
              </w:rPr>
              <w:t>8</w:t>
            </w:r>
          </w:p>
        </w:tc>
        <w:tc>
          <w:tcPr>
            <w:tcW w:w="851" w:type="dxa"/>
            <w:tcBorders>
              <w:top w:val="single" w:sz="4" w:space="0" w:color="646464"/>
              <w:bottom w:val="single" w:sz="4" w:space="0" w:color="646464"/>
            </w:tcBorders>
            <w:shd w:val="clear" w:color="auto" w:fill="E5E5E5"/>
            <w:vAlign w:val="bottom"/>
          </w:tcPr>
          <w:p w14:paraId="4A06D4DE" w14:textId="50EB3321" w:rsidR="00CF40BE" w:rsidRPr="0023756B" w:rsidRDefault="00CF40BE" w:rsidP="004C6451">
            <w:pPr>
              <w:pStyle w:val="Tabletext"/>
              <w:jc w:val="right"/>
              <w:rPr>
                <w:b/>
                <w:bCs/>
                <w:i/>
                <w:iCs/>
                <w:szCs w:val="20"/>
              </w:rPr>
            </w:pPr>
            <w:r>
              <w:rPr>
                <w:b/>
                <w:bCs/>
                <w:i/>
                <w:iCs/>
                <w:szCs w:val="20"/>
              </w:rPr>
              <w:t>3.</w:t>
            </w:r>
            <w:r w:rsidR="004C6451">
              <w:rPr>
                <w:b/>
                <w:bCs/>
                <w:i/>
                <w:iCs/>
                <w:szCs w:val="20"/>
              </w:rPr>
              <w:t>9</w:t>
            </w:r>
          </w:p>
        </w:tc>
      </w:tr>
      <w:tr w:rsidR="00CF40BE" w14:paraId="156699A6" w14:textId="77777777" w:rsidTr="00CF40BE">
        <w:trPr>
          <w:gridBefore w:val="1"/>
          <w:wBefore w:w="454" w:type="dxa"/>
        </w:trPr>
        <w:tc>
          <w:tcPr>
            <w:tcW w:w="2247" w:type="dxa"/>
            <w:tcBorders>
              <w:top w:val="single" w:sz="4" w:space="0" w:color="646464"/>
            </w:tcBorders>
            <w:shd w:val="clear" w:color="auto" w:fill="E5E5E5"/>
          </w:tcPr>
          <w:p w14:paraId="27D636DD" w14:textId="77777777" w:rsidR="00CF40BE" w:rsidRPr="009F0927" w:rsidRDefault="00CF40BE" w:rsidP="00CF40BE">
            <w:pPr>
              <w:pStyle w:val="Tabletext"/>
              <w:rPr>
                <w:b/>
                <w:bCs/>
                <w:i/>
                <w:iCs/>
              </w:rPr>
            </w:pPr>
            <w:r>
              <w:rPr>
                <w:b/>
                <w:bCs/>
                <w:i/>
                <w:iCs/>
              </w:rPr>
              <w:t>NPV (10</w:t>
            </w:r>
            <w:r w:rsidRPr="0014439F">
              <w:rPr>
                <w:b/>
                <w:bCs/>
                <w:i/>
                <w:iCs/>
              </w:rPr>
              <w:t>% discount rate)</w:t>
            </w:r>
          </w:p>
        </w:tc>
        <w:tc>
          <w:tcPr>
            <w:tcW w:w="850" w:type="dxa"/>
            <w:tcBorders>
              <w:top w:val="single" w:sz="4" w:space="0" w:color="646464"/>
            </w:tcBorders>
            <w:shd w:val="clear" w:color="auto" w:fill="E5E5E5"/>
            <w:vAlign w:val="bottom"/>
          </w:tcPr>
          <w:p w14:paraId="6003735C" w14:textId="4018DEAC" w:rsidR="00CF40BE" w:rsidRPr="0023756B" w:rsidRDefault="004C6451" w:rsidP="00CF40BE">
            <w:pPr>
              <w:pStyle w:val="Tabletext"/>
              <w:jc w:val="right"/>
              <w:rPr>
                <w:b/>
                <w:bCs/>
                <w:i/>
                <w:iCs/>
              </w:rPr>
            </w:pPr>
            <w:r>
              <w:rPr>
                <w:b/>
                <w:bCs/>
                <w:i/>
                <w:iCs/>
                <w:szCs w:val="20"/>
              </w:rPr>
              <w:t>20.1</w:t>
            </w:r>
          </w:p>
        </w:tc>
        <w:tc>
          <w:tcPr>
            <w:tcW w:w="850" w:type="dxa"/>
            <w:tcBorders>
              <w:top w:val="single" w:sz="4" w:space="0" w:color="646464"/>
            </w:tcBorders>
            <w:shd w:val="clear" w:color="auto" w:fill="E5E5E5"/>
            <w:vAlign w:val="bottom"/>
          </w:tcPr>
          <w:p w14:paraId="7F6D6E4E" w14:textId="393F0301" w:rsidR="00CF40BE" w:rsidRPr="0023756B" w:rsidRDefault="004C6451" w:rsidP="004C6451">
            <w:pPr>
              <w:pStyle w:val="Tabletext"/>
              <w:jc w:val="right"/>
              <w:rPr>
                <w:b/>
                <w:bCs/>
                <w:i/>
                <w:iCs/>
              </w:rPr>
            </w:pPr>
            <w:r>
              <w:rPr>
                <w:b/>
                <w:bCs/>
                <w:i/>
                <w:iCs/>
                <w:szCs w:val="20"/>
              </w:rPr>
              <w:t>3.0</w:t>
            </w:r>
          </w:p>
        </w:tc>
        <w:tc>
          <w:tcPr>
            <w:tcW w:w="850" w:type="dxa"/>
            <w:tcBorders>
              <w:top w:val="single" w:sz="4" w:space="0" w:color="646464"/>
            </w:tcBorders>
            <w:shd w:val="clear" w:color="auto" w:fill="E5E5E5"/>
            <w:vAlign w:val="bottom"/>
          </w:tcPr>
          <w:p w14:paraId="242D9708" w14:textId="55E1AA3B" w:rsidR="00CF40BE" w:rsidRPr="0023756B" w:rsidRDefault="004C6451" w:rsidP="00CF40BE">
            <w:pPr>
              <w:pStyle w:val="Tabletext"/>
              <w:jc w:val="right"/>
              <w:rPr>
                <w:b/>
                <w:bCs/>
                <w:i/>
                <w:iCs/>
              </w:rPr>
            </w:pPr>
            <w:r>
              <w:rPr>
                <w:b/>
                <w:bCs/>
                <w:i/>
                <w:iCs/>
              </w:rPr>
              <w:t>4.0</w:t>
            </w:r>
          </w:p>
        </w:tc>
        <w:tc>
          <w:tcPr>
            <w:tcW w:w="850" w:type="dxa"/>
            <w:tcBorders>
              <w:top w:val="single" w:sz="4" w:space="0" w:color="646464"/>
            </w:tcBorders>
            <w:shd w:val="clear" w:color="auto" w:fill="E5E5E5"/>
            <w:vAlign w:val="bottom"/>
          </w:tcPr>
          <w:p w14:paraId="0407C894" w14:textId="4DA5A3EE" w:rsidR="00CF40BE" w:rsidRPr="0023756B" w:rsidRDefault="004C6451" w:rsidP="00CF40BE">
            <w:pPr>
              <w:pStyle w:val="Tabletext"/>
              <w:jc w:val="right"/>
              <w:rPr>
                <w:b/>
                <w:bCs/>
                <w:i/>
                <w:iCs/>
              </w:rPr>
            </w:pPr>
            <w:r>
              <w:rPr>
                <w:b/>
                <w:bCs/>
                <w:i/>
                <w:iCs/>
              </w:rPr>
              <w:t>4.0</w:t>
            </w:r>
          </w:p>
        </w:tc>
        <w:tc>
          <w:tcPr>
            <w:tcW w:w="850" w:type="dxa"/>
            <w:tcBorders>
              <w:top w:val="single" w:sz="4" w:space="0" w:color="646464"/>
            </w:tcBorders>
            <w:shd w:val="clear" w:color="auto" w:fill="E5E5E5"/>
            <w:vAlign w:val="bottom"/>
          </w:tcPr>
          <w:p w14:paraId="39A691DC" w14:textId="55BEFB67" w:rsidR="00CF40BE" w:rsidRPr="0023756B" w:rsidRDefault="004C6451" w:rsidP="00CF40BE">
            <w:pPr>
              <w:pStyle w:val="Tabletext"/>
              <w:jc w:val="right"/>
              <w:rPr>
                <w:b/>
                <w:bCs/>
                <w:i/>
                <w:iCs/>
              </w:rPr>
            </w:pPr>
            <w:r>
              <w:rPr>
                <w:b/>
                <w:bCs/>
                <w:i/>
                <w:iCs/>
              </w:rPr>
              <w:t>9.0</w:t>
            </w:r>
          </w:p>
        </w:tc>
        <w:tc>
          <w:tcPr>
            <w:tcW w:w="850" w:type="dxa"/>
            <w:tcBorders>
              <w:top w:val="single" w:sz="4" w:space="0" w:color="646464"/>
            </w:tcBorders>
            <w:shd w:val="clear" w:color="auto" w:fill="E5E5E5"/>
            <w:vAlign w:val="bottom"/>
          </w:tcPr>
          <w:p w14:paraId="46367253" w14:textId="0FB2A2C6" w:rsidR="00CF40BE" w:rsidRPr="0023756B" w:rsidRDefault="004C6451" w:rsidP="00CF40BE">
            <w:pPr>
              <w:pStyle w:val="Tabletext"/>
              <w:jc w:val="right"/>
              <w:rPr>
                <w:b/>
                <w:bCs/>
                <w:i/>
                <w:iCs/>
              </w:rPr>
            </w:pPr>
            <w:r>
              <w:rPr>
                <w:b/>
                <w:bCs/>
                <w:i/>
                <w:iCs/>
              </w:rPr>
              <w:t>2.0</w:t>
            </w:r>
          </w:p>
        </w:tc>
        <w:tc>
          <w:tcPr>
            <w:tcW w:w="850" w:type="dxa"/>
            <w:tcBorders>
              <w:top w:val="single" w:sz="4" w:space="0" w:color="646464"/>
            </w:tcBorders>
            <w:shd w:val="clear" w:color="auto" w:fill="E5E5E5"/>
            <w:vAlign w:val="bottom"/>
          </w:tcPr>
          <w:p w14:paraId="31CCA5FB" w14:textId="02E5C3F1" w:rsidR="00CF40BE" w:rsidRPr="0023756B" w:rsidRDefault="004C6451" w:rsidP="00CF40BE">
            <w:pPr>
              <w:pStyle w:val="Tabletext"/>
              <w:jc w:val="right"/>
              <w:rPr>
                <w:b/>
                <w:bCs/>
                <w:i/>
                <w:iCs/>
              </w:rPr>
            </w:pPr>
            <w:r>
              <w:rPr>
                <w:b/>
                <w:bCs/>
                <w:i/>
                <w:iCs/>
              </w:rPr>
              <w:t>4.0</w:t>
            </w:r>
          </w:p>
        </w:tc>
        <w:tc>
          <w:tcPr>
            <w:tcW w:w="850" w:type="dxa"/>
            <w:tcBorders>
              <w:top w:val="single" w:sz="4" w:space="0" w:color="646464"/>
            </w:tcBorders>
            <w:shd w:val="clear" w:color="auto" w:fill="E5E5E5"/>
            <w:vAlign w:val="bottom"/>
          </w:tcPr>
          <w:p w14:paraId="13086122" w14:textId="63F234C9" w:rsidR="00CF40BE" w:rsidRPr="0023756B" w:rsidRDefault="004C6451" w:rsidP="00CF40BE">
            <w:pPr>
              <w:pStyle w:val="Tabletext"/>
              <w:jc w:val="right"/>
              <w:rPr>
                <w:b/>
                <w:bCs/>
                <w:i/>
                <w:iCs/>
              </w:rPr>
            </w:pPr>
            <w:r>
              <w:rPr>
                <w:b/>
                <w:bCs/>
                <w:i/>
                <w:iCs/>
              </w:rPr>
              <w:t>5.0</w:t>
            </w:r>
          </w:p>
        </w:tc>
        <w:tc>
          <w:tcPr>
            <w:tcW w:w="851" w:type="dxa"/>
            <w:tcBorders>
              <w:top w:val="single" w:sz="4" w:space="0" w:color="646464"/>
            </w:tcBorders>
            <w:shd w:val="clear" w:color="auto" w:fill="E5E5E5"/>
            <w:vAlign w:val="bottom"/>
          </w:tcPr>
          <w:p w14:paraId="43830BC0" w14:textId="3E80A7DD" w:rsidR="00CF40BE" w:rsidRPr="0023756B" w:rsidRDefault="004C6451" w:rsidP="00CF40BE">
            <w:pPr>
              <w:pStyle w:val="Tabletext"/>
              <w:jc w:val="right"/>
              <w:rPr>
                <w:b/>
                <w:bCs/>
                <w:i/>
                <w:iCs/>
              </w:rPr>
            </w:pPr>
            <w:r>
              <w:rPr>
                <w:b/>
                <w:bCs/>
                <w:i/>
                <w:iCs/>
              </w:rPr>
              <w:t>4.0</w:t>
            </w:r>
          </w:p>
        </w:tc>
      </w:tr>
      <w:tr w:rsidR="00CF40BE" w14:paraId="5DDC9F2A" w14:textId="77777777" w:rsidTr="00CF40BE">
        <w:trPr>
          <w:gridBefore w:val="1"/>
          <w:wBefore w:w="454" w:type="dxa"/>
        </w:trPr>
        <w:tc>
          <w:tcPr>
            <w:tcW w:w="9898" w:type="dxa"/>
            <w:gridSpan w:val="10"/>
            <w:tcBorders>
              <w:bottom w:val="single" w:sz="4" w:space="0" w:color="646464"/>
            </w:tcBorders>
            <w:shd w:val="clear" w:color="auto" w:fill="auto"/>
          </w:tcPr>
          <w:p w14:paraId="1C212111" w14:textId="77777777" w:rsidR="00CF40BE" w:rsidRDefault="00CF40BE" w:rsidP="00CF40BE">
            <w:pPr>
              <w:pStyle w:val="Note"/>
            </w:pPr>
            <w:r>
              <w:t>Note: All values are in real 2020 terms.</w:t>
            </w:r>
          </w:p>
          <w:p w14:paraId="3DFE3FA6" w14:textId="77777777" w:rsidR="00CF40BE" w:rsidRDefault="00CF40BE" w:rsidP="00CF40BE">
            <w:pPr>
              <w:pStyle w:val="Source"/>
            </w:pPr>
            <w:r>
              <w:t>Source: ACIL Allen estimates from various assumptions</w:t>
            </w:r>
          </w:p>
        </w:tc>
      </w:tr>
    </w:tbl>
    <w:p w14:paraId="5A583D98" w14:textId="050016BA" w:rsidR="00B35257" w:rsidRDefault="00755AD3" w:rsidP="00EE2E86">
      <w:pPr>
        <w:pStyle w:val="Heading2"/>
      </w:pPr>
      <w:bookmarkStart w:id="70" w:name="_Toc99543737"/>
      <w:r>
        <w:t>Sub-option 1</w:t>
      </w:r>
      <w:bookmarkEnd w:id="70"/>
    </w:p>
    <w:p w14:paraId="525D3C32" w14:textId="5C6A08D2" w:rsidR="008F49CC" w:rsidRDefault="00B7208B" w:rsidP="00B7208B">
      <w:pPr>
        <w:pStyle w:val="BodyText"/>
        <w:rPr>
          <w:i/>
          <w:iCs/>
        </w:rPr>
      </w:pPr>
      <w:r>
        <w:t xml:space="preserve">The </w:t>
      </w:r>
      <w:r w:rsidR="00755AD3">
        <w:t>Sub-option 1</w:t>
      </w:r>
      <w:r>
        <w:t xml:space="preserve"> is related a</w:t>
      </w:r>
      <w:r w:rsidRPr="00EA43A0">
        <w:t xml:space="preserve">cceding to the Nairobi Convention and applying it to Domestic Commercial Vessels through amendments to the </w:t>
      </w:r>
      <w:r w:rsidRPr="00EA43A0">
        <w:rPr>
          <w:i/>
          <w:iCs/>
        </w:rPr>
        <w:t>Marine Safety (Domestic Commercial Vessel) National Law Act 2012</w:t>
      </w:r>
      <w:r>
        <w:rPr>
          <w:i/>
          <w:iCs/>
        </w:rPr>
        <w:t xml:space="preserve">. </w:t>
      </w:r>
    </w:p>
    <w:p w14:paraId="4CF8121F" w14:textId="4D548461" w:rsidR="004C2FB6" w:rsidRDefault="004C2FB6" w:rsidP="00B7208B">
      <w:pPr>
        <w:pStyle w:val="BodyText"/>
      </w:pPr>
      <w:r w:rsidRPr="004C2FB6">
        <w:t xml:space="preserve">There are around 27,000 DCVs currently in Australian waters. All of these would be expected to incur additional costs associated with obtaining </w:t>
      </w:r>
      <w:r w:rsidR="00625E61">
        <w:t>insurance certificates</w:t>
      </w:r>
      <w:r w:rsidRPr="004C2FB6">
        <w:t xml:space="preserve">, along with additional administrative burden. A further 251 DCV’s are estimated to require compulsory insurance under </w:t>
      </w:r>
      <w:r w:rsidR="00755AD3">
        <w:t>Sub-option 1</w:t>
      </w:r>
      <w:r w:rsidRPr="004C2FB6">
        <w:t xml:space="preserve">. Using the same assumptions as used in Section 4.2, the expected ongoing compliance costs associated with </w:t>
      </w:r>
      <w:r w:rsidR="00755AD3">
        <w:t xml:space="preserve">Sub-option 1 </w:t>
      </w:r>
      <w:r w:rsidRPr="004C2FB6">
        <w:t>are expected to be $12.7 million per year.</w:t>
      </w:r>
    </w:p>
    <w:p w14:paraId="2B6C0AA4" w14:textId="27520B67" w:rsidR="004C2FB6" w:rsidRDefault="004C2FB6" w:rsidP="00B7208B">
      <w:pPr>
        <w:pStyle w:val="BodyText"/>
      </w:pPr>
      <w:r w:rsidRPr="004C2FB6">
        <w:t xml:space="preserve">There is no information available regarding the current extent of legal disputes nor the potential reduction in legal disputes that may occur with moving from the current state-based regulatory regimes to a harmonised Commonwealth regime based on the Nairobi Convention. Similarly, it is uncertain whether there will be any additional cost recovery benefits associated with </w:t>
      </w:r>
      <w:r w:rsidR="00755AD3">
        <w:t xml:space="preserve">Sub-option 1 </w:t>
      </w:r>
      <w:r w:rsidRPr="004C2FB6">
        <w:t xml:space="preserve">compared to the current regulatory regimes. Further research may be warranted to determine whether this regulatory Option will provide economic benefits and whether any such benefits outweigh the estimated compliance costs provided in </w:t>
      </w:r>
      <w:r w:rsidRPr="004C2FB6">
        <w:rPr>
          <w:b/>
        </w:rPr>
        <w:t>Table 4.6</w:t>
      </w:r>
      <w:r w:rsidRPr="004C2FB6">
        <w:t xml:space="preserve">. Until such research is completed, </w:t>
      </w:r>
      <w:r w:rsidRPr="004C2FB6">
        <w:lastRenderedPageBreak/>
        <w:t xml:space="preserve">the annual regulation burden associated with </w:t>
      </w:r>
      <w:r w:rsidR="00755AD3">
        <w:t xml:space="preserve">Sub-option 1 </w:t>
      </w:r>
      <w:r w:rsidRPr="004C2FB6">
        <w:t>is deemed to outweigh any additional benefits associated with the uniformity of laws across Australian waters and vessels.</w:t>
      </w:r>
    </w:p>
    <w:p w14:paraId="3906963D" w14:textId="7E53BC17" w:rsidR="008F49CC" w:rsidRDefault="008F49CC" w:rsidP="008F49CC">
      <w:pPr>
        <w:pStyle w:val="Caption"/>
      </w:pPr>
      <w:bookmarkStart w:id="71" w:name="_Ref75336883"/>
      <w:r w:rsidRPr="008F49CC">
        <w:rPr>
          <w:rStyle w:val="CaptionLabel"/>
        </w:rPr>
        <w:t>Table </w:t>
      </w:r>
      <w:r w:rsidRPr="008F49CC">
        <w:rPr>
          <w:rStyle w:val="CaptionLabel"/>
        </w:rPr>
        <w:fldChar w:fldCharType="begin"/>
      </w:r>
      <w:r w:rsidRPr="008F49CC">
        <w:rPr>
          <w:rStyle w:val="CaptionLabel"/>
        </w:rPr>
        <w:instrText xml:space="preserve"> STYLEREF 1 \S \* MERGEFORMAT </w:instrText>
      </w:r>
      <w:r w:rsidRPr="008F49CC">
        <w:rPr>
          <w:rStyle w:val="CaptionLabel"/>
        </w:rPr>
        <w:fldChar w:fldCharType="separate"/>
      </w:r>
      <w:r w:rsidR="00966CD2">
        <w:rPr>
          <w:rStyle w:val="CaptionLabel"/>
          <w:noProof/>
        </w:rPr>
        <w:t>4</w:t>
      </w:r>
      <w:r w:rsidRPr="008F49CC">
        <w:rPr>
          <w:rStyle w:val="CaptionLabel"/>
        </w:rPr>
        <w:fldChar w:fldCharType="end"/>
      </w:r>
      <w:r w:rsidRPr="008F49CC">
        <w:rPr>
          <w:rStyle w:val="CaptionLabel"/>
        </w:rPr>
        <w:t>.</w:t>
      </w:r>
      <w:bookmarkEnd w:id="71"/>
      <w:r w:rsidR="004C2FB6">
        <w:rPr>
          <w:rStyle w:val="CaptionLabel"/>
        </w:rPr>
        <w:t>6</w:t>
      </w:r>
      <w:r>
        <w:tab/>
      </w:r>
      <w:r w:rsidR="004C2FB6">
        <w:t xml:space="preserve">Estimated compliance </w:t>
      </w:r>
      <w:r>
        <w:t xml:space="preserve">costs </w:t>
      </w:r>
      <w:r w:rsidR="004C2FB6">
        <w:t xml:space="preserve">under </w:t>
      </w:r>
      <w:r w:rsidR="00755AD3">
        <w:t xml:space="preserve">Sub-option 1 </w:t>
      </w:r>
      <w:r w:rsidR="004C2FB6">
        <w:t>(annual)</w:t>
      </w:r>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454"/>
        <w:gridCol w:w="2552"/>
        <w:gridCol w:w="2738"/>
        <w:gridCol w:w="2646"/>
      </w:tblGrid>
      <w:tr w:rsidR="008F49CC" w:rsidRPr="00936B4A" w14:paraId="1262A6BF" w14:textId="77777777" w:rsidTr="008F49CC">
        <w:trPr>
          <w:tblHeader/>
        </w:trPr>
        <w:tc>
          <w:tcPr>
            <w:tcW w:w="3006" w:type="dxa"/>
            <w:gridSpan w:val="2"/>
            <w:tcBorders>
              <w:top w:val="nil"/>
              <w:bottom w:val="nil"/>
            </w:tcBorders>
            <w:shd w:val="clear" w:color="auto" w:fill="140034"/>
            <w:tcMar>
              <w:left w:w="454" w:type="dxa"/>
            </w:tcMar>
          </w:tcPr>
          <w:p w14:paraId="1594B681" w14:textId="156DD340" w:rsidR="008F49CC" w:rsidRDefault="008F49CC" w:rsidP="00773DF9">
            <w:pPr>
              <w:pStyle w:val="Tablecolumnheadings"/>
            </w:pPr>
            <w:r>
              <w:t>Incidence</w:t>
            </w:r>
          </w:p>
        </w:tc>
        <w:tc>
          <w:tcPr>
            <w:tcW w:w="2738" w:type="dxa"/>
            <w:tcBorders>
              <w:top w:val="nil"/>
              <w:bottom w:val="nil"/>
            </w:tcBorders>
            <w:shd w:val="clear" w:color="auto" w:fill="140034"/>
          </w:tcPr>
          <w:p w14:paraId="052A42BE" w14:textId="603CDF7D" w:rsidR="008F49CC" w:rsidRDefault="008F49CC" w:rsidP="00773DF9">
            <w:pPr>
              <w:pStyle w:val="Tablecolumnheadings"/>
            </w:pPr>
            <w:r>
              <w:t>Impacts</w:t>
            </w:r>
          </w:p>
        </w:tc>
        <w:tc>
          <w:tcPr>
            <w:tcW w:w="2646" w:type="dxa"/>
            <w:tcBorders>
              <w:top w:val="nil"/>
              <w:bottom w:val="nil"/>
              <w:right w:val="single" w:sz="6" w:space="0" w:color="140034"/>
            </w:tcBorders>
            <w:shd w:val="clear" w:color="auto" w:fill="140034"/>
          </w:tcPr>
          <w:p w14:paraId="414F1843" w14:textId="4CCA2867" w:rsidR="008F49CC" w:rsidRDefault="008F49CC" w:rsidP="00773DF9">
            <w:pPr>
              <w:pStyle w:val="Tablecolumnheadings"/>
              <w:jc w:val="right"/>
            </w:pPr>
            <w:r>
              <w:t>DCVs</w:t>
            </w:r>
          </w:p>
        </w:tc>
      </w:tr>
      <w:tr w:rsidR="008F49CC" w14:paraId="6308B105" w14:textId="77777777" w:rsidTr="008F49CC">
        <w:trPr>
          <w:gridBefore w:val="1"/>
          <w:wBefore w:w="454" w:type="dxa"/>
        </w:trPr>
        <w:tc>
          <w:tcPr>
            <w:tcW w:w="2552" w:type="dxa"/>
            <w:tcBorders>
              <w:top w:val="nil"/>
            </w:tcBorders>
            <w:shd w:val="clear" w:color="auto" w:fill="auto"/>
          </w:tcPr>
          <w:p w14:paraId="6DA3B025" w14:textId="77777777" w:rsidR="008F49CC" w:rsidRDefault="008F49CC" w:rsidP="00773DF9">
            <w:pPr>
              <w:pStyle w:val="Tabletext"/>
              <w:keepNext/>
            </w:pPr>
          </w:p>
        </w:tc>
        <w:tc>
          <w:tcPr>
            <w:tcW w:w="2738" w:type="dxa"/>
            <w:tcBorders>
              <w:top w:val="nil"/>
            </w:tcBorders>
            <w:shd w:val="clear" w:color="auto" w:fill="auto"/>
          </w:tcPr>
          <w:p w14:paraId="3BA97593" w14:textId="77777777" w:rsidR="008F49CC" w:rsidRDefault="008F49CC" w:rsidP="00773DF9">
            <w:pPr>
              <w:pStyle w:val="Tabletext"/>
              <w:keepNext/>
            </w:pPr>
          </w:p>
        </w:tc>
        <w:tc>
          <w:tcPr>
            <w:tcW w:w="2646" w:type="dxa"/>
            <w:tcBorders>
              <w:top w:val="nil"/>
            </w:tcBorders>
            <w:shd w:val="clear" w:color="auto" w:fill="auto"/>
          </w:tcPr>
          <w:p w14:paraId="6F10653C" w14:textId="1945FD33" w:rsidR="008F49CC" w:rsidRDefault="008F49CC" w:rsidP="00773DF9">
            <w:pPr>
              <w:pStyle w:val="Tabletext"/>
              <w:keepNext/>
              <w:jc w:val="right"/>
            </w:pPr>
            <w:r>
              <w:t>$m</w:t>
            </w:r>
          </w:p>
        </w:tc>
      </w:tr>
      <w:tr w:rsidR="008F49CC" w14:paraId="2E52CF02" w14:textId="77777777" w:rsidTr="008F49CC">
        <w:trPr>
          <w:gridBefore w:val="1"/>
          <w:wBefore w:w="454" w:type="dxa"/>
        </w:trPr>
        <w:tc>
          <w:tcPr>
            <w:tcW w:w="2552" w:type="dxa"/>
            <w:shd w:val="clear" w:color="auto" w:fill="auto"/>
          </w:tcPr>
          <w:p w14:paraId="62A31AAF" w14:textId="04C1A32C" w:rsidR="008F49CC" w:rsidRDefault="008F49CC" w:rsidP="00773DF9">
            <w:pPr>
              <w:pStyle w:val="Tabletext"/>
              <w:keepNext/>
            </w:pPr>
            <w:r w:rsidRPr="008B7DA8">
              <w:rPr>
                <w:b/>
                <w:bCs/>
              </w:rPr>
              <w:t>Shipping industry</w:t>
            </w:r>
          </w:p>
        </w:tc>
        <w:tc>
          <w:tcPr>
            <w:tcW w:w="2738" w:type="dxa"/>
            <w:shd w:val="clear" w:color="auto" w:fill="auto"/>
          </w:tcPr>
          <w:p w14:paraId="2643A243" w14:textId="5552862F" w:rsidR="008F49CC" w:rsidRDefault="008F49CC" w:rsidP="00773DF9">
            <w:pPr>
              <w:pStyle w:val="Tabletext"/>
              <w:keepNext/>
            </w:pPr>
            <w:r w:rsidRPr="00A8679F">
              <w:t>administrative costs</w:t>
            </w:r>
          </w:p>
        </w:tc>
        <w:tc>
          <w:tcPr>
            <w:tcW w:w="2646" w:type="dxa"/>
            <w:shd w:val="clear" w:color="auto" w:fill="auto"/>
          </w:tcPr>
          <w:p w14:paraId="0BB4B365" w14:textId="6F00D28D" w:rsidR="008F49CC" w:rsidRPr="008F49CC" w:rsidRDefault="00EE7BC7" w:rsidP="00AC5BE5">
            <w:pPr>
              <w:pStyle w:val="Tabletext"/>
              <w:keepNext/>
              <w:jc w:val="right"/>
              <w:rPr>
                <w:color w:val="FF0000"/>
              </w:rPr>
            </w:pPr>
            <w:r>
              <w:rPr>
                <w:color w:val="FF0000"/>
              </w:rPr>
              <w:t>-</w:t>
            </w:r>
            <w:r w:rsidR="00AC5BE5">
              <w:rPr>
                <w:color w:val="FF0000"/>
              </w:rPr>
              <w:t>-0.10</w:t>
            </w:r>
          </w:p>
        </w:tc>
      </w:tr>
      <w:tr w:rsidR="008F49CC" w14:paraId="27182B11" w14:textId="77777777" w:rsidTr="008F49CC">
        <w:trPr>
          <w:gridBefore w:val="1"/>
          <w:wBefore w:w="454" w:type="dxa"/>
        </w:trPr>
        <w:tc>
          <w:tcPr>
            <w:tcW w:w="2552" w:type="dxa"/>
            <w:shd w:val="clear" w:color="auto" w:fill="auto"/>
          </w:tcPr>
          <w:p w14:paraId="39DC44BC" w14:textId="754D2523" w:rsidR="008F49CC" w:rsidRDefault="008F49CC" w:rsidP="00773DF9">
            <w:pPr>
              <w:pStyle w:val="Tabletext"/>
              <w:keepNext/>
            </w:pPr>
          </w:p>
        </w:tc>
        <w:tc>
          <w:tcPr>
            <w:tcW w:w="2738" w:type="dxa"/>
            <w:shd w:val="clear" w:color="auto" w:fill="auto"/>
          </w:tcPr>
          <w:p w14:paraId="5245C54D" w14:textId="59F2AC63" w:rsidR="008F49CC" w:rsidRDefault="008F49CC" w:rsidP="00773DF9">
            <w:pPr>
              <w:pStyle w:val="Tabletext"/>
              <w:keepNext/>
            </w:pPr>
            <w:r w:rsidRPr="00A8679F">
              <w:t>insurance costs</w:t>
            </w:r>
          </w:p>
        </w:tc>
        <w:tc>
          <w:tcPr>
            <w:tcW w:w="2646" w:type="dxa"/>
            <w:shd w:val="clear" w:color="auto" w:fill="auto"/>
          </w:tcPr>
          <w:p w14:paraId="59AEEF1E" w14:textId="56889AF9" w:rsidR="008F49CC" w:rsidRPr="008F49CC" w:rsidRDefault="00EE7BC7" w:rsidP="00773DF9">
            <w:pPr>
              <w:pStyle w:val="Tabletext"/>
              <w:keepNext/>
              <w:jc w:val="right"/>
              <w:rPr>
                <w:color w:val="FF0000"/>
              </w:rPr>
            </w:pPr>
            <w:r>
              <w:rPr>
                <w:color w:val="FF0000"/>
              </w:rPr>
              <w:t>-0.27</w:t>
            </w:r>
          </w:p>
        </w:tc>
      </w:tr>
      <w:tr w:rsidR="008F49CC" w14:paraId="17217CAE" w14:textId="77777777" w:rsidTr="008F49CC">
        <w:trPr>
          <w:gridBefore w:val="1"/>
          <w:wBefore w:w="454" w:type="dxa"/>
        </w:trPr>
        <w:tc>
          <w:tcPr>
            <w:tcW w:w="2552" w:type="dxa"/>
            <w:shd w:val="clear" w:color="auto" w:fill="auto"/>
          </w:tcPr>
          <w:p w14:paraId="6538E47E" w14:textId="2B96A2F5" w:rsidR="008F49CC" w:rsidRDefault="008F49CC" w:rsidP="00773DF9">
            <w:pPr>
              <w:pStyle w:val="Tabletext"/>
              <w:keepNext/>
            </w:pPr>
          </w:p>
        </w:tc>
        <w:tc>
          <w:tcPr>
            <w:tcW w:w="2738" w:type="dxa"/>
            <w:shd w:val="clear" w:color="auto" w:fill="auto"/>
          </w:tcPr>
          <w:p w14:paraId="52A2B440" w14:textId="4DCC40B5" w:rsidR="008F49CC" w:rsidRDefault="008F49CC" w:rsidP="00773DF9">
            <w:pPr>
              <w:pStyle w:val="Tabletext"/>
              <w:keepNext/>
            </w:pPr>
            <w:r w:rsidRPr="00A8679F">
              <w:t>certificate costs</w:t>
            </w:r>
          </w:p>
        </w:tc>
        <w:tc>
          <w:tcPr>
            <w:tcW w:w="2646" w:type="dxa"/>
            <w:shd w:val="clear" w:color="auto" w:fill="auto"/>
          </w:tcPr>
          <w:p w14:paraId="46E9EC77" w14:textId="51AE3133" w:rsidR="008F49CC" w:rsidRPr="008F49CC" w:rsidRDefault="00EE7BC7" w:rsidP="00773DF9">
            <w:pPr>
              <w:pStyle w:val="Tabletext"/>
              <w:keepNext/>
              <w:jc w:val="right"/>
              <w:rPr>
                <w:color w:val="FF0000"/>
              </w:rPr>
            </w:pPr>
            <w:r>
              <w:rPr>
                <w:color w:val="FF0000"/>
              </w:rPr>
              <w:t>-1.70</w:t>
            </w:r>
          </w:p>
        </w:tc>
      </w:tr>
      <w:tr w:rsidR="008F49CC" w14:paraId="37886B68" w14:textId="77777777" w:rsidTr="008F49CC">
        <w:trPr>
          <w:gridBefore w:val="1"/>
          <w:wBefore w:w="454" w:type="dxa"/>
        </w:trPr>
        <w:tc>
          <w:tcPr>
            <w:tcW w:w="2552" w:type="dxa"/>
            <w:shd w:val="clear" w:color="auto" w:fill="auto"/>
          </w:tcPr>
          <w:p w14:paraId="6B15304E" w14:textId="22A25D34" w:rsidR="008F49CC" w:rsidRPr="00554BB4" w:rsidRDefault="00EE7BC7" w:rsidP="00EE7BC7">
            <w:pPr>
              <w:pStyle w:val="Tabletext"/>
              <w:keepNext/>
              <w:rPr>
                <w:b/>
              </w:rPr>
            </w:pPr>
            <w:r w:rsidRPr="00EE7BC7">
              <w:rPr>
                <w:b/>
                <w:bCs/>
              </w:rPr>
              <w:t xml:space="preserve">TOTAL COSTS </w:t>
            </w:r>
          </w:p>
        </w:tc>
        <w:tc>
          <w:tcPr>
            <w:tcW w:w="2738" w:type="dxa"/>
            <w:shd w:val="clear" w:color="auto" w:fill="auto"/>
          </w:tcPr>
          <w:p w14:paraId="26EB1AD8" w14:textId="6F7E91A7" w:rsidR="008F49CC" w:rsidRPr="00554BB4" w:rsidRDefault="00EE7BC7" w:rsidP="00773DF9">
            <w:pPr>
              <w:pStyle w:val="Tabletext"/>
              <w:keepNext/>
              <w:rPr>
                <w:b/>
              </w:rPr>
            </w:pPr>
            <w:r w:rsidRPr="006F451B">
              <w:rPr>
                <w:b/>
                <w:bCs/>
                <w:iCs/>
              </w:rPr>
              <w:t>undiscounted</w:t>
            </w:r>
          </w:p>
        </w:tc>
        <w:tc>
          <w:tcPr>
            <w:tcW w:w="2646" w:type="dxa"/>
            <w:shd w:val="clear" w:color="auto" w:fill="auto"/>
          </w:tcPr>
          <w:p w14:paraId="2471A9B6" w14:textId="65A6B4B1" w:rsidR="008F49CC" w:rsidRDefault="00EE7BC7" w:rsidP="00773DF9">
            <w:pPr>
              <w:pStyle w:val="Tabletext"/>
              <w:keepNext/>
              <w:jc w:val="right"/>
            </w:pPr>
            <w:r w:rsidRPr="00554BB4">
              <w:rPr>
                <w:color w:val="FF0000"/>
              </w:rPr>
              <w:t>-12.68</w:t>
            </w:r>
            <w:r w:rsidR="008F49CC" w:rsidRPr="00554BB4">
              <w:rPr>
                <w:color w:val="FF0000"/>
              </w:rPr>
              <w:t xml:space="preserve"> </w:t>
            </w:r>
          </w:p>
        </w:tc>
      </w:tr>
      <w:tr w:rsidR="008F49CC" w14:paraId="7B840172" w14:textId="77777777" w:rsidTr="008F49CC">
        <w:trPr>
          <w:gridBefore w:val="1"/>
          <w:wBefore w:w="454" w:type="dxa"/>
        </w:trPr>
        <w:tc>
          <w:tcPr>
            <w:tcW w:w="2552" w:type="dxa"/>
            <w:shd w:val="clear" w:color="auto" w:fill="auto"/>
          </w:tcPr>
          <w:p w14:paraId="2BB1D8BA" w14:textId="476EE269" w:rsidR="008F49CC" w:rsidRPr="00554BB4" w:rsidRDefault="00EE7BC7" w:rsidP="00EE7BC7">
            <w:pPr>
              <w:pStyle w:val="Tabletext"/>
              <w:keepNext/>
              <w:rPr>
                <w:b/>
                <w:bCs/>
              </w:rPr>
            </w:pPr>
            <w:r w:rsidRPr="00EE7BC7">
              <w:rPr>
                <w:b/>
                <w:bCs/>
              </w:rPr>
              <w:t>TOTAL BENEFITS</w:t>
            </w:r>
            <w:r w:rsidRPr="00EE7BC7" w:rsidDel="00EE7BC7">
              <w:rPr>
                <w:b/>
                <w:bCs/>
              </w:rPr>
              <w:t xml:space="preserve"> </w:t>
            </w:r>
          </w:p>
        </w:tc>
        <w:tc>
          <w:tcPr>
            <w:tcW w:w="2738" w:type="dxa"/>
            <w:shd w:val="clear" w:color="auto" w:fill="auto"/>
          </w:tcPr>
          <w:p w14:paraId="60D41F80" w14:textId="08A23250" w:rsidR="008F49CC" w:rsidRPr="00554BB4" w:rsidRDefault="008F49CC" w:rsidP="00773DF9">
            <w:pPr>
              <w:pStyle w:val="Tabletext"/>
              <w:keepNext/>
              <w:rPr>
                <w:b/>
              </w:rPr>
            </w:pPr>
            <w:r w:rsidRPr="00554BB4">
              <w:rPr>
                <w:b/>
                <w:bCs/>
                <w:iCs/>
              </w:rPr>
              <w:t>undiscounted</w:t>
            </w:r>
          </w:p>
        </w:tc>
        <w:tc>
          <w:tcPr>
            <w:tcW w:w="2646" w:type="dxa"/>
            <w:shd w:val="clear" w:color="auto" w:fill="auto"/>
          </w:tcPr>
          <w:p w14:paraId="44C959BA" w14:textId="03F0B682" w:rsidR="008F49CC" w:rsidRPr="008F49CC" w:rsidRDefault="00EE7BC7" w:rsidP="00773DF9">
            <w:pPr>
              <w:pStyle w:val="Tabletext"/>
              <w:keepNext/>
              <w:jc w:val="right"/>
              <w:rPr>
                <w:color w:val="FF0000"/>
              </w:rPr>
            </w:pPr>
            <w:r w:rsidRPr="00554BB4">
              <w:rPr>
                <w:color w:val="auto"/>
              </w:rPr>
              <w:t>0</w:t>
            </w:r>
          </w:p>
        </w:tc>
      </w:tr>
      <w:tr w:rsidR="008F49CC" w14:paraId="4E575F8B" w14:textId="77777777" w:rsidTr="008F49CC">
        <w:trPr>
          <w:gridBefore w:val="1"/>
          <w:wBefore w:w="454" w:type="dxa"/>
        </w:trPr>
        <w:tc>
          <w:tcPr>
            <w:tcW w:w="2552" w:type="dxa"/>
            <w:shd w:val="clear" w:color="auto" w:fill="auto"/>
          </w:tcPr>
          <w:p w14:paraId="27653AA2" w14:textId="4CBEAE6C" w:rsidR="008F49CC" w:rsidRPr="00554BB4" w:rsidRDefault="008F49CC" w:rsidP="00773DF9">
            <w:pPr>
              <w:pStyle w:val="Tabletext"/>
              <w:keepNext/>
              <w:rPr>
                <w:b/>
                <w:bCs/>
                <w:iCs/>
              </w:rPr>
            </w:pPr>
            <w:r w:rsidRPr="00554BB4">
              <w:rPr>
                <w:b/>
                <w:bCs/>
                <w:iCs/>
              </w:rPr>
              <w:t>TOTAL</w:t>
            </w:r>
            <w:r w:rsidR="00EE7BC7" w:rsidRPr="00554BB4">
              <w:rPr>
                <w:b/>
                <w:bCs/>
                <w:iCs/>
              </w:rPr>
              <w:t xml:space="preserve"> NET</w:t>
            </w:r>
            <w:r w:rsidRPr="00554BB4">
              <w:rPr>
                <w:b/>
                <w:bCs/>
                <w:iCs/>
              </w:rPr>
              <w:t xml:space="preserve"> BENEFIT</w:t>
            </w:r>
          </w:p>
        </w:tc>
        <w:tc>
          <w:tcPr>
            <w:tcW w:w="2738" w:type="dxa"/>
            <w:shd w:val="clear" w:color="auto" w:fill="auto"/>
          </w:tcPr>
          <w:p w14:paraId="7187116B" w14:textId="3AE8252B" w:rsidR="008F49CC" w:rsidRPr="00554BB4" w:rsidRDefault="008F49CC" w:rsidP="00773DF9">
            <w:pPr>
              <w:pStyle w:val="Tabletext"/>
              <w:keepNext/>
              <w:rPr>
                <w:b/>
              </w:rPr>
            </w:pPr>
            <w:r w:rsidRPr="00554BB4">
              <w:rPr>
                <w:b/>
                <w:bCs/>
                <w:iCs/>
              </w:rPr>
              <w:t>undiscounted</w:t>
            </w:r>
          </w:p>
        </w:tc>
        <w:tc>
          <w:tcPr>
            <w:tcW w:w="2646" w:type="dxa"/>
            <w:shd w:val="clear" w:color="auto" w:fill="auto"/>
          </w:tcPr>
          <w:p w14:paraId="65B43B64" w14:textId="44963CF8" w:rsidR="008F49CC" w:rsidRDefault="00EE7BC7" w:rsidP="00773DF9">
            <w:pPr>
              <w:pStyle w:val="Tabletext"/>
              <w:keepNext/>
              <w:jc w:val="right"/>
            </w:pPr>
            <w:r w:rsidRPr="00554BB4">
              <w:rPr>
                <w:color w:val="FF0000"/>
              </w:rPr>
              <w:t>-12.68</w:t>
            </w:r>
            <w:r w:rsidR="008F49CC" w:rsidRPr="00554BB4">
              <w:rPr>
                <w:color w:val="FF0000"/>
              </w:rPr>
              <w:t xml:space="preserve"> </w:t>
            </w:r>
          </w:p>
        </w:tc>
      </w:tr>
      <w:tr w:rsidR="008F49CC" w14:paraId="66253079" w14:textId="77777777" w:rsidTr="00877BDF">
        <w:trPr>
          <w:gridBefore w:val="1"/>
          <w:wBefore w:w="454" w:type="dxa"/>
        </w:trPr>
        <w:tc>
          <w:tcPr>
            <w:tcW w:w="7936" w:type="dxa"/>
            <w:gridSpan w:val="3"/>
            <w:tcBorders>
              <w:bottom w:val="single" w:sz="4" w:space="0" w:color="646464"/>
            </w:tcBorders>
            <w:shd w:val="clear" w:color="auto" w:fill="auto"/>
          </w:tcPr>
          <w:p w14:paraId="276ADD97" w14:textId="1C8961EC" w:rsidR="00554BB4" w:rsidRDefault="00554BB4" w:rsidP="008F49CC">
            <w:pPr>
              <w:pStyle w:val="Source"/>
            </w:pPr>
            <w:r w:rsidRPr="00554BB4">
              <w:t>Note: Totals may not add due to rounding</w:t>
            </w:r>
            <w:r>
              <w:t>.</w:t>
            </w:r>
          </w:p>
          <w:p w14:paraId="7CFF3871" w14:textId="60A7FB91" w:rsidR="008F49CC" w:rsidRDefault="008F49CC" w:rsidP="008F49CC">
            <w:pPr>
              <w:pStyle w:val="Source"/>
            </w:pPr>
            <w:r>
              <w:t>Source:</w:t>
            </w:r>
            <w:r w:rsidR="00773DF9">
              <w:t xml:space="preserve"> ACIL Allen</w:t>
            </w:r>
          </w:p>
        </w:tc>
      </w:tr>
      <w:tr w:rsidR="008F49CC" w14:paraId="495B31CB" w14:textId="77777777" w:rsidTr="008F49CC">
        <w:trPr>
          <w:gridBefore w:val="1"/>
          <w:wBefore w:w="454" w:type="dxa"/>
          <w:trHeight w:hRule="exact" w:val="160"/>
        </w:trPr>
        <w:tc>
          <w:tcPr>
            <w:tcW w:w="7936" w:type="dxa"/>
            <w:gridSpan w:val="3"/>
            <w:tcBorders>
              <w:top w:val="single" w:sz="4" w:space="0" w:color="646464"/>
              <w:bottom w:val="nil"/>
            </w:tcBorders>
            <w:shd w:val="clear" w:color="auto" w:fill="auto"/>
          </w:tcPr>
          <w:p w14:paraId="3ECC941F" w14:textId="77777777" w:rsidR="008F49CC" w:rsidRDefault="008F49CC" w:rsidP="008F49CC">
            <w:pPr>
              <w:pStyle w:val="spacer"/>
            </w:pPr>
          </w:p>
        </w:tc>
      </w:tr>
    </w:tbl>
    <w:p w14:paraId="3B1F1694" w14:textId="1495083B" w:rsidR="00115469" w:rsidRDefault="00115469" w:rsidP="00115469">
      <w:pPr>
        <w:pStyle w:val="Heading2"/>
      </w:pPr>
      <w:bookmarkStart w:id="72" w:name="_Toc99543738"/>
      <w:r>
        <w:t>Environmental impacts</w:t>
      </w:r>
      <w:bookmarkEnd w:id="72"/>
    </w:p>
    <w:p w14:paraId="590D3E1F" w14:textId="644283A7" w:rsidR="008F49CC" w:rsidRDefault="00254BDB" w:rsidP="00B35257">
      <w:pPr>
        <w:pStyle w:val="BodyText"/>
      </w:pPr>
      <w:r>
        <w:t>Wrecks</w:t>
      </w:r>
      <w:r w:rsidR="00115469">
        <w:t xml:space="preserve"> can cause massive environmental damages in terms of contamination of water and coastal amenity. The environmental costs and avoided benefits are difficult to quantity and they depend on the number of factors. </w:t>
      </w:r>
      <w:r>
        <w:t xml:space="preserve">However, </w:t>
      </w:r>
      <w:r w:rsidR="0016783F">
        <w:t xml:space="preserve">AMSA </w:t>
      </w:r>
      <w:r w:rsidR="00EE7BC7" w:rsidRPr="00EE7BC7">
        <w:t>(as delegated by the Australian Government)</w:t>
      </w:r>
      <w:r w:rsidR="00EE7BC7">
        <w:t xml:space="preserve"> </w:t>
      </w:r>
      <w:r w:rsidR="0016783F">
        <w:t>is responsible for minimising any such environmental costs, and this responsibility won’t change as a result of accession to the Nairobi Convention.</w:t>
      </w:r>
    </w:p>
    <w:p w14:paraId="364EEDF5" w14:textId="6CB35D05" w:rsidR="00115469" w:rsidRDefault="00115469" w:rsidP="00B35257">
      <w:pPr>
        <w:pStyle w:val="BodyText"/>
      </w:pPr>
      <w:r>
        <w:t xml:space="preserve">Under the Nairobi Convention, a shipowner must remove the wreck and AMSA may act when a wreck constitutes a hazard which may reasonably be expected to result in major harmful consequences to the marine environmental damage to the coastal areas, port activities, fisheries, tourist activities and other economic interest of areas concerned, including conservation of marine living resources such as great barrier reef, offshore and under water infrastructure. </w:t>
      </w:r>
    </w:p>
    <w:p w14:paraId="2D785D8B" w14:textId="10096C8E" w:rsidR="00115469" w:rsidRDefault="00115469" w:rsidP="00B35257">
      <w:pPr>
        <w:pStyle w:val="BodyText"/>
      </w:pPr>
      <w:r>
        <w:t>This wide</w:t>
      </w:r>
      <w:r w:rsidR="00773DF9">
        <w:t>r</w:t>
      </w:r>
      <w:r>
        <w:t xml:space="preserve"> definition under the </w:t>
      </w:r>
      <w:r w:rsidR="00D358D4">
        <w:t xml:space="preserve">Nairobi </w:t>
      </w:r>
      <w:r>
        <w:t xml:space="preserve">Convention would allow the Australian Government to </w:t>
      </w:r>
      <w:r w:rsidR="00EE7BC7" w:rsidRPr="00EE7BC7">
        <w:t xml:space="preserve">have clear powers to act upon any threat to the environment. It would also allow the Australian Government to respond quickly to lessen the impacts. </w:t>
      </w:r>
    </w:p>
    <w:p w14:paraId="51DAEB4E" w14:textId="2B91F2AE" w:rsidR="00115469" w:rsidRDefault="00115469" w:rsidP="00B35257">
      <w:pPr>
        <w:pStyle w:val="BodyText"/>
      </w:pPr>
      <w:r>
        <w:t xml:space="preserve">The </w:t>
      </w:r>
      <w:r w:rsidR="00D358D4">
        <w:t xml:space="preserve">Nairobi </w:t>
      </w:r>
      <w:r>
        <w:t>Convention would also provide an incentive for shipowners to maintain their ships as insurers would be likely to consider the quality of ship when calculating the insurance premiums.</w:t>
      </w:r>
    </w:p>
    <w:p w14:paraId="2038A483" w14:textId="58C6D727" w:rsidR="00115469" w:rsidRDefault="00E85771" w:rsidP="00B35257">
      <w:pPr>
        <w:pStyle w:val="BodyText"/>
      </w:pPr>
      <w:r>
        <w:t>Environmental</w:t>
      </w:r>
      <w:r w:rsidR="00115469">
        <w:t xml:space="preserve"> impacts</w:t>
      </w:r>
      <w:r>
        <w:t xml:space="preserve"> </w:t>
      </w:r>
      <w:r w:rsidR="0016783F">
        <w:t xml:space="preserve">are assumed to be the same between all Options so have </w:t>
      </w:r>
      <w:r w:rsidR="00115469">
        <w:t xml:space="preserve">not </w:t>
      </w:r>
      <w:r w:rsidR="0016783F">
        <w:t xml:space="preserve">been </w:t>
      </w:r>
      <w:r w:rsidR="00115469">
        <w:t>quantified in this study.</w:t>
      </w:r>
    </w:p>
    <w:p w14:paraId="00AB9021" w14:textId="12402E50" w:rsidR="00321C4A" w:rsidRDefault="00321C4A" w:rsidP="00321C4A">
      <w:pPr>
        <w:pStyle w:val="Heading2"/>
      </w:pPr>
      <w:bookmarkStart w:id="73" w:name="_Toc99543739"/>
      <w:r>
        <w:t>Caveats of analysis</w:t>
      </w:r>
      <w:bookmarkEnd w:id="73"/>
    </w:p>
    <w:p w14:paraId="52EF92CA" w14:textId="77777777" w:rsidR="00990A20" w:rsidRDefault="00990A20" w:rsidP="00990A20">
      <w:pPr>
        <w:pStyle w:val="BodyText"/>
      </w:pPr>
      <w:r>
        <w:t>A key purpose of this study is to quantify potential impacts of Australia’s accession to Nairobi Convention under different Options. Based on the available data and assumptions, this study finds that therefore would be net benefits of Australia’s accession to the Nairobi Convention.</w:t>
      </w:r>
    </w:p>
    <w:p w14:paraId="557FD5D0" w14:textId="5A670DAE" w:rsidR="00990A20" w:rsidRDefault="00755AD3" w:rsidP="00990A20">
      <w:pPr>
        <w:pStyle w:val="BodyText"/>
      </w:pPr>
      <w:r>
        <w:t>Option 4</w:t>
      </w:r>
      <w:r w:rsidR="00990A20">
        <w:t xml:space="preserve"> is acceding to the Nairobi Convention, and applying it to the EEZ and Territorial Sea replacing the current legislative framework provides relatively more net benefits compared with Option 1 where the existing</w:t>
      </w:r>
      <w:r>
        <w:t xml:space="preserve"> framework remains and Option 3</w:t>
      </w:r>
      <w:r w:rsidR="00990A20">
        <w:t xml:space="preserve"> where the existing framework remains in the Territorial Sea.</w:t>
      </w:r>
    </w:p>
    <w:p w14:paraId="7378C5BB" w14:textId="6F8B92DB" w:rsidR="00321C4A" w:rsidRDefault="00321C4A" w:rsidP="00826E33">
      <w:pPr>
        <w:pStyle w:val="BodyText"/>
      </w:pPr>
      <w:r>
        <w:t xml:space="preserve">The costs that would be incurred in wreck removal operations in the future are very uncertain due to the high variation in </w:t>
      </w:r>
      <w:r w:rsidR="001C3388">
        <w:t xml:space="preserve">the </w:t>
      </w:r>
      <w:r>
        <w:t xml:space="preserve">number and scale of wrecks in each year. To provide an indicative illustrative analysis, this study employed ‘what if’ analysis. This ‘what if’ analysis is based </w:t>
      </w:r>
      <w:r w:rsidR="00990A20">
        <w:t xml:space="preserve">on the </w:t>
      </w:r>
      <w:r w:rsidR="00990A20">
        <w:lastRenderedPageBreak/>
        <w:t xml:space="preserve">assumption that if a </w:t>
      </w:r>
      <w:r>
        <w:t xml:space="preserve">wreck related </w:t>
      </w:r>
      <w:r w:rsidR="001C3388">
        <w:t xml:space="preserve">to </w:t>
      </w:r>
      <w:r>
        <w:t>a particular type of vessel happen</w:t>
      </w:r>
      <w:r w:rsidR="001C3388">
        <w:t>s</w:t>
      </w:r>
      <w:r>
        <w:t xml:space="preserve"> in either </w:t>
      </w:r>
      <w:r w:rsidR="001C3388">
        <w:t xml:space="preserve">the </w:t>
      </w:r>
      <w:r>
        <w:t xml:space="preserve">Territorial Sea or EEZ what would be </w:t>
      </w:r>
      <w:r w:rsidR="001C3388">
        <w:t xml:space="preserve">the </w:t>
      </w:r>
      <w:r>
        <w:t>costs and benefits over a ten-year period. The estimates of the monetised costs and benefits are very sensitive to the assumptions and should therefore be treated as illustrative orders of magnitude.</w:t>
      </w:r>
    </w:p>
    <w:p w14:paraId="50856651" w14:textId="034FA29C" w:rsidR="00990A20" w:rsidRDefault="00990A20" w:rsidP="00826E33">
      <w:pPr>
        <w:pStyle w:val="BodyText"/>
      </w:pPr>
      <w:r>
        <w:t>I</w:t>
      </w:r>
      <w:r w:rsidRPr="00990A20">
        <w:t>n addition, a range of caveats apply to the estimates in this report. Key caveats and assumptions used in the analysis, including an indication of their impacts, include the following:</w:t>
      </w:r>
    </w:p>
    <w:p w14:paraId="44824D7F" w14:textId="77777777" w:rsidR="00990A20" w:rsidRDefault="00990A20" w:rsidP="00990A20">
      <w:pPr>
        <w:pStyle w:val="ListBullet"/>
      </w:pPr>
      <w:r>
        <w:t>The true powers of the Australian Government, and hence the cost of disputes, can change radically based on a court precedent. Such a precedent could either reduce or increase powers under the existing regulatory regime compared to the Nairobi Convention.</w:t>
      </w:r>
    </w:p>
    <w:p w14:paraId="075999D2" w14:textId="326DC0FD" w:rsidR="00990A20" w:rsidRPr="00B2057C" w:rsidRDefault="00990A20" w:rsidP="00990A20">
      <w:pPr>
        <w:pStyle w:val="ListBullet"/>
        <w:numPr>
          <w:ilvl w:val="0"/>
          <w:numId w:val="0"/>
        </w:numPr>
        <w:ind w:left="420"/>
        <w:rPr>
          <w:b/>
          <w:color w:val="7030A0"/>
        </w:rPr>
      </w:pPr>
      <w:r w:rsidRPr="00B2057C">
        <w:rPr>
          <w:b/>
          <w:color w:val="7030A0"/>
        </w:rPr>
        <w:t xml:space="preserve">Impact: </w:t>
      </w:r>
      <w:r w:rsidR="00B2057C" w:rsidRPr="00B2057C">
        <w:rPr>
          <w:b/>
          <w:color w:val="7030A0"/>
        </w:rPr>
        <w:t>Uncertain but is likely to reduce the number and costs of legal disputes under Option 1, but with uncertainty around whether direct shipowners will be more or less liable for particular wreck incidents</w:t>
      </w:r>
      <w:r w:rsidRPr="00B2057C">
        <w:rPr>
          <w:b/>
          <w:color w:val="7030A0"/>
        </w:rPr>
        <w:t>.</w:t>
      </w:r>
    </w:p>
    <w:p w14:paraId="387DA18A" w14:textId="4D8F23B4" w:rsidR="00F044D5" w:rsidRDefault="00F044D5" w:rsidP="00F044D5">
      <w:pPr>
        <w:pStyle w:val="ListBullet"/>
      </w:pPr>
      <w:r>
        <w:t>This study does not incorporate the levy dynamics in the above economic analysis</w:t>
      </w:r>
      <w:r w:rsidR="001C3388">
        <w:t xml:space="preserve">. That is, the current Protection of the Sea Levy can be thought of as a form of insurance paid for by the shipping industry in the event that AMSA fails to fully recoup wreck recovery costs from shipowners (or their insurers). Consequently, the introduction of strict liability, clearer and wider definitions of wrecks and mandatory insurance, would be expected to reduce the need to recover expenses related to particular incidents through the levy. </w:t>
      </w:r>
      <w:r w:rsidR="00AA7C95">
        <w:t xml:space="preserve">All else equal, then, over time, this should result in the total cost of the levy falling by some or all of the increased insurance premium cost. </w:t>
      </w:r>
    </w:p>
    <w:p w14:paraId="7078BC6F" w14:textId="2AE073DC" w:rsidR="00990A20" w:rsidRPr="00B2057C" w:rsidRDefault="00990A20" w:rsidP="00990A20">
      <w:pPr>
        <w:pStyle w:val="ListBullet"/>
        <w:numPr>
          <w:ilvl w:val="0"/>
          <w:numId w:val="0"/>
        </w:numPr>
        <w:ind w:left="420"/>
        <w:rPr>
          <w:b/>
          <w:color w:val="7030A0"/>
        </w:rPr>
      </w:pPr>
      <w:r w:rsidRPr="00B2057C">
        <w:rPr>
          <w:b/>
          <w:color w:val="7030A0"/>
        </w:rPr>
        <w:t>Impact: Neutral or increased benefits approximately equal to the value of the increased insurance premiums.</w:t>
      </w:r>
    </w:p>
    <w:p w14:paraId="75373854" w14:textId="50D446D9" w:rsidR="00F044D5" w:rsidRDefault="00F044D5" w:rsidP="00F044D5">
      <w:pPr>
        <w:pStyle w:val="ListBullet"/>
      </w:pPr>
      <w:r>
        <w:t xml:space="preserve">Movement of liability </w:t>
      </w:r>
      <w:r w:rsidR="00786899">
        <w:t xml:space="preserve">to include more parties </w:t>
      </w:r>
      <w:r>
        <w:t>could result in lower cost of salvage (additional productivity benefits). These are not included in the analysis due to the uncertainties associated with these cost savings.</w:t>
      </w:r>
    </w:p>
    <w:p w14:paraId="7AAEDEF3" w14:textId="7DC00447" w:rsidR="00786899" w:rsidRPr="00B2057C" w:rsidRDefault="00786899" w:rsidP="00786899">
      <w:pPr>
        <w:pStyle w:val="ListBullet"/>
        <w:numPr>
          <w:ilvl w:val="0"/>
          <w:numId w:val="0"/>
        </w:numPr>
        <w:ind w:left="420"/>
        <w:rPr>
          <w:b/>
          <w:color w:val="7030A0"/>
        </w:rPr>
      </w:pPr>
      <w:r w:rsidRPr="00B2057C">
        <w:rPr>
          <w:b/>
          <w:color w:val="7030A0"/>
        </w:rPr>
        <w:t>Impact: Neutral or increased benefits associated with a reduction in the cost of clean-ups.</w:t>
      </w:r>
    </w:p>
    <w:p w14:paraId="59FDB074" w14:textId="6D96BE78" w:rsidR="00786899" w:rsidRDefault="00786899" w:rsidP="00786899">
      <w:pPr>
        <w:pStyle w:val="ListBullet"/>
      </w:pPr>
      <w:r>
        <w:t>The current levy costs are linked to events that only occur in Australian waters. However, when moving to a shipping insurance arrangement under the Nairobi Convention, at least part of the insurance premia is linked to global incidents rather than only to local incidents (even if it is just the portion of insurance costs linked to reinsurance). Costs therefore could either be higher or lower depending on the relative risk of Australian wreck events compared to international wreck events.</w:t>
      </w:r>
    </w:p>
    <w:p w14:paraId="5AA3EBD0" w14:textId="746737AA" w:rsidR="00786899" w:rsidRPr="00B2057C" w:rsidRDefault="00786899" w:rsidP="00786899">
      <w:pPr>
        <w:pStyle w:val="ListBullet"/>
        <w:numPr>
          <w:ilvl w:val="0"/>
          <w:numId w:val="0"/>
        </w:numPr>
        <w:ind w:left="420"/>
        <w:rPr>
          <w:b/>
          <w:color w:val="7030A0"/>
        </w:rPr>
      </w:pPr>
      <w:r w:rsidRPr="00B2057C">
        <w:rPr>
          <w:b/>
          <w:color w:val="7030A0"/>
        </w:rPr>
        <w:t>Impact: Uncertain impacts on the relative cost of insurance compared to the current levy payments.</w:t>
      </w:r>
    </w:p>
    <w:p w14:paraId="0EF9EAED" w14:textId="77777777" w:rsidR="00786899" w:rsidRDefault="00786899" w:rsidP="00786899">
      <w:pPr>
        <w:pStyle w:val="ListBullet"/>
      </w:pPr>
      <w:r>
        <w:t>Due to the significant uncertainty, no account has been taken of possible future increase in safety or technology that could decrease the number of wrecks going forward. The analysis is based on what if an incident happens based on the indicative costs for illustrative purposes. Offsetting this effect, however, is the fact that the analysis does not include any potential impact on the likely increase in the number of ship movements which could increase the future number of wreck incidents with disputed cost recovery from the shipowner.</w:t>
      </w:r>
    </w:p>
    <w:p w14:paraId="4FE29FAE" w14:textId="24B62F29" w:rsidR="00786899" w:rsidRPr="00B2057C" w:rsidRDefault="00786899" w:rsidP="00786899">
      <w:pPr>
        <w:pStyle w:val="ListBullet"/>
        <w:numPr>
          <w:ilvl w:val="0"/>
          <w:numId w:val="0"/>
        </w:numPr>
        <w:ind w:left="420"/>
        <w:rPr>
          <w:b/>
          <w:color w:val="7030A0"/>
        </w:rPr>
      </w:pPr>
      <w:r w:rsidRPr="00B2057C">
        <w:rPr>
          <w:b/>
          <w:color w:val="7030A0"/>
        </w:rPr>
        <w:t>Impact: Uncertain – Reduced benefits due to reduced number of wreck incidents in the future</w:t>
      </w:r>
      <w:r>
        <w:t xml:space="preserve"> </w:t>
      </w:r>
      <w:r w:rsidRPr="00B2057C">
        <w:rPr>
          <w:b/>
          <w:color w:val="7030A0"/>
        </w:rPr>
        <w:t>due to greater safety offset by increased number of ship movements increasing the future number of wrecks.</w:t>
      </w:r>
    </w:p>
    <w:p w14:paraId="65FC8905" w14:textId="77777777" w:rsidR="00786899" w:rsidRDefault="00786899" w:rsidP="00786899">
      <w:pPr>
        <w:pStyle w:val="ListBullet"/>
      </w:pPr>
      <w:r>
        <w:t xml:space="preserve">No account was made of the potential impact of time limits on cost recovery actions under the Nairobi Convention (compared to no time limits currently under the Navigation Act). In terms of economic impacts, it is likely that this will induce an incentive for AMSA to be extra cautious </w:t>
      </w:r>
      <w:r>
        <w:lastRenderedPageBreak/>
        <w:t>and determining that a wreck which is not immediately a hazard as a hazard in case the time window for providing directions closes.</w:t>
      </w:r>
    </w:p>
    <w:p w14:paraId="76B46C42" w14:textId="24216D32" w:rsidR="00786899" w:rsidRPr="00B2057C" w:rsidRDefault="00786899" w:rsidP="00786899">
      <w:pPr>
        <w:pStyle w:val="ListBullet"/>
        <w:numPr>
          <w:ilvl w:val="0"/>
          <w:numId w:val="0"/>
        </w:numPr>
        <w:ind w:left="420"/>
        <w:rPr>
          <w:b/>
          <w:color w:val="7030A0"/>
        </w:rPr>
      </w:pPr>
      <w:r w:rsidRPr="00B2057C">
        <w:rPr>
          <w:b/>
          <w:color w:val="7030A0"/>
        </w:rPr>
        <w:t>Impact: Uncertain, but potentially Increased costs due to more wreck removals being ordered to be cleaned-up than would otherwise occur.</w:t>
      </w:r>
    </w:p>
    <w:p w14:paraId="2727916C" w14:textId="6F5620E2" w:rsidR="00786899" w:rsidRDefault="00786899" w:rsidP="00786899">
      <w:pPr>
        <w:pStyle w:val="ListBullet"/>
      </w:pPr>
      <w:r>
        <w:t>The additional cost recovery</w:t>
      </w:r>
      <w:r w:rsidR="00755AD3">
        <w:t xml:space="preserve"> from shipowners under Options 3 and 4</w:t>
      </w:r>
      <w:r>
        <w:t>, were conservatively assumed to be 80% and 85%, respectively. The clearer definitions and strict liability provisions under the Nairobi Convention could be expected to increase this cost recovery to closer to 100%.</w:t>
      </w:r>
    </w:p>
    <w:p w14:paraId="7660BFD2" w14:textId="34029482" w:rsidR="00786899" w:rsidRPr="00B2057C" w:rsidRDefault="00786899" w:rsidP="00786899">
      <w:pPr>
        <w:pStyle w:val="ListBullet"/>
        <w:numPr>
          <w:ilvl w:val="0"/>
          <w:numId w:val="0"/>
        </w:numPr>
        <w:ind w:left="420"/>
        <w:rPr>
          <w:b/>
          <w:color w:val="7030A0"/>
        </w:rPr>
      </w:pPr>
      <w:r w:rsidRPr="00B2057C">
        <w:rPr>
          <w:b/>
          <w:color w:val="7030A0"/>
        </w:rPr>
        <w:t>Impact: Increased social benefits due to increased payments for wreck recovery operations by the shipowner directly involved in an incident rather than indirect payments by the general shipping industry.</w:t>
      </w:r>
    </w:p>
    <w:p w14:paraId="0EA742F1" w14:textId="7C1C24AB" w:rsidR="00786899" w:rsidRDefault="00786899" w:rsidP="00786899">
      <w:pPr>
        <w:pStyle w:val="ListBullet"/>
      </w:pPr>
      <w:r w:rsidRPr="00786899">
        <w:t>The analysis that has been undertaken has focused on costs and benefits to the shipping industry (and direct shipowners). In practice, the majority of the shipping industry is owned and/or operated by foreign residents. For RIS’, the guidance by the OBPR is, as far as practical, to count the costs and benefits to all people residing in Australia, rather than measuring international impacts. Data limitations have precluded such analysis. However, as the shipping industry is providing services to Australian residents, changes in the costs and benefits to international providers are likely to be reflected in the future cost of their services to Australians.</w:t>
      </w:r>
    </w:p>
    <w:p w14:paraId="0BB1AAE2" w14:textId="77777777" w:rsidR="00F044D5" w:rsidRDefault="00F044D5" w:rsidP="00826E33">
      <w:pPr>
        <w:pStyle w:val="BodyText"/>
      </w:pPr>
    </w:p>
    <w:p w14:paraId="1BA7BAD8" w14:textId="77777777" w:rsidR="00826E33" w:rsidRDefault="00826E33" w:rsidP="00826E33">
      <w:pPr>
        <w:pStyle w:val="BodyText"/>
        <w:sectPr w:rsidR="00826E33" w:rsidSect="00DB3235">
          <w:headerReference w:type="even" r:id="rId77"/>
          <w:headerReference w:type="default" r:id="rId78"/>
          <w:footerReference w:type="even" r:id="rId79"/>
          <w:footerReference w:type="default" r:id="rId80"/>
          <w:headerReference w:type="first" r:id="rId81"/>
          <w:footerReference w:type="first" r:id="rId82"/>
          <w:pgSz w:w="11906" w:h="16838" w:code="9"/>
          <w:pgMar w:top="1134" w:right="851" w:bottom="1134" w:left="3119" w:header="454" w:footer="159" w:gutter="0"/>
          <w:cols w:space="708"/>
          <w:docGrid w:linePitch="360"/>
        </w:sectPr>
      </w:pPr>
    </w:p>
    <w:tbl>
      <w:tblPr>
        <w:tblW w:w="10052" w:type="dxa"/>
        <w:tblLayout w:type="fixed"/>
        <w:tblLook w:val="0000" w:firstRow="0" w:lastRow="0" w:firstColumn="0" w:lastColumn="0" w:noHBand="0" w:noVBand="0"/>
      </w:tblPr>
      <w:tblGrid>
        <w:gridCol w:w="10052"/>
      </w:tblGrid>
      <w:tr w:rsidR="00C17404" w14:paraId="6DB30E4B" w14:textId="77777777" w:rsidTr="00C17404">
        <w:trPr>
          <w:trHeight w:hRule="exact" w:val="140"/>
        </w:trPr>
        <w:tc>
          <w:tcPr>
            <w:tcW w:w="10052" w:type="dxa"/>
            <w:shd w:val="clear" w:color="auto" w:fill="auto"/>
          </w:tcPr>
          <w:p w14:paraId="03C9BF0D" w14:textId="77777777" w:rsidR="00C17404" w:rsidRDefault="00C17404" w:rsidP="00C17404">
            <w:pPr>
              <w:pStyle w:val="tagcontactsPage-Back"/>
            </w:pPr>
          </w:p>
        </w:tc>
      </w:tr>
      <w:tr w:rsidR="00C17404" w14:paraId="4BF28DA2" w14:textId="77777777" w:rsidTr="00C17404">
        <w:trPr>
          <w:trHeight w:hRule="exact" w:val="14432"/>
        </w:trPr>
        <w:tc>
          <w:tcPr>
            <w:tcW w:w="10052" w:type="dxa"/>
            <w:shd w:val="clear" w:color="auto" w:fill="auto"/>
            <w:vAlign w:val="bottom"/>
          </w:tcPr>
          <w:tbl>
            <w:tblPr>
              <w:tblW w:w="9836" w:type="dxa"/>
              <w:tblLayout w:type="fixed"/>
              <w:tblLook w:val="0000" w:firstRow="0" w:lastRow="0" w:firstColumn="0" w:lastColumn="0" w:noHBand="0" w:noVBand="0"/>
            </w:tblPr>
            <w:tblGrid>
              <w:gridCol w:w="3278"/>
              <w:gridCol w:w="3279"/>
              <w:gridCol w:w="3279"/>
            </w:tblGrid>
            <w:tr w:rsidR="00C17404" w14:paraId="4EF2C4C0" w14:textId="77777777" w:rsidTr="00C17404">
              <w:tc>
                <w:tcPr>
                  <w:tcW w:w="3278" w:type="dxa"/>
                  <w:shd w:val="clear" w:color="auto" w:fill="auto"/>
                </w:tcPr>
                <w:p w14:paraId="040C1779" w14:textId="77777777" w:rsidR="00C17404" w:rsidRDefault="00C17404" w:rsidP="00C17404">
                  <w:pPr>
                    <w:pStyle w:val="CpContactDetails"/>
                  </w:pPr>
                </w:p>
              </w:tc>
              <w:tc>
                <w:tcPr>
                  <w:tcW w:w="3279" w:type="dxa"/>
                  <w:shd w:val="clear" w:color="auto" w:fill="auto"/>
                </w:tcPr>
                <w:p w14:paraId="5EED202C" w14:textId="77777777" w:rsidR="00C17404" w:rsidRDefault="00C17404" w:rsidP="00C17404">
                  <w:pPr>
                    <w:pStyle w:val="CpContactDetails"/>
                  </w:pPr>
                </w:p>
              </w:tc>
              <w:tc>
                <w:tcPr>
                  <w:tcW w:w="3279" w:type="dxa"/>
                  <w:shd w:val="clear" w:color="auto" w:fill="auto"/>
                </w:tcPr>
                <w:p w14:paraId="49F8200F" w14:textId="77777777" w:rsidR="00C17404" w:rsidRDefault="00C17404" w:rsidP="00C17404">
                  <w:pPr>
                    <w:pStyle w:val="CpContactDetails"/>
                  </w:pPr>
                </w:p>
              </w:tc>
            </w:tr>
            <w:tr w:rsidR="00C17404" w14:paraId="716B1191" w14:textId="77777777" w:rsidTr="00C17404">
              <w:tc>
                <w:tcPr>
                  <w:tcW w:w="3278" w:type="dxa"/>
                  <w:shd w:val="clear" w:color="auto" w:fill="auto"/>
                  <w:tcMar>
                    <w:bottom w:w="468" w:type="dxa"/>
                  </w:tcMar>
                </w:tcPr>
                <w:p w14:paraId="587ACC7C" w14:textId="77777777" w:rsidR="00C17404" w:rsidRDefault="00C17404" w:rsidP="00C17404">
                  <w:pPr>
                    <w:pStyle w:val="CpContactDetailsHeading"/>
                  </w:pPr>
                  <w:r>
                    <w:t>Melbourne</w:t>
                  </w:r>
                </w:p>
                <w:p w14:paraId="76838628" w14:textId="77777777" w:rsidR="00C17404" w:rsidRDefault="00C17404" w:rsidP="00C17404">
                  <w:pPr>
                    <w:pStyle w:val="CpContactDetails"/>
                  </w:pPr>
                  <w:r>
                    <w:t>Level 9, 60 Collins Street</w:t>
                  </w:r>
                </w:p>
                <w:p w14:paraId="644BB629" w14:textId="77777777" w:rsidR="00C17404" w:rsidRDefault="00C17404" w:rsidP="00C17404">
                  <w:pPr>
                    <w:pStyle w:val="CpContactDetails"/>
                  </w:pPr>
                  <w:r>
                    <w:t>Melbourne VIC 3000 Australia</w:t>
                  </w:r>
                </w:p>
                <w:p w14:paraId="37054B3F" w14:textId="77777777" w:rsidR="00C17404" w:rsidRDefault="00C17404" w:rsidP="00C17404">
                  <w:pPr>
                    <w:pStyle w:val="CpContactDetails"/>
                  </w:pPr>
                  <w:r>
                    <w:t>+61 3 8650 6000</w:t>
                  </w:r>
                </w:p>
                <w:p w14:paraId="51209D9D" w14:textId="77777777" w:rsidR="00C17404" w:rsidRDefault="00C17404" w:rsidP="00C17404">
                  <w:pPr>
                    <w:pStyle w:val="CpContactDetails"/>
                  </w:pPr>
                </w:p>
                <w:p w14:paraId="47CD60AD" w14:textId="77777777" w:rsidR="00C17404" w:rsidRDefault="00C17404" w:rsidP="00C17404">
                  <w:pPr>
                    <w:pStyle w:val="CpContactDetails"/>
                  </w:pPr>
                </w:p>
                <w:p w14:paraId="58FE0867" w14:textId="77777777" w:rsidR="00C17404" w:rsidRDefault="00C17404" w:rsidP="00C17404">
                  <w:pPr>
                    <w:pStyle w:val="CpContactDetailsHeading"/>
                  </w:pPr>
                  <w:r>
                    <w:t>Canberra</w:t>
                  </w:r>
                </w:p>
                <w:p w14:paraId="0C3EAF41" w14:textId="77777777" w:rsidR="00C17404" w:rsidRDefault="00C17404" w:rsidP="00C17404">
                  <w:pPr>
                    <w:pStyle w:val="CpContactDetails"/>
                  </w:pPr>
                  <w:r>
                    <w:t>Level 6, 54 Marcus Clarke Street</w:t>
                  </w:r>
                </w:p>
                <w:p w14:paraId="3BAFC04E" w14:textId="77777777" w:rsidR="00C17404" w:rsidRDefault="00C17404" w:rsidP="00C17404">
                  <w:pPr>
                    <w:pStyle w:val="CpContactDetails"/>
                  </w:pPr>
                  <w:r>
                    <w:t>Canberra ACT 2601 Australia</w:t>
                  </w:r>
                </w:p>
                <w:p w14:paraId="5272E9C4" w14:textId="607144EE" w:rsidR="00C17404" w:rsidRDefault="00C17404" w:rsidP="00C17404">
                  <w:pPr>
                    <w:pStyle w:val="CpContactDetails"/>
                  </w:pPr>
                  <w:r>
                    <w:t>+61 2 6103 8200</w:t>
                  </w:r>
                </w:p>
              </w:tc>
              <w:tc>
                <w:tcPr>
                  <w:tcW w:w="3279" w:type="dxa"/>
                  <w:shd w:val="clear" w:color="auto" w:fill="auto"/>
                </w:tcPr>
                <w:p w14:paraId="43DD0EDC" w14:textId="77777777" w:rsidR="00C17404" w:rsidRDefault="00C17404" w:rsidP="00C17404">
                  <w:pPr>
                    <w:pStyle w:val="CpContactDetailsHeading"/>
                  </w:pPr>
                  <w:r>
                    <w:t>Sydney</w:t>
                  </w:r>
                </w:p>
                <w:p w14:paraId="35D1F47A" w14:textId="77777777" w:rsidR="00C17404" w:rsidRDefault="00C17404" w:rsidP="00C17404">
                  <w:pPr>
                    <w:pStyle w:val="CpContactDetails"/>
                  </w:pPr>
                  <w:r>
                    <w:t>Level 9, 50 Pitt Street</w:t>
                  </w:r>
                </w:p>
                <w:p w14:paraId="64289C07" w14:textId="77777777" w:rsidR="00C17404" w:rsidRDefault="00C17404" w:rsidP="00C17404">
                  <w:pPr>
                    <w:pStyle w:val="CpContactDetails"/>
                  </w:pPr>
                  <w:r>
                    <w:t>Sydney NSW 2000 Australia</w:t>
                  </w:r>
                </w:p>
                <w:p w14:paraId="0784CFCA" w14:textId="77777777" w:rsidR="00C17404" w:rsidRDefault="00C17404" w:rsidP="00C17404">
                  <w:pPr>
                    <w:pStyle w:val="CpContactDetails"/>
                  </w:pPr>
                  <w:r>
                    <w:t>+61 2 8272 5100</w:t>
                  </w:r>
                </w:p>
                <w:p w14:paraId="3D40C4CA" w14:textId="77777777" w:rsidR="00C17404" w:rsidRDefault="00C17404" w:rsidP="00C17404">
                  <w:pPr>
                    <w:pStyle w:val="CpContactDetails"/>
                  </w:pPr>
                </w:p>
                <w:p w14:paraId="017DAAB3" w14:textId="77777777" w:rsidR="00C17404" w:rsidRDefault="00C17404" w:rsidP="00C17404">
                  <w:pPr>
                    <w:pStyle w:val="CpContactDetails"/>
                  </w:pPr>
                </w:p>
                <w:p w14:paraId="1C86E5D1" w14:textId="77777777" w:rsidR="00C17404" w:rsidRDefault="00C17404" w:rsidP="00C17404">
                  <w:pPr>
                    <w:pStyle w:val="CpContactDetailsHeading"/>
                  </w:pPr>
                  <w:r>
                    <w:t>Perth</w:t>
                  </w:r>
                </w:p>
                <w:p w14:paraId="5E67D5D5" w14:textId="77777777" w:rsidR="00C17404" w:rsidRDefault="00C17404" w:rsidP="00C17404">
                  <w:pPr>
                    <w:pStyle w:val="CpContactDetails"/>
                  </w:pPr>
                  <w:r>
                    <w:t>Level 12, 28 The Esplanade</w:t>
                  </w:r>
                </w:p>
                <w:p w14:paraId="5685942A" w14:textId="77777777" w:rsidR="00C17404" w:rsidRDefault="00C17404" w:rsidP="00C17404">
                  <w:pPr>
                    <w:pStyle w:val="CpContactDetails"/>
                  </w:pPr>
                  <w:r>
                    <w:t>Perth WA 6000 Australia</w:t>
                  </w:r>
                </w:p>
                <w:p w14:paraId="1D7EF340" w14:textId="5D91F263" w:rsidR="00C17404" w:rsidRDefault="00C17404" w:rsidP="00C17404">
                  <w:pPr>
                    <w:pStyle w:val="CpContactDetails"/>
                  </w:pPr>
                  <w:r>
                    <w:t>+61 8 9449 9600</w:t>
                  </w:r>
                </w:p>
              </w:tc>
              <w:tc>
                <w:tcPr>
                  <w:tcW w:w="3279" w:type="dxa"/>
                  <w:shd w:val="clear" w:color="auto" w:fill="auto"/>
                </w:tcPr>
                <w:p w14:paraId="573E50F2" w14:textId="77777777" w:rsidR="00C17404" w:rsidRDefault="00C17404" w:rsidP="00C17404">
                  <w:pPr>
                    <w:pStyle w:val="CpContactDetailsHeading"/>
                  </w:pPr>
                  <w:r>
                    <w:t>Brisbane</w:t>
                  </w:r>
                </w:p>
                <w:p w14:paraId="76C4FCDC" w14:textId="77777777" w:rsidR="00C17404" w:rsidRDefault="00C17404" w:rsidP="00C17404">
                  <w:pPr>
                    <w:pStyle w:val="CpContactDetails"/>
                  </w:pPr>
                  <w:r>
                    <w:t>Level 15, 127 Creek Street</w:t>
                  </w:r>
                </w:p>
                <w:p w14:paraId="00812EFE" w14:textId="77777777" w:rsidR="00C17404" w:rsidRDefault="00C17404" w:rsidP="00C17404">
                  <w:pPr>
                    <w:pStyle w:val="CpContactDetails"/>
                  </w:pPr>
                  <w:r>
                    <w:t>Brisbane QLD 4000 Australia</w:t>
                  </w:r>
                </w:p>
                <w:p w14:paraId="1DBB77BC" w14:textId="77777777" w:rsidR="00C17404" w:rsidRDefault="00C17404" w:rsidP="00C17404">
                  <w:pPr>
                    <w:pStyle w:val="CpContactDetails"/>
                  </w:pPr>
                  <w:r>
                    <w:t>+61 7 3009 8700</w:t>
                  </w:r>
                </w:p>
                <w:p w14:paraId="12BE68E1" w14:textId="77777777" w:rsidR="00C17404" w:rsidRDefault="00C17404" w:rsidP="00C17404">
                  <w:pPr>
                    <w:pStyle w:val="CpContactDetails"/>
                  </w:pPr>
                </w:p>
                <w:p w14:paraId="436BBC03" w14:textId="77777777" w:rsidR="00C17404" w:rsidRDefault="00C17404" w:rsidP="00C17404">
                  <w:pPr>
                    <w:pStyle w:val="CpContactDetails"/>
                  </w:pPr>
                </w:p>
                <w:p w14:paraId="24E0BD72" w14:textId="77777777" w:rsidR="00C17404" w:rsidRDefault="00C17404" w:rsidP="00C17404">
                  <w:pPr>
                    <w:pStyle w:val="CpContactDetailsHeading"/>
                  </w:pPr>
                  <w:r>
                    <w:t>Adelaide</w:t>
                  </w:r>
                </w:p>
                <w:p w14:paraId="47D599A6" w14:textId="77777777" w:rsidR="00C17404" w:rsidRDefault="00C17404" w:rsidP="00C17404">
                  <w:pPr>
                    <w:pStyle w:val="CpContactDetails"/>
                  </w:pPr>
                  <w:r>
                    <w:t>167 Flinders Street</w:t>
                  </w:r>
                </w:p>
                <w:p w14:paraId="52718013" w14:textId="77777777" w:rsidR="00C17404" w:rsidRDefault="00C17404" w:rsidP="00C17404">
                  <w:pPr>
                    <w:pStyle w:val="CpContactDetails"/>
                  </w:pPr>
                  <w:r>
                    <w:t>Adelaide SA 5000 Australia</w:t>
                  </w:r>
                </w:p>
                <w:p w14:paraId="2A469912" w14:textId="674B4C5D" w:rsidR="00C17404" w:rsidRDefault="00C17404" w:rsidP="00C17404">
                  <w:pPr>
                    <w:pStyle w:val="CpContactDetails"/>
                  </w:pPr>
                  <w:r>
                    <w:t>+61 8 8122 4965</w:t>
                  </w:r>
                </w:p>
              </w:tc>
            </w:tr>
            <w:tr w:rsidR="00C17404" w14:paraId="3F8D7CEC" w14:textId="77777777" w:rsidTr="00C17404">
              <w:tc>
                <w:tcPr>
                  <w:tcW w:w="3278" w:type="dxa"/>
                  <w:shd w:val="clear" w:color="auto" w:fill="auto"/>
                  <w:tcMar>
                    <w:bottom w:w="376" w:type="dxa"/>
                  </w:tcMar>
                </w:tcPr>
                <w:p w14:paraId="582920A9" w14:textId="77777777" w:rsidR="00C17404" w:rsidRDefault="00C17404" w:rsidP="00C17404">
                  <w:pPr>
                    <w:pStyle w:val="CpContactDetails"/>
                  </w:pPr>
                  <w:r>
                    <w:t>ACIL Allen Pty Ltd</w:t>
                  </w:r>
                </w:p>
                <w:p w14:paraId="338DD333" w14:textId="3CD6CEA8" w:rsidR="00C17404" w:rsidRDefault="00C17404" w:rsidP="00C17404">
                  <w:pPr>
                    <w:pStyle w:val="CpContactDetails"/>
                  </w:pPr>
                  <w:r>
                    <w:t>ABN 68 102 652 148</w:t>
                  </w:r>
                </w:p>
              </w:tc>
              <w:tc>
                <w:tcPr>
                  <w:tcW w:w="3279" w:type="dxa"/>
                  <w:shd w:val="clear" w:color="auto" w:fill="auto"/>
                </w:tcPr>
                <w:p w14:paraId="62EC182D" w14:textId="77777777" w:rsidR="00C17404" w:rsidRDefault="00C17404" w:rsidP="00C17404">
                  <w:pPr>
                    <w:pStyle w:val="CpContactDetails"/>
                  </w:pPr>
                </w:p>
              </w:tc>
              <w:tc>
                <w:tcPr>
                  <w:tcW w:w="3279" w:type="dxa"/>
                  <w:shd w:val="clear" w:color="auto" w:fill="auto"/>
                </w:tcPr>
                <w:p w14:paraId="16686F96" w14:textId="77777777" w:rsidR="00C17404" w:rsidRDefault="00C17404" w:rsidP="00C17404">
                  <w:pPr>
                    <w:pStyle w:val="CpContactDetails"/>
                  </w:pPr>
                </w:p>
              </w:tc>
            </w:tr>
            <w:tr w:rsidR="00C17404" w14:paraId="66D0F33E" w14:textId="77777777" w:rsidTr="00C17404">
              <w:tc>
                <w:tcPr>
                  <w:tcW w:w="3278" w:type="dxa"/>
                  <w:shd w:val="clear" w:color="auto" w:fill="auto"/>
                </w:tcPr>
                <w:p w14:paraId="31FE42C0" w14:textId="791074A7" w:rsidR="00C17404" w:rsidRDefault="00C17404" w:rsidP="00C17404">
                  <w:pPr>
                    <w:pStyle w:val="CpContactDetailsWeb"/>
                  </w:pPr>
                  <w:r>
                    <w:t>acilallen.com.au</w:t>
                  </w:r>
                </w:p>
              </w:tc>
              <w:tc>
                <w:tcPr>
                  <w:tcW w:w="3279" w:type="dxa"/>
                  <w:shd w:val="clear" w:color="auto" w:fill="auto"/>
                </w:tcPr>
                <w:p w14:paraId="02539180" w14:textId="77777777" w:rsidR="00C17404" w:rsidRDefault="00C17404" w:rsidP="00C17404">
                  <w:pPr>
                    <w:pStyle w:val="CpContactDetails"/>
                  </w:pPr>
                </w:p>
              </w:tc>
              <w:tc>
                <w:tcPr>
                  <w:tcW w:w="3279" w:type="dxa"/>
                  <w:shd w:val="clear" w:color="auto" w:fill="auto"/>
                </w:tcPr>
                <w:p w14:paraId="5B01957E" w14:textId="77777777" w:rsidR="00C17404" w:rsidRDefault="00C17404" w:rsidP="00C17404">
                  <w:pPr>
                    <w:pStyle w:val="CpContactDetails"/>
                  </w:pPr>
                </w:p>
              </w:tc>
            </w:tr>
          </w:tbl>
          <w:p w14:paraId="09383269" w14:textId="77777777" w:rsidR="00C17404" w:rsidRDefault="00C17404" w:rsidP="00C17404">
            <w:pPr>
              <w:pStyle w:val="BodyText"/>
            </w:pPr>
          </w:p>
        </w:tc>
      </w:tr>
      <w:bookmarkEnd w:id="0"/>
    </w:tbl>
    <w:p w14:paraId="26745AF6" w14:textId="58D2690E" w:rsidR="00C17404" w:rsidRPr="00C17404" w:rsidRDefault="00C17404" w:rsidP="00C17404">
      <w:pPr>
        <w:pStyle w:val="BodyText"/>
      </w:pPr>
    </w:p>
    <w:sectPr w:rsidR="00C17404" w:rsidRPr="00C17404" w:rsidSect="00C17404">
      <w:headerReference w:type="even" r:id="rId83"/>
      <w:headerReference w:type="default" r:id="rId84"/>
      <w:footerReference w:type="even" r:id="rId85"/>
      <w:footerReference w:type="default" r:id="rId86"/>
      <w:headerReference w:type="first" r:id="rId87"/>
      <w:footerReference w:type="first" r:id="rId88"/>
      <w:pgSz w:w="11906" w:h="16838" w:code="9"/>
      <w:pgMar w:top="1134" w:right="720" w:bottom="518" w:left="1134" w:header="454"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F8D67" w14:textId="77777777" w:rsidR="008C3AD9" w:rsidRDefault="008C3AD9" w:rsidP="00B649EB">
      <w:pPr>
        <w:spacing w:before="0" w:after="0" w:line="240" w:lineRule="auto"/>
      </w:pPr>
      <w:r>
        <w:separator/>
      </w:r>
    </w:p>
    <w:p w14:paraId="6C90930A" w14:textId="77777777" w:rsidR="008C3AD9" w:rsidRDefault="008C3AD9"/>
  </w:endnote>
  <w:endnote w:type="continuationSeparator" w:id="0">
    <w:p w14:paraId="3A50345A" w14:textId="77777777" w:rsidR="008C3AD9" w:rsidRDefault="008C3AD9" w:rsidP="00B649EB">
      <w:pPr>
        <w:spacing w:before="0" w:after="0" w:line="240" w:lineRule="auto"/>
      </w:pPr>
      <w:r>
        <w:continuationSeparator/>
      </w:r>
    </w:p>
    <w:p w14:paraId="31F5440D" w14:textId="77777777" w:rsidR="008C3AD9" w:rsidRDefault="008C3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cumin Pro">
    <w:altName w:val="Calibri"/>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45BAB" w14:textId="77777777" w:rsidR="000263D5" w:rsidRDefault="000263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F888" w14:textId="77777777" w:rsidR="002178E9" w:rsidRPr="001E5CAD" w:rsidRDefault="002178E9" w:rsidP="001E5C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6CC6D595" w14:textId="77777777" w:rsidTr="001E5CAD">
      <w:trPr>
        <w:trHeight w:hRule="exact" w:val="620"/>
      </w:trPr>
      <w:tc>
        <w:tcPr>
          <w:tcW w:w="7192" w:type="dxa"/>
          <w:shd w:val="clear" w:color="auto" w:fill="auto"/>
          <w:tcMar>
            <w:right w:w="108" w:type="dxa"/>
          </w:tcMar>
          <w:vAlign w:val="bottom"/>
        </w:tcPr>
        <w:p w14:paraId="57B35E1E" w14:textId="165DCB2A" w:rsidR="002178E9" w:rsidRDefault="008C3AD9" w:rsidP="001E5CAD">
          <w:pPr>
            <w:pStyle w:val="FooterText"/>
            <w:jc w:val="right"/>
          </w:pPr>
          <w:r>
            <w:fldChar w:fldCharType="begin"/>
          </w:r>
          <w:r>
            <w:instrText xml:space="preserve"> STYLEREF "Cp Title" \* MERGEFORMAT </w:instrText>
          </w:r>
          <w:r>
            <w:fldChar w:fldCharType="separate"/>
          </w:r>
          <w:r w:rsidR="008F4921">
            <w:rPr>
              <w:noProof/>
            </w:rPr>
            <w:t>An indicative cost benefit analysis on Australia’s possible accession to the Nairobi Convention</w:t>
          </w:r>
          <w:r>
            <w:rPr>
              <w:noProof/>
            </w:rPr>
            <w:fldChar w:fldCharType="end"/>
          </w:r>
          <w:r w:rsidR="002178E9">
            <w:t xml:space="preserve"> </w:t>
          </w:r>
          <w:r>
            <w:fldChar w:fldCharType="begin"/>
          </w:r>
          <w:r>
            <w:instrText xml:space="preserve"> STYLEREF "Cp SubTitle" \* MERGEFORMAT </w:instrText>
          </w:r>
          <w:r>
            <w:fldChar w:fldCharType="separate"/>
          </w:r>
          <w:r w:rsidR="008F4921">
            <w:rPr>
              <w:noProof/>
            </w:rPr>
            <w:t>FINAL REPORT</w:t>
          </w:r>
          <w:r>
            <w:rPr>
              <w:noProof/>
            </w:rPr>
            <w:fldChar w:fldCharType="end"/>
          </w:r>
        </w:p>
      </w:tc>
      <w:tc>
        <w:tcPr>
          <w:tcW w:w="744" w:type="dxa"/>
          <w:shd w:val="clear" w:color="auto" w:fill="auto"/>
          <w:tcMar>
            <w:right w:w="104" w:type="dxa"/>
          </w:tcMar>
          <w:vAlign w:val="bottom"/>
        </w:tcPr>
        <w:p w14:paraId="172E7839" w14:textId="0685E421" w:rsidR="002178E9" w:rsidRDefault="002178E9" w:rsidP="001E5CAD">
          <w:pPr>
            <w:pStyle w:val="pageNumber0"/>
          </w:pPr>
          <w:r>
            <w:fldChar w:fldCharType="begin"/>
          </w:r>
          <w:r>
            <w:instrText xml:space="preserve"> PAGE  \* MERGEFORMAT </w:instrText>
          </w:r>
          <w:r>
            <w:fldChar w:fldCharType="separate"/>
          </w:r>
          <w:r w:rsidR="008F4921">
            <w:rPr>
              <w:noProof/>
            </w:rPr>
            <w:t>iii</w:t>
          </w:r>
          <w:r>
            <w:fldChar w:fldCharType="end"/>
          </w:r>
        </w:p>
      </w:tc>
    </w:tr>
  </w:tbl>
  <w:p w14:paraId="709A96F7" w14:textId="77777777" w:rsidR="002178E9" w:rsidRPr="001E5CAD" w:rsidRDefault="002178E9" w:rsidP="001E5C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8962C" w14:textId="77777777" w:rsidR="002178E9" w:rsidRPr="001E5CAD" w:rsidRDefault="002178E9" w:rsidP="001E5C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9549" w14:textId="77777777" w:rsidR="002178E9" w:rsidRDefault="002178E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105B8DFC" w14:textId="77777777" w:rsidTr="00C17404">
      <w:trPr>
        <w:trHeight w:hRule="exact" w:val="620"/>
      </w:trPr>
      <w:tc>
        <w:tcPr>
          <w:tcW w:w="7192" w:type="dxa"/>
          <w:shd w:val="clear" w:color="auto" w:fill="auto"/>
          <w:tcMar>
            <w:right w:w="108" w:type="dxa"/>
          </w:tcMar>
          <w:vAlign w:val="bottom"/>
        </w:tcPr>
        <w:p w14:paraId="04915809" w14:textId="1FC52865" w:rsidR="002178E9" w:rsidRDefault="008C3AD9" w:rsidP="00C17404">
          <w:pPr>
            <w:pStyle w:val="FooterText"/>
            <w:jc w:val="right"/>
          </w:pPr>
          <w:r>
            <w:fldChar w:fldCharType="begin"/>
          </w:r>
          <w:r>
            <w:instrText xml:space="preserve"> STYLEREF "Cp Title" \* MERGEFORMAT </w:instrText>
          </w:r>
          <w:r>
            <w:fldChar w:fldCharType="separate"/>
          </w:r>
          <w:r w:rsidR="008F4921" w:rsidRPr="008F4921">
            <w:rPr>
              <w:b/>
              <w:bCs/>
              <w:noProof/>
              <w:lang w:val="en-US"/>
            </w:rPr>
            <w:t>An indicative</w:t>
          </w:r>
          <w:r w:rsidR="008F4921">
            <w:rPr>
              <w:noProof/>
            </w:rPr>
            <w:t xml:space="preserve"> cost benefit analysis on Australia’s possible accession to the Nairobi Convention</w:t>
          </w:r>
          <w:r>
            <w:rPr>
              <w:noProof/>
            </w:rPr>
            <w:fldChar w:fldCharType="end"/>
          </w:r>
          <w:r w:rsidR="002178E9">
            <w:t xml:space="preserve"> </w:t>
          </w:r>
          <w:r>
            <w:fldChar w:fldCharType="begin"/>
          </w:r>
          <w:r>
            <w:instrText xml:space="preserve"> STYLEREF "Cp SubTitle" \* MERGEFORMAT </w:instrText>
          </w:r>
          <w:r>
            <w:fldChar w:fldCharType="separate"/>
          </w:r>
          <w:r w:rsidR="008F4921" w:rsidRPr="008F4921">
            <w:rPr>
              <w:b/>
              <w:bCs/>
              <w:noProof/>
              <w:lang w:val="en-US"/>
            </w:rPr>
            <w:t>FINAL REPORT</w:t>
          </w:r>
          <w:r>
            <w:rPr>
              <w:b/>
              <w:bCs/>
              <w:noProof/>
              <w:lang w:val="en-US"/>
            </w:rPr>
            <w:fldChar w:fldCharType="end"/>
          </w:r>
        </w:p>
      </w:tc>
      <w:tc>
        <w:tcPr>
          <w:tcW w:w="744" w:type="dxa"/>
          <w:shd w:val="clear" w:color="auto" w:fill="auto"/>
          <w:tcMar>
            <w:right w:w="104" w:type="dxa"/>
          </w:tcMar>
          <w:vAlign w:val="bottom"/>
        </w:tcPr>
        <w:p w14:paraId="56EAFF93" w14:textId="728138AA" w:rsidR="002178E9" w:rsidRDefault="002178E9" w:rsidP="00C17404">
          <w:pPr>
            <w:pStyle w:val="pageNumber0"/>
          </w:pPr>
          <w:r>
            <w:fldChar w:fldCharType="begin"/>
          </w:r>
          <w:r>
            <w:instrText xml:space="preserve"> PAGE  \* MERGEFORMAT </w:instrText>
          </w:r>
          <w:r>
            <w:fldChar w:fldCharType="separate"/>
          </w:r>
          <w:r w:rsidR="008F4921">
            <w:rPr>
              <w:noProof/>
            </w:rPr>
            <w:t>iv</w:t>
          </w:r>
          <w:r>
            <w:fldChar w:fldCharType="end"/>
          </w:r>
        </w:p>
      </w:tc>
    </w:tr>
  </w:tbl>
  <w:p w14:paraId="2362BF63" w14:textId="77777777" w:rsidR="002178E9" w:rsidRPr="00C17404" w:rsidRDefault="002178E9" w:rsidP="00C1740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C1DD2" w14:textId="77777777" w:rsidR="002178E9" w:rsidRDefault="002178E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47EF" w14:textId="77777777" w:rsidR="002178E9" w:rsidRPr="001E5CAD" w:rsidRDefault="002178E9" w:rsidP="001E5C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44E20B4F" w14:textId="77777777" w:rsidTr="001E5CAD">
      <w:trPr>
        <w:trHeight w:hRule="exact" w:val="620"/>
      </w:trPr>
      <w:tc>
        <w:tcPr>
          <w:tcW w:w="7192" w:type="dxa"/>
          <w:shd w:val="clear" w:color="auto" w:fill="auto"/>
          <w:tcMar>
            <w:right w:w="108" w:type="dxa"/>
          </w:tcMar>
          <w:vAlign w:val="bottom"/>
        </w:tcPr>
        <w:p w14:paraId="0198CCFD" w14:textId="52770080" w:rsidR="002178E9" w:rsidRDefault="008C3AD9" w:rsidP="001E5CAD">
          <w:pPr>
            <w:pStyle w:val="FooterText"/>
            <w:jc w:val="right"/>
          </w:pPr>
          <w:r>
            <w:fldChar w:fldCharType="begin"/>
          </w:r>
          <w:r>
            <w:instrText xml:space="preserve"> STYLEREF "Cp Title" \* MERGEFORMAT </w:instrText>
          </w:r>
          <w:r>
            <w:fldChar w:fldCharType="separate"/>
          </w:r>
          <w:r w:rsidR="008F4921">
            <w:rPr>
              <w:noProof/>
            </w:rPr>
            <w:t>An indicative cost benefit analysis on Australia’s possible accession to the Nairobi Convention</w:t>
          </w:r>
          <w:r>
            <w:rPr>
              <w:noProof/>
            </w:rPr>
            <w:fldChar w:fldCharType="end"/>
          </w:r>
          <w:r w:rsidR="002178E9">
            <w:t xml:space="preserve"> </w:t>
          </w:r>
          <w:r>
            <w:fldChar w:fldCharType="begin"/>
          </w:r>
          <w:r>
            <w:instrText xml:space="preserve"> STYLEREF "Cp SubTitle" \* MERGEFORMAT </w:instrText>
          </w:r>
          <w:r>
            <w:fldChar w:fldCharType="separate"/>
          </w:r>
          <w:r w:rsidR="008F4921">
            <w:rPr>
              <w:noProof/>
            </w:rPr>
            <w:t>FINAL REPORT</w:t>
          </w:r>
          <w:r>
            <w:rPr>
              <w:noProof/>
            </w:rPr>
            <w:fldChar w:fldCharType="end"/>
          </w:r>
        </w:p>
      </w:tc>
      <w:tc>
        <w:tcPr>
          <w:tcW w:w="744" w:type="dxa"/>
          <w:shd w:val="clear" w:color="auto" w:fill="auto"/>
          <w:tcMar>
            <w:right w:w="104" w:type="dxa"/>
          </w:tcMar>
          <w:vAlign w:val="bottom"/>
        </w:tcPr>
        <w:p w14:paraId="5DFCC36D" w14:textId="527CA63E" w:rsidR="002178E9" w:rsidRDefault="002178E9" w:rsidP="001E5CAD">
          <w:pPr>
            <w:pStyle w:val="pageNumber0"/>
          </w:pPr>
          <w:r>
            <w:fldChar w:fldCharType="begin"/>
          </w:r>
          <w:r>
            <w:instrText xml:space="preserve"> PAGE  \* MERGEFORMAT </w:instrText>
          </w:r>
          <w:r>
            <w:fldChar w:fldCharType="separate"/>
          </w:r>
          <w:r w:rsidR="008F4921">
            <w:rPr>
              <w:noProof/>
            </w:rPr>
            <w:t>9</w:t>
          </w:r>
          <w:r>
            <w:fldChar w:fldCharType="end"/>
          </w:r>
        </w:p>
      </w:tc>
    </w:tr>
  </w:tbl>
  <w:p w14:paraId="72098B55" w14:textId="77777777" w:rsidR="002178E9" w:rsidRPr="001E5CAD" w:rsidRDefault="002178E9" w:rsidP="001E5CA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C4AA1" w14:textId="77777777" w:rsidR="002178E9" w:rsidRPr="001E5CAD" w:rsidRDefault="002178E9" w:rsidP="001E5C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28FC" w14:textId="77777777" w:rsidR="002178E9" w:rsidRPr="009A7908" w:rsidRDefault="002178E9" w:rsidP="009A7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8A5FC" w14:textId="77777777" w:rsidR="000263D5" w:rsidRDefault="000263D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509BFFAC" w14:textId="77777777" w:rsidTr="009A7908">
      <w:trPr>
        <w:trHeight w:hRule="exact" w:val="620"/>
      </w:trPr>
      <w:tc>
        <w:tcPr>
          <w:tcW w:w="7192" w:type="dxa"/>
          <w:shd w:val="clear" w:color="auto" w:fill="auto"/>
          <w:tcMar>
            <w:right w:w="108" w:type="dxa"/>
          </w:tcMar>
          <w:vAlign w:val="bottom"/>
        </w:tcPr>
        <w:p w14:paraId="416DB746" w14:textId="707EAD2E" w:rsidR="002178E9" w:rsidRDefault="008C3AD9" w:rsidP="009A7908">
          <w:pPr>
            <w:pStyle w:val="FooterText"/>
            <w:jc w:val="right"/>
          </w:pPr>
          <w:r>
            <w:fldChar w:fldCharType="begin"/>
          </w:r>
          <w:r>
            <w:instrText xml:space="preserve"> STYLEREF "Cp Title" \* MERGEFORMAT </w:instrText>
          </w:r>
          <w:r>
            <w:fldChar w:fldCharType="separate"/>
          </w:r>
          <w:r w:rsidR="008F4921">
            <w:rPr>
              <w:noProof/>
            </w:rPr>
            <w:t>An indicative cost benefit analysis on Australia’s possible accession to the Nairobi Convention</w:t>
          </w:r>
          <w:r>
            <w:rPr>
              <w:noProof/>
            </w:rPr>
            <w:fldChar w:fldCharType="end"/>
          </w:r>
          <w:r w:rsidR="002178E9">
            <w:t xml:space="preserve"> </w:t>
          </w:r>
          <w:r>
            <w:fldChar w:fldCharType="begin"/>
          </w:r>
          <w:r>
            <w:instrText xml:space="preserve"> STYLEREF "Cp SubTitle" \* MERGEFORMAT </w:instrText>
          </w:r>
          <w:r>
            <w:fldChar w:fldCharType="separate"/>
          </w:r>
          <w:r w:rsidR="008F4921">
            <w:rPr>
              <w:noProof/>
            </w:rPr>
            <w:t>FINAL REPORT</w:t>
          </w:r>
          <w:r>
            <w:rPr>
              <w:noProof/>
            </w:rPr>
            <w:fldChar w:fldCharType="end"/>
          </w:r>
        </w:p>
      </w:tc>
      <w:tc>
        <w:tcPr>
          <w:tcW w:w="744" w:type="dxa"/>
          <w:shd w:val="clear" w:color="auto" w:fill="auto"/>
          <w:tcMar>
            <w:right w:w="104" w:type="dxa"/>
          </w:tcMar>
          <w:vAlign w:val="bottom"/>
        </w:tcPr>
        <w:p w14:paraId="291CCAC7" w14:textId="4E0C72CF" w:rsidR="002178E9" w:rsidRDefault="002178E9" w:rsidP="009A7908">
          <w:pPr>
            <w:pStyle w:val="pageNumber0"/>
          </w:pPr>
          <w:r>
            <w:fldChar w:fldCharType="begin"/>
          </w:r>
          <w:r>
            <w:instrText xml:space="preserve"> PAGE  \* MERGEFORMAT </w:instrText>
          </w:r>
          <w:r>
            <w:fldChar w:fldCharType="separate"/>
          </w:r>
          <w:r w:rsidR="008F4921">
            <w:rPr>
              <w:noProof/>
            </w:rPr>
            <w:t>14</w:t>
          </w:r>
          <w:r>
            <w:fldChar w:fldCharType="end"/>
          </w:r>
        </w:p>
      </w:tc>
    </w:tr>
  </w:tbl>
  <w:p w14:paraId="1BAEF7F5" w14:textId="77777777" w:rsidR="002178E9" w:rsidRPr="009A7908" w:rsidRDefault="002178E9" w:rsidP="009A790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2F71" w14:textId="77777777" w:rsidR="002178E9" w:rsidRPr="009A7908" w:rsidRDefault="002178E9" w:rsidP="009A79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4E7D7" w14:textId="77777777" w:rsidR="002178E9" w:rsidRPr="00D7619D" w:rsidRDefault="002178E9" w:rsidP="00D7619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5D3342DC" w14:textId="77777777" w:rsidTr="00D7619D">
      <w:trPr>
        <w:trHeight w:hRule="exact" w:val="620"/>
      </w:trPr>
      <w:tc>
        <w:tcPr>
          <w:tcW w:w="7192" w:type="dxa"/>
          <w:shd w:val="clear" w:color="auto" w:fill="auto"/>
          <w:tcMar>
            <w:right w:w="108" w:type="dxa"/>
          </w:tcMar>
          <w:vAlign w:val="bottom"/>
        </w:tcPr>
        <w:p w14:paraId="72671B98" w14:textId="42390169" w:rsidR="002178E9" w:rsidRDefault="008C3AD9" w:rsidP="00D7619D">
          <w:pPr>
            <w:pStyle w:val="FooterText"/>
            <w:jc w:val="right"/>
          </w:pPr>
          <w:r>
            <w:fldChar w:fldCharType="begin"/>
          </w:r>
          <w:r>
            <w:instrText xml:space="preserve"> STYLEREF "Cp Title" \* MERGEFORMAT </w:instrText>
          </w:r>
          <w:r>
            <w:fldChar w:fldCharType="separate"/>
          </w:r>
          <w:r w:rsidR="008F4921">
            <w:rPr>
              <w:noProof/>
            </w:rPr>
            <w:t>An indicative cost benefit analysis on Australia’s possible accession to the Nairobi Convention</w:t>
          </w:r>
          <w:r>
            <w:rPr>
              <w:noProof/>
            </w:rPr>
            <w:fldChar w:fldCharType="end"/>
          </w:r>
          <w:r w:rsidR="002178E9">
            <w:t xml:space="preserve"> </w:t>
          </w:r>
          <w:r>
            <w:fldChar w:fldCharType="begin"/>
          </w:r>
          <w:r>
            <w:instrText xml:space="preserve"> STYLEREF "</w:instrText>
          </w:r>
          <w:r>
            <w:instrText xml:space="preserve">Cp SubTitle" \* MERGEFORMAT </w:instrText>
          </w:r>
          <w:r>
            <w:fldChar w:fldCharType="separate"/>
          </w:r>
          <w:r w:rsidR="008F4921">
            <w:rPr>
              <w:noProof/>
            </w:rPr>
            <w:t>FINAL REPORT</w:t>
          </w:r>
          <w:r>
            <w:rPr>
              <w:noProof/>
            </w:rPr>
            <w:fldChar w:fldCharType="end"/>
          </w:r>
        </w:p>
      </w:tc>
      <w:tc>
        <w:tcPr>
          <w:tcW w:w="744" w:type="dxa"/>
          <w:shd w:val="clear" w:color="auto" w:fill="auto"/>
          <w:tcMar>
            <w:right w:w="104" w:type="dxa"/>
          </w:tcMar>
          <w:vAlign w:val="bottom"/>
        </w:tcPr>
        <w:p w14:paraId="789A942C" w14:textId="05628889" w:rsidR="002178E9" w:rsidRDefault="002178E9" w:rsidP="00D7619D">
          <w:pPr>
            <w:pStyle w:val="pageNumber0"/>
          </w:pPr>
          <w:r>
            <w:fldChar w:fldCharType="begin"/>
          </w:r>
          <w:r>
            <w:instrText xml:space="preserve"> PAGE  \* MERGEFORMAT </w:instrText>
          </w:r>
          <w:r>
            <w:fldChar w:fldCharType="separate"/>
          </w:r>
          <w:r w:rsidR="008F4921">
            <w:rPr>
              <w:noProof/>
            </w:rPr>
            <w:t>19</w:t>
          </w:r>
          <w:r>
            <w:fldChar w:fldCharType="end"/>
          </w:r>
        </w:p>
      </w:tc>
    </w:tr>
  </w:tbl>
  <w:p w14:paraId="3D162E45" w14:textId="77777777" w:rsidR="002178E9" w:rsidRPr="00D7619D" w:rsidRDefault="002178E9" w:rsidP="00D7619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6089E" w14:textId="77777777" w:rsidR="002178E9" w:rsidRPr="00D7619D" w:rsidRDefault="002178E9" w:rsidP="00D7619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7F78" w14:textId="77777777" w:rsidR="002178E9" w:rsidRPr="00826E33" w:rsidRDefault="002178E9" w:rsidP="00826E3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6" w:type="dxa"/>
      <w:tblLayout w:type="fixed"/>
      <w:tblCellMar>
        <w:left w:w="0" w:type="dxa"/>
        <w:right w:w="0" w:type="dxa"/>
      </w:tblCellMar>
      <w:tblLook w:val="0000" w:firstRow="0" w:lastRow="0" w:firstColumn="0" w:lastColumn="0" w:noHBand="0" w:noVBand="0"/>
    </w:tblPr>
    <w:tblGrid>
      <w:gridCol w:w="7192"/>
      <w:gridCol w:w="744"/>
    </w:tblGrid>
    <w:tr w:rsidR="002178E9" w14:paraId="068FC2B8" w14:textId="77777777" w:rsidTr="00826E33">
      <w:trPr>
        <w:trHeight w:hRule="exact" w:val="620"/>
      </w:trPr>
      <w:tc>
        <w:tcPr>
          <w:tcW w:w="7192" w:type="dxa"/>
          <w:shd w:val="clear" w:color="auto" w:fill="auto"/>
          <w:tcMar>
            <w:right w:w="108" w:type="dxa"/>
          </w:tcMar>
          <w:vAlign w:val="bottom"/>
        </w:tcPr>
        <w:p w14:paraId="07ACFBFE" w14:textId="535B11BD" w:rsidR="002178E9" w:rsidRDefault="008C3AD9" w:rsidP="00826E33">
          <w:pPr>
            <w:pStyle w:val="FooterText"/>
            <w:jc w:val="right"/>
          </w:pPr>
          <w:r>
            <w:fldChar w:fldCharType="begin"/>
          </w:r>
          <w:r>
            <w:instrText xml:space="preserve"> STYLEREF "Cp Title" \* MERGE</w:instrText>
          </w:r>
          <w:r>
            <w:instrText xml:space="preserve">FORMAT </w:instrText>
          </w:r>
          <w:r>
            <w:fldChar w:fldCharType="separate"/>
          </w:r>
          <w:r w:rsidR="008F4921">
            <w:rPr>
              <w:noProof/>
            </w:rPr>
            <w:t>An indicative cost benefit analysis on Australia’s possible accession to the Nairobi Convention</w:t>
          </w:r>
          <w:r>
            <w:rPr>
              <w:noProof/>
            </w:rPr>
            <w:fldChar w:fldCharType="end"/>
          </w:r>
          <w:r w:rsidR="002178E9">
            <w:t xml:space="preserve"> </w:t>
          </w:r>
          <w:r>
            <w:fldChar w:fldCharType="begin"/>
          </w:r>
          <w:r>
            <w:instrText xml:space="preserve"> STYLEREF "Cp SubTitle" \* MERGEFORMAT </w:instrText>
          </w:r>
          <w:r>
            <w:fldChar w:fldCharType="separate"/>
          </w:r>
          <w:r w:rsidR="008F4921">
            <w:rPr>
              <w:noProof/>
            </w:rPr>
            <w:t>FINAL REPORT</w:t>
          </w:r>
          <w:r>
            <w:rPr>
              <w:noProof/>
            </w:rPr>
            <w:fldChar w:fldCharType="end"/>
          </w:r>
        </w:p>
      </w:tc>
      <w:tc>
        <w:tcPr>
          <w:tcW w:w="744" w:type="dxa"/>
          <w:shd w:val="clear" w:color="auto" w:fill="auto"/>
          <w:tcMar>
            <w:right w:w="104" w:type="dxa"/>
          </w:tcMar>
          <w:vAlign w:val="bottom"/>
        </w:tcPr>
        <w:p w14:paraId="124BF201" w14:textId="7188023B" w:rsidR="002178E9" w:rsidRDefault="002178E9" w:rsidP="00826E33">
          <w:pPr>
            <w:pStyle w:val="pageNumber0"/>
          </w:pPr>
          <w:r>
            <w:fldChar w:fldCharType="begin"/>
          </w:r>
          <w:r>
            <w:instrText xml:space="preserve"> PAGE  \* MERGEFORMAT </w:instrText>
          </w:r>
          <w:r>
            <w:fldChar w:fldCharType="separate"/>
          </w:r>
          <w:r w:rsidR="008F4921">
            <w:rPr>
              <w:noProof/>
            </w:rPr>
            <w:t>46</w:t>
          </w:r>
          <w:r>
            <w:fldChar w:fldCharType="end"/>
          </w:r>
        </w:p>
      </w:tc>
    </w:tr>
  </w:tbl>
  <w:p w14:paraId="68F8F4EC" w14:textId="77777777" w:rsidR="002178E9" w:rsidRPr="00826E33" w:rsidRDefault="002178E9" w:rsidP="00826E3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2E8B" w14:textId="77777777" w:rsidR="002178E9" w:rsidRPr="00826E33" w:rsidRDefault="002178E9" w:rsidP="00826E3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5EE6" w14:textId="77777777" w:rsidR="002178E9" w:rsidRDefault="002178E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95F0" w14:textId="77777777" w:rsidR="002178E9" w:rsidRPr="00C17404" w:rsidRDefault="002178E9" w:rsidP="00C174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3EAB" w14:textId="77777777" w:rsidR="000263D5" w:rsidRDefault="000263D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C8E87" w14:textId="77777777" w:rsidR="002178E9" w:rsidRPr="00C17404" w:rsidRDefault="002178E9" w:rsidP="00C174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B06C6" w14:textId="77777777" w:rsidR="002178E9" w:rsidRPr="00C17404" w:rsidRDefault="002178E9" w:rsidP="00C174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7B381" w14:textId="77777777" w:rsidR="002178E9" w:rsidRPr="00C17404" w:rsidRDefault="002178E9" w:rsidP="00C174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6D973" w14:textId="77777777" w:rsidR="002178E9" w:rsidRPr="00C17404" w:rsidRDefault="002178E9" w:rsidP="00C174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44DC" w14:textId="77777777" w:rsidR="002178E9" w:rsidRDefault="002178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F864" w14:textId="77777777" w:rsidR="002178E9" w:rsidRPr="00C17404" w:rsidRDefault="002178E9" w:rsidP="00C1740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C0CEE" w14:textId="77777777" w:rsidR="002178E9" w:rsidRDefault="0021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A9377" w14:textId="77777777" w:rsidR="008C3AD9" w:rsidRDefault="008C3AD9" w:rsidP="00786D98">
      <w:pPr>
        <w:spacing w:before="0" w:after="0" w:line="240" w:lineRule="auto"/>
      </w:pPr>
      <w:r>
        <w:separator/>
      </w:r>
    </w:p>
  </w:footnote>
  <w:footnote w:type="continuationSeparator" w:id="0">
    <w:p w14:paraId="382A1FC1" w14:textId="77777777" w:rsidR="008C3AD9" w:rsidRDefault="008C3AD9" w:rsidP="00B649EB">
      <w:pPr>
        <w:spacing w:before="0" w:after="0" w:line="240" w:lineRule="auto"/>
      </w:pPr>
      <w:r>
        <w:continuationSeparator/>
      </w:r>
    </w:p>
    <w:p w14:paraId="431106EE" w14:textId="77777777" w:rsidR="008C3AD9" w:rsidRDefault="008C3AD9"/>
  </w:footnote>
  <w:footnote w:id="1">
    <w:p w14:paraId="7A2336CB" w14:textId="1DB5F6F0" w:rsidR="002178E9" w:rsidRDefault="002178E9">
      <w:pPr>
        <w:pStyle w:val="FootnoteText"/>
      </w:pPr>
      <w:r>
        <w:rPr>
          <w:rStyle w:val="FootnoteReference"/>
        </w:rPr>
        <w:footnoteRef/>
      </w:r>
      <w:r>
        <w:t xml:space="preserve"> </w:t>
      </w:r>
      <w:r w:rsidRPr="008D0CCB">
        <w:t>BITRE (2019) Australian sea freight 2016-17.</w:t>
      </w:r>
    </w:p>
  </w:footnote>
  <w:footnote w:id="2">
    <w:p w14:paraId="272C7F1E" w14:textId="77777777" w:rsidR="002178E9" w:rsidRDefault="002178E9" w:rsidP="008D0CCB">
      <w:pPr>
        <w:pStyle w:val="FootnoteText"/>
        <w:spacing w:after="0"/>
      </w:pPr>
      <w:r>
        <w:rPr>
          <w:rStyle w:val="FootnoteReference"/>
        </w:rPr>
        <w:footnoteRef/>
      </w:r>
      <w:r>
        <w:t xml:space="preserve"> Note: AMSA is currently in the process of testing the extent of their powers in a current court case against</w:t>
      </w:r>
    </w:p>
    <w:p w14:paraId="7115675B" w14:textId="77777777" w:rsidR="002178E9" w:rsidRDefault="002178E9" w:rsidP="008D0CCB">
      <w:pPr>
        <w:pStyle w:val="FootnoteText"/>
        <w:spacing w:after="0"/>
      </w:pPr>
      <w:r>
        <w:t>the YM Efficiency using a range of other Acts. The initial hearing is scheduled for July 2021. If this case</w:t>
      </w:r>
    </w:p>
    <w:p w14:paraId="5D2AF682" w14:textId="77777777" w:rsidR="002178E9" w:rsidRDefault="002178E9" w:rsidP="008D0CCB">
      <w:pPr>
        <w:pStyle w:val="FootnoteText"/>
        <w:spacing w:after="0"/>
      </w:pPr>
      <w:r>
        <w:t>proceeds to a final judgement, then it is possible that a precedent will be set demonstrating that AMSA</w:t>
      </w:r>
    </w:p>
    <w:p w14:paraId="543FBB28" w14:textId="77777777" w:rsidR="002178E9" w:rsidRDefault="002178E9" w:rsidP="008D0CCB">
      <w:pPr>
        <w:pStyle w:val="FootnoteText"/>
        <w:spacing w:after="0"/>
      </w:pPr>
      <w:r>
        <w:t>effectively has at least some of the same additional powers as would be granted under the Nairobi</w:t>
      </w:r>
    </w:p>
    <w:p w14:paraId="2BFBD6E2" w14:textId="77777777" w:rsidR="002178E9" w:rsidRDefault="002178E9" w:rsidP="008D0CCB">
      <w:pPr>
        <w:pStyle w:val="FootnoteText"/>
        <w:spacing w:after="0"/>
      </w:pPr>
      <w:r>
        <w:t>Convention. Similarly, failure in court to recover additional costs from YM Efficiency could verify the current</w:t>
      </w:r>
    </w:p>
    <w:p w14:paraId="776F5E69" w14:textId="77777777" w:rsidR="002178E9" w:rsidRDefault="002178E9" w:rsidP="008D0CCB">
      <w:pPr>
        <w:pStyle w:val="FootnoteText"/>
        <w:spacing w:after="0"/>
      </w:pPr>
      <w:r>
        <w:t>perceived limits of AMSA’s powers, thereby demonstrating that accession to the Nairobi Convention is</w:t>
      </w:r>
    </w:p>
    <w:p w14:paraId="29823EE0" w14:textId="0685D8D6" w:rsidR="002178E9" w:rsidRDefault="002178E9" w:rsidP="008D0CCB">
      <w:pPr>
        <w:pStyle w:val="FootnoteText"/>
        <w:spacing w:after="0"/>
      </w:pPr>
      <w:r>
        <w:t>required to close the current gaps.</w:t>
      </w:r>
    </w:p>
  </w:footnote>
  <w:footnote w:id="3">
    <w:p w14:paraId="28DEEC73" w14:textId="678281FC" w:rsidR="002178E9" w:rsidRPr="00DE4A4F" w:rsidRDefault="002178E9">
      <w:pPr>
        <w:pStyle w:val="FootnoteText"/>
        <w:rPr>
          <w:lang w:val="en-US"/>
        </w:rPr>
      </w:pPr>
      <w:r>
        <w:rPr>
          <w:rStyle w:val="FootnoteReference"/>
        </w:rPr>
        <w:footnoteRef/>
      </w:r>
      <w:r>
        <w:t xml:space="preserve"> </w:t>
      </w:r>
      <w:r w:rsidRPr="00DE4A4F">
        <w:t>https://www.bbc.com/news/uk-england-devon-38657674</w:t>
      </w:r>
    </w:p>
  </w:footnote>
  <w:footnote w:id="4">
    <w:p w14:paraId="70F56BB4" w14:textId="5EDFBFF5" w:rsidR="002178E9" w:rsidRPr="00C373BF" w:rsidRDefault="002178E9">
      <w:pPr>
        <w:pStyle w:val="FootnoteText"/>
        <w:rPr>
          <w:lang w:val="en-US"/>
        </w:rPr>
      </w:pPr>
      <w:r>
        <w:rPr>
          <w:rStyle w:val="FootnoteReference"/>
        </w:rPr>
        <w:footnoteRef/>
      </w:r>
      <w:r>
        <w:t xml:space="preserve"> </w:t>
      </w:r>
      <w:r w:rsidRPr="00C373BF">
        <w:t>http://www.grahamswebdesign.com/salvage-vessel-tricolor.html</w:t>
      </w:r>
    </w:p>
  </w:footnote>
  <w:footnote w:id="5">
    <w:p w14:paraId="514949AF" w14:textId="52EAAFAF" w:rsidR="002178E9" w:rsidRPr="00E9354D" w:rsidRDefault="002178E9">
      <w:pPr>
        <w:pStyle w:val="FootnoteText"/>
        <w:rPr>
          <w:lang w:val="en-US"/>
        </w:rPr>
      </w:pPr>
      <w:r>
        <w:rPr>
          <w:rStyle w:val="FootnoteReference"/>
        </w:rPr>
        <w:footnoteRef/>
      </w:r>
      <w:r>
        <w:t xml:space="preserve"> </w:t>
      </w:r>
      <w:hyperlink r:id="rId1" w:history="1">
        <w:r w:rsidRPr="00D71210">
          <w:rPr>
            <w:rStyle w:val="Hyperlink"/>
          </w:rPr>
          <w:t>https://www.pmc.gov.au/resource-centre/regulation/user-guide-australian-government-guide-regulatory-impact-analysis</w:t>
        </w:r>
      </w:hyperlink>
      <w:hyperlink r:id="rId2" w:history="1">
        <w:r w:rsidRPr="00D71210">
          <w:rPr>
            <w:rStyle w:val="Hyperlink"/>
          </w:rPr>
          <w:t xml:space="preserve"> dated March 2020</w:t>
        </w:r>
      </w:hyperlink>
      <w:r>
        <w:t>.</w:t>
      </w:r>
    </w:p>
  </w:footnote>
  <w:footnote w:id="6">
    <w:p w14:paraId="59589868" w14:textId="1062B2DB" w:rsidR="002178E9" w:rsidRPr="00E9354D" w:rsidRDefault="002178E9">
      <w:pPr>
        <w:pStyle w:val="FootnoteText"/>
        <w:rPr>
          <w:lang w:val="en-US"/>
        </w:rPr>
      </w:pPr>
      <w:r>
        <w:rPr>
          <w:rStyle w:val="FootnoteReference"/>
        </w:rPr>
        <w:footnoteRef/>
      </w:r>
      <w:r>
        <w:t xml:space="preserve"> </w:t>
      </w:r>
      <w:hyperlink r:id="rId3" w:history="1">
        <w:r w:rsidRPr="00D71210">
          <w:rPr>
            <w:rStyle w:val="Hyperlink"/>
          </w:rPr>
          <w:t>https://pmc.gov.au/resource-centre/regulation/cost-benefit-analysis-guidance-note</w:t>
        </w:r>
      </w:hyperlink>
    </w:p>
  </w:footnote>
  <w:footnote w:id="7">
    <w:p w14:paraId="62B7ACAF" w14:textId="1C1516D0" w:rsidR="002178E9" w:rsidRDefault="002178E9">
      <w:pPr>
        <w:pStyle w:val="FootnoteText"/>
      </w:pPr>
      <w:r>
        <w:rPr>
          <w:rStyle w:val="FootnoteReference"/>
        </w:rPr>
        <w:footnoteRef/>
      </w:r>
      <w:r>
        <w:t xml:space="preserve"> </w:t>
      </w:r>
      <w:r w:rsidRPr="0070035D">
        <w:t>Department of Infrastructure, Transport, Regional Development and Communications - a Discussion Paper to examine whether accession to the Nairobi Convention would benefit Australia.</w:t>
      </w:r>
    </w:p>
  </w:footnote>
  <w:footnote w:id="8">
    <w:p w14:paraId="0070683C" w14:textId="2AACABB4" w:rsidR="002178E9" w:rsidRPr="00684C69" w:rsidRDefault="002178E9">
      <w:pPr>
        <w:pStyle w:val="FootnoteText"/>
        <w:rPr>
          <w:lang w:val="en-US"/>
        </w:rPr>
      </w:pPr>
      <w:r>
        <w:rPr>
          <w:rStyle w:val="FootnoteReference"/>
        </w:rPr>
        <w:footnoteRef/>
      </w:r>
      <w:r>
        <w:t xml:space="preserve"> </w:t>
      </w:r>
      <w:r>
        <w:rPr>
          <w:lang w:val="en-US"/>
        </w:rPr>
        <w:t xml:space="preserve">Department of Transport (2010), Impact Assessment of the Wreck Removal Convention Bill. </w:t>
      </w:r>
      <w:r w:rsidRPr="003F0DB9">
        <w:rPr>
          <w:lang w:val="en-US"/>
        </w:rPr>
        <w:t>https://www.legislation.gov.uk/ukia/2010/249/pdfs/ukia_20100249_en.pdf</w:t>
      </w:r>
    </w:p>
  </w:footnote>
  <w:footnote w:id="9">
    <w:p w14:paraId="30746AD3" w14:textId="10F4EEF0" w:rsidR="002178E9" w:rsidRPr="00E05D67" w:rsidRDefault="002178E9">
      <w:pPr>
        <w:pStyle w:val="FootnoteText"/>
        <w:rPr>
          <w:lang w:val="en-US"/>
        </w:rPr>
      </w:pPr>
      <w:r>
        <w:rPr>
          <w:rStyle w:val="FootnoteReference"/>
        </w:rPr>
        <w:footnoteRef/>
      </w:r>
      <w:r>
        <w:t xml:space="preserve"> </w:t>
      </w:r>
      <w:r w:rsidRPr="00E05D67">
        <w:t>https://www.amsa.gov.au/marine-environment/pollution-response/polluter-pays-security-costs</w:t>
      </w:r>
    </w:p>
  </w:footnote>
  <w:footnote w:id="10">
    <w:p w14:paraId="2C7597C8" w14:textId="4C25BA0B" w:rsidR="002178E9" w:rsidRPr="00B72E65" w:rsidRDefault="002178E9">
      <w:pPr>
        <w:pStyle w:val="FootnoteText"/>
        <w:rPr>
          <w:lang w:val="en-US"/>
        </w:rPr>
      </w:pPr>
      <w:r>
        <w:rPr>
          <w:rStyle w:val="FootnoteReference"/>
        </w:rPr>
        <w:footnoteRef/>
      </w:r>
      <w:r>
        <w:t xml:space="preserve"> </w:t>
      </w:r>
      <w:r w:rsidRPr="00AA2AF7">
        <w:t>https://www.bitre.gov.au/publications/2019/australian-sea-freight-2016-17</w:t>
      </w:r>
      <w:r>
        <w:t>.</w:t>
      </w:r>
    </w:p>
  </w:footnote>
  <w:footnote w:id="11">
    <w:p w14:paraId="004EFBC9" w14:textId="77777777" w:rsidR="002178E9" w:rsidRPr="00AA2AF7" w:rsidRDefault="002178E9" w:rsidP="0070035D">
      <w:pPr>
        <w:pStyle w:val="FootnoteText"/>
        <w:rPr>
          <w:lang w:val="en-US"/>
        </w:rPr>
      </w:pPr>
      <w:r>
        <w:rPr>
          <w:rStyle w:val="FootnoteReference"/>
        </w:rPr>
        <w:footnoteRef/>
      </w:r>
      <w:r>
        <w:t xml:space="preserve"> </w:t>
      </w:r>
      <w:r w:rsidRPr="00AA2AF7">
        <w:t>https://www.bitre.gov.au/publications/2019/australian-sea-freight-2016-17</w:t>
      </w:r>
      <w:r>
        <w:t>.</w:t>
      </w:r>
    </w:p>
  </w:footnote>
  <w:footnote w:id="12">
    <w:p w14:paraId="0BF33203" w14:textId="7A5F62AD" w:rsidR="002178E9" w:rsidRPr="00E158A2" w:rsidRDefault="002178E9">
      <w:pPr>
        <w:pStyle w:val="FootnoteText"/>
        <w:rPr>
          <w:lang w:val="en-US"/>
        </w:rPr>
      </w:pPr>
      <w:r>
        <w:rPr>
          <w:rStyle w:val="FootnoteReference"/>
        </w:rPr>
        <w:footnoteRef/>
      </w:r>
      <w:r>
        <w:t xml:space="preserve"> </w:t>
      </w:r>
      <w:r w:rsidRPr="00B003DB">
        <w:t>AMSA (2020), Annual Report.</w:t>
      </w:r>
    </w:p>
  </w:footnote>
  <w:footnote w:id="13">
    <w:p w14:paraId="510E803A" w14:textId="3686DB97" w:rsidR="002178E9" w:rsidRPr="00E158A2" w:rsidRDefault="002178E9">
      <w:pPr>
        <w:pStyle w:val="FootnoteText"/>
        <w:rPr>
          <w:lang w:val="en-US"/>
        </w:rPr>
      </w:pPr>
      <w:r>
        <w:rPr>
          <w:rStyle w:val="FootnoteReference"/>
        </w:rPr>
        <w:footnoteRef/>
      </w:r>
      <w:r>
        <w:t xml:space="preserve"> DRAFT RIS Australia’s accession to the Nairobi Convention 2021.</w:t>
      </w:r>
    </w:p>
  </w:footnote>
  <w:footnote w:id="14">
    <w:p w14:paraId="66C4A361" w14:textId="022A38BB" w:rsidR="002178E9" w:rsidRPr="0070035D" w:rsidRDefault="002178E9" w:rsidP="00B003DB">
      <w:pPr>
        <w:pStyle w:val="FootnoteText"/>
        <w:rPr>
          <w:rFonts w:ascii="ArialNarrow" w:eastAsia="Times New Roman" w:hAnsi="ArialNarrow" w:cs="ArialNarrow"/>
          <w:szCs w:val="24"/>
          <w:lang w:val="x-none"/>
        </w:rPr>
      </w:pPr>
      <w:r>
        <w:rPr>
          <w:rStyle w:val="FootnoteReference"/>
        </w:rPr>
        <w:footnoteRef/>
      </w:r>
      <w:r>
        <w:t xml:space="preserve"> </w:t>
      </w:r>
      <w:r w:rsidRPr="00B003DB">
        <w:t>https://www.amsa.gov.au/news-community/news-and-media-releases/ship-navios-unite-loses-threecontainers-cape-leeuwin-wa</w:t>
      </w:r>
    </w:p>
  </w:footnote>
  <w:footnote w:id="15">
    <w:p w14:paraId="252233FD" w14:textId="635390EA" w:rsidR="002178E9" w:rsidRPr="0070035D" w:rsidRDefault="002178E9" w:rsidP="00B003DB">
      <w:pPr>
        <w:pStyle w:val="FootnoteText"/>
        <w:rPr>
          <w:rFonts w:ascii="ArialNarrow" w:eastAsia="Times New Roman" w:hAnsi="ArialNarrow" w:cs="ArialNarrow"/>
          <w:szCs w:val="24"/>
          <w:lang w:val="x-none"/>
        </w:rPr>
      </w:pPr>
      <w:r>
        <w:rPr>
          <w:rStyle w:val="FootnoteReference"/>
        </w:rPr>
        <w:footnoteRef/>
      </w:r>
      <w:r>
        <w:t xml:space="preserve"> </w:t>
      </w:r>
      <w:r w:rsidRPr="00B003DB">
        <w:t>https://www.amsa.gov.au/news-community/campaigns/apl-england-container-loss</w:t>
      </w:r>
    </w:p>
  </w:footnote>
  <w:footnote w:id="16">
    <w:p w14:paraId="4772FE4A" w14:textId="3ACB793E" w:rsidR="002178E9" w:rsidRPr="0070035D" w:rsidRDefault="002178E9" w:rsidP="00B003DB">
      <w:pPr>
        <w:pStyle w:val="FootnoteText"/>
        <w:rPr>
          <w:rFonts w:ascii="ArialNarrow" w:eastAsia="Times New Roman" w:hAnsi="ArialNarrow" w:cs="ArialNarrow"/>
          <w:szCs w:val="24"/>
          <w:lang w:val="x-none"/>
        </w:rPr>
      </w:pPr>
      <w:r>
        <w:rPr>
          <w:rStyle w:val="FootnoteReference"/>
        </w:rPr>
        <w:footnoteRef/>
      </w:r>
      <w:r>
        <w:t xml:space="preserve"> </w:t>
      </w:r>
      <w:r w:rsidRPr="00B003DB">
        <w:t>https://www.amsa.gov.au/news-community/campaigns/operation-recovery-ym-efficiency-factsheet</w:t>
      </w:r>
    </w:p>
  </w:footnote>
  <w:footnote w:id="17">
    <w:p w14:paraId="5570AFA8" w14:textId="6F0450A6" w:rsidR="002178E9" w:rsidRPr="00D65971" w:rsidRDefault="002178E9">
      <w:pPr>
        <w:pStyle w:val="FootnoteText"/>
        <w:rPr>
          <w:lang w:val="en-US"/>
        </w:rPr>
      </w:pPr>
      <w:r>
        <w:rPr>
          <w:rStyle w:val="FootnoteReference"/>
        </w:rPr>
        <w:footnoteRef/>
      </w:r>
      <w:r>
        <w:t xml:space="preserve"> </w:t>
      </w:r>
      <w:r w:rsidRPr="00D65971">
        <w:t>https://www.payscale.com/research/AU/Job=Marine_Engineer/Salary</w:t>
      </w:r>
    </w:p>
  </w:footnote>
  <w:footnote w:id="18">
    <w:p w14:paraId="37956CD8" w14:textId="496F9EDF" w:rsidR="002178E9" w:rsidRPr="00AD0771" w:rsidRDefault="002178E9">
      <w:pPr>
        <w:pStyle w:val="FootnoteText"/>
        <w:rPr>
          <w:lang w:val="nl-NL"/>
        </w:rPr>
      </w:pPr>
      <w:r>
        <w:rPr>
          <w:rStyle w:val="FootnoteReference"/>
        </w:rPr>
        <w:footnoteRef/>
      </w:r>
      <w:r w:rsidRPr="00AD0771">
        <w:rPr>
          <w:lang w:val="nl-NL"/>
        </w:rPr>
        <w:t xml:space="preserve"> AMSA 2021, https://www.amsa.gov.au/forms/application-certificate-insurance-bunkers-convention-vessels-other-tankers-over-1000-gt</w:t>
      </w:r>
    </w:p>
  </w:footnote>
  <w:footnote w:id="19">
    <w:p w14:paraId="6EF832A7" w14:textId="77777777" w:rsidR="002178E9" w:rsidRPr="00B3405D" w:rsidRDefault="002178E9">
      <w:pPr>
        <w:pStyle w:val="FootnoteText"/>
        <w:rPr>
          <w:lang w:val="en-US"/>
        </w:rPr>
      </w:pPr>
      <w:r>
        <w:rPr>
          <w:rStyle w:val="FootnoteReference"/>
        </w:rPr>
        <w:footnoteRef/>
      </w:r>
      <w:r>
        <w:t xml:space="preserve"> </w:t>
      </w:r>
      <w:r>
        <w:rPr>
          <w:lang w:val="en-US"/>
        </w:rPr>
        <w:t xml:space="preserve">March Ltd (2019), </w:t>
      </w:r>
      <w:r w:rsidRPr="00B3405D">
        <w:rPr>
          <w:lang w:val="en-US"/>
        </w:rPr>
        <w:t>P&amp;I Review 2019</w:t>
      </w:r>
      <w:r>
        <w:rPr>
          <w:lang w:val="en-US"/>
        </w:rPr>
        <w:t xml:space="preserve">, </w:t>
      </w:r>
      <w:r w:rsidRPr="00B3405D">
        <w:rPr>
          <w:lang w:val="en-US"/>
        </w:rPr>
        <w:t>https://www.marsh.com/us/insights/research/protection-and-indemnity-review-2019.html</w:t>
      </w:r>
    </w:p>
  </w:footnote>
  <w:footnote w:id="20">
    <w:p w14:paraId="13D3E4D0" w14:textId="35742CB6" w:rsidR="002178E9" w:rsidRDefault="002178E9">
      <w:pPr>
        <w:pStyle w:val="FootnoteText"/>
      </w:pPr>
      <w:r>
        <w:rPr>
          <w:rStyle w:val="FootnoteReference"/>
        </w:rPr>
        <w:footnoteRef/>
      </w:r>
      <w:r>
        <w:t xml:space="preserve"> </w:t>
      </w:r>
      <w:hyperlink r:id="rId4" w:history="1">
        <w:r w:rsidRPr="005F6FB4">
          <w:rPr>
            <w:rStyle w:val="Hyperlink"/>
          </w:rPr>
          <w:t>https://www.msq.qld.gov.au/-/media/MSQInternet/MSQFiles/Home/WoW-Taskforce-Interim-Report-March-2019.pdf?la=en</w:t>
        </w:r>
      </w:hyperlink>
    </w:p>
    <w:p w14:paraId="1F56F6E2" w14:textId="7736188F" w:rsidR="002178E9" w:rsidRPr="001954B4" w:rsidRDefault="002178E9" w:rsidP="001954B4">
      <w:pPr>
        <w:pStyle w:val="FootnoteText"/>
      </w:pPr>
      <w:r w:rsidRPr="001954B4">
        <w:rPr>
          <w:lang w:val="en-US"/>
        </w:rPr>
        <w:t>This average cost was current at 2019 and would vary overtime depending on the type and location of the wrecks to be removed. At least one vessel identified in the Report on War on Wrecks far exceeded the 2019 average cost.</w:t>
      </w:r>
      <w:r>
        <w:t xml:space="preserve"> </w:t>
      </w:r>
    </w:p>
  </w:footnote>
  <w:footnote w:id="21">
    <w:p w14:paraId="1C3F12C1" w14:textId="44E421F3" w:rsidR="002178E9" w:rsidRPr="003F0DB9" w:rsidRDefault="002178E9" w:rsidP="00CE5238">
      <w:pPr>
        <w:pStyle w:val="FootnoteText"/>
        <w:rPr>
          <w:lang w:val="en-US"/>
        </w:rPr>
      </w:pPr>
      <w:r>
        <w:rPr>
          <w:rStyle w:val="FootnoteReference"/>
        </w:rPr>
        <w:footnoteRef/>
      </w:r>
      <w:r>
        <w:t xml:space="preserve"> </w:t>
      </w:r>
      <w:r>
        <w:rPr>
          <w:lang w:val="en-US"/>
        </w:rPr>
        <w:t xml:space="preserve">Department of Transport (2010), Impact Assessment of the Wreck Removal Convention Bill. </w:t>
      </w:r>
      <w:hyperlink r:id="rId5" w:history="1">
        <w:r w:rsidRPr="005F6FB4">
          <w:rPr>
            <w:rStyle w:val="Hyperlink"/>
            <w:lang w:val="en-US"/>
          </w:rPr>
          <w:t>https://www.legislation.gov.uk/ukia/2010/249/pdfs/ukia_20100249_en.pdf</w:t>
        </w:r>
      </w:hyperlink>
      <w:r>
        <w:rPr>
          <w:lang w:val="en-US"/>
        </w:rPr>
        <w:t xml:space="preserve"> </w:t>
      </w:r>
    </w:p>
  </w:footnote>
  <w:footnote w:id="22">
    <w:p w14:paraId="7836D498" w14:textId="5DB0ED43" w:rsidR="002178E9" w:rsidRDefault="002178E9">
      <w:pPr>
        <w:pStyle w:val="FootnoteText"/>
      </w:pPr>
      <w:r>
        <w:rPr>
          <w:rStyle w:val="FootnoteReference"/>
        </w:rPr>
        <w:footnoteRef/>
      </w:r>
      <w:r>
        <w:t xml:space="preserve"> </w:t>
      </w:r>
      <w:r w:rsidRPr="00B17C7A">
        <w:t>Article 12(9) of the Nairobi International Convention on the Removal of Wrecks, 2007</w:t>
      </w:r>
    </w:p>
  </w:footnote>
  <w:footnote w:id="23">
    <w:p w14:paraId="3EABBC9C" w14:textId="46DB61B5" w:rsidR="002178E9" w:rsidRDefault="002178E9">
      <w:pPr>
        <w:pStyle w:val="FootnoteText"/>
      </w:pPr>
      <w:r>
        <w:rPr>
          <w:rStyle w:val="FootnoteReference"/>
        </w:rPr>
        <w:footnoteRef/>
      </w:r>
      <w:r>
        <w:t xml:space="preserve"> </w:t>
      </w:r>
      <w:r w:rsidRPr="00B17C7A">
        <w:t>Article 12(2) of the Nairobi International Convention on the Removal of Wrecks, 2007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CC3E" w14:textId="77777777" w:rsidR="000263D5" w:rsidRDefault="000263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ACED" w14:textId="77777777" w:rsidR="002178E9" w:rsidRPr="001E5CAD" w:rsidRDefault="002178E9" w:rsidP="001E5C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762737A3" w14:textId="77777777" w:rsidTr="001E5CAD">
      <w:trPr>
        <w:trHeight w:hRule="exact" w:val="356"/>
      </w:trPr>
      <w:tc>
        <w:tcPr>
          <w:tcW w:w="5182" w:type="dxa"/>
          <w:shd w:val="clear" w:color="auto" w:fill="auto"/>
        </w:tcPr>
        <w:p w14:paraId="0E113AE3" w14:textId="250DE802" w:rsidR="002178E9" w:rsidRDefault="002178E9" w:rsidP="001E5CAD">
          <w:pPr>
            <w:pStyle w:val="spacer"/>
          </w:pPr>
          <w:r>
            <w:rPr>
              <w:noProof/>
              <w:lang w:eastAsia="en-AU"/>
            </w:rPr>
            <mc:AlternateContent>
              <mc:Choice Requires="wpg">
                <w:drawing>
                  <wp:anchor distT="0" distB="0" distL="114300" distR="114300" simplePos="0" relativeHeight="251679744" behindDoc="0" locked="1" layoutInCell="1" allowOverlap="1" wp14:anchorId="45F32A4B" wp14:editId="46758220">
                    <wp:simplePos x="0" y="0"/>
                    <wp:positionH relativeFrom="page">
                      <wp:posOffset>0</wp:posOffset>
                    </wp:positionH>
                    <wp:positionV relativeFrom="page">
                      <wp:posOffset>69850</wp:posOffset>
                    </wp:positionV>
                    <wp:extent cx="981075" cy="142875"/>
                    <wp:effectExtent l="0" t="0" r="0" b="0"/>
                    <wp:wrapNone/>
                    <wp:docPr id="36"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37" name="Rectangle 37"/>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3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49C836" id="logo_AAC_TandG" o:spid="_x0000_s1026" style="position:absolute;margin-left:0;margin-top:5.5pt;width:77.25pt;height:11.25pt;z-index:25167974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">
                    <o:lock v:ext="edit" aspectratio="t"/>
                    <v:rect id="Rectangle 3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460CDA80" w14:textId="77777777" w:rsidR="002178E9" w:rsidRDefault="002178E9" w:rsidP="001E5CAD">
          <w:pPr>
            <w:pStyle w:val="Header-CompanyName"/>
          </w:pPr>
        </w:p>
      </w:tc>
    </w:tr>
  </w:tbl>
  <w:p w14:paraId="137CD8D7" w14:textId="77777777" w:rsidR="002178E9" w:rsidRPr="001E5CAD" w:rsidRDefault="002178E9" w:rsidP="001E5CA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32680" w14:textId="77777777" w:rsidR="002178E9" w:rsidRPr="001E5CAD" w:rsidRDefault="002178E9" w:rsidP="001E5C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A0118" w14:textId="77777777" w:rsidR="002178E9" w:rsidRDefault="002178E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5338BD73" w14:textId="77777777" w:rsidTr="00C17404">
      <w:trPr>
        <w:trHeight w:hRule="exact" w:val="356"/>
      </w:trPr>
      <w:tc>
        <w:tcPr>
          <w:tcW w:w="5182" w:type="dxa"/>
          <w:shd w:val="clear" w:color="auto" w:fill="auto"/>
        </w:tcPr>
        <w:p w14:paraId="49C90598" w14:textId="7F54522E" w:rsidR="002178E9" w:rsidRDefault="002178E9" w:rsidP="00C17404">
          <w:pPr>
            <w:pStyle w:val="spacer"/>
          </w:pPr>
          <w:r>
            <w:rPr>
              <w:noProof/>
              <w:lang w:eastAsia="en-AU"/>
            </w:rPr>
            <mc:AlternateContent>
              <mc:Choice Requires="wpg">
                <w:drawing>
                  <wp:anchor distT="0" distB="0" distL="114300" distR="114300" simplePos="0" relativeHeight="251661312" behindDoc="0" locked="1" layoutInCell="1" allowOverlap="1" wp14:anchorId="31C5B579" wp14:editId="0503D6CE">
                    <wp:simplePos x="0" y="0"/>
                    <wp:positionH relativeFrom="page">
                      <wp:posOffset>0</wp:posOffset>
                    </wp:positionH>
                    <wp:positionV relativeFrom="page">
                      <wp:posOffset>69850</wp:posOffset>
                    </wp:positionV>
                    <wp:extent cx="981075" cy="142875"/>
                    <wp:effectExtent l="0" t="0" r="0" b="0"/>
                    <wp:wrapNone/>
                    <wp:docPr id="4"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8" name="Rectangle 3"/>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8B493A" id="logo_AAC_TandG" o:spid="_x0000_s1026" style="position:absolute;margin-left:0;margin-top:5.5pt;width:77.25pt;height:11.25pt;z-index:25166131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">
                    <o:lock v:ext="edit" aspectratio="t"/>
                    <v:rect id="Rectangle 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3FE870B6" w14:textId="77777777" w:rsidR="002178E9" w:rsidRDefault="002178E9" w:rsidP="00C17404">
          <w:pPr>
            <w:pStyle w:val="Header-CompanyName"/>
          </w:pPr>
        </w:p>
      </w:tc>
    </w:tr>
  </w:tbl>
  <w:p w14:paraId="42C8BB9F" w14:textId="77777777" w:rsidR="002178E9" w:rsidRPr="00C17404" w:rsidRDefault="002178E9" w:rsidP="00C174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8F745" w14:textId="77777777" w:rsidR="002178E9" w:rsidRDefault="002178E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7635" w14:textId="77777777" w:rsidR="002178E9" w:rsidRPr="001E5CAD" w:rsidRDefault="002178E9" w:rsidP="001E5C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6CC3C48B" w14:textId="77777777" w:rsidTr="001E5CAD">
      <w:trPr>
        <w:trHeight w:hRule="exact" w:val="356"/>
      </w:trPr>
      <w:tc>
        <w:tcPr>
          <w:tcW w:w="5182" w:type="dxa"/>
          <w:shd w:val="clear" w:color="auto" w:fill="auto"/>
        </w:tcPr>
        <w:p w14:paraId="6D234C05" w14:textId="0361A348" w:rsidR="002178E9" w:rsidRDefault="002178E9" w:rsidP="001E5CAD">
          <w:pPr>
            <w:pStyle w:val="spacer"/>
          </w:pPr>
          <w:r>
            <w:rPr>
              <w:noProof/>
              <w:lang w:eastAsia="en-AU"/>
            </w:rPr>
            <mc:AlternateContent>
              <mc:Choice Requires="wpg">
                <w:drawing>
                  <wp:anchor distT="0" distB="0" distL="114300" distR="114300" simplePos="0" relativeHeight="251683840" behindDoc="0" locked="1" layoutInCell="1" allowOverlap="1" wp14:anchorId="2445DBD7" wp14:editId="44AB86DD">
                    <wp:simplePos x="0" y="0"/>
                    <wp:positionH relativeFrom="page">
                      <wp:posOffset>0</wp:posOffset>
                    </wp:positionH>
                    <wp:positionV relativeFrom="page">
                      <wp:posOffset>69850</wp:posOffset>
                    </wp:positionV>
                    <wp:extent cx="981075" cy="142875"/>
                    <wp:effectExtent l="0" t="0" r="0" b="0"/>
                    <wp:wrapNone/>
                    <wp:docPr id="47"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48" name="Rectangle 48"/>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4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8A649D" id="logo_AAC_TandG" o:spid="_x0000_s1026" style="position:absolute;margin-left:0;margin-top:5.5pt;width:77.25pt;height:11.25pt;z-index:251683840;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">
                    <o:lock v:ext="edit" aspectratio="t"/>
                    <v:rect id="Rectangle 48"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7E2857F8" w14:textId="77777777" w:rsidR="002178E9" w:rsidRDefault="002178E9" w:rsidP="001E5CAD">
          <w:pPr>
            <w:pStyle w:val="Header-CompanyName"/>
          </w:pPr>
        </w:p>
      </w:tc>
    </w:tr>
  </w:tbl>
  <w:p w14:paraId="581B87AC" w14:textId="77777777" w:rsidR="002178E9" w:rsidRPr="001E5CAD" w:rsidRDefault="002178E9" w:rsidP="001E5C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1C73" w14:textId="77777777" w:rsidR="002178E9" w:rsidRPr="001E5CAD" w:rsidRDefault="002178E9" w:rsidP="001E5C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EABC" w14:textId="77777777" w:rsidR="002178E9" w:rsidRPr="009A7908" w:rsidRDefault="002178E9" w:rsidP="009A7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6F1E2" w14:textId="77777777" w:rsidR="000263D5" w:rsidRDefault="000263D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4E71D4AB" w14:textId="77777777" w:rsidTr="009A7908">
      <w:trPr>
        <w:trHeight w:hRule="exact" w:val="356"/>
      </w:trPr>
      <w:tc>
        <w:tcPr>
          <w:tcW w:w="5182" w:type="dxa"/>
          <w:shd w:val="clear" w:color="auto" w:fill="auto"/>
        </w:tcPr>
        <w:p w14:paraId="71EC0639" w14:textId="7AEB1A52" w:rsidR="002178E9" w:rsidRDefault="002178E9" w:rsidP="009A7908">
          <w:pPr>
            <w:pStyle w:val="spacer"/>
          </w:pPr>
          <w:r>
            <w:rPr>
              <w:noProof/>
              <w:lang w:eastAsia="en-AU"/>
            </w:rPr>
            <mc:AlternateContent>
              <mc:Choice Requires="wpg">
                <w:drawing>
                  <wp:anchor distT="0" distB="0" distL="114300" distR="114300" simplePos="0" relativeHeight="251692032" behindDoc="0" locked="1" layoutInCell="1" allowOverlap="1" wp14:anchorId="4385165C" wp14:editId="17AA4A25">
                    <wp:simplePos x="0" y="0"/>
                    <wp:positionH relativeFrom="page">
                      <wp:posOffset>0</wp:posOffset>
                    </wp:positionH>
                    <wp:positionV relativeFrom="page">
                      <wp:posOffset>69850</wp:posOffset>
                    </wp:positionV>
                    <wp:extent cx="981075" cy="142875"/>
                    <wp:effectExtent l="0" t="0" r="0" b="0"/>
                    <wp:wrapNone/>
                    <wp:docPr id="16"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9" name="Rectangle 59"/>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6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2A2C72" id="logo_AAC_TandG" o:spid="_x0000_s1026" style="position:absolute;margin-left:0;margin-top:5.5pt;width:77.25pt;height:11.25pt;z-index:251692032;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">
                    <o:lock v:ext="edit" aspectratio="t"/>
                    <v:rect id="Rectangle 59"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6B7A642" w14:textId="77777777" w:rsidR="002178E9" w:rsidRDefault="002178E9" w:rsidP="009A7908">
          <w:pPr>
            <w:pStyle w:val="Header-CompanyName"/>
          </w:pPr>
        </w:p>
      </w:tc>
    </w:tr>
  </w:tbl>
  <w:p w14:paraId="1897BCCD" w14:textId="77777777" w:rsidR="002178E9" w:rsidRPr="009A7908" w:rsidRDefault="002178E9" w:rsidP="009A790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9CAB" w14:textId="77777777" w:rsidR="002178E9" w:rsidRPr="009A7908" w:rsidRDefault="002178E9" w:rsidP="009A790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0A16" w14:textId="77777777" w:rsidR="002178E9" w:rsidRPr="00D7619D" w:rsidRDefault="002178E9" w:rsidP="00D7619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725B7E91" w14:textId="77777777" w:rsidTr="00D7619D">
      <w:trPr>
        <w:trHeight w:hRule="exact" w:val="356"/>
      </w:trPr>
      <w:tc>
        <w:tcPr>
          <w:tcW w:w="5182" w:type="dxa"/>
          <w:shd w:val="clear" w:color="auto" w:fill="auto"/>
        </w:tcPr>
        <w:p w14:paraId="4AD7AF71" w14:textId="0C080283" w:rsidR="002178E9" w:rsidRDefault="002178E9" w:rsidP="00D7619D">
          <w:pPr>
            <w:pStyle w:val="spacer"/>
          </w:pPr>
          <w:r>
            <w:rPr>
              <w:noProof/>
              <w:lang w:eastAsia="en-AU"/>
            </w:rPr>
            <mc:AlternateContent>
              <mc:Choice Requires="wpg">
                <w:drawing>
                  <wp:anchor distT="0" distB="0" distL="114300" distR="114300" simplePos="0" relativeHeight="251689984" behindDoc="0" locked="1" layoutInCell="1" allowOverlap="1" wp14:anchorId="540E1CF8" wp14:editId="70230F1F">
                    <wp:simplePos x="0" y="0"/>
                    <wp:positionH relativeFrom="page">
                      <wp:posOffset>0</wp:posOffset>
                    </wp:positionH>
                    <wp:positionV relativeFrom="page">
                      <wp:posOffset>69850</wp:posOffset>
                    </wp:positionV>
                    <wp:extent cx="981075" cy="142875"/>
                    <wp:effectExtent l="0" t="0" r="0" b="0"/>
                    <wp:wrapNone/>
                    <wp:docPr id="3"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 name="Rectangle 5"/>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3ADB1E" id="logo_AAC_TandG" o:spid="_x0000_s1026" style="position:absolute;margin-left:0;margin-top:5.5pt;width:77.25pt;height:11.25pt;z-index:25168998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">
                    <o:lock v:ext="edit" aspectratio="t"/>
                    <v:rect id="Rectangle 5"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4F726362" w14:textId="77777777" w:rsidR="002178E9" w:rsidRDefault="002178E9" w:rsidP="00D7619D">
          <w:pPr>
            <w:pStyle w:val="Header-CompanyName"/>
          </w:pPr>
        </w:p>
      </w:tc>
    </w:tr>
  </w:tbl>
  <w:p w14:paraId="78BFCBDE" w14:textId="77777777" w:rsidR="002178E9" w:rsidRPr="00D7619D" w:rsidRDefault="002178E9" w:rsidP="00D7619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5BE2" w14:textId="77777777" w:rsidR="002178E9" w:rsidRPr="00D7619D" w:rsidRDefault="002178E9" w:rsidP="00D761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A419" w14:textId="77777777" w:rsidR="002178E9" w:rsidRPr="00826E33" w:rsidRDefault="002178E9" w:rsidP="00826E3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03A2A288" w14:textId="77777777" w:rsidTr="00826E33">
      <w:trPr>
        <w:trHeight w:hRule="exact" w:val="356"/>
      </w:trPr>
      <w:tc>
        <w:tcPr>
          <w:tcW w:w="5182" w:type="dxa"/>
          <w:shd w:val="clear" w:color="auto" w:fill="auto"/>
        </w:tcPr>
        <w:p w14:paraId="74E2AA36" w14:textId="19859EBD" w:rsidR="002178E9" w:rsidRDefault="002178E9" w:rsidP="00826E33">
          <w:pPr>
            <w:pStyle w:val="spacer"/>
          </w:pPr>
          <w:r>
            <w:rPr>
              <w:noProof/>
              <w:lang w:eastAsia="en-AU"/>
            </w:rPr>
            <mc:AlternateContent>
              <mc:Choice Requires="wpg">
                <w:drawing>
                  <wp:anchor distT="0" distB="0" distL="114300" distR="114300" simplePos="0" relativeHeight="251685888" behindDoc="0" locked="1" layoutInCell="1" allowOverlap="1" wp14:anchorId="272BC29E" wp14:editId="4B871D8E">
                    <wp:simplePos x="0" y="0"/>
                    <wp:positionH relativeFrom="page">
                      <wp:posOffset>0</wp:posOffset>
                    </wp:positionH>
                    <wp:positionV relativeFrom="page">
                      <wp:posOffset>69850</wp:posOffset>
                    </wp:positionV>
                    <wp:extent cx="981075" cy="142875"/>
                    <wp:effectExtent l="0" t="0" r="0" b="0"/>
                    <wp:wrapNone/>
                    <wp:docPr id="51"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2" name="Rectangle 52"/>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5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D516B0" id="logo_AAC_TandG" o:spid="_x0000_s1026" style="position:absolute;margin-left:0;margin-top:5.5pt;width:77.25pt;height:11.25pt;z-index:25168588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">
                    <o:lock v:ext="edit" aspectratio="t"/>
                    <v:rect id="Rectangle 5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36A8C537" w14:textId="77777777" w:rsidR="002178E9" w:rsidRDefault="002178E9" w:rsidP="00826E33">
          <w:pPr>
            <w:pStyle w:val="Header-CompanyName"/>
          </w:pPr>
        </w:p>
      </w:tc>
    </w:tr>
  </w:tbl>
  <w:p w14:paraId="5F5363BF" w14:textId="77777777" w:rsidR="002178E9" w:rsidRPr="00826E33" w:rsidRDefault="002178E9" w:rsidP="00826E3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408C6" w14:textId="77777777" w:rsidR="002178E9" w:rsidRPr="00826E33" w:rsidRDefault="002178E9" w:rsidP="00826E3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C3F6" w14:textId="77777777" w:rsidR="002178E9" w:rsidRDefault="002178E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2178E9" w14:paraId="09EAEFC3" w14:textId="77777777" w:rsidTr="00C17404">
      <w:trPr>
        <w:trHeight w:hRule="exact" w:val="356"/>
      </w:trPr>
      <w:tc>
        <w:tcPr>
          <w:tcW w:w="5026" w:type="dxa"/>
          <w:shd w:val="clear" w:color="auto" w:fill="auto"/>
        </w:tcPr>
        <w:p w14:paraId="588583C3" w14:textId="77777777" w:rsidR="002178E9" w:rsidRDefault="002178E9" w:rsidP="00C17404">
          <w:pPr>
            <w:pStyle w:val="spacer"/>
          </w:pPr>
        </w:p>
      </w:tc>
      <w:tc>
        <w:tcPr>
          <w:tcW w:w="5026" w:type="dxa"/>
          <w:shd w:val="clear" w:color="auto" w:fill="auto"/>
          <w:vAlign w:val="center"/>
        </w:tcPr>
        <w:p w14:paraId="151CB8D1" w14:textId="77777777" w:rsidR="002178E9" w:rsidRDefault="002178E9" w:rsidP="00C17404">
          <w:pPr>
            <w:pStyle w:val="Header-CompanyName"/>
          </w:pPr>
        </w:p>
      </w:tc>
    </w:tr>
  </w:tbl>
  <w:p w14:paraId="0DB4BE01" w14:textId="77777777" w:rsidR="002178E9" w:rsidRPr="00C17404" w:rsidRDefault="002178E9" w:rsidP="00C17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D06E" w14:textId="39E85EF4" w:rsidR="002178E9" w:rsidRPr="00C17404" w:rsidRDefault="002178E9" w:rsidP="00C17404">
    <w:pPr>
      <w:pStyle w:val="tagcoverPage"/>
    </w:pPr>
    <w:r w:rsidRPr="00B636AE">
      <w:rPr>
        <w:noProof/>
        <w:lang w:eastAsia="en-AU"/>
      </w:rPr>
      <w:drawing>
        <wp:anchor distT="0" distB="0" distL="114300" distR="114300" simplePos="0" relativeHeight="251677696" behindDoc="1" locked="1" layoutInCell="1" allowOverlap="1" wp14:anchorId="6CF75CA6" wp14:editId="68AA2F35">
          <wp:simplePos x="0" y="0"/>
          <wp:positionH relativeFrom="page">
            <wp:posOffset>727075</wp:posOffset>
          </wp:positionH>
          <wp:positionV relativeFrom="page">
            <wp:posOffset>5901055</wp:posOffset>
          </wp:positionV>
          <wp:extent cx="6106320" cy="4064760"/>
          <wp:effectExtent l="0" t="0" r="8890" b="0"/>
          <wp:wrapNone/>
          <wp:docPr id="35" name="cp_pict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p_pict_large"/>
                  <pic:cNvPicPr/>
                </pic:nvPicPr>
                <pic:blipFill>
                  <a:blip r:embed="rId1">
                    <a:extLst>
                      <a:ext uri="{28A0092B-C50C-407E-A947-70E740481C1C}">
                        <a14:useLocalDpi xmlns:a14="http://schemas.microsoft.com/office/drawing/2010/main" val="0"/>
                      </a:ext>
                    </a:extLst>
                  </a:blip>
                  <a:stretch>
                    <a:fillRect/>
                  </a:stretch>
                </pic:blipFill>
                <pic:spPr>
                  <a:xfrm>
                    <a:off x="0" y="0"/>
                    <a:ext cx="6106320" cy="406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4" behindDoc="1" locked="1" layoutInCell="1" allowOverlap="1" wp14:anchorId="60B55527" wp14:editId="08CCF53A">
              <wp:simplePos x="0" y="0"/>
              <wp:positionH relativeFrom="page">
                <wp:posOffset>0</wp:posOffset>
              </wp:positionH>
              <wp:positionV relativeFrom="page">
                <wp:posOffset>0</wp:posOffset>
              </wp:positionV>
              <wp:extent cx="7560310" cy="10692130"/>
              <wp:effectExtent l="0" t="0" r="0" b="0"/>
              <wp:wrapNone/>
              <wp:docPr id="31" name="aac_Back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0DC09" id="aac_BackColour" o:spid="_x0000_s1026" style="position:absolute;margin-left:0;margin-top:0;width:595.3pt;height:841.9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" fillcolor="#140034" stroked="f" strokeweight="1pt">
              <v:path arrowok="t"/>
              <w10:wrap anchorx="page" anchory="page"/>
              <w10:anchorlock/>
            </v:rect>
          </w:pict>
        </mc:Fallback>
      </mc:AlternateContent>
    </w:r>
    <w:r>
      <w:rPr>
        <w:noProof/>
        <w:lang w:eastAsia="en-AU"/>
      </w:rPr>
      <mc:AlternateContent>
        <mc:Choice Requires="wpg">
          <w:drawing>
            <wp:anchor distT="0" distB="0" distL="114300" distR="114300" simplePos="0" relativeHeight="251675648" behindDoc="0" locked="1" layoutInCell="1" allowOverlap="1" wp14:anchorId="2B26965B" wp14:editId="5C72FAC6">
              <wp:simplePos x="0" y="0"/>
              <wp:positionH relativeFrom="page">
                <wp:posOffset>723900</wp:posOffset>
              </wp:positionH>
              <wp:positionV relativeFrom="page">
                <wp:posOffset>723900</wp:posOffset>
              </wp:positionV>
              <wp:extent cx="1988185" cy="280670"/>
              <wp:effectExtent l="0" t="0" r="0" b="0"/>
              <wp:wrapNone/>
              <wp:docPr id="32" name="aac_Cpg_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185" cy="280670"/>
                        <a:chOff x="0" y="-21209"/>
                        <a:chExt cx="12188825" cy="1878663"/>
                      </a:xfrm>
                    </wpg:grpSpPr>
                    <wps:wsp>
                      <wps:cNvPr id="33" name="Rectangle 33"/>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3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FFFE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258910" id="aac_Cpg_Logo" o:spid="_x0000_s1026" style="position:absolute;margin-left:57pt;margin-top:57pt;width:156.55pt;height:22.1pt;z-index:25167564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">
              <v:rect id="Rectangle 33"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fffeff"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2178E9" w14:paraId="7342996F" w14:textId="77777777" w:rsidTr="00C17404">
      <w:trPr>
        <w:trHeight w:hRule="exact" w:val="356"/>
      </w:trPr>
      <w:tc>
        <w:tcPr>
          <w:tcW w:w="5026" w:type="dxa"/>
          <w:shd w:val="clear" w:color="auto" w:fill="auto"/>
        </w:tcPr>
        <w:p w14:paraId="7CA9C849" w14:textId="77777777" w:rsidR="002178E9" w:rsidRDefault="002178E9" w:rsidP="00C17404">
          <w:pPr>
            <w:pStyle w:val="spacer"/>
          </w:pPr>
        </w:p>
      </w:tc>
      <w:tc>
        <w:tcPr>
          <w:tcW w:w="5026" w:type="dxa"/>
          <w:shd w:val="clear" w:color="auto" w:fill="auto"/>
          <w:vAlign w:val="center"/>
        </w:tcPr>
        <w:p w14:paraId="18759E32" w14:textId="77777777" w:rsidR="002178E9" w:rsidRDefault="002178E9" w:rsidP="00C17404">
          <w:pPr>
            <w:pStyle w:val="Header-CompanyName"/>
          </w:pPr>
        </w:p>
      </w:tc>
    </w:tr>
  </w:tbl>
  <w:p w14:paraId="718AFE28" w14:textId="51E9058E" w:rsidR="002178E9" w:rsidRPr="00C17404" w:rsidRDefault="002178E9" w:rsidP="00C17404">
    <w:pPr>
      <w:pStyle w:val="tagcontactsPage-Back"/>
    </w:pPr>
    <w:r>
      <w:rPr>
        <w:noProof/>
        <w:lang w:eastAsia="en-AU"/>
      </w:rPr>
      <mc:AlternateContent>
        <mc:Choice Requires="wps">
          <w:drawing>
            <wp:anchor distT="0" distB="0" distL="114300" distR="114300" simplePos="0" relativeHeight="251657214" behindDoc="1" locked="1" layoutInCell="1" allowOverlap="1" wp14:anchorId="48C194D9" wp14:editId="1290A3CF">
              <wp:simplePos x="0" y="0"/>
              <wp:positionH relativeFrom="page">
                <wp:posOffset>0</wp:posOffset>
              </wp:positionH>
              <wp:positionV relativeFrom="page">
                <wp:posOffset>0</wp:posOffset>
              </wp:positionV>
              <wp:extent cx="7560310" cy="10692130"/>
              <wp:effectExtent l="0" t="0" r="0" b="0"/>
              <wp:wrapNone/>
              <wp:docPr id="29" name="aac_Back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BEAEBA" id="aac_BackColour" o:spid="_x0000_s1026" style="position:absolute;margin-left:0;margin-top:0;width:595.3pt;height:841.9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" fillcolor="#140034" stroked="f" strokeweight="1pt">
              <v:path arrowok="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AE6E5" w14:textId="77777777" w:rsidR="002178E9" w:rsidRPr="00C17404" w:rsidRDefault="002178E9" w:rsidP="00C174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2" w:type="dxa"/>
      <w:tblLayout w:type="fixed"/>
      <w:tblCellMar>
        <w:left w:w="0" w:type="dxa"/>
        <w:right w:w="0" w:type="dxa"/>
      </w:tblCellMar>
      <w:tblLook w:val="0000" w:firstRow="0" w:lastRow="0" w:firstColumn="0" w:lastColumn="0" w:noHBand="0" w:noVBand="0"/>
    </w:tblPr>
    <w:tblGrid>
      <w:gridCol w:w="5026"/>
      <w:gridCol w:w="5026"/>
    </w:tblGrid>
    <w:tr w:rsidR="002178E9" w14:paraId="4238EBAB" w14:textId="77777777" w:rsidTr="00C17404">
      <w:trPr>
        <w:trHeight w:hRule="exact" w:val="356"/>
      </w:trPr>
      <w:tc>
        <w:tcPr>
          <w:tcW w:w="5026" w:type="dxa"/>
          <w:shd w:val="clear" w:color="auto" w:fill="auto"/>
        </w:tcPr>
        <w:p w14:paraId="1F1C4160" w14:textId="77777777" w:rsidR="002178E9" w:rsidRDefault="002178E9" w:rsidP="00C17404">
          <w:pPr>
            <w:pStyle w:val="tagcontactsPage-Front"/>
          </w:pPr>
        </w:p>
      </w:tc>
      <w:tc>
        <w:tcPr>
          <w:tcW w:w="5026" w:type="dxa"/>
          <w:shd w:val="clear" w:color="auto" w:fill="auto"/>
          <w:vAlign w:val="center"/>
        </w:tcPr>
        <w:p w14:paraId="1A04B8F9" w14:textId="77777777" w:rsidR="002178E9" w:rsidRDefault="002178E9" w:rsidP="00C17404">
          <w:pPr>
            <w:pStyle w:val="Header-CompanyName"/>
          </w:pPr>
        </w:p>
      </w:tc>
    </w:tr>
  </w:tbl>
  <w:p w14:paraId="17702258" w14:textId="35FFD5A2" w:rsidR="002178E9" w:rsidRPr="00C17404" w:rsidRDefault="002178E9" w:rsidP="00C17404">
    <w:pPr>
      <w:pStyle w:val="tagcontactsPage-Front"/>
    </w:pPr>
    <w:r>
      <w:rPr>
        <w:noProof/>
        <w:lang w:eastAsia="en-AU"/>
      </w:rPr>
      <mc:AlternateContent>
        <mc:Choice Requires="wps">
          <w:drawing>
            <wp:anchor distT="0" distB="0" distL="114300" distR="114300" simplePos="0" relativeHeight="251656189" behindDoc="1" locked="1" layoutInCell="1" allowOverlap="1" wp14:anchorId="3124F180" wp14:editId="2CD127FB">
              <wp:simplePos x="0" y="0"/>
              <wp:positionH relativeFrom="page">
                <wp:posOffset>0</wp:posOffset>
              </wp:positionH>
              <wp:positionV relativeFrom="page">
                <wp:posOffset>0</wp:posOffset>
              </wp:positionV>
              <wp:extent cx="7560310" cy="10692130"/>
              <wp:effectExtent l="0" t="0" r="0" b="0"/>
              <wp:wrapNone/>
              <wp:docPr id="30" name="aac_Back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A7159" id="aac_BackColour" o:spid="_x0000_s1026" style="position:absolute;margin-left:0;margin-top:0;width:595.3pt;height:841.9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" fillcolor="#140034" stroked="f" strokeweight="1pt">
              <v:path arrowok="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1A70" w14:textId="77777777" w:rsidR="002178E9" w:rsidRPr="00C17404" w:rsidRDefault="002178E9" w:rsidP="00C174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41B42" w14:textId="77777777" w:rsidR="002178E9" w:rsidRDefault="002178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3" w:type="dxa"/>
      <w:tblInd w:w="-2427" w:type="dxa"/>
      <w:tblLayout w:type="fixed"/>
      <w:tblCellMar>
        <w:left w:w="0" w:type="dxa"/>
        <w:right w:w="0" w:type="dxa"/>
      </w:tblCellMar>
      <w:tblLook w:val="0000" w:firstRow="0" w:lastRow="0" w:firstColumn="0" w:lastColumn="0" w:noHBand="0" w:noVBand="0"/>
    </w:tblPr>
    <w:tblGrid>
      <w:gridCol w:w="5182"/>
      <w:gridCol w:w="5181"/>
    </w:tblGrid>
    <w:tr w:rsidR="002178E9" w14:paraId="2CF6DCCA" w14:textId="77777777" w:rsidTr="00C17404">
      <w:trPr>
        <w:trHeight w:hRule="exact" w:val="356"/>
      </w:trPr>
      <w:tc>
        <w:tcPr>
          <w:tcW w:w="5182" w:type="dxa"/>
          <w:shd w:val="clear" w:color="auto" w:fill="auto"/>
        </w:tcPr>
        <w:p w14:paraId="18EE2431" w14:textId="32BB0582" w:rsidR="002178E9" w:rsidRDefault="002178E9" w:rsidP="00C17404">
          <w:pPr>
            <w:pStyle w:val="spacer"/>
          </w:pPr>
          <w:r>
            <w:rPr>
              <w:noProof/>
              <w:lang w:eastAsia="en-AU"/>
            </w:rPr>
            <mc:AlternateContent>
              <mc:Choice Requires="wpg">
                <w:drawing>
                  <wp:anchor distT="0" distB="0" distL="114300" distR="114300" simplePos="0" relativeHeight="251659264" behindDoc="0" locked="1" layoutInCell="1" allowOverlap="1" wp14:anchorId="42020E2A" wp14:editId="3B9087EB">
                    <wp:simplePos x="0" y="0"/>
                    <wp:positionH relativeFrom="page">
                      <wp:posOffset>0</wp:posOffset>
                    </wp:positionH>
                    <wp:positionV relativeFrom="page">
                      <wp:posOffset>69850</wp:posOffset>
                    </wp:positionV>
                    <wp:extent cx="981075" cy="142875"/>
                    <wp:effectExtent l="0" t="0" r="0" b="0"/>
                    <wp:wrapNone/>
                    <wp:docPr id="86" name="logo_AAC_Tand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92" name="Rectangle 92"/>
                            <wps:cNvSpPr>
                              <a:spLocks noChangeArrowheads="1"/>
                            </wps:cNvSpPr>
                            <wps:spPr bwMode="auto">
                              <a:xfrm>
                                <a:off x="0" y="1643143"/>
                                <a:ext cx="1439863" cy="214311"/>
                              </a:xfrm>
                              <a:prstGeom prst="rect">
                                <a:avLst/>
                              </a:prstGeom>
                              <a:solidFill>
                                <a:srgbClr val="6C3F99"/>
                              </a:solidFill>
                              <a:ln>
                                <a:noFill/>
                              </a:ln>
                            </wps:spPr>
                            <wps:bodyPr vert="horz" wrap="square" lIns="91440" tIns="45720" rIns="91440" bIns="45720" numCol="1" anchor="t" anchorCtr="0" compatLnSpc="1">
                              <a:prstTxWarp prst="textNoShape">
                                <a:avLst/>
                              </a:prstTxWarp>
                            </wps:bodyPr>
                          </wps:wsp>
                          <wps:wsp>
                            <wps:cNvPr id="9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DC1B03" id="logo_AAC_TandG" o:spid="_x0000_s1026" style="position:absolute;margin-left:0;margin-top:5.5pt;width:77.25pt;height:11.25pt;z-index:25165926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">
                    <o:lock v:ext="edit" aspectratio="t"/>
                    <v:rect id="Rectangle 92"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shd w:val="clear" w:color="auto" w:fill="auto"/>
          <w:vAlign w:val="center"/>
        </w:tcPr>
        <w:p w14:paraId="02EF2F51" w14:textId="77777777" w:rsidR="002178E9" w:rsidRDefault="002178E9" w:rsidP="00C17404">
          <w:pPr>
            <w:pStyle w:val="Header-CompanyName"/>
          </w:pPr>
        </w:p>
      </w:tc>
    </w:tr>
  </w:tbl>
  <w:p w14:paraId="2516A193" w14:textId="0CCBADFA" w:rsidR="002178E9" w:rsidRDefault="002178E9" w:rsidP="00C17404">
    <w:pPr>
      <w:pStyle w:val="Header"/>
    </w:pPr>
  </w:p>
  <w:tbl>
    <w:tblPr>
      <w:tblW w:w="7953" w:type="dxa"/>
      <w:tblLayout w:type="fixed"/>
      <w:tblCellMar>
        <w:left w:w="0" w:type="dxa"/>
        <w:right w:w="0" w:type="dxa"/>
      </w:tblCellMar>
      <w:tblLook w:val="0000" w:firstRow="0" w:lastRow="0" w:firstColumn="0" w:lastColumn="0" w:noHBand="0" w:noVBand="0"/>
    </w:tblPr>
    <w:tblGrid>
      <w:gridCol w:w="7953"/>
    </w:tblGrid>
    <w:tr w:rsidR="002178E9" w14:paraId="4D7EF494" w14:textId="77777777" w:rsidTr="00015212">
      <w:trPr>
        <w:trHeight w:hRule="exact" w:val="814"/>
      </w:trPr>
      <w:tc>
        <w:tcPr>
          <w:tcW w:w="7953" w:type="dxa"/>
          <w:shd w:val="clear" w:color="auto" w:fill="auto"/>
        </w:tcPr>
        <w:p w14:paraId="6DAE299A" w14:textId="1A79A085" w:rsidR="002178E9" w:rsidRDefault="002178E9" w:rsidP="00C17404">
          <w:pPr>
            <w:pStyle w:val="TOCHeading"/>
          </w:pPr>
          <w:r>
            <w:t>Contents</w:t>
          </w:r>
        </w:p>
      </w:tc>
    </w:tr>
  </w:tbl>
  <w:p w14:paraId="7CDE04F1" w14:textId="15EF7762" w:rsidR="002178E9" w:rsidRPr="00C17404" w:rsidRDefault="002178E9" w:rsidP="00015212">
    <w:pPr>
      <w:pStyle w:val="Header"/>
      <w:tabs>
        <w:tab w:val="clear" w:pos="4513"/>
        <w:tab w:val="clear" w:pos="9026"/>
        <w:tab w:val="left" w:pos="2813"/>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3107" w14:textId="77777777" w:rsidR="002178E9" w:rsidRDefault="0021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395CF7E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77354"/>
    <w:multiLevelType w:val="multilevel"/>
    <w:tmpl w:val="5DA053E4"/>
    <w:styleLink w:val="aaclstStyleAppendices"/>
    <w:lvl w:ilvl="0">
      <w:start w:val="1"/>
      <w:numFmt w:val="upperLetter"/>
      <w:pStyle w:val="Heading9"/>
      <w:lvlText w:val="%1"/>
      <w:lvlJc w:val="right"/>
      <w:pPr>
        <w:ind w:left="0" w:hanging="136"/>
      </w:pPr>
      <w:rPr>
        <w:rFonts w:ascii="Yu Gothic Medium" w:eastAsia="Yu Gothic Medium" w:hAnsi="Yu Gothic Medium" w:hint="eastAsia"/>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D55B15"/>
    <w:multiLevelType w:val="multilevel"/>
    <w:tmpl w:val="C1127ADE"/>
    <w:styleLink w:val="aaHeadingnonumberList"/>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D621AED"/>
    <w:multiLevelType w:val="multilevel"/>
    <w:tmpl w:val="C2EED61A"/>
    <w:numStyleLink w:val="NumberedHeadings"/>
  </w:abstractNum>
  <w:abstractNum w:abstractNumId="8"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9"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Narrow" w:hAnsi="Arial Narrow" w:hint="default"/>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hint="default"/>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1"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2" w15:restartNumberingAfterBreak="0">
    <w:nsid w:val="1C662060"/>
    <w:multiLevelType w:val="multilevel"/>
    <w:tmpl w:val="83E444BE"/>
    <w:styleLink w:val="aaclstStyleHeadingApp"/>
    <w:lvl w:ilvl="0">
      <w:start w:val="1"/>
      <w:numFmt w:val="upperLetter"/>
      <w:pStyle w:val="Heading1AP"/>
      <w:lvlText w:val="%1"/>
      <w:lvlJc w:val="right"/>
      <w:pPr>
        <w:ind w:left="248" w:hanging="384"/>
      </w:pPr>
      <w:rPr>
        <w:rFonts w:hint="default"/>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Narrow" w:hAnsi="Arial Narrow" w:hint="default"/>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6C33D2"/>
    <w:multiLevelType w:val="multilevel"/>
    <w:tmpl w:val="83E444BE"/>
    <w:numStyleLink w:val="aaclstStyleHeadingApp"/>
  </w:abstractNum>
  <w:abstractNum w:abstractNumId="16"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7" w15:restartNumberingAfterBreak="0">
    <w:nsid w:val="24FE551B"/>
    <w:multiLevelType w:val="multilevel"/>
    <w:tmpl w:val="55DAED7E"/>
    <w:numStyleLink w:val="aacTableListBullets"/>
  </w:abstractNum>
  <w:abstractNum w:abstractNumId="18"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0"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Narrow" w:hAnsi="Arial Narrow" w:hint="default"/>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7843433"/>
    <w:multiLevelType w:val="multilevel"/>
    <w:tmpl w:val="165C0818"/>
    <w:numStyleLink w:val="aaclstStyleHeadingNumbered"/>
  </w:abstractNum>
  <w:abstractNum w:abstractNumId="22" w15:restartNumberingAfterBreak="0">
    <w:nsid w:val="2BA93FA8"/>
    <w:multiLevelType w:val="multilevel"/>
    <w:tmpl w:val="306ACCA8"/>
    <w:numStyleLink w:val="aaclstStyleBoxListNumbers"/>
  </w:abstractNum>
  <w:abstractNum w:abstractNumId="23"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336313F1"/>
    <w:multiLevelType w:val="multilevel"/>
    <w:tmpl w:val="2D56811A"/>
    <w:numStyleLink w:val="aaclstStyleBoxListBullets"/>
  </w:abstractNum>
  <w:abstractNum w:abstractNumId="25" w15:restartNumberingAfterBreak="0">
    <w:nsid w:val="33DF3DD1"/>
    <w:multiLevelType w:val="multilevel"/>
    <w:tmpl w:val="4D96EFB6"/>
    <w:numStyleLink w:val="aacTableListBulletssmall"/>
  </w:abstractNum>
  <w:abstractNum w:abstractNumId="26"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Narrow" w:hAnsi="Arial Narrow" w:hint="default"/>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30"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60F67E9"/>
    <w:multiLevelType w:val="multilevel"/>
    <w:tmpl w:val="30CC873A"/>
    <w:numStyleLink w:val="aaclstStyleBullets"/>
  </w:abstractNum>
  <w:abstractNum w:abstractNumId="32"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3"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4" w15:restartNumberingAfterBreak="0">
    <w:nsid w:val="532D23B6"/>
    <w:multiLevelType w:val="multilevel"/>
    <w:tmpl w:val="165C0818"/>
    <w:styleLink w:val="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Yu Gothic Medium" w:eastAsia="Yu Gothic Medium" w:hAnsi="Yu Gothic Medium" w:hint="eastAsia"/>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8615B56"/>
    <w:multiLevelType w:val="multilevel"/>
    <w:tmpl w:val="5DA053E4"/>
    <w:numStyleLink w:val="aaclstStyleAppendices"/>
  </w:abstractNum>
  <w:abstractNum w:abstractNumId="37" w15:restartNumberingAfterBreak="0">
    <w:nsid w:val="5DAB4241"/>
    <w:multiLevelType w:val="hybridMultilevel"/>
    <w:tmpl w:val="1024AB10"/>
    <w:lvl w:ilvl="0" w:tplc="83946A6C">
      <w:start w:val="3"/>
      <w:numFmt w:val="bullet"/>
      <w:lvlText w:val="-"/>
      <w:lvlJc w:val="left"/>
      <w:pPr>
        <w:ind w:left="360" w:hanging="360"/>
      </w:pPr>
      <w:rPr>
        <w:rFonts w:ascii="Arial Narrow" w:eastAsiaTheme="minorHAnsi" w:hAnsi="Arial Narrow"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17B756D"/>
    <w:multiLevelType w:val="multilevel"/>
    <w:tmpl w:val="3DD0AEC8"/>
    <w:numStyleLink w:val="aaclstStyleHeadingsES"/>
  </w:abstractNum>
  <w:abstractNum w:abstractNumId="39"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0" w15:restartNumberingAfterBreak="0">
    <w:nsid w:val="699F57EA"/>
    <w:multiLevelType w:val="multilevel"/>
    <w:tmpl w:val="CE66BE7A"/>
    <w:numStyleLink w:val="aaclstStyleListNumber"/>
  </w:abstractNum>
  <w:abstractNum w:abstractNumId="41"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33"/>
  </w:num>
  <w:num w:numId="7">
    <w:abstractNumId w:val="35"/>
  </w:num>
  <w:num w:numId="8">
    <w:abstractNumId w:val="40"/>
  </w:num>
  <w:num w:numId="9">
    <w:abstractNumId w:val="31"/>
  </w:num>
  <w:num w:numId="10">
    <w:abstractNumId w:val="20"/>
  </w:num>
  <w:num w:numId="11">
    <w:abstractNumId w:val="5"/>
  </w:num>
  <w:num w:numId="12">
    <w:abstractNumId w:val="21"/>
  </w:num>
  <w:num w:numId="13">
    <w:abstractNumId w:val="19"/>
  </w:num>
  <w:num w:numId="14">
    <w:abstractNumId w:val="34"/>
  </w:num>
  <w:num w:numId="15">
    <w:abstractNumId w:val="23"/>
  </w:num>
  <w:num w:numId="16">
    <w:abstractNumId w:val="8"/>
  </w:num>
  <w:num w:numId="17">
    <w:abstractNumId w:val="29"/>
  </w:num>
  <w:num w:numId="18">
    <w:abstractNumId w:val="26"/>
  </w:num>
  <w:num w:numId="19">
    <w:abstractNumId w:val="9"/>
  </w:num>
  <w:num w:numId="20">
    <w:abstractNumId w:val="18"/>
  </w:num>
  <w:num w:numId="21">
    <w:abstractNumId w:val="10"/>
  </w:num>
  <w:num w:numId="22">
    <w:abstractNumId w:val="17"/>
  </w:num>
  <w:num w:numId="23">
    <w:abstractNumId w:val="25"/>
  </w:num>
  <w:num w:numId="24">
    <w:abstractNumId w:val="14"/>
  </w:num>
  <w:num w:numId="25">
    <w:abstractNumId w:val="22"/>
  </w:num>
  <w:num w:numId="26">
    <w:abstractNumId w:val="30"/>
  </w:num>
  <w:num w:numId="27">
    <w:abstractNumId w:val="6"/>
  </w:num>
  <w:num w:numId="28">
    <w:abstractNumId w:val="12"/>
  </w:num>
  <w:num w:numId="29">
    <w:abstractNumId w:val="15"/>
  </w:num>
  <w:num w:numId="30">
    <w:abstractNumId w:val="11"/>
  </w:num>
  <w:num w:numId="31">
    <w:abstractNumId w:val="38"/>
  </w:num>
  <w:num w:numId="32">
    <w:abstractNumId w:val="36"/>
  </w:num>
  <w:num w:numId="33">
    <w:abstractNumId w:val="39"/>
  </w:num>
  <w:num w:numId="34">
    <w:abstractNumId w:val="13"/>
  </w:num>
  <w:num w:numId="35">
    <w:abstractNumId w:val="41"/>
  </w:num>
  <w:num w:numId="36">
    <w:abstractNumId w:val="24"/>
  </w:num>
  <w:num w:numId="37">
    <w:abstractNumId w:val="16"/>
  </w:num>
  <w:num w:numId="38">
    <w:abstractNumId w:val="28"/>
  </w:num>
  <w:num w:numId="39">
    <w:abstractNumId w:val="27"/>
  </w:num>
  <w:num w:numId="40">
    <w:abstractNumId w:val="7"/>
  </w:num>
  <w:num w:numId="41">
    <w:abstractNumId w:val="37"/>
  </w:num>
  <w:num w:numId="4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displayBackgroundShape/>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404"/>
    <w:rsid w:val="00000F0B"/>
    <w:rsid w:val="000015EF"/>
    <w:rsid w:val="00004CCC"/>
    <w:rsid w:val="00004F22"/>
    <w:rsid w:val="00007B50"/>
    <w:rsid w:val="00011422"/>
    <w:rsid w:val="00012188"/>
    <w:rsid w:val="00015212"/>
    <w:rsid w:val="00020B9B"/>
    <w:rsid w:val="000222A7"/>
    <w:rsid w:val="00022996"/>
    <w:rsid w:val="0002566F"/>
    <w:rsid w:val="000263D5"/>
    <w:rsid w:val="00026FF3"/>
    <w:rsid w:val="0002750A"/>
    <w:rsid w:val="00031849"/>
    <w:rsid w:val="00033021"/>
    <w:rsid w:val="000338DA"/>
    <w:rsid w:val="0003447C"/>
    <w:rsid w:val="00034D30"/>
    <w:rsid w:val="00035C3E"/>
    <w:rsid w:val="00037E00"/>
    <w:rsid w:val="000401C8"/>
    <w:rsid w:val="0004109A"/>
    <w:rsid w:val="000415FE"/>
    <w:rsid w:val="000417A4"/>
    <w:rsid w:val="00042081"/>
    <w:rsid w:val="00042EF4"/>
    <w:rsid w:val="00045C48"/>
    <w:rsid w:val="00057123"/>
    <w:rsid w:val="00066154"/>
    <w:rsid w:val="0007560D"/>
    <w:rsid w:val="00075D92"/>
    <w:rsid w:val="0007619F"/>
    <w:rsid w:val="000776D6"/>
    <w:rsid w:val="00077C4C"/>
    <w:rsid w:val="00081898"/>
    <w:rsid w:val="0008406E"/>
    <w:rsid w:val="00084946"/>
    <w:rsid w:val="00085B31"/>
    <w:rsid w:val="00086343"/>
    <w:rsid w:val="00086941"/>
    <w:rsid w:val="0008756D"/>
    <w:rsid w:val="000878A0"/>
    <w:rsid w:val="00087B7A"/>
    <w:rsid w:val="000908D6"/>
    <w:rsid w:val="00091091"/>
    <w:rsid w:val="00092161"/>
    <w:rsid w:val="00092765"/>
    <w:rsid w:val="00093E5C"/>
    <w:rsid w:val="000A28CE"/>
    <w:rsid w:val="000A418F"/>
    <w:rsid w:val="000A7064"/>
    <w:rsid w:val="000B17CD"/>
    <w:rsid w:val="000B1D10"/>
    <w:rsid w:val="000B2431"/>
    <w:rsid w:val="000B2550"/>
    <w:rsid w:val="000B28FA"/>
    <w:rsid w:val="000B3005"/>
    <w:rsid w:val="000B3DB9"/>
    <w:rsid w:val="000B78D6"/>
    <w:rsid w:val="000C01F5"/>
    <w:rsid w:val="000C068D"/>
    <w:rsid w:val="000C1370"/>
    <w:rsid w:val="000C1DE0"/>
    <w:rsid w:val="000C3537"/>
    <w:rsid w:val="000C5461"/>
    <w:rsid w:val="000C54ED"/>
    <w:rsid w:val="000D537C"/>
    <w:rsid w:val="000D58D1"/>
    <w:rsid w:val="000D72DC"/>
    <w:rsid w:val="000D7C57"/>
    <w:rsid w:val="000E145F"/>
    <w:rsid w:val="000E22D2"/>
    <w:rsid w:val="000E251B"/>
    <w:rsid w:val="000E53B2"/>
    <w:rsid w:val="000E5F3F"/>
    <w:rsid w:val="000E671C"/>
    <w:rsid w:val="000F0A3A"/>
    <w:rsid w:val="000F35FC"/>
    <w:rsid w:val="000F5545"/>
    <w:rsid w:val="000F7059"/>
    <w:rsid w:val="000F76C4"/>
    <w:rsid w:val="00102134"/>
    <w:rsid w:val="00102B9E"/>
    <w:rsid w:val="001038FC"/>
    <w:rsid w:val="00104AAE"/>
    <w:rsid w:val="00104FB6"/>
    <w:rsid w:val="0010530F"/>
    <w:rsid w:val="001053EB"/>
    <w:rsid w:val="001119D3"/>
    <w:rsid w:val="00113196"/>
    <w:rsid w:val="0011414D"/>
    <w:rsid w:val="00115469"/>
    <w:rsid w:val="00116911"/>
    <w:rsid w:val="001204F8"/>
    <w:rsid w:val="00122E11"/>
    <w:rsid w:val="00123050"/>
    <w:rsid w:val="00123589"/>
    <w:rsid w:val="00123693"/>
    <w:rsid w:val="0012378C"/>
    <w:rsid w:val="0012442B"/>
    <w:rsid w:val="00125625"/>
    <w:rsid w:val="00125EEA"/>
    <w:rsid w:val="001271EC"/>
    <w:rsid w:val="00127BD6"/>
    <w:rsid w:val="00130817"/>
    <w:rsid w:val="00131173"/>
    <w:rsid w:val="00134A32"/>
    <w:rsid w:val="00134F90"/>
    <w:rsid w:val="0013533F"/>
    <w:rsid w:val="00140853"/>
    <w:rsid w:val="00143CB8"/>
    <w:rsid w:val="00143EC3"/>
    <w:rsid w:val="0014439F"/>
    <w:rsid w:val="00144924"/>
    <w:rsid w:val="001450F4"/>
    <w:rsid w:val="001461D0"/>
    <w:rsid w:val="001469A3"/>
    <w:rsid w:val="001504D1"/>
    <w:rsid w:val="00153167"/>
    <w:rsid w:val="00155A51"/>
    <w:rsid w:val="00157229"/>
    <w:rsid w:val="001602ED"/>
    <w:rsid w:val="0016324A"/>
    <w:rsid w:val="0016362C"/>
    <w:rsid w:val="0016510E"/>
    <w:rsid w:val="00165E17"/>
    <w:rsid w:val="0016665E"/>
    <w:rsid w:val="0016741F"/>
    <w:rsid w:val="0016783F"/>
    <w:rsid w:val="0017129B"/>
    <w:rsid w:val="00173F5A"/>
    <w:rsid w:val="0017471B"/>
    <w:rsid w:val="00180111"/>
    <w:rsid w:val="00181CEE"/>
    <w:rsid w:val="001826B4"/>
    <w:rsid w:val="00182D97"/>
    <w:rsid w:val="00182EF1"/>
    <w:rsid w:val="001845AB"/>
    <w:rsid w:val="00185757"/>
    <w:rsid w:val="001910AD"/>
    <w:rsid w:val="001925C9"/>
    <w:rsid w:val="00192DFE"/>
    <w:rsid w:val="00192F7B"/>
    <w:rsid w:val="00193D3E"/>
    <w:rsid w:val="001954B4"/>
    <w:rsid w:val="001967BA"/>
    <w:rsid w:val="00196EA8"/>
    <w:rsid w:val="001971C4"/>
    <w:rsid w:val="001A2E8E"/>
    <w:rsid w:val="001A485B"/>
    <w:rsid w:val="001A513F"/>
    <w:rsid w:val="001A583F"/>
    <w:rsid w:val="001A697D"/>
    <w:rsid w:val="001B2A35"/>
    <w:rsid w:val="001B4E2F"/>
    <w:rsid w:val="001B559F"/>
    <w:rsid w:val="001C1457"/>
    <w:rsid w:val="001C29F4"/>
    <w:rsid w:val="001C3388"/>
    <w:rsid w:val="001C3FD6"/>
    <w:rsid w:val="001C45E3"/>
    <w:rsid w:val="001C47EB"/>
    <w:rsid w:val="001C54F9"/>
    <w:rsid w:val="001C777C"/>
    <w:rsid w:val="001D2CFD"/>
    <w:rsid w:val="001D42B2"/>
    <w:rsid w:val="001D468F"/>
    <w:rsid w:val="001D492B"/>
    <w:rsid w:val="001D54A3"/>
    <w:rsid w:val="001D6979"/>
    <w:rsid w:val="001D7B3E"/>
    <w:rsid w:val="001E3128"/>
    <w:rsid w:val="001E36CF"/>
    <w:rsid w:val="001E5CAD"/>
    <w:rsid w:val="001E6182"/>
    <w:rsid w:val="001E6797"/>
    <w:rsid w:val="001F0C71"/>
    <w:rsid w:val="001F15E7"/>
    <w:rsid w:val="001F2AA8"/>
    <w:rsid w:val="001F50E3"/>
    <w:rsid w:val="001F6F1F"/>
    <w:rsid w:val="001F7056"/>
    <w:rsid w:val="001F7981"/>
    <w:rsid w:val="00200C18"/>
    <w:rsid w:val="00200C1F"/>
    <w:rsid w:val="00202F77"/>
    <w:rsid w:val="002035F8"/>
    <w:rsid w:val="0020498E"/>
    <w:rsid w:val="00205BA5"/>
    <w:rsid w:val="002073EB"/>
    <w:rsid w:val="00207ACF"/>
    <w:rsid w:val="00207DF8"/>
    <w:rsid w:val="002104F9"/>
    <w:rsid w:val="002109CA"/>
    <w:rsid w:val="00210A6E"/>
    <w:rsid w:val="00210E8F"/>
    <w:rsid w:val="00211F42"/>
    <w:rsid w:val="0021232F"/>
    <w:rsid w:val="00212AE9"/>
    <w:rsid w:val="00214A6B"/>
    <w:rsid w:val="002159DA"/>
    <w:rsid w:val="002178E9"/>
    <w:rsid w:val="002214AF"/>
    <w:rsid w:val="00221E70"/>
    <w:rsid w:val="00225087"/>
    <w:rsid w:val="002256B2"/>
    <w:rsid w:val="00225AD4"/>
    <w:rsid w:val="002302E7"/>
    <w:rsid w:val="0023326E"/>
    <w:rsid w:val="0023434F"/>
    <w:rsid w:val="00235833"/>
    <w:rsid w:val="002362AD"/>
    <w:rsid w:val="0023756B"/>
    <w:rsid w:val="00241297"/>
    <w:rsid w:val="00241AD5"/>
    <w:rsid w:val="00241FF5"/>
    <w:rsid w:val="00242E1B"/>
    <w:rsid w:val="002432E4"/>
    <w:rsid w:val="0024459B"/>
    <w:rsid w:val="0024532C"/>
    <w:rsid w:val="00245D00"/>
    <w:rsid w:val="00245E41"/>
    <w:rsid w:val="002538F7"/>
    <w:rsid w:val="00254BDB"/>
    <w:rsid w:val="00260BC6"/>
    <w:rsid w:val="00262738"/>
    <w:rsid w:val="00264937"/>
    <w:rsid w:val="00264F08"/>
    <w:rsid w:val="0026510A"/>
    <w:rsid w:val="002658D2"/>
    <w:rsid w:val="00271BEA"/>
    <w:rsid w:val="002750A5"/>
    <w:rsid w:val="00275F5F"/>
    <w:rsid w:val="0028195F"/>
    <w:rsid w:val="002825F5"/>
    <w:rsid w:val="002831A3"/>
    <w:rsid w:val="0028332C"/>
    <w:rsid w:val="00284D72"/>
    <w:rsid w:val="00285B20"/>
    <w:rsid w:val="00286822"/>
    <w:rsid w:val="00287359"/>
    <w:rsid w:val="0028793F"/>
    <w:rsid w:val="0029000E"/>
    <w:rsid w:val="00290F7D"/>
    <w:rsid w:val="002934E0"/>
    <w:rsid w:val="002943DA"/>
    <w:rsid w:val="00295F72"/>
    <w:rsid w:val="00296506"/>
    <w:rsid w:val="00296657"/>
    <w:rsid w:val="002967B8"/>
    <w:rsid w:val="00296BE7"/>
    <w:rsid w:val="00297B3F"/>
    <w:rsid w:val="002A0687"/>
    <w:rsid w:val="002A06E8"/>
    <w:rsid w:val="002A07DB"/>
    <w:rsid w:val="002A08CD"/>
    <w:rsid w:val="002A392D"/>
    <w:rsid w:val="002A5816"/>
    <w:rsid w:val="002A5B8C"/>
    <w:rsid w:val="002A5C71"/>
    <w:rsid w:val="002A6EA8"/>
    <w:rsid w:val="002B2199"/>
    <w:rsid w:val="002B2F1E"/>
    <w:rsid w:val="002B4A47"/>
    <w:rsid w:val="002B78BD"/>
    <w:rsid w:val="002C2007"/>
    <w:rsid w:val="002C2DE0"/>
    <w:rsid w:val="002C3576"/>
    <w:rsid w:val="002C7D32"/>
    <w:rsid w:val="002D2264"/>
    <w:rsid w:val="002D2C75"/>
    <w:rsid w:val="002D3DAE"/>
    <w:rsid w:val="002D4AEE"/>
    <w:rsid w:val="002D7D78"/>
    <w:rsid w:val="002E1F9C"/>
    <w:rsid w:val="002E25EC"/>
    <w:rsid w:val="002E5210"/>
    <w:rsid w:val="002E5F81"/>
    <w:rsid w:val="002F0150"/>
    <w:rsid w:val="002F26EA"/>
    <w:rsid w:val="002F29EA"/>
    <w:rsid w:val="002F3400"/>
    <w:rsid w:val="002F3670"/>
    <w:rsid w:val="002F4A93"/>
    <w:rsid w:val="003000F4"/>
    <w:rsid w:val="00300F6F"/>
    <w:rsid w:val="00301BA0"/>
    <w:rsid w:val="00303C43"/>
    <w:rsid w:val="003073C9"/>
    <w:rsid w:val="003108CE"/>
    <w:rsid w:val="00312538"/>
    <w:rsid w:val="00313099"/>
    <w:rsid w:val="00313239"/>
    <w:rsid w:val="0031453D"/>
    <w:rsid w:val="00314EA3"/>
    <w:rsid w:val="00315CD5"/>
    <w:rsid w:val="00315DF4"/>
    <w:rsid w:val="00316F54"/>
    <w:rsid w:val="00320DAF"/>
    <w:rsid w:val="00321615"/>
    <w:rsid w:val="00321C4A"/>
    <w:rsid w:val="003233BC"/>
    <w:rsid w:val="00326904"/>
    <w:rsid w:val="00326E47"/>
    <w:rsid w:val="00330213"/>
    <w:rsid w:val="0033093F"/>
    <w:rsid w:val="00334A03"/>
    <w:rsid w:val="00335BD3"/>
    <w:rsid w:val="00336AEE"/>
    <w:rsid w:val="00341017"/>
    <w:rsid w:val="00343202"/>
    <w:rsid w:val="00343B06"/>
    <w:rsid w:val="00345641"/>
    <w:rsid w:val="00345E0F"/>
    <w:rsid w:val="00347491"/>
    <w:rsid w:val="00347F1D"/>
    <w:rsid w:val="003521A9"/>
    <w:rsid w:val="00353ABD"/>
    <w:rsid w:val="003540E5"/>
    <w:rsid w:val="00354EF5"/>
    <w:rsid w:val="003565DC"/>
    <w:rsid w:val="00356A77"/>
    <w:rsid w:val="003574F0"/>
    <w:rsid w:val="003579CA"/>
    <w:rsid w:val="00360A6B"/>
    <w:rsid w:val="00361875"/>
    <w:rsid w:val="00363428"/>
    <w:rsid w:val="003649DE"/>
    <w:rsid w:val="00365C94"/>
    <w:rsid w:val="00366976"/>
    <w:rsid w:val="00370008"/>
    <w:rsid w:val="00370FEB"/>
    <w:rsid w:val="00371A1D"/>
    <w:rsid w:val="0037292A"/>
    <w:rsid w:val="00373EAF"/>
    <w:rsid w:val="003745C1"/>
    <w:rsid w:val="00374A47"/>
    <w:rsid w:val="00375525"/>
    <w:rsid w:val="00380321"/>
    <w:rsid w:val="0038045A"/>
    <w:rsid w:val="00383D74"/>
    <w:rsid w:val="00385053"/>
    <w:rsid w:val="00386859"/>
    <w:rsid w:val="00387282"/>
    <w:rsid w:val="00387403"/>
    <w:rsid w:val="00393F90"/>
    <w:rsid w:val="003945B5"/>
    <w:rsid w:val="00394C11"/>
    <w:rsid w:val="0039579A"/>
    <w:rsid w:val="0039794E"/>
    <w:rsid w:val="003A0AAF"/>
    <w:rsid w:val="003A1E61"/>
    <w:rsid w:val="003A23CA"/>
    <w:rsid w:val="003A2EE4"/>
    <w:rsid w:val="003A5072"/>
    <w:rsid w:val="003A7141"/>
    <w:rsid w:val="003A7836"/>
    <w:rsid w:val="003B046E"/>
    <w:rsid w:val="003B1358"/>
    <w:rsid w:val="003B2EB8"/>
    <w:rsid w:val="003C0833"/>
    <w:rsid w:val="003C10BC"/>
    <w:rsid w:val="003C17D0"/>
    <w:rsid w:val="003C2235"/>
    <w:rsid w:val="003C27ED"/>
    <w:rsid w:val="003C5A27"/>
    <w:rsid w:val="003D129B"/>
    <w:rsid w:val="003D2CF2"/>
    <w:rsid w:val="003D74D7"/>
    <w:rsid w:val="003E300A"/>
    <w:rsid w:val="003E4B1E"/>
    <w:rsid w:val="003E65BB"/>
    <w:rsid w:val="003E6A51"/>
    <w:rsid w:val="003F0DB9"/>
    <w:rsid w:val="003F1FF3"/>
    <w:rsid w:val="003F6FBB"/>
    <w:rsid w:val="003F70C7"/>
    <w:rsid w:val="003F7489"/>
    <w:rsid w:val="00400D3A"/>
    <w:rsid w:val="004029B2"/>
    <w:rsid w:val="00402BD9"/>
    <w:rsid w:val="00402CAC"/>
    <w:rsid w:val="00402E28"/>
    <w:rsid w:val="00404B6E"/>
    <w:rsid w:val="004051FB"/>
    <w:rsid w:val="0040609B"/>
    <w:rsid w:val="0041040A"/>
    <w:rsid w:val="004139F8"/>
    <w:rsid w:val="004150CF"/>
    <w:rsid w:val="00420C69"/>
    <w:rsid w:val="00424864"/>
    <w:rsid w:val="00425BAC"/>
    <w:rsid w:val="00426481"/>
    <w:rsid w:val="004327AF"/>
    <w:rsid w:val="00433007"/>
    <w:rsid w:val="0043406A"/>
    <w:rsid w:val="004341CB"/>
    <w:rsid w:val="004405FF"/>
    <w:rsid w:val="00440EBB"/>
    <w:rsid w:val="00442B06"/>
    <w:rsid w:val="00445229"/>
    <w:rsid w:val="00446596"/>
    <w:rsid w:val="00447D08"/>
    <w:rsid w:val="00451623"/>
    <w:rsid w:val="00454192"/>
    <w:rsid w:val="004550C0"/>
    <w:rsid w:val="004552DF"/>
    <w:rsid w:val="004612C3"/>
    <w:rsid w:val="004625F2"/>
    <w:rsid w:val="00462BFD"/>
    <w:rsid w:val="0046478B"/>
    <w:rsid w:val="004648C9"/>
    <w:rsid w:val="004653A9"/>
    <w:rsid w:val="00467640"/>
    <w:rsid w:val="004705CB"/>
    <w:rsid w:val="00472111"/>
    <w:rsid w:val="0047495D"/>
    <w:rsid w:val="004767E9"/>
    <w:rsid w:val="00477420"/>
    <w:rsid w:val="00477EA1"/>
    <w:rsid w:val="004818CD"/>
    <w:rsid w:val="00482DC5"/>
    <w:rsid w:val="004834FE"/>
    <w:rsid w:val="0048517A"/>
    <w:rsid w:val="00490B27"/>
    <w:rsid w:val="004924E8"/>
    <w:rsid w:val="004932C7"/>
    <w:rsid w:val="00493321"/>
    <w:rsid w:val="004944BD"/>
    <w:rsid w:val="0049455E"/>
    <w:rsid w:val="00495AA5"/>
    <w:rsid w:val="004962CF"/>
    <w:rsid w:val="004965F7"/>
    <w:rsid w:val="0049665A"/>
    <w:rsid w:val="00496C55"/>
    <w:rsid w:val="0049773B"/>
    <w:rsid w:val="004A0291"/>
    <w:rsid w:val="004A1307"/>
    <w:rsid w:val="004A3C7A"/>
    <w:rsid w:val="004A3CB5"/>
    <w:rsid w:val="004A4A1C"/>
    <w:rsid w:val="004A5933"/>
    <w:rsid w:val="004A5A83"/>
    <w:rsid w:val="004A6CB3"/>
    <w:rsid w:val="004A7506"/>
    <w:rsid w:val="004A7922"/>
    <w:rsid w:val="004B3B84"/>
    <w:rsid w:val="004B3C03"/>
    <w:rsid w:val="004B495D"/>
    <w:rsid w:val="004B5C8E"/>
    <w:rsid w:val="004B7633"/>
    <w:rsid w:val="004C0A65"/>
    <w:rsid w:val="004C10F0"/>
    <w:rsid w:val="004C1134"/>
    <w:rsid w:val="004C20D3"/>
    <w:rsid w:val="004C2FB6"/>
    <w:rsid w:val="004C33D5"/>
    <w:rsid w:val="004C6451"/>
    <w:rsid w:val="004C6680"/>
    <w:rsid w:val="004C6D6F"/>
    <w:rsid w:val="004D0CF2"/>
    <w:rsid w:val="004D140F"/>
    <w:rsid w:val="004D4728"/>
    <w:rsid w:val="004D6284"/>
    <w:rsid w:val="004D6322"/>
    <w:rsid w:val="004E05C0"/>
    <w:rsid w:val="004E1299"/>
    <w:rsid w:val="004E192A"/>
    <w:rsid w:val="004E315D"/>
    <w:rsid w:val="004E3A47"/>
    <w:rsid w:val="004E4B02"/>
    <w:rsid w:val="004E5E22"/>
    <w:rsid w:val="004F28E7"/>
    <w:rsid w:val="004F2C38"/>
    <w:rsid w:val="004F4346"/>
    <w:rsid w:val="004F621C"/>
    <w:rsid w:val="00500230"/>
    <w:rsid w:val="0050160C"/>
    <w:rsid w:val="00501D0C"/>
    <w:rsid w:val="00501F07"/>
    <w:rsid w:val="00502D09"/>
    <w:rsid w:val="00504CEB"/>
    <w:rsid w:val="00506B97"/>
    <w:rsid w:val="00506F84"/>
    <w:rsid w:val="00510CC8"/>
    <w:rsid w:val="00511CB2"/>
    <w:rsid w:val="00511F3F"/>
    <w:rsid w:val="00512D16"/>
    <w:rsid w:val="00513D34"/>
    <w:rsid w:val="00514186"/>
    <w:rsid w:val="00515801"/>
    <w:rsid w:val="00520300"/>
    <w:rsid w:val="005220AB"/>
    <w:rsid w:val="0052525A"/>
    <w:rsid w:val="00525571"/>
    <w:rsid w:val="005255AB"/>
    <w:rsid w:val="00525B16"/>
    <w:rsid w:val="00526621"/>
    <w:rsid w:val="00530151"/>
    <w:rsid w:val="00532E4B"/>
    <w:rsid w:val="00533E1D"/>
    <w:rsid w:val="005365AD"/>
    <w:rsid w:val="005408B0"/>
    <w:rsid w:val="00541487"/>
    <w:rsid w:val="00543240"/>
    <w:rsid w:val="00544703"/>
    <w:rsid w:val="00544C25"/>
    <w:rsid w:val="00545B88"/>
    <w:rsid w:val="00546E9F"/>
    <w:rsid w:val="005474F5"/>
    <w:rsid w:val="00547DD6"/>
    <w:rsid w:val="00550712"/>
    <w:rsid w:val="0055112D"/>
    <w:rsid w:val="0055406E"/>
    <w:rsid w:val="00554BB4"/>
    <w:rsid w:val="005565A2"/>
    <w:rsid w:val="00556981"/>
    <w:rsid w:val="00557FA4"/>
    <w:rsid w:val="00563B55"/>
    <w:rsid w:val="00564328"/>
    <w:rsid w:val="00564E01"/>
    <w:rsid w:val="00565797"/>
    <w:rsid w:val="005717BA"/>
    <w:rsid w:val="00574DF9"/>
    <w:rsid w:val="00575485"/>
    <w:rsid w:val="00575DE4"/>
    <w:rsid w:val="00576365"/>
    <w:rsid w:val="00581C21"/>
    <w:rsid w:val="00582186"/>
    <w:rsid w:val="005826F3"/>
    <w:rsid w:val="00582F7A"/>
    <w:rsid w:val="00586C84"/>
    <w:rsid w:val="00590449"/>
    <w:rsid w:val="00590DDD"/>
    <w:rsid w:val="00590F1C"/>
    <w:rsid w:val="0059608F"/>
    <w:rsid w:val="005A0654"/>
    <w:rsid w:val="005A0A02"/>
    <w:rsid w:val="005A10F9"/>
    <w:rsid w:val="005A2BE1"/>
    <w:rsid w:val="005A335C"/>
    <w:rsid w:val="005A46C9"/>
    <w:rsid w:val="005A5533"/>
    <w:rsid w:val="005A644F"/>
    <w:rsid w:val="005A72BB"/>
    <w:rsid w:val="005A7BC1"/>
    <w:rsid w:val="005B0EEA"/>
    <w:rsid w:val="005B20E2"/>
    <w:rsid w:val="005B3802"/>
    <w:rsid w:val="005B3F31"/>
    <w:rsid w:val="005B40D3"/>
    <w:rsid w:val="005B4726"/>
    <w:rsid w:val="005C13D7"/>
    <w:rsid w:val="005C1EC1"/>
    <w:rsid w:val="005C53F5"/>
    <w:rsid w:val="005C72CC"/>
    <w:rsid w:val="005D0EF0"/>
    <w:rsid w:val="005D3013"/>
    <w:rsid w:val="005D7123"/>
    <w:rsid w:val="005D778C"/>
    <w:rsid w:val="005D7AF9"/>
    <w:rsid w:val="005E0FAF"/>
    <w:rsid w:val="005E2467"/>
    <w:rsid w:val="005E2B84"/>
    <w:rsid w:val="005E337C"/>
    <w:rsid w:val="005E3A86"/>
    <w:rsid w:val="005E617D"/>
    <w:rsid w:val="005E7FEE"/>
    <w:rsid w:val="005F0D50"/>
    <w:rsid w:val="005F1831"/>
    <w:rsid w:val="005F1E5D"/>
    <w:rsid w:val="005F352F"/>
    <w:rsid w:val="005F4C2D"/>
    <w:rsid w:val="005F5687"/>
    <w:rsid w:val="005F5F8D"/>
    <w:rsid w:val="005F644B"/>
    <w:rsid w:val="005F651D"/>
    <w:rsid w:val="00602E94"/>
    <w:rsid w:val="00604AA3"/>
    <w:rsid w:val="00606AB8"/>
    <w:rsid w:val="00611F94"/>
    <w:rsid w:val="006122A0"/>
    <w:rsid w:val="006129C9"/>
    <w:rsid w:val="00616350"/>
    <w:rsid w:val="006201ED"/>
    <w:rsid w:val="006211A0"/>
    <w:rsid w:val="00621829"/>
    <w:rsid w:val="00623B43"/>
    <w:rsid w:val="00624EEC"/>
    <w:rsid w:val="00625E61"/>
    <w:rsid w:val="006264B8"/>
    <w:rsid w:val="00632FB3"/>
    <w:rsid w:val="0063447D"/>
    <w:rsid w:val="00634A97"/>
    <w:rsid w:val="00635E40"/>
    <w:rsid w:val="006376AA"/>
    <w:rsid w:val="00640C76"/>
    <w:rsid w:val="00641FF1"/>
    <w:rsid w:val="00643166"/>
    <w:rsid w:val="0064362F"/>
    <w:rsid w:val="00650FE7"/>
    <w:rsid w:val="00654E02"/>
    <w:rsid w:val="0065744E"/>
    <w:rsid w:val="006574B4"/>
    <w:rsid w:val="006578D1"/>
    <w:rsid w:val="00657D7E"/>
    <w:rsid w:val="00660CD3"/>
    <w:rsid w:val="0066179C"/>
    <w:rsid w:val="00661869"/>
    <w:rsid w:val="006627E0"/>
    <w:rsid w:val="006629A7"/>
    <w:rsid w:val="00664A52"/>
    <w:rsid w:val="00665A31"/>
    <w:rsid w:val="00671C3E"/>
    <w:rsid w:val="00672003"/>
    <w:rsid w:val="00672462"/>
    <w:rsid w:val="00672B25"/>
    <w:rsid w:val="006730F1"/>
    <w:rsid w:val="00673273"/>
    <w:rsid w:val="00674B2C"/>
    <w:rsid w:val="0068076A"/>
    <w:rsid w:val="00684C69"/>
    <w:rsid w:val="00684CB2"/>
    <w:rsid w:val="00685950"/>
    <w:rsid w:val="00685BA3"/>
    <w:rsid w:val="00686B4C"/>
    <w:rsid w:val="00686E7A"/>
    <w:rsid w:val="00691F7F"/>
    <w:rsid w:val="00693019"/>
    <w:rsid w:val="006932C6"/>
    <w:rsid w:val="00695E8A"/>
    <w:rsid w:val="0069604D"/>
    <w:rsid w:val="00697BAC"/>
    <w:rsid w:val="006A01F1"/>
    <w:rsid w:val="006A0747"/>
    <w:rsid w:val="006A08B9"/>
    <w:rsid w:val="006A09A4"/>
    <w:rsid w:val="006A0D7D"/>
    <w:rsid w:val="006A1D08"/>
    <w:rsid w:val="006A20FC"/>
    <w:rsid w:val="006A2956"/>
    <w:rsid w:val="006A2C9A"/>
    <w:rsid w:val="006A5B66"/>
    <w:rsid w:val="006A6F91"/>
    <w:rsid w:val="006B3492"/>
    <w:rsid w:val="006B4016"/>
    <w:rsid w:val="006B457C"/>
    <w:rsid w:val="006B4D50"/>
    <w:rsid w:val="006C22A1"/>
    <w:rsid w:val="006C24CD"/>
    <w:rsid w:val="006C321C"/>
    <w:rsid w:val="006C61B9"/>
    <w:rsid w:val="006C6CD2"/>
    <w:rsid w:val="006C7204"/>
    <w:rsid w:val="006C7998"/>
    <w:rsid w:val="006D0FC8"/>
    <w:rsid w:val="006D214A"/>
    <w:rsid w:val="006D3B2B"/>
    <w:rsid w:val="006D3F03"/>
    <w:rsid w:val="006D5B96"/>
    <w:rsid w:val="006E0D7B"/>
    <w:rsid w:val="006E3595"/>
    <w:rsid w:val="006E428D"/>
    <w:rsid w:val="006E508F"/>
    <w:rsid w:val="006E6611"/>
    <w:rsid w:val="006E74EB"/>
    <w:rsid w:val="006F2265"/>
    <w:rsid w:val="006F2B22"/>
    <w:rsid w:val="006F42EB"/>
    <w:rsid w:val="006F469E"/>
    <w:rsid w:val="006F5E54"/>
    <w:rsid w:val="006F78C9"/>
    <w:rsid w:val="0070035D"/>
    <w:rsid w:val="00700E23"/>
    <w:rsid w:val="007010AC"/>
    <w:rsid w:val="00703321"/>
    <w:rsid w:val="00703397"/>
    <w:rsid w:val="00704908"/>
    <w:rsid w:val="007050B3"/>
    <w:rsid w:val="00705F23"/>
    <w:rsid w:val="007104B7"/>
    <w:rsid w:val="00710AE0"/>
    <w:rsid w:val="007136D4"/>
    <w:rsid w:val="00715973"/>
    <w:rsid w:val="0071694D"/>
    <w:rsid w:val="007177FB"/>
    <w:rsid w:val="00717C21"/>
    <w:rsid w:val="0072373A"/>
    <w:rsid w:val="0072396F"/>
    <w:rsid w:val="007248AE"/>
    <w:rsid w:val="007258DF"/>
    <w:rsid w:val="0072788A"/>
    <w:rsid w:val="00730671"/>
    <w:rsid w:val="00736FF3"/>
    <w:rsid w:val="007372D0"/>
    <w:rsid w:val="007379DC"/>
    <w:rsid w:val="00740413"/>
    <w:rsid w:val="00740769"/>
    <w:rsid w:val="00741A7B"/>
    <w:rsid w:val="00746F15"/>
    <w:rsid w:val="0074730D"/>
    <w:rsid w:val="00750314"/>
    <w:rsid w:val="00750D3D"/>
    <w:rsid w:val="00754C51"/>
    <w:rsid w:val="00755AD3"/>
    <w:rsid w:val="00755DA2"/>
    <w:rsid w:val="00756FF2"/>
    <w:rsid w:val="007575AF"/>
    <w:rsid w:val="00764A9D"/>
    <w:rsid w:val="00765896"/>
    <w:rsid w:val="00766438"/>
    <w:rsid w:val="00767913"/>
    <w:rsid w:val="007737DD"/>
    <w:rsid w:val="00773AAF"/>
    <w:rsid w:val="00773DF9"/>
    <w:rsid w:val="007743F4"/>
    <w:rsid w:val="00774632"/>
    <w:rsid w:val="00774756"/>
    <w:rsid w:val="00775BEF"/>
    <w:rsid w:val="00776E3C"/>
    <w:rsid w:val="00777D18"/>
    <w:rsid w:val="00780645"/>
    <w:rsid w:val="0078105D"/>
    <w:rsid w:val="00781203"/>
    <w:rsid w:val="00781304"/>
    <w:rsid w:val="007814A4"/>
    <w:rsid w:val="00781E74"/>
    <w:rsid w:val="00782356"/>
    <w:rsid w:val="007835D6"/>
    <w:rsid w:val="007844F2"/>
    <w:rsid w:val="007855C9"/>
    <w:rsid w:val="00786899"/>
    <w:rsid w:val="00786D08"/>
    <w:rsid w:val="00786D98"/>
    <w:rsid w:val="00790FBC"/>
    <w:rsid w:val="0079315A"/>
    <w:rsid w:val="007938D9"/>
    <w:rsid w:val="007A02F7"/>
    <w:rsid w:val="007A1923"/>
    <w:rsid w:val="007A2F3F"/>
    <w:rsid w:val="007A4F2C"/>
    <w:rsid w:val="007A4FA0"/>
    <w:rsid w:val="007A52B6"/>
    <w:rsid w:val="007A6927"/>
    <w:rsid w:val="007A6953"/>
    <w:rsid w:val="007A77EC"/>
    <w:rsid w:val="007B05B1"/>
    <w:rsid w:val="007B1D5E"/>
    <w:rsid w:val="007B2ED4"/>
    <w:rsid w:val="007B4B86"/>
    <w:rsid w:val="007C00F5"/>
    <w:rsid w:val="007C295B"/>
    <w:rsid w:val="007C346A"/>
    <w:rsid w:val="007C3BC7"/>
    <w:rsid w:val="007C7C8B"/>
    <w:rsid w:val="007D2144"/>
    <w:rsid w:val="007D3028"/>
    <w:rsid w:val="007D3E73"/>
    <w:rsid w:val="007D42F6"/>
    <w:rsid w:val="007D610D"/>
    <w:rsid w:val="007D75C5"/>
    <w:rsid w:val="007D7855"/>
    <w:rsid w:val="007E1A52"/>
    <w:rsid w:val="007E1BC1"/>
    <w:rsid w:val="007E23A9"/>
    <w:rsid w:val="007E27BF"/>
    <w:rsid w:val="007E495B"/>
    <w:rsid w:val="007E5C3A"/>
    <w:rsid w:val="007E7488"/>
    <w:rsid w:val="007F033E"/>
    <w:rsid w:val="007F08A3"/>
    <w:rsid w:val="007F0A2C"/>
    <w:rsid w:val="007F14E3"/>
    <w:rsid w:val="007F1E9E"/>
    <w:rsid w:val="007F2070"/>
    <w:rsid w:val="007F6B19"/>
    <w:rsid w:val="007F75CE"/>
    <w:rsid w:val="00802CE0"/>
    <w:rsid w:val="0080321B"/>
    <w:rsid w:val="0080377C"/>
    <w:rsid w:val="00805E34"/>
    <w:rsid w:val="00810B86"/>
    <w:rsid w:val="00812BF6"/>
    <w:rsid w:val="008134C9"/>
    <w:rsid w:val="0081394E"/>
    <w:rsid w:val="00815BAB"/>
    <w:rsid w:val="008164DE"/>
    <w:rsid w:val="008200AC"/>
    <w:rsid w:val="0082298D"/>
    <w:rsid w:val="0082336E"/>
    <w:rsid w:val="00825190"/>
    <w:rsid w:val="00826E33"/>
    <w:rsid w:val="008272B3"/>
    <w:rsid w:val="0083073C"/>
    <w:rsid w:val="00830E96"/>
    <w:rsid w:val="00832B96"/>
    <w:rsid w:val="00833378"/>
    <w:rsid w:val="00834951"/>
    <w:rsid w:val="0083497D"/>
    <w:rsid w:val="008351EC"/>
    <w:rsid w:val="00835A7F"/>
    <w:rsid w:val="00837065"/>
    <w:rsid w:val="00837806"/>
    <w:rsid w:val="00841246"/>
    <w:rsid w:val="00841DF7"/>
    <w:rsid w:val="008444E2"/>
    <w:rsid w:val="00844576"/>
    <w:rsid w:val="008468EF"/>
    <w:rsid w:val="00852A5B"/>
    <w:rsid w:val="00852B6A"/>
    <w:rsid w:val="008538F9"/>
    <w:rsid w:val="00853A2E"/>
    <w:rsid w:val="00853EED"/>
    <w:rsid w:val="0085469D"/>
    <w:rsid w:val="00855641"/>
    <w:rsid w:val="00856DDF"/>
    <w:rsid w:val="00857135"/>
    <w:rsid w:val="00860336"/>
    <w:rsid w:val="00860A95"/>
    <w:rsid w:val="00861DFB"/>
    <w:rsid w:val="00862AFA"/>
    <w:rsid w:val="008656A7"/>
    <w:rsid w:val="00866F29"/>
    <w:rsid w:val="00871110"/>
    <w:rsid w:val="0087152A"/>
    <w:rsid w:val="008732E4"/>
    <w:rsid w:val="00874649"/>
    <w:rsid w:val="00875717"/>
    <w:rsid w:val="00875F34"/>
    <w:rsid w:val="008767D0"/>
    <w:rsid w:val="00876843"/>
    <w:rsid w:val="00877BDF"/>
    <w:rsid w:val="00877DFB"/>
    <w:rsid w:val="00880324"/>
    <w:rsid w:val="00880724"/>
    <w:rsid w:val="008814C1"/>
    <w:rsid w:val="00886BC5"/>
    <w:rsid w:val="00887220"/>
    <w:rsid w:val="008910DA"/>
    <w:rsid w:val="008922CB"/>
    <w:rsid w:val="0089270E"/>
    <w:rsid w:val="00894500"/>
    <w:rsid w:val="0089470C"/>
    <w:rsid w:val="008956AA"/>
    <w:rsid w:val="008966AC"/>
    <w:rsid w:val="008976FA"/>
    <w:rsid w:val="008A080B"/>
    <w:rsid w:val="008A2A1F"/>
    <w:rsid w:val="008A3AF6"/>
    <w:rsid w:val="008A4BEE"/>
    <w:rsid w:val="008B1819"/>
    <w:rsid w:val="008B4AE6"/>
    <w:rsid w:val="008B7DA8"/>
    <w:rsid w:val="008C26F0"/>
    <w:rsid w:val="008C28BC"/>
    <w:rsid w:val="008C343D"/>
    <w:rsid w:val="008C3AD9"/>
    <w:rsid w:val="008C44F5"/>
    <w:rsid w:val="008C61D7"/>
    <w:rsid w:val="008C699E"/>
    <w:rsid w:val="008D0CCB"/>
    <w:rsid w:val="008D3827"/>
    <w:rsid w:val="008D419C"/>
    <w:rsid w:val="008D5070"/>
    <w:rsid w:val="008D5D65"/>
    <w:rsid w:val="008D6227"/>
    <w:rsid w:val="008D6ECA"/>
    <w:rsid w:val="008E07F3"/>
    <w:rsid w:val="008E0F5B"/>
    <w:rsid w:val="008E15D7"/>
    <w:rsid w:val="008E1CCE"/>
    <w:rsid w:val="008E2210"/>
    <w:rsid w:val="008E405F"/>
    <w:rsid w:val="008E52A9"/>
    <w:rsid w:val="008E6060"/>
    <w:rsid w:val="008F17B8"/>
    <w:rsid w:val="008F17F0"/>
    <w:rsid w:val="008F1D7E"/>
    <w:rsid w:val="008F1E2D"/>
    <w:rsid w:val="008F2A09"/>
    <w:rsid w:val="008F387D"/>
    <w:rsid w:val="008F4921"/>
    <w:rsid w:val="008F49CC"/>
    <w:rsid w:val="008F4CCD"/>
    <w:rsid w:val="00902B51"/>
    <w:rsid w:val="00903872"/>
    <w:rsid w:val="0090558A"/>
    <w:rsid w:val="00907FF8"/>
    <w:rsid w:val="009125C5"/>
    <w:rsid w:val="00912BB1"/>
    <w:rsid w:val="00912BBD"/>
    <w:rsid w:val="00913DB8"/>
    <w:rsid w:val="009141F1"/>
    <w:rsid w:val="00917739"/>
    <w:rsid w:val="00921204"/>
    <w:rsid w:val="00923378"/>
    <w:rsid w:val="00923427"/>
    <w:rsid w:val="00926756"/>
    <w:rsid w:val="00927394"/>
    <w:rsid w:val="009274CD"/>
    <w:rsid w:val="00930289"/>
    <w:rsid w:val="009309B2"/>
    <w:rsid w:val="009315B0"/>
    <w:rsid w:val="00932592"/>
    <w:rsid w:val="00932F20"/>
    <w:rsid w:val="0093351A"/>
    <w:rsid w:val="009340C9"/>
    <w:rsid w:val="0093442D"/>
    <w:rsid w:val="00934DCA"/>
    <w:rsid w:val="00934F43"/>
    <w:rsid w:val="0093598C"/>
    <w:rsid w:val="00935C9F"/>
    <w:rsid w:val="009362B0"/>
    <w:rsid w:val="00936B4A"/>
    <w:rsid w:val="00940468"/>
    <w:rsid w:val="009437A9"/>
    <w:rsid w:val="0094539D"/>
    <w:rsid w:val="00945D33"/>
    <w:rsid w:val="009510E8"/>
    <w:rsid w:val="009511F9"/>
    <w:rsid w:val="00952414"/>
    <w:rsid w:val="00952566"/>
    <w:rsid w:val="00955445"/>
    <w:rsid w:val="009572B3"/>
    <w:rsid w:val="0096040A"/>
    <w:rsid w:val="009635E8"/>
    <w:rsid w:val="009637A8"/>
    <w:rsid w:val="009637FD"/>
    <w:rsid w:val="00963D07"/>
    <w:rsid w:val="00964215"/>
    <w:rsid w:val="009642D0"/>
    <w:rsid w:val="00966CD2"/>
    <w:rsid w:val="00966E25"/>
    <w:rsid w:val="00967ABC"/>
    <w:rsid w:val="009701F6"/>
    <w:rsid w:val="0097032C"/>
    <w:rsid w:val="00971BB5"/>
    <w:rsid w:val="009723D3"/>
    <w:rsid w:val="009728CB"/>
    <w:rsid w:val="00973A1A"/>
    <w:rsid w:val="00975556"/>
    <w:rsid w:val="009767CC"/>
    <w:rsid w:val="00980F65"/>
    <w:rsid w:val="00983B97"/>
    <w:rsid w:val="0098439A"/>
    <w:rsid w:val="0098513C"/>
    <w:rsid w:val="00985169"/>
    <w:rsid w:val="00985734"/>
    <w:rsid w:val="00985EAE"/>
    <w:rsid w:val="00990A20"/>
    <w:rsid w:val="00990E3E"/>
    <w:rsid w:val="00991612"/>
    <w:rsid w:val="00991B3A"/>
    <w:rsid w:val="0099269B"/>
    <w:rsid w:val="0099418A"/>
    <w:rsid w:val="00994E3B"/>
    <w:rsid w:val="00994F17"/>
    <w:rsid w:val="009971AF"/>
    <w:rsid w:val="009A10C1"/>
    <w:rsid w:val="009A19DE"/>
    <w:rsid w:val="009A1B88"/>
    <w:rsid w:val="009A3405"/>
    <w:rsid w:val="009A3F80"/>
    <w:rsid w:val="009A52E2"/>
    <w:rsid w:val="009A6956"/>
    <w:rsid w:val="009A7908"/>
    <w:rsid w:val="009A7921"/>
    <w:rsid w:val="009B0009"/>
    <w:rsid w:val="009B22B8"/>
    <w:rsid w:val="009B249F"/>
    <w:rsid w:val="009B32EA"/>
    <w:rsid w:val="009B3485"/>
    <w:rsid w:val="009B3495"/>
    <w:rsid w:val="009C062E"/>
    <w:rsid w:val="009C2084"/>
    <w:rsid w:val="009C40B1"/>
    <w:rsid w:val="009C4473"/>
    <w:rsid w:val="009C492E"/>
    <w:rsid w:val="009C50AB"/>
    <w:rsid w:val="009D59F4"/>
    <w:rsid w:val="009D5C62"/>
    <w:rsid w:val="009D5E68"/>
    <w:rsid w:val="009D60D2"/>
    <w:rsid w:val="009D6A66"/>
    <w:rsid w:val="009D6DDF"/>
    <w:rsid w:val="009E0280"/>
    <w:rsid w:val="009E04EA"/>
    <w:rsid w:val="009E0FE0"/>
    <w:rsid w:val="009E2B80"/>
    <w:rsid w:val="009E306B"/>
    <w:rsid w:val="009E321A"/>
    <w:rsid w:val="009E3722"/>
    <w:rsid w:val="009E44D4"/>
    <w:rsid w:val="009E643E"/>
    <w:rsid w:val="009F0927"/>
    <w:rsid w:val="009F14AE"/>
    <w:rsid w:val="009F1B21"/>
    <w:rsid w:val="009F215F"/>
    <w:rsid w:val="009F2FDB"/>
    <w:rsid w:val="009F3FF4"/>
    <w:rsid w:val="009F5298"/>
    <w:rsid w:val="009F5601"/>
    <w:rsid w:val="009F679E"/>
    <w:rsid w:val="009F6F4F"/>
    <w:rsid w:val="009F79E6"/>
    <w:rsid w:val="00A0044F"/>
    <w:rsid w:val="00A024C5"/>
    <w:rsid w:val="00A03046"/>
    <w:rsid w:val="00A030B4"/>
    <w:rsid w:val="00A03C4E"/>
    <w:rsid w:val="00A11946"/>
    <w:rsid w:val="00A128A4"/>
    <w:rsid w:val="00A13228"/>
    <w:rsid w:val="00A16A72"/>
    <w:rsid w:val="00A177C2"/>
    <w:rsid w:val="00A21324"/>
    <w:rsid w:val="00A22777"/>
    <w:rsid w:val="00A22D88"/>
    <w:rsid w:val="00A23956"/>
    <w:rsid w:val="00A23A22"/>
    <w:rsid w:val="00A24D9C"/>
    <w:rsid w:val="00A258EB"/>
    <w:rsid w:val="00A26580"/>
    <w:rsid w:val="00A26D7F"/>
    <w:rsid w:val="00A30807"/>
    <w:rsid w:val="00A30A4E"/>
    <w:rsid w:val="00A31393"/>
    <w:rsid w:val="00A317FD"/>
    <w:rsid w:val="00A32DBC"/>
    <w:rsid w:val="00A3392A"/>
    <w:rsid w:val="00A33D61"/>
    <w:rsid w:val="00A401BD"/>
    <w:rsid w:val="00A434C1"/>
    <w:rsid w:val="00A4642C"/>
    <w:rsid w:val="00A46B39"/>
    <w:rsid w:val="00A46C49"/>
    <w:rsid w:val="00A50952"/>
    <w:rsid w:val="00A51EB8"/>
    <w:rsid w:val="00A524A3"/>
    <w:rsid w:val="00A53217"/>
    <w:rsid w:val="00A532FF"/>
    <w:rsid w:val="00A56BA8"/>
    <w:rsid w:val="00A6065E"/>
    <w:rsid w:val="00A60EFC"/>
    <w:rsid w:val="00A631E8"/>
    <w:rsid w:val="00A63884"/>
    <w:rsid w:val="00A669B2"/>
    <w:rsid w:val="00A67235"/>
    <w:rsid w:val="00A67C8D"/>
    <w:rsid w:val="00A7125A"/>
    <w:rsid w:val="00A71A2F"/>
    <w:rsid w:val="00A71C7E"/>
    <w:rsid w:val="00A729FF"/>
    <w:rsid w:val="00A73AB3"/>
    <w:rsid w:val="00A73E42"/>
    <w:rsid w:val="00A76253"/>
    <w:rsid w:val="00A7671B"/>
    <w:rsid w:val="00A77C94"/>
    <w:rsid w:val="00A80228"/>
    <w:rsid w:val="00A804C5"/>
    <w:rsid w:val="00A83A14"/>
    <w:rsid w:val="00A83B42"/>
    <w:rsid w:val="00A85EB6"/>
    <w:rsid w:val="00A86812"/>
    <w:rsid w:val="00A8717C"/>
    <w:rsid w:val="00A8753C"/>
    <w:rsid w:val="00A90102"/>
    <w:rsid w:val="00A9106C"/>
    <w:rsid w:val="00A919B9"/>
    <w:rsid w:val="00A91DC5"/>
    <w:rsid w:val="00A92847"/>
    <w:rsid w:val="00A95A93"/>
    <w:rsid w:val="00A95E46"/>
    <w:rsid w:val="00A96DF1"/>
    <w:rsid w:val="00A97B00"/>
    <w:rsid w:val="00A97DB8"/>
    <w:rsid w:val="00AA01ED"/>
    <w:rsid w:val="00AA2AF7"/>
    <w:rsid w:val="00AA39BA"/>
    <w:rsid w:val="00AA3E04"/>
    <w:rsid w:val="00AA5C65"/>
    <w:rsid w:val="00AA684D"/>
    <w:rsid w:val="00AA7C95"/>
    <w:rsid w:val="00AA7FD3"/>
    <w:rsid w:val="00AB0768"/>
    <w:rsid w:val="00AB2BBA"/>
    <w:rsid w:val="00AB54BE"/>
    <w:rsid w:val="00AB7468"/>
    <w:rsid w:val="00AC0199"/>
    <w:rsid w:val="00AC129B"/>
    <w:rsid w:val="00AC30D9"/>
    <w:rsid w:val="00AC39D4"/>
    <w:rsid w:val="00AC58A2"/>
    <w:rsid w:val="00AC5BE5"/>
    <w:rsid w:val="00AC5FAA"/>
    <w:rsid w:val="00AC6ED3"/>
    <w:rsid w:val="00AC700F"/>
    <w:rsid w:val="00AC7CAC"/>
    <w:rsid w:val="00AD0771"/>
    <w:rsid w:val="00AD0C70"/>
    <w:rsid w:val="00AD13E7"/>
    <w:rsid w:val="00AD1794"/>
    <w:rsid w:val="00AD526B"/>
    <w:rsid w:val="00AD73C2"/>
    <w:rsid w:val="00AE0889"/>
    <w:rsid w:val="00AE09EE"/>
    <w:rsid w:val="00AE37EC"/>
    <w:rsid w:val="00AE3C2D"/>
    <w:rsid w:val="00AE3F4D"/>
    <w:rsid w:val="00AE40F9"/>
    <w:rsid w:val="00AE4F1E"/>
    <w:rsid w:val="00AE53D4"/>
    <w:rsid w:val="00AE5772"/>
    <w:rsid w:val="00AE6437"/>
    <w:rsid w:val="00AE6C68"/>
    <w:rsid w:val="00AF0B4A"/>
    <w:rsid w:val="00AF196E"/>
    <w:rsid w:val="00AF3305"/>
    <w:rsid w:val="00AF3C4F"/>
    <w:rsid w:val="00AF3E84"/>
    <w:rsid w:val="00AF5AC0"/>
    <w:rsid w:val="00AF6884"/>
    <w:rsid w:val="00AF701A"/>
    <w:rsid w:val="00AF75C7"/>
    <w:rsid w:val="00B003DB"/>
    <w:rsid w:val="00B014EE"/>
    <w:rsid w:val="00B0240C"/>
    <w:rsid w:val="00B03763"/>
    <w:rsid w:val="00B03EF0"/>
    <w:rsid w:val="00B04EBD"/>
    <w:rsid w:val="00B055CA"/>
    <w:rsid w:val="00B0597A"/>
    <w:rsid w:val="00B05E48"/>
    <w:rsid w:val="00B06AA0"/>
    <w:rsid w:val="00B076B7"/>
    <w:rsid w:val="00B0780A"/>
    <w:rsid w:val="00B1284E"/>
    <w:rsid w:val="00B13663"/>
    <w:rsid w:val="00B1590A"/>
    <w:rsid w:val="00B167DE"/>
    <w:rsid w:val="00B16B69"/>
    <w:rsid w:val="00B1737F"/>
    <w:rsid w:val="00B17C7A"/>
    <w:rsid w:val="00B20319"/>
    <w:rsid w:val="00B2057C"/>
    <w:rsid w:val="00B212E6"/>
    <w:rsid w:val="00B25759"/>
    <w:rsid w:val="00B300DD"/>
    <w:rsid w:val="00B30A27"/>
    <w:rsid w:val="00B322E0"/>
    <w:rsid w:val="00B327C6"/>
    <w:rsid w:val="00B3405D"/>
    <w:rsid w:val="00B35257"/>
    <w:rsid w:val="00B353EA"/>
    <w:rsid w:val="00B3577B"/>
    <w:rsid w:val="00B400A1"/>
    <w:rsid w:val="00B4010F"/>
    <w:rsid w:val="00B41603"/>
    <w:rsid w:val="00B44A58"/>
    <w:rsid w:val="00B44DDB"/>
    <w:rsid w:val="00B44E04"/>
    <w:rsid w:val="00B45322"/>
    <w:rsid w:val="00B46858"/>
    <w:rsid w:val="00B470A1"/>
    <w:rsid w:val="00B5047E"/>
    <w:rsid w:val="00B504A4"/>
    <w:rsid w:val="00B50DA2"/>
    <w:rsid w:val="00B51093"/>
    <w:rsid w:val="00B51137"/>
    <w:rsid w:val="00B5430E"/>
    <w:rsid w:val="00B5554F"/>
    <w:rsid w:val="00B55552"/>
    <w:rsid w:val="00B56629"/>
    <w:rsid w:val="00B61411"/>
    <w:rsid w:val="00B61412"/>
    <w:rsid w:val="00B62744"/>
    <w:rsid w:val="00B649EB"/>
    <w:rsid w:val="00B65A01"/>
    <w:rsid w:val="00B66E08"/>
    <w:rsid w:val="00B70548"/>
    <w:rsid w:val="00B70F12"/>
    <w:rsid w:val="00B7175D"/>
    <w:rsid w:val="00B72016"/>
    <w:rsid w:val="00B7208B"/>
    <w:rsid w:val="00B72E65"/>
    <w:rsid w:val="00B74BDD"/>
    <w:rsid w:val="00B75D86"/>
    <w:rsid w:val="00B76051"/>
    <w:rsid w:val="00B76208"/>
    <w:rsid w:val="00B80191"/>
    <w:rsid w:val="00B806AA"/>
    <w:rsid w:val="00B814DB"/>
    <w:rsid w:val="00B8381D"/>
    <w:rsid w:val="00B8459B"/>
    <w:rsid w:val="00B864DB"/>
    <w:rsid w:val="00B86930"/>
    <w:rsid w:val="00B87AEE"/>
    <w:rsid w:val="00B9126B"/>
    <w:rsid w:val="00B916F9"/>
    <w:rsid w:val="00B953EE"/>
    <w:rsid w:val="00B9596D"/>
    <w:rsid w:val="00B966C4"/>
    <w:rsid w:val="00BA1A7C"/>
    <w:rsid w:val="00BA219F"/>
    <w:rsid w:val="00BA5A2E"/>
    <w:rsid w:val="00BB0AD9"/>
    <w:rsid w:val="00BB361C"/>
    <w:rsid w:val="00BB4C08"/>
    <w:rsid w:val="00BB7A66"/>
    <w:rsid w:val="00BC029C"/>
    <w:rsid w:val="00BC3457"/>
    <w:rsid w:val="00BC5D43"/>
    <w:rsid w:val="00BC681D"/>
    <w:rsid w:val="00BC7652"/>
    <w:rsid w:val="00BD0792"/>
    <w:rsid w:val="00BD088F"/>
    <w:rsid w:val="00BD394D"/>
    <w:rsid w:val="00BD4454"/>
    <w:rsid w:val="00BD5F3F"/>
    <w:rsid w:val="00BD6DBA"/>
    <w:rsid w:val="00BD70A3"/>
    <w:rsid w:val="00BE1909"/>
    <w:rsid w:val="00BE2F3F"/>
    <w:rsid w:val="00BE307E"/>
    <w:rsid w:val="00BE58FC"/>
    <w:rsid w:val="00BE60AA"/>
    <w:rsid w:val="00BE62A8"/>
    <w:rsid w:val="00BE6377"/>
    <w:rsid w:val="00BE7421"/>
    <w:rsid w:val="00BE749C"/>
    <w:rsid w:val="00BF4DF3"/>
    <w:rsid w:val="00BF4EAA"/>
    <w:rsid w:val="00BF548A"/>
    <w:rsid w:val="00BF7E54"/>
    <w:rsid w:val="00C023DC"/>
    <w:rsid w:val="00C03888"/>
    <w:rsid w:val="00C04AD3"/>
    <w:rsid w:val="00C04EA4"/>
    <w:rsid w:val="00C0529E"/>
    <w:rsid w:val="00C054C4"/>
    <w:rsid w:val="00C0590D"/>
    <w:rsid w:val="00C06190"/>
    <w:rsid w:val="00C061DC"/>
    <w:rsid w:val="00C06465"/>
    <w:rsid w:val="00C070D9"/>
    <w:rsid w:val="00C112E8"/>
    <w:rsid w:val="00C13277"/>
    <w:rsid w:val="00C17404"/>
    <w:rsid w:val="00C20234"/>
    <w:rsid w:val="00C2346B"/>
    <w:rsid w:val="00C2446C"/>
    <w:rsid w:val="00C2786A"/>
    <w:rsid w:val="00C27FE0"/>
    <w:rsid w:val="00C31051"/>
    <w:rsid w:val="00C3196B"/>
    <w:rsid w:val="00C31B2A"/>
    <w:rsid w:val="00C31F96"/>
    <w:rsid w:val="00C3649C"/>
    <w:rsid w:val="00C373BF"/>
    <w:rsid w:val="00C378EB"/>
    <w:rsid w:val="00C37B67"/>
    <w:rsid w:val="00C40D2B"/>
    <w:rsid w:val="00C410BA"/>
    <w:rsid w:val="00C43861"/>
    <w:rsid w:val="00C46753"/>
    <w:rsid w:val="00C46DBA"/>
    <w:rsid w:val="00C50FD7"/>
    <w:rsid w:val="00C515F7"/>
    <w:rsid w:val="00C553F7"/>
    <w:rsid w:val="00C55C9C"/>
    <w:rsid w:val="00C60C24"/>
    <w:rsid w:val="00C61C90"/>
    <w:rsid w:val="00C62606"/>
    <w:rsid w:val="00C62B89"/>
    <w:rsid w:val="00C636F6"/>
    <w:rsid w:val="00C6561E"/>
    <w:rsid w:val="00C66C02"/>
    <w:rsid w:val="00C66ECF"/>
    <w:rsid w:val="00C6731C"/>
    <w:rsid w:val="00C67555"/>
    <w:rsid w:val="00C705C8"/>
    <w:rsid w:val="00C70AC9"/>
    <w:rsid w:val="00C7302E"/>
    <w:rsid w:val="00C737E2"/>
    <w:rsid w:val="00C73B54"/>
    <w:rsid w:val="00C7645E"/>
    <w:rsid w:val="00C7747F"/>
    <w:rsid w:val="00C77AD4"/>
    <w:rsid w:val="00C77BFD"/>
    <w:rsid w:val="00C80AE5"/>
    <w:rsid w:val="00C80B09"/>
    <w:rsid w:val="00C80C22"/>
    <w:rsid w:val="00C81018"/>
    <w:rsid w:val="00C82420"/>
    <w:rsid w:val="00C83D91"/>
    <w:rsid w:val="00C852E5"/>
    <w:rsid w:val="00C86A3E"/>
    <w:rsid w:val="00C879AC"/>
    <w:rsid w:val="00C9178D"/>
    <w:rsid w:val="00C938DC"/>
    <w:rsid w:val="00C93BD8"/>
    <w:rsid w:val="00C94797"/>
    <w:rsid w:val="00C978EA"/>
    <w:rsid w:val="00C97CC5"/>
    <w:rsid w:val="00C97FE7"/>
    <w:rsid w:val="00CA2241"/>
    <w:rsid w:val="00CA2C73"/>
    <w:rsid w:val="00CA4C4B"/>
    <w:rsid w:val="00CA5831"/>
    <w:rsid w:val="00CA669D"/>
    <w:rsid w:val="00CB119B"/>
    <w:rsid w:val="00CB3E34"/>
    <w:rsid w:val="00CB509B"/>
    <w:rsid w:val="00CB68E4"/>
    <w:rsid w:val="00CB69D5"/>
    <w:rsid w:val="00CB7F8D"/>
    <w:rsid w:val="00CC131B"/>
    <w:rsid w:val="00CC1F5B"/>
    <w:rsid w:val="00CC344C"/>
    <w:rsid w:val="00CC35D6"/>
    <w:rsid w:val="00CC3E55"/>
    <w:rsid w:val="00CC482C"/>
    <w:rsid w:val="00CC4900"/>
    <w:rsid w:val="00CC5CA3"/>
    <w:rsid w:val="00CC6288"/>
    <w:rsid w:val="00CC6473"/>
    <w:rsid w:val="00CC6B5F"/>
    <w:rsid w:val="00CC74DE"/>
    <w:rsid w:val="00CD02A2"/>
    <w:rsid w:val="00CD0AA5"/>
    <w:rsid w:val="00CD5804"/>
    <w:rsid w:val="00CD5A55"/>
    <w:rsid w:val="00CD767B"/>
    <w:rsid w:val="00CE0EA1"/>
    <w:rsid w:val="00CE20D0"/>
    <w:rsid w:val="00CE2F9F"/>
    <w:rsid w:val="00CE5238"/>
    <w:rsid w:val="00CE5444"/>
    <w:rsid w:val="00CE57A6"/>
    <w:rsid w:val="00CE5B06"/>
    <w:rsid w:val="00CE6CC5"/>
    <w:rsid w:val="00CE7185"/>
    <w:rsid w:val="00CE7C72"/>
    <w:rsid w:val="00CF1800"/>
    <w:rsid w:val="00CF22DC"/>
    <w:rsid w:val="00CF28CE"/>
    <w:rsid w:val="00CF2C67"/>
    <w:rsid w:val="00CF2CEE"/>
    <w:rsid w:val="00CF36B1"/>
    <w:rsid w:val="00CF4083"/>
    <w:rsid w:val="00CF40BE"/>
    <w:rsid w:val="00CF4A5D"/>
    <w:rsid w:val="00CF5815"/>
    <w:rsid w:val="00CF5824"/>
    <w:rsid w:val="00CF663D"/>
    <w:rsid w:val="00CF713B"/>
    <w:rsid w:val="00CF7572"/>
    <w:rsid w:val="00CF7739"/>
    <w:rsid w:val="00CF7A27"/>
    <w:rsid w:val="00D006D4"/>
    <w:rsid w:val="00D02C9C"/>
    <w:rsid w:val="00D04AB3"/>
    <w:rsid w:val="00D05B91"/>
    <w:rsid w:val="00D0702F"/>
    <w:rsid w:val="00D113B3"/>
    <w:rsid w:val="00D11C83"/>
    <w:rsid w:val="00D11EED"/>
    <w:rsid w:val="00D13498"/>
    <w:rsid w:val="00D16EF6"/>
    <w:rsid w:val="00D17973"/>
    <w:rsid w:val="00D20659"/>
    <w:rsid w:val="00D218C7"/>
    <w:rsid w:val="00D233C4"/>
    <w:rsid w:val="00D2458D"/>
    <w:rsid w:val="00D26193"/>
    <w:rsid w:val="00D267B0"/>
    <w:rsid w:val="00D2706B"/>
    <w:rsid w:val="00D279CD"/>
    <w:rsid w:val="00D34C5E"/>
    <w:rsid w:val="00D358D4"/>
    <w:rsid w:val="00D37376"/>
    <w:rsid w:val="00D37F08"/>
    <w:rsid w:val="00D410E5"/>
    <w:rsid w:val="00D45D71"/>
    <w:rsid w:val="00D45E07"/>
    <w:rsid w:val="00D4656C"/>
    <w:rsid w:val="00D478E0"/>
    <w:rsid w:val="00D50A1B"/>
    <w:rsid w:val="00D51D15"/>
    <w:rsid w:val="00D528FA"/>
    <w:rsid w:val="00D52E14"/>
    <w:rsid w:val="00D54634"/>
    <w:rsid w:val="00D554F0"/>
    <w:rsid w:val="00D55788"/>
    <w:rsid w:val="00D562BA"/>
    <w:rsid w:val="00D56C7A"/>
    <w:rsid w:val="00D57F4F"/>
    <w:rsid w:val="00D57FC6"/>
    <w:rsid w:val="00D63AB9"/>
    <w:rsid w:val="00D65971"/>
    <w:rsid w:val="00D707EE"/>
    <w:rsid w:val="00D71210"/>
    <w:rsid w:val="00D72AD2"/>
    <w:rsid w:val="00D7378E"/>
    <w:rsid w:val="00D74325"/>
    <w:rsid w:val="00D7619D"/>
    <w:rsid w:val="00D80C4E"/>
    <w:rsid w:val="00D80E06"/>
    <w:rsid w:val="00D813FD"/>
    <w:rsid w:val="00D8246D"/>
    <w:rsid w:val="00D855FA"/>
    <w:rsid w:val="00D9221F"/>
    <w:rsid w:val="00D948A0"/>
    <w:rsid w:val="00D9707D"/>
    <w:rsid w:val="00D97C7E"/>
    <w:rsid w:val="00DA0AF0"/>
    <w:rsid w:val="00DA1630"/>
    <w:rsid w:val="00DA1813"/>
    <w:rsid w:val="00DA1AA2"/>
    <w:rsid w:val="00DA1E84"/>
    <w:rsid w:val="00DA2548"/>
    <w:rsid w:val="00DA2D22"/>
    <w:rsid w:val="00DA3D13"/>
    <w:rsid w:val="00DA40EC"/>
    <w:rsid w:val="00DA546E"/>
    <w:rsid w:val="00DA5C40"/>
    <w:rsid w:val="00DA5E57"/>
    <w:rsid w:val="00DA6869"/>
    <w:rsid w:val="00DA6A07"/>
    <w:rsid w:val="00DA7D36"/>
    <w:rsid w:val="00DB03DF"/>
    <w:rsid w:val="00DB086F"/>
    <w:rsid w:val="00DB3225"/>
    <w:rsid w:val="00DB3235"/>
    <w:rsid w:val="00DB4009"/>
    <w:rsid w:val="00DB4A0F"/>
    <w:rsid w:val="00DB6012"/>
    <w:rsid w:val="00DC0359"/>
    <w:rsid w:val="00DC1820"/>
    <w:rsid w:val="00DC2932"/>
    <w:rsid w:val="00DC2994"/>
    <w:rsid w:val="00DC5711"/>
    <w:rsid w:val="00DC724A"/>
    <w:rsid w:val="00DC774B"/>
    <w:rsid w:val="00DD0B0A"/>
    <w:rsid w:val="00DD1134"/>
    <w:rsid w:val="00DD2666"/>
    <w:rsid w:val="00DD3442"/>
    <w:rsid w:val="00DD6B03"/>
    <w:rsid w:val="00DD6F87"/>
    <w:rsid w:val="00DE0745"/>
    <w:rsid w:val="00DE1A00"/>
    <w:rsid w:val="00DE4A4F"/>
    <w:rsid w:val="00DE6032"/>
    <w:rsid w:val="00DE6CF7"/>
    <w:rsid w:val="00DE7432"/>
    <w:rsid w:val="00DE7E0E"/>
    <w:rsid w:val="00DF0AC0"/>
    <w:rsid w:val="00DF1849"/>
    <w:rsid w:val="00DF274E"/>
    <w:rsid w:val="00DF2D61"/>
    <w:rsid w:val="00DF3ADE"/>
    <w:rsid w:val="00DF3BD9"/>
    <w:rsid w:val="00DF3DAE"/>
    <w:rsid w:val="00DF52FF"/>
    <w:rsid w:val="00E000C0"/>
    <w:rsid w:val="00E048EC"/>
    <w:rsid w:val="00E05D67"/>
    <w:rsid w:val="00E0646E"/>
    <w:rsid w:val="00E0777E"/>
    <w:rsid w:val="00E1114A"/>
    <w:rsid w:val="00E142FD"/>
    <w:rsid w:val="00E14F73"/>
    <w:rsid w:val="00E158A2"/>
    <w:rsid w:val="00E16FBC"/>
    <w:rsid w:val="00E17508"/>
    <w:rsid w:val="00E17D42"/>
    <w:rsid w:val="00E20726"/>
    <w:rsid w:val="00E21622"/>
    <w:rsid w:val="00E2240C"/>
    <w:rsid w:val="00E30CD4"/>
    <w:rsid w:val="00E32103"/>
    <w:rsid w:val="00E331FB"/>
    <w:rsid w:val="00E3340B"/>
    <w:rsid w:val="00E34677"/>
    <w:rsid w:val="00E41318"/>
    <w:rsid w:val="00E43AED"/>
    <w:rsid w:val="00E43B25"/>
    <w:rsid w:val="00E47102"/>
    <w:rsid w:val="00E474A7"/>
    <w:rsid w:val="00E47DF6"/>
    <w:rsid w:val="00E50366"/>
    <w:rsid w:val="00E50AD3"/>
    <w:rsid w:val="00E50B7C"/>
    <w:rsid w:val="00E5110C"/>
    <w:rsid w:val="00E51314"/>
    <w:rsid w:val="00E51498"/>
    <w:rsid w:val="00E539C0"/>
    <w:rsid w:val="00E5473A"/>
    <w:rsid w:val="00E54F58"/>
    <w:rsid w:val="00E56BF5"/>
    <w:rsid w:val="00E6122A"/>
    <w:rsid w:val="00E6185C"/>
    <w:rsid w:val="00E6265E"/>
    <w:rsid w:val="00E629B6"/>
    <w:rsid w:val="00E62EE3"/>
    <w:rsid w:val="00E63FF8"/>
    <w:rsid w:val="00E66B75"/>
    <w:rsid w:val="00E6745F"/>
    <w:rsid w:val="00E70E07"/>
    <w:rsid w:val="00E71427"/>
    <w:rsid w:val="00E71852"/>
    <w:rsid w:val="00E71A69"/>
    <w:rsid w:val="00E7243D"/>
    <w:rsid w:val="00E732E6"/>
    <w:rsid w:val="00E740D7"/>
    <w:rsid w:val="00E7433C"/>
    <w:rsid w:val="00E76048"/>
    <w:rsid w:val="00E76A56"/>
    <w:rsid w:val="00E77E00"/>
    <w:rsid w:val="00E83288"/>
    <w:rsid w:val="00E848F7"/>
    <w:rsid w:val="00E84DC0"/>
    <w:rsid w:val="00E85771"/>
    <w:rsid w:val="00E873F8"/>
    <w:rsid w:val="00E90C08"/>
    <w:rsid w:val="00E90EFF"/>
    <w:rsid w:val="00E91B56"/>
    <w:rsid w:val="00E92933"/>
    <w:rsid w:val="00E934DC"/>
    <w:rsid w:val="00E9354D"/>
    <w:rsid w:val="00E94E54"/>
    <w:rsid w:val="00E97979"/>
    <w:rsid w:val="00E97FB1"/>
    <w:rsid w:val="00EA0A77"/>
    <w:rsid w:val="00EA12C9"/>
    <w:rsid w:val="00EA3C69"/>
    <w:rsid w:val="00EA43A0"/>
    <w:rsid w:val="00EA7078"/>
    <w:rsid w:val="00EB04CE"/>
    <w:rsid w:val="00EB289D"/>
    <w:rsid w:val="00EB368A"/>
    <w:rsid w:val="00EB3A30"/>
    <w:rsid w:val="00EB5A4A"/>
    <w:rsid w:val="00EB64B3"/>
    <w:rsid w:val="00EB79E5"/>
    <w:rsid w:val="00EB7B7F"/>
    <w:rsid w:val="00EC0738"/>
    <w:rsid w:val="00EC1C89"/>
    <w:rsid w:val="00EC2FD5"/>
    <w:rsid w:val="00EC303A"/>
    <w:rsid w:val="00EC3323"/>
    <w:rsid w:val="00EC39EF"/>
    <w:rsid w:val="00EC3C5D"/>
    <w:rsid w:val="00EC4505"/>
    <w:rsid w:val="00EC4C9F"/>
    <w:rsid w:val="00EC641D"/>
    <w:rsid w:val="00EC68BA"/>
    <w:rsid w:val="00ED1530"/>
    <w:rsid w:val="00ED20E1"/>
    <w:rsid w:val="00ED2D4E"/>
    <w:rsid w:val="00ED389C"/>
    <w:rsid w:val="00EE137E"/>
    <w:rsid w:val="00EE20E3"/>
    <w:rsid w:val="00EE260A"/>
    <w:rsid w:val="00EE2E86"/>
    <w:rsid w:val="00EE47C5"/>
    <w:rsid w:val="00EE4DA6"/>
    <w:rsid w:val="00EE5F39"/>
    <w:rsid w:val="00EE6003"/>
    <w:rsid w:val="00EE657D"/>
    <w:rsid w:val="00EE6C1F"/>
    <w:rsid w:val="00EE7BC7"/>
    <w:rsid w:val="00EF1192"/>
    <w:rsid w:val="00EF4417"/>
    <w:rsid w:val="00EF49E7"/>
    <w:rsid w:val="00EF52BD"/>
    <w:rsid w:val="00EF5EEE"/>
    <w:rsid w:val="00F044D5"/>
    <w:rsid w:val="00F05032"/>
    <w:rsid w:val="00F058F6"/>
    <w:rsid w:val="00F07666"/>
    <w:rsid w:val="00F07D3A"/>
    <w:rsid w:val="00F07FB9"/>
    <w:rsid w:val="00F102E3"/>
    <w:rsid w:val="00F11710"/>
    <w:rsid w:val="00F11C7F"/>
    <w:rsid w:val="00F12B3D"/>
    <w:rsid w:val="00F12C17"/>
    <w:rsid w:val="00F12FD9"/>
    <w:rsid w:val="00F13638"/>
    <w:rsid w:val="00F13F8D"/>
    <w:rsid w:val="00F141A5"/>
    <w:rsid w:val="00F1536E"/>
    <w:rsid w:val="00F1578B"/>
    <w:rsid w:val="00F159C3"/>
    <w:rsid w:val="00F16069"/>
    <w:rsid w:val="00F16603"/>
    <w:rsid w:val="00F22DD2"/>
    <w:rsid w:val="00F23496"/>
    <w:rsid w:val="00F23FB1"/>
    <w:rsid w:val="00F248FA"/>
    <w:rsid w:val="00F25454"/>
    <w:rsid w:val="00F26A25"/>
    <w:rsid w:val="00F322DF"/>
    <w:rsid w:val="00F32B27"/>
    <w:rsid w:val="00F3597D"/>
    <w:rsid w:val="00F37119"/>
    <w:rsid w:val="00F3743A"/>
    <w:rsid w:val="00F458C6"/>
    <w:rsid w:val="00F46527"/>
    <w:rsid w:val="00F4745E"/>
    <w:rsid w:val="00F5158F"/>
    <w:rsid w:val="00F517BF"/>
    <w:rsid w:val="00F53605"/>
    <w:rsid w:val="00F54BD8"/>
    <w:rsid w:val="00F60519"/>
    <w:rsid w:val="00F63294"/>
    <w:rsid w:val="00F66062"/>
    <w:rsid w:val="00F668BF"/>
    <w:rsid w:val="00F67244"/>
    <w:rsid w:val="00F67E17"/>
    <w:rsid w:val="00F70985"/>
    <w:rsid w:val="00F71725"/>
    <w:rsid w:val="00F717A7"/>
    <w:rsid w:val="00F71AC1"/>
    <w:rsid w:val="00F71E3F"/>
    <w:rsid w:val="00F7243B"/>
    <w:rsid w:val="00F72BA5"/>
    <w:rsid w:val="00F75068"/>
    <w:rsid w:val="00F75354"/>
    <w:rsid w:val="00F81370"/>
    <w:rsid w:val="00F82BFB"/>
    <w:rsid w:val="00F82FF0"/>
    <w:rsid w:val="00F83167"/>
    <w:rsid w:val="00F83873"/>
    <w:rsid w:val="00F84ED0"/>
    <w:rsid w:val="00F859F1"/>
    <w:rsid w:val="00F85C51"/>
    <w:rsid w:val="00F86B71"/>
    <w:rsid w:val="00F875CC"/>
    <w:rsid w:val="00F90E64"/>
    <w:rsid w:val="00F91F4D"/>
    <w:rsid w:val="00F938F5"/>
    <w:rsid w:val="00F94805"/>
    <w:rsid w:val="00F955B7"/>
    <w:rsid w:val="00F9664E"/>
    <w:rsid w:val="00F970FA"/>
    <w:rsid w:val="00F97CBE"/>
    <w:rsid w:val="00F97DDC"/>
    <w:rsid w:val="00FA214E"/>
    <w:rsid w:val="00FA3852"/>
    <w:rsid w:val="00FA3B76"/>
    <w:rsid w:val="00FA4861"/>
    <w:rsid w:val="00FA4ED2"/>
    <w:rsid w:val="00FA53C4"/>
    <w:rsid w:val="00FA56E9"/>
    <w:rsid w:val="00FA5E0C"/>
    <w:rsid w:val="00FB1382"/>
    <w:rsid w:val="00FB1C05"/>
    <w:rsid w:val="00FB30F1"/>
    <w:rsid w:val="00FB4E7B"/>
    <w:rsid w:val="00FB537E"/>
    <w:rsid w:val="00FB7258"/>
    <w:rsid w:val="00FB743E"/>
    <w:rsid w:val="00FC2054"/>
    <w:rsid w:val="00FC2E69"/>
    <w:rsid w:val="00FC3EE6"/>
    <w:rsid w:val="00FC4AD0"/>
    <w:rsid w:val="00FC6D67"/>
    <w:rsid w:val="00FC6E16"/>
    <w:rsid w:val="00FD023F"/>
    <w:rsid w:val="00FD0C65"/>
    <w:rsid w:val="00FD10DC"/>
    <w:rsid w:val="00FD11C1"/>
    <w:rsid w:val="00FD6D6E"/>
    <w:rsid w:val="00FD7100"/>
    <w:rsid w:val="00FE06AD"/>
    <w:rsid w:val="00FF0112"/>
    <w:rsid w:val="00FF0A09"/>
    <w:rsid w:val="00FF1E8E"/>
    <w:rsid w:val="00FF4D9B"/>
    <w:rsid w:val="00FF5078"/>
    <w:rsid w:val="00FF5CD4"/>
    <w:rsid w:val="00FF62B7"/>
    <w:rsid w:val="00FF62CC"/>
    <w:rsid w:val="00FF6EB2"/>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404"/>
    <w:pPr>
      <w:spacing w:before="90" w:after="130" w:line="280" w:lineRule="atLeast"/>
    </w:pPr>
    <w:rPr>
      <w:rFonts w:ascii="Arial Narrow" w:hAnsi="Arial Narrow" w:cs="Arial"/>
    </w:rPr>
  </w:style>
  <w:style w:type="paragraph" w:styleId="Heading1">
    <w:name w:val="heading 1"/>
    <w:basedOn w:val="Normal"/>
    <w:next w:val="Normal"/>
    <w:link w:val="Heading1Char"/>
    <w:uiPriority w:val="9"/>
    <w:qFormat/>
    <w:rsid w:val="00C17404"/>
    <w:pPr>
      <w:keepNext/>
      <w:keepLines/>
      <w:numPr>
        <w:numId w:val="12"/>
      </w:numPr>
      <w:spacing w:before="0" w:after="200" w:line="192" w:lineRule="auto"/>
      <w:outlineLvl w:val="0"/>
    </w:pPr>
    <w:rPr>
      <w:rFonts w:ascii="Yu Gothic Medium" w:eastAsiaTheme="majorEastAsia" w:hAnsi="Yu Gothic Medium"/>
      <w:color w:val="FFFEFF"/>
      <w:sz w:val="52"/>
      <w:szCs w:val="32"/>
    </w:rPr>
  </w:style>
  <w:style w:type="paragraph" w:styleId="Heading2">
    <w:name w:val="heading 2"/>
    <w:basedOn w:val="Normal"/>
    <w:next w:val="BodyText"/>
    <w:link w:val="Heading2Char"/>
    <w:uiPriority w:val="9"/>
    <w:unhideWhenUsed/>
    <w:qFormat/>
    <w:rsid w:val="00C17404"/>
    <w:pPr>
      <w:keepNext/>
      <w:keepLines/>
      <w:numPr>
        <w:ilvl w:val="1"/>
        <w:numId w:val="12"/>
      </w:numPr>
      <w:pBdr>
        <w:bottom w:val="single" w:sz="4" w:space="0" w:color="6C3E99"/>
        <w:between w:val="single" w:sz="4" w:space="1" w:color="6C3E99"/>
      </w:pBdr>
      <w:spacing w:before="240" w:after="216"/>
      <w:outlineLvl w:val="1"/>
    </w:pPr>
    <w:rPr>
      <w:rFonts w:eastAsiaTheme="majorEastAsia"/>
      <w:b/>
      <w:color w:val="6C3E99"/>
      <w:sz w:val="28"/>
      <w:szCs w:val="26"/>
    </w:rPr>
  </w:style>
  <w:style w:type="paragraph" w:styleId="Heading3">
    <w:name w:val="heading 3"/>
    <w:basedOn w:val="Normal"/>
    <w:next w:val="BodyText"/>
    <w:link w:val="Heading3Char"/>
    <w:uiPriority w:val="9"/>
    <w:unhideWhenUsed/>
    <w:qFormat/>
    <w:rsid w:val="00C17404"/>
    <w:pPr>
      <w:keepNext/>
      <w:keepLines/>
      <w:numPr>
        <w:ilvl w:val="2"/>
        <w:numId w:val="12"/>
      </w:numPr>
      <w:pBdr>
        <w:bottom w:val="single" w:sz="4" w:space="0" w:color="000100"/>
        <w:between w:val="single" w:sz="4" w:space="1" w:color="000100"/>
      </w:pBdr>
      <w:spacing w:before="240" w:after="160" w:line="240" w:lineRule="atLeast"/>
      <w:outlineLvl w:val="2"/>
    </w:pPr>
    <w:rPr>
      <w:rFonts w:eastAsiaTheme="majorEastAsia"/>
      <w:b/>
      <w:color w:val="000100"/>
      <w:szCs w:val="24"/>
    </w:rPr>
  </w:style>
  <w:style w:type="paragraph" w:styleId="Heading4">
    <w:name w:val="heading 4"/>
    <w:basedOn w:val="Normal"/>
    <w:next w:val="BodyText"/>
    <w:link w:val="Heading4Char"/>
    <w:uiPriority w:val="9"/>
    <w:unhideWhenUsed/>
    <w:qFormat/>
    <w:rsid w:val="00C17404"/>
    <w:pPr>
      <w:keepNext/>
      <w:keepLines/>
      <w:numPr>
        <w:ilvl w:val="3"/>
        <w:numId w:val="12"/>
      </w:numPr>
      <w:spacing w:before="240" w:after="160" w:line="240" w:lineRule="atLeast"/>
      <w:outlineLvl w:val="3"/>
    </w:pPr>
    <w:rPr>
      <w:rFonts w:eastAsiaTheme="majorEastAsia"/>
      <w:b/>
      <w:iCs/>
      <w:color w:val="000100"/>
    </w:rPr>
  </w:style>
  <w:style w:type="paragraph" w:styleId="Heading5">
    <w:name w:val="heading 5"/>
    <w:basedOn w:val="Normal"/>
    <w:next w:val="BodyText"/>
    <w:link w:val="Heading5Char"/>
    <w:uiPriority w:val="9"/>
    <w:unhideWhenUsed/>
    <w:qFormat/>
    <w:rsid w:val="00C17404"/>
    <w:pPr>
      <w:keepNext/>
      <w:keepLines/>
      <w:numPr>
        <w:ilvl w:val="4"/>
        <w:numId w:val="12"/>
      </w:numPr>
      <w:spacing w:before="240" w:after="160" w:line="240" w:lineRule="atLeast"/>
      <w:outlineLvl w:val="4"/>
    </w:pPr>
    <w:rPr>
      <w:rFonts w:eastAsiaTheme="majorEastAsia"/>
      <w:b/>
      <w:i/>
      <w:color w:val="000100"/>
    </w:rPr>
  </w:style>
  <w:style w:type="paragraph" w:styleId="Heading6">
    <w:name w:val="heading 6"/>
    <w:basedOn w:val="Normal"/>
    <w:next w:val="BodyText"/>
    <w:link w:val="Heading6Char"/>
    <w:uiPriority w:val="9"/>
    <w:unhideWhenUsed/>
    <w:qFormat/>
    <w:rsid w:val="00C17404"/>
    <w:pPr>
      <w:keepNext/>
      <w:keepLines/>
      <w:numPr>
        <w:ilvl w:val="5"/>
        <w:numId w:val="12"/>
      </w:numPr>
      <w:spacing w:before="240" w:after="160" w:line="240" w:lineRule="atLeast"/>
      <w:outlineLvl w:val="5"/>
    </w:pPr>
    <w:rPr>
      <w:rFonts w:eastAsiaTheme="majorEastAsia"/>
      <w:b/>
      <w:i/>
      <w:color w:val="959595" w:themeColor="accent3" w:themeShade="BF"/>
    </w:rPr>
  </w:style>
  <w:style w:type="paragraph" w:styleId="Heading7">
    <w:name w:val="heading 7"/>
    <w:basedOn w:val="Normal-nospace"/>
    <w:next w:val="BodyText"/>
    <w:link w:val="Heading7Char"/>
    <w:uiPriority w:val="9"/>
    <w:unhideWhenUsed/>
    <w:qFormat/>
    <w:rsid w:val="00C17404"/>
    <w:pPr>
      <w:keepNext/>
      <w:keepLines/>
      <w:spacing w:after="200" w:line="192" w:lineRule="auto"/>
      <w:outlineLvl w:val="6"/>
    </w:pPr>
    <w:rPr>
      <w:rFonts w:ascii="Yu Gothic Medium" w:eastAsiaTheme="majorEastAsia" w:hAnsi="Yu Gothic Medium"/>
      <w:iCs/>
      <w:color w:val="FFFEFF"/>
      <w:sz w:val="52"/>
    </w:rPr>
  </w:style>
  <w:style w:type="paragraph" w:styleId="Heading8">
    <w:name w:val="heading 8"/>
    <w:basedOn w:val="Normal"/>
    <w:next w:val="BodyText"/>
    <w:link w:val="Heading8Char"/>
    <w:uiPriority w:val="9"/>
    <w:qFormat/>
    <w:rsid w:val="00C17404"/>
    <w:pPr>
      <w:keepNext/>
      <w:keepLines/>
      <w:pBdr>
        <w:bottom w:val="single" w:sz="4" w:space="0" w:color="6C3E99"/>
        <w:between w:val="single" w:sz="4" w:space="1" w:color="6C3E99"/>
      </w:pBdr>
      <w:spacing w:before="240" w:after="216"/>
      <w:outlineLvl w:val="7"/>
    </w:pPr>
    <w:rPr>
      <w:rFonts w:eastAsiaTheme="majorEastAsia"/>
      <w:b/>
      <w:color w:val="6C3E99"/>
      <w:sz w:val="28"/>
      <w:szCs w:val="21"/>
    </w:rPr>
  </w:style>
  <w:style w:type="paragraph" w:styleId="Heading9">
    <w:name w:val="heading 9"/>
    <w:basedOn w:val="Normal-nospace"/>
    <w:link w:val="Heading9Char"/>
    <w:uiPriority w:val="9"/>
    <w:qFormat/>
    <w:rsid w:val="00C17404"/>
    <w:pPr>
      <w:keepNext/>
      <w:keepLines/>
      <w:numPr>
        <w:numId w:val="32"/>
      </w:numPr>
      <w:pBdr>
        <w:between w:val="single" w:sz="4" w:space="1" w:color="auto"/>
      </w:pBdr>
      <w:spacing w:line="240" w:lineRule="auto"/>
      <w:outlineLvl w:val="8"/>
    </w:pPr>
    <w:rPr>
      <w:rFonts w:eastAsiaTheme="majorEastAsia"/>
      <w:b/>
      <w:iCs/>
      <w:color w:val="140134"/>
      <w:sz w:val="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404"/>
    <w:rPr>
      <w:rFonts w:ascii="Yu Gothic Medium" w:eastAsiaTheme="majorEastAsia" w:hAnsi="Yu Gothic Medium" w:cs="Arial"/>
      <w:color w:val="FFFEFF"/>
      <w:sz w:val="52"/>
      <w:szCs w:val="32"/>
    </w:rPr>
  </w:style>
  <w:style w:type="character" w:customStyle="1" w:styleId="Heading2Char">
    <w:name w:val="Heading 2 Char"/>
    <w:basedOn w:val="DefaultParagraphFont"/>
    <w:link w:val="Heading2"/>
    <w:uiPriority w:val="9"/>
    <w:rsid w:val="00C17404"/>
    <w:rPr>
      <w:rFonts w:ascii="Arial Narrow" w:eastAsiaTheme="majorEastAsia" w:hAnsi="Arial Narrow" w:cs="Arial"/>
      <w:b/>
      <w:color w:val="6C3E99"/>
      <w:sz w:val="28"/>
      <w:szCs w:val="26"/>
    </w:rPr>
  </w:style>
  <w:style w:type="character" w:customStyle="1" w:styleId="Heading3Char">
    <w:name w:val="Heading 3 Char"/>
    <w:basedOn w:val="DefaultParagraphFont"/>
    <w:link w:val="Heading3"/>
    <w:uiPriority w:val="9"/>
    <w:rsid w:val="00C17404"/>
    <w:rPr>
      <w:rFonts w:ascii="Arial Narrow" w:eastAsiaTheme="majorEastAsia" w:hAnsi="Arial Narrow" w:cs="Arial"/>
      <w:b/>
      <w:color w:val="000100"/>
      <w:szCs w:val="24"/>
    </w:rPr>
  </w:style>
  <w:style w:type="character" w:customStyle="1" w:styleId="Heading4Char">
    <w:name w:val="Heading 4 Char"/>
    <w:basedOn w:val="DefaultParagraphFont"/>
    <w:link w:val="Heading4"/>
    <w:uiPriority w:val="9"/>
    <w:rsid w:val="00C17404"/>
    <w:rPr>
      <w:rFonts w:ascii="Arial Narrow" w:eastAsiaTheme="majorEastAsia" w:hAnsi="Arial Narrow" w:cs="Arial"/>
      <w:b/>
      <w:iCs/>
      <w:color w:val="000100"/>
    </w:rPr>
  </w:style>
  <w:style w:type="character" w:customStyle="1" w:styleId="Heading5Char">
    <w:name w:val="Heading 5 Char"/>
    <w:basedOn w:val="DefaultParagraphFont"/>
    <w:link w:val="Heading5"/>
    <w:uiPriority w:val="9"/>
    <w:rsid w:val="00C17404"/>
    <w:rPr>
      <w:rFonts w:ascii="Arial Narrow" w:eastAsiaTheme="majorEastAsia" w:hAnsi="Arial Narrow" w:cs="Arial"/>
      <w:b/>
      <w:i/>
      <w:color w:val="000100"/>
    </w:rPr>
  </w:style>
  <w:style w:type="character" w:customStyle="1" w:styleId="Heading6Char">
    <w:name w:val="Heading 6 Char"/>
    <w:basedOn w:val="DefaultParagraphFont"/>
    <w:link w:val="Heading6"/>
    <w:uiPriority w:val="9"/>
    <w:rsid w:val="00C17404"/>
    <w:rPr>
      <w:rFonts w:ascii="Arial Narrow" w:eastAsiaTheme="majorEastAsia" w:hAnsi="Arial Narrow" w:cs="Arial"/>
      <w:b/>
      <w:i/>
      <w:color w:val="959595" w:themeColor="accent3" w:themeShade="BF"/>
    </w:rPr>
  </w:style>
  <w:style w:type="character" w:customStyle="1" w:styleId="Heading7Char">
    <w:name w:val="Heading 7 Char"/>
    <w:basedOn w:val="DefaultParagraphFont"/>
    <w:link w:val="Heading7"/>
    <w:uiPriority w:val="9"/>
    <w:rsid w:val="00C17404"/>
    <w:rPr>
      <w:rFonts w:ascii="Yu Gothic Medium" w:eastAsiaTheme="majorEastAsia" w:hAnsi="Yu Gothic Medium" w:cs="Arial"/>
      <w:iCs/>
      <w:color w:val="FFFEFF"/>
      <w:sz w:val="52"/>
    </w:rPr>
  </w:style>
  <w:style w:type="character" w:customStyle="1" w:styleId="Heading8Char">
    <w:name w:val="Heading 8 Char"/>
    <w:basedOn w:val="DefaultParagraphFont"/>
    <w:link w:val="Heading8"/>
    <w:uiPriority w:val="9"/>
    <w:rsid w:val="00C17404"/>
    <w:rPr>
      <w:rFonts w:ascii="Arial Narrow" w:eastAsiaTheme="majorEastAsia" w:hAnsi="Arial Narrow" w:cs="Arial"/>
      <w:b/>
      <w:color w:val="6C3E99"/>
      <w:sz w:val="28"/>
      <w:szCs w:val="21"/>
    </w:rPr>
  </w:style>
  <w:style w:type="character" w:customStyle="1" w:styleId="Heading9Char">
    <w:name w:val="Heading 9 Char"/>
    <w:basedOn w:val="DefaultParagraphFont"/>
    <w:link w:val="Heading9"/>
    <w:uiPriority w:val="9"/>
    <w:rsid w:val="00C17404"/>
    <w:rPr>
      <w:rFonts w:ascii="Arial Narrow" w:eastAsiaTheme="majorEastAsia" w:hAnsi="Arial Narrow" w:cs="Arial"/>
      <w:b/>
      <w:iCs/>
      <w:color w:val="140134"/>
      <w:sz w:val="8"/>
      <w:szCs w:val="21"/>
    </w:rPr>
  </w:style>
  <w:style w:type="paragraph" w:styleId="BalloonText">
    <w:name w:val="Balloon Text"/>
    <w:basedOn w:val="Normal"/>
    <w:link w:val="BalloonTextChar"/>
    <w:uiPriority w:val="99"/>
    <w:semiHidden/>
    <w:unhideWhenUsed/>
    <w:rsid w:val="00C17404"/>
    <w:pPr>
      <w:spacing w:after="0"/>
    </w:pPr>
    <w:rPr>
      <w:sz w:val="18"/>
      <w:szCs w:val="18"/>
    </w:rPr>
  </w:style>
  <w:style w:type="character" w:customStyle="1" w:styleId="BalloonTextChar">
    <w:name w:val="Balloon Text Char"/>
    <w:basedOn w:val="DefaultParagraphFont"/>
    <w:link w:val="BalloonText"/>
    <w:uiPriority w:val="99"/>
    <w:semiHidden/>
    <w:rsid w:val="00C17404"/>
    <w:rPr>
      <w:rFonts w:ascii="Arial Narrow" w:hAnsi="Arial Narrow" w:cs="Arial"/>
      <w:sz w:val="18"/>
      <w:szCs w:val="18"/>
    </w:rPr>
  </w:style>
  <w:style w:type="paragraph" w:styleId="Bibliography">
    <w:name w:val="Bibliography"/>
    <w:basedOn w:val="Normal"/>
    <w:next w:val="Normal"/>
    <w:uiPriority w:val="37"/>
    <w:semiHidden/>
    <w:unhideWhenUsed/>
    <w:rsid w:val="00C17404"/>
    <w:pPr>
      <w:spacing w:after="160" w:line="259" w:lineRule="auto"/>
    </w:pPr>
  </w:style>
  <w:style w:type="paragraph" w:styleId="BlockText">
    <w:name w:val="Block Text"/>
    <w:basedOn w:val="Normal"/>
    <w:uiPriority w:val="99"/>
    <w:semiHidden/>
    <w:unhideWhenUsed/>
    <w:rsid w:val="00C17404"/>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basedOn w:val="Normal"/>
    <w:link w:val="BodyTextChar"/>
    <w:uiPriority w:val="99"/>
    <w:rsid w:val="00C17404"/>
  </w:style>
  <w:style w:type="character" w:customStyle="1" w:styleId="BodyTextChar">
    <w:name w:val="Body Text Char"/>
    <w:basedOn w:val="DefaultParagraphFont"/>
    <w:link w:val="BodyText"/>
    <w:uiPriority w:val="99"/>
    <w:rsid w:val="00C17404"/>
    <w:rPr>
      <w:rFonts w:ascii="Arial Narrow" w:hAnsi="Arial Narrow" w:cs="Arial"/>
    </w:rPr>
  </w:style>
  <w:style w:type="paragraph" w:styleId="BodyText2">
    <w:name w:val="Body Text 2"/>
    <w:basedOn w:val="Normal"/>
    <w:link w:val="BodyText2Char"/>
    <w:uiPriority w:val="99"/>
    <w:semiHidden/>
    <w:unhideWhenUsed/>
    <w:rsid w:val="00C17404"/>
    <w:pPr>
      <w:spacing w:line="480" w:lineRule="auto"/>
    </w:pPr>
  </w:style>
  <w:style w:type="character" w:customStyle="1" w:styleId="BodyText2Char">
    <w:name w:val="Body Text 2 Char"/>
    <w:basedOn w:val="DefaultParagraphFont"/>
    <w:link w:val="BodyText2"/>
    <w:uiPriority w:val="99"/>
    <w:semiHidden/>
    <w:rsid w:val="00C17404"/>
    <w:rPr>
      <w:rFonts w:ascii="Arial Narrow" w:hAnsi="Arial Narrow" w:cs="Arial"/>
    </w:rPr>
  </w:style>
  <w:style w:type="paragraph" w:styleId="BodyText3">
    <w:name w:val="Body Text 3"/>
    <w:basedOn w:val="Normal"/>
    <w:link w:val="BodyText3Char"/>
    <w:uiPriority w:val="99"/>
    <w:semiHidden/>
    <w:unhideWhenUsed/>
    <w:rsid w:val="00C17404"/>
    <w:pPr>
      <w:spacing w:line="259" w:lineRule="auto"/>
    </w:pPr>
    <w:rPr>
      <w:sz w:val="16"/>
      <w:szCs w:val="16"/>
    </w:rPr>
  </w:style>
  <w:style w:type="character" w:customStyle="1" w:styleId="BodyText3Char">
    <w:name w:val="Body Text 3 Char"/>
    <w:basedOn w:val="DefaultParagraphFont"/>
    <w:link w:val="BodyText3"/>
    <w:uiPriority w:val="99"/>
    <w:semiHidden/>
    <w:rsid w:val="00C17404"/>
    <w:rPr>
      <w:rFonts w:ascii="Arial Narrow" w:hAnsi="Arial Narrow" w:cs="Arial"/>
      <w:sz w:val="16"/>
      <w:szCs w:val="16"/>
    </w:rPr>
  </w:style>
  <w:style w:type="paragraph" w:styleId="BodyTextFirstIndent">
    <w:name w:val="Body Text First Indent"/>
    <w:basedOn w:val="BodyText"/>
    <w:link w:val="BodyTextFirstIndentChar"/>
    <w:uiPriority w:val="99"/>
    <w:semiHidden/>
    <w:unhideWhenUsed/>
    <w:rsid w:val="00C17404"/>
    <w:pPr>
      <w:spacing w:after="160"/>
      <w:ind w:firstLine="360"/>
    </w:pPr>
  </w:style>
  <w:style w:type="character" w:customStyle="1" w:styleId="BodyTextFirstIndentChar">
    <w:name w:val="Body Text First Indent Char"/>
    <w:basedOn w:val="BodyTextChar"/>
    <w:link w:val="BodyTextFirstIndent"/>
    <w:uiPriority w:val="99"/>
    <w:semiHidden/>
    <w:rsid w:val="00C17404"/>
    <w:rPr>
      <w:rFonts w:ascii="Arial Narrow" w:hAnsi="Arial Narrow" w:cs="Arial"/>
    </w:rPr>
  </w:style>
  <w:style w:type="paragraph" w:styleId="BodyTextIndent">
    <w:name w:val="Body Text Indent"/>
    <w:basedOn w:val="Normal"/>
    <w:link w:val="BodyTextIndentChar"/>
    <w:uiPriority w:val="99"/>
    <w:semiHidden/>
    <w:unhideWhenUsed/>
    <w:rsid w:val="00C17404"/>
    <w:pPr>
      <w:spacing w:line="259" w:lineRule="auto"/>
      <w:ind w:left="283"/>
    </w:pPr>
  </w:style>
  <w:style w:type="character" w:customStyle="1" w:styleId="BodyTextIndentChar">
    <w:name w:val="Body Text Indent Char"/>
    <w:basedOn w:val="DefaultParagraphFont"/>
    <w:link w:val="BodyTextIndent"/>
    <w:uiPriority w:val="99"/>
    <w:semiHidden/>
    <w:rsid w:val="00C17404"/>
    <w:rPr>
      <w:rFonts w:ascii="Arial Narrow" w:hAnsi="Arial Narrow" w:cs="Arial"/>
    </w:rPr>
  </w:style>
  <w:style w:type="paragraph" w:styleId="BodyTextFirstIndent2">
    <w:name w:val="Body Text First Indent 2"/>
    <w:basedOn w:val="BodyTextIndent"/>
    <w:link w:val="BodyTextFirstIndent2Char"/>
    <w:uiPriority w:val="99"/>
    <w:semiHidden/>
    <w:unhideWhenUsed/>
    <w:rsid w:val="00C1740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17404"/>
    <w:rPr>
      <w:rFonts w:ascii="Arial Narrow" w:hAnsi="Arial Narrow" w:cs="Arial"/>
    </w:rPr>
  </w:style>
  <w:style w:type="paragraph" w:styleId="BodyTextIndent2">
    <w:name w:val="Body Text Indent 2"/>
    <w:basedOn w:val="Normal"/>
    <w:link w:val="BodyTextIndent2Char"/>
    <w:uiPriority w:val="99"/>
    <w:semiHidden/>
    <w:unhideWhenUsed/>
    <w:rsid w:val="00C17404"/>
    <w:pPr>
      <w:spacing w:line="480" w:lineRule="auto"/>
      <w:ind w:left="283"/>
    </w:pPr>
  </w:style>
  <w:style w:type="character" w:customStyle="1" w:styleId="BodyTextIndent2Char">
    <w:name w:val="Body Text Indent 2 Char"/>
    <w:basedOn w:val="DefaultParagraphFont"/>
    <w:link w:val="BodyTextIndent2"/>
    <w:uiPriority w:val="99"/>
    <w:semiHidden/>
    <w:rsid w:val="00C17404"/>
    <w:rPr>
      <w:rFonts w:ascii="Arial Narrow" w:hAnsi="Arial Narrow" w:cs="Arial"/>
    </w:rPr>
  </w:style>
  <w:style w:type="paragraph" w:styleId="BodyTextIndent3">
    <w:name w:val="Body Text Indent 3"/>
    <w:basedOn w:val="Normal"/>
    <w:link w:val="BodyTextIndent3Char"/>
    <w:uiPriority w:val="99"/>
    <w:semiHidden/>
    <w:unhideWhenUsed/>
    <w:rsid w:val="00C17404"/>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C17404"/>
    <w:rPr>
      <w:rFonts w:ascii="Arial Narrow" w:hAnsi="Arial Narrow" w:cs="Arial"/>
      <w:sz w:val="16"/>
      <w:szCs w:val="16"/>
    </w:rPr>
  </w:style>
  <w:style w:type="character" w:styleId="BookTitle">
    <w:name w:val="Book Title"/>
    <w:basedOn w:val="DefaultParagraphFont"/>
    <w:uiPriority w:val="33"/>
    <w:qFormat/>
    <w:rsid w:val="00C17404"/>
    <w:rPr>
      <w:b/>
      <w:bCs/>
      <w:i/>
      <w:iCs/>
      <w:spacing w:val="5"/>
    </w:rPr>
  </w:style>
  <w:style w:type="paragraph" w:styleId="Caption">
    <w:name w:val="caption"/>
    <w:basedOn w:val="Normal-nospace"/>
    <w:next w:val="BodyText"/>
    <w:uiPriority w:val="35"/>
    <w:unhideWhenUsed/>
    <w:qFormat/>
    <w:rsid w:val="00C17404"/>
    <w:pPr>
      <w:keepNext/>
      <w:spacing w:after="120" w:line="240" w:lineRule="auto"/>
      <w:ind w:left="1179" w:hanging="1179"/>
    </w:pPr>
    <w:rPr>
      <w:iCs/>
      <w:szCs w:val="18"/>
    </w:rPr>
  </w:style>
  <w:style w:type="paragraph" w:styleId="Closing">
    <w:name w:val="Closing"/>
    <w:basedOn w:val="Normal"/>
    <w:link w:val="ClosingChar"/>
    <w:uiPriority w:val="99"/>
    <w:semiHidden/>
    <w:unhideWhenUsed/>
    <w:rsid w:val="00C17404"/>
    <w:pPr>
      <w:spacing w:after="0"/>
      <w:ind w:left="4252"/>
    </w:pPr>
  </w:style>
  <w:style w:type="character" w:customStyle="1" w:styleId="ClosingChar">
    <w:name w:val="Closing Char"/>
    <w:basedOn w:val="DefaultParagraphFont"/>
    <w:link w:val="Closing"/>
    <w:uiPriority w:val="99"/>
    <w:semiHidden/>
    <w:rsid w:val="00C17404"/>
    <w:rPr>
      <w:rFonts w:ascii="Arial Narrow" w:hAnsi="Arial Narrow" w:cs="Arial"/>
    </w:rPr>
  </w:style>
  <w:style w:type="table" w:styleId="ColorfulGrid">
    <w:name w:val="Colorful Grid"/>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C174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C17404"/>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17404"/>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17404"/>
    <w:rPr>
      <w:sz w:val="16"/>
      <w:szCs w:val="16"/>
    </w:rPr>
  </w:style>
  <w:style w:type="paragraph" w:styleId="CommentText">
    <w:name w:val="annotation text"/>
    <w:basedOn w:val="Normal"/>
    <w:link w:val="CommentTextChar"/>
    <w:uiPriority w:val="99"/>
    <w:semiHidden/>
    <w:unhideWhenUsed/>
    <w:rsid w:val="00C17404"/>
    <w:pPr>
      <w:spacing w:after="160"/>
    </w:pPr>
    <w:rPr>
      <w:sz w:val="20"/>
      <w:szCs w:val="20"/>
    </w:rPr>
  </w:style>
  <w:style w:type="character" w:customStyle="1" w:styleId="CommentTextChar">
    <w:name w:val="Comment Text Char"/>
    <w:basedOn w:val="DefaultParagraphFont"/>
    <w:link w:val="CommentText"/>
    <w:uiPriority w:val="99"/>
    <w:semiHidden/>
    <w:rsid w:val="00C17404"/>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C17404"/>
    <w:rPr>
      <w:b/>
      <w:bCs/>
    </w:rPr>
  </w:style>
  <w:style w:type="character" w:customStyle="1" w:styleId="CommentSubjectChar">
    <w:name w:val="Comment Subject Char"/>
    <w:basedOn w:val="CommentTextChar"/>
    <w:link w:val="CommentSubject"/>
    <w:uiPriority w:val="99"/>
    <w:semiHidden/>
    <w:rsid w:val="00C17404"/>
    <w:rPr>
      <w:rFonts w:ascii="Arial Narrow" w:hAnsi="Arial Narrow" w:cs="Arial"/>
      <w:b/>
      <w:bCs/>
      <w:sz w:val="20"/>
      <w:szCs w:val="20"/>
    </w:rPr>
  </w:style>
  <w:style w:type="table" w:styleId="DarkList">
    <w:name w:val="Dark List"/>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C17404"/>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C17404"/>
    <w:pPr>
      <w:spacing w:after="160" w:line="259" w:lineRule="auto"/>
    </w:pPr>
  </w:style>
  <w:style w:type="character" w:customStyle="1" w:styleId="DateChar">
    <w:name w:val="Date Char"/>
    <w:basedOn w:val="DefaultParagraphFont"/>
    <w:link w:val="Date"/>
    <w:uiPriority w:val="99"/>
    <w:semiHidden/>
    <w:rsid w:val="00C17404"/>
    <w:rPr>
      <w:rFonts w:ascii="Arial Narrow" w:hAnsi="Arial Narrow" w:cs="Arial"/>
    </w:rPr>
  </w:style>
  <w:style w:type="paragraph" w:styleId="DocumentMap">
    <w:name w:val="Document Map"/>
    <w:basedOn w:val="Normal"/>
    <w:link w:val="DocumentMapChar"/>
    <w:uiPriority w:val="99"/>
    <w:semiHidden/>
    <w:unhideWhenUsed/>
    <w:rsid w:val="00C17404"/>
    <w:pPr>
      <w:spacing w:after="0"/>
    </w:pPr>
    <w:rPr>
      <w:sz w:val="16"/>
      <w:szCs w:val="16"/>
    </w:rPr>
  </w:style>
  <w:style w:type="character" w:customStyle="1" w:styleId="DocumentMapChar">
    <w:name w:val="Document Map Char"/>
    <w:basedOn w:val="DefaultParagraphFont"/>
    <w:link w:val="DocumentMap"/>
    <w:uiPriority w:val="99"/>
    <w:semiHidden/>
    <w:rsid w:val="00C17404"/>
    <w:rPr>
      <w:rFonts w:ascii="Arial Narrow" w:hAnsi="Arial Narrow" w:cs="Arial"/>
      <w:sz w:val="16"/>
      <w:szCs w:val="16"/>
    </w:rPr>
  </w:style>
  <w:style w:type="paragraph" w:styleId="E-mailSignature">
    <w:name w:val="E-mail Signature"/>
    <w:basedOn w:val="Normal"/>
    <w:link w:val="E-mailSignatureChar"/>
    <w:uiPriority w:val="99"/>
    <w:semiHidden/>
    <w:unhideWhenUsed/>
    <w:rsid w:val="00C17404"/>
    <w:pPr>
      <w:spacing w:after="0"/>
    </w:pPr>
  </w:style>
  <w:style w:type="character" w:customStyle="1" w:styleId="E-mailSignatureChar">
    <w:name w:val="E-mail Signature Char"/>
    <w:basedOn w:val="DefaultParagraphFont"/>
    <w:link w:val="E-mailSignature"/>
    <w:uiPriority w:val="99"/>
    <w:semiHidden/>
    <w:rsid w:val="00C17404"/>
    <w:rPr>
      <w:rFonts w:ascii="Arial Narrow" w:hAnsi="Arial Narrow" w:cs="Arial"/>
    </w:rPr>
  </w:style>
  <w:style w:type="character" w:styleId="Emphasis">
    <w:name w:val="Emphasis"/>
    <w:basedOn w:val="DefaultParagraphFont"/>
    <w:uiPriority w:val="20"/>
    <w:qFormat/>
    <w:rsid w:val="00C17404"/>
    <w:rPr>
      <w:i/>
      <w:iCs/>
    </w:rPr>
  </w:style>
  <w:style w:type="character" w:styleId="EndnoteReference">
    <w:name w:val="endnote reference"/>
    <w:basedOn w:val="DefaultParagraphFont"/>
    <w:uiPriority w:val="99"/>
    <w:semiHidden/>
    <w:unhideWhenUsed/>
    <w:rsid w:val="00C17404"/>
    <w:rPr>
      <w:vertAlign w:val="superscript"/>
    </w:rPr>
  </w:style>
  <w:style w:type="paragraph" w:styleId="EndnoteText">
    <w:name w:val="endnote text"/>
    <w:basedOn w:val="Normal"/>
    <w:link w:val="EndnoteTextChar"/>
    <w:uiPriority w:val="99"/>
    <w:semiHidden/>
    <w:unhideWhenUsed/>
    <w:rsid w:val="00C17404"/>
    <w:pPr>
      <w:spacing w:after="0"/>
    </w:pPr>
    <w:rPr>
      <w:sz w:val="20"/>
      <w:szCs w:val="20"/>
    </w:rPr>
  </w:style>
  <w:style w:type="character" w:customStyle="1" w:styleId="EndnoteTextChar">
    <w:name w:val="Endnote Text Char"/>
    <w:basedOn w:val="DefaultParagraphFont"/>
    <w:link w:val="EndnoteText"/>
    <w:uiPriority w:val="99"/>
    <w:semiHidden/>
    <w:rsid w:val="00C17404"/>
    <w:rPr>
      <w:rFonts w:ascii="Arial Narrow" w:hAnsi="Arial Narrow" w:cs="Arial"/>
      <w:sz w:val="20"/>
      <w:szCs w:val="20"/>
    </w:rPr>
  </w:style>
  <w:style w:type="paragraph" w:styleId="EnvelopeAddress">
    <w:name w:val="envelope address"/>
    <w:basedOn w:val="Normal"/>
    <w:uiPriority w:val="99"/>
    <w:semiHidden/>
    <w:unhideWhenUsed/>
    <w:rsid w:val="00C17404"/>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C17404"/>
    <w:pPr>
      <w:spacing w:after="0"/>
    </w:pPr>
    <w:rPr>
      <w:rFonts w:eastAsiaTheme="majorEastAsia"/>
      <w:sz w:val="20"/>
      <w:szCs w:val="20"/>
    </w:rPr>
  </w:style>
  <w:style w:type="character" w:styleId="FollowedHyperlink">
    <w:name w:val="FollowedHyperlink"/>
    <w:basedOn w:val="DefaultParagraphFont"/>
    <w:uiPriority w:val="99"/>
    <w:semiHidden/>
    <w:unhideWhenUsed/>
    <w:rsid w:val="00C17404"/>
    <w:rPr>
      <w:color w:val="9FD18B" w:themeColor="followedHyperlink"/>
      <w:u w:val="single"/>
    </w:rPr>
  </w:style>
  <w:style w:type="paragraph" w:styleId="Footer">
    <w:name w:val="footer"/>
    <w:basedOn w:val="Normal-nospace"/>
    <w:link w:val="FooterChar"/>
    <w:uiPriority w:val="99"/>
    <w:unhideWhenUsed/>
    <w:rsid w:val="00C17404"/>
    <w:pPr>
      <w:tabs>
        <w:tab w:val="center" w:pos="4513"/>
        <w:tab w:val="right" w:pos="9026"/>
      </w:tabs>
      <w:spacing w:line="240" w:lineRule="auto"/>
    </w:pPr>
    <w:rPr>
      <w:rFonts w:ascii="Yu Gothic Medium" w:hAnsi="Yu Gothic Medium"/>
      <w:sz w:val="15"/>
    </w:rPr>
  </w:style>
  <w:style w:type="character" w:customStyle="1" w:styleId="FooterChar">
    <w:name w:val="Footer Char"/>
    <w:basedOn w:val="DefaultParagraphFont"/>
    <w:link w:val="Footer"/>
    <w:uiPriority w:val="99"/>
    <w:rsid w:val="00C17404"/>
    <w:rPr>
      <w:rFonts w:ascii="Yu Gothic Medium" w:hAnsi="Yu Gothic Medium" w:cs="Arial"/>
      <w:color w:val="000100"/>
      <w:sz w:val="15"/>
    </w:rPr>
  </w:style>
  <w:style w:type="character" w:styleId="FootnoteReference">
    <w:name w:val="footnote reference"/>
    <w:basedOn w:val="DefaultParagraphFont"/>
    <w:uiPriority w:val="99"/>
    <w:unhideWhenUsed/>
    <w:rsid w:val="00C17404"/>
    <w:rPr>
      <w:vertAlign w:val="superscript"/>
    </w:rPr>
  </w:style>
  <w:style w:type="paragraph" w:styleId="FootnoteText">
    <w:name w:val="footnote text"/>
    <w:aliases w:val="Footnote Text Char Char,Footnote Text Char Char Char Char"/>
    <w:basedOn w:val="Normal-nospace"/>
    <w:link w:val="FootnoteTextChar"/>
    <w:uiPriority w:val="99"/>
    <w:unhideWhenUsed/>
    <w:rsid w:val="00C17404"/>
    <w:pPr>
      <w:spacing w:after="90" w:line="240" w:lineRule="auto"/>
    </w:pPr>
    <w:rPr>
      <w:sz w:val="20"/>
      <w:szCs w:val="20"/>
    </w:rPr>
  </w:style>
  <w:style w:type="character" w:customStyle="1" w:styleId="FootnoteTextChar">
    <w:name w:val="Footnote Text Char"/>
    <w:aliases w:val="Footnote Text Char Char Char,Footnote Text Char Char Char Char Char"/>
    <w:basedOn w:val="DefaultParagraphFont"/>
    <w:link w:val="FootnoteText"/>
    <w:uiPriority w:val="99"/>
    <w:rsid w:val="00C17404"/>
    <w:rPr>
      <w:rFonts w:ascii="Arial Narrow" w:hAnsi="Arial Narrow" w:cs="Arial"/>
      <w:color w:val="000100"/>
      <w:sz w:val="20"/>
      <w:szCs w:val="20"/>
    </w:rPr>
  </w:style>
  <w:style w:type="table" w:styleId="GridTable1Light">
    <w:name w:val="Grid Table 1 Light"/>
    <w:basedOn w:val="TableNormal"/>
    <w:uiPriority w:val="46"/>
    <w:rsid w:val="00C174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7404"/>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17404"/>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7404"/>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17404"/>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17404"/>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7404"/>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174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17404"/>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C17404"/>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C17404"/>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C17404"/>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C17404"/>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C17404"/>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C174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1740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C1740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C1740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C1740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C1740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C1740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C174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1740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C1740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C1740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C1740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C1740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C1740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C17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C174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17404"/>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C17404"/>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C17404"/>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C17404"/>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C17404"/>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C17404"/>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C174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17404"/>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C17404"/>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C17404"/>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C17404"/>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C17404"/>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C17404"/>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customStyle="1" w:styleId="Hashtag1">
    <w:name w:val="Hashtag1"/>
    <w:basedOn w:val="DefaultParagraphFont"/>
    <w:uiPriority w:val="99"/>
    <w:semiHidden/>
    <w:unhideWhenUsed/>
    <w:rsid w:val="00C17404"/>
    <w:rPr>
      <w:color w:val="2B579A"/>
      <w:shd w:val="clear" w:color="auto" w:fill="E1DFDD"/>
    </w:rPr>
  </w:style>
  <w:style w:type="paragraph" w:styleId="Header">
    <w:name w:val="header"/>
    <w:basedOn w:val="Normal-nospace"/>
    <w:link w:val="HeaderChar"/>
    <w:uiPriority w:val="99"/>
    <w:unhideWhenUsed/>
    <w:rsid w:val="00C17404"/>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C17404"/>
    <w:rPr>
      <w:rFonts w:ascii="Arial Narrow" w:hAnsi="Arial Narrow" w:cs="Arial"/>
      <w:color w:val="000100"/>
      <w:sz w:val="16"/>
    </w:rPr>
  </w:style>
  <w:style w:type="character" w:styleId="HTMLAcronym">
    <w:name w:val="HTML Acronym"/>
    <w:basedOn w:val="DefaultParagraphFont"/>
    <w:uiPriority w:val="99"/>
    <w:semiHidden/>
    <w:unhideWhenUsed/>
    <w:rsid w:val="00C17404"/>
  </w:style>
  <w:style w:type="paragraph" w:styleId="HTMLAddress">
    <w:name w:val="HTML Address"/>
    <w:basedOn w:val="Normal"/>
    <w:link w:val="HTMLAddressChar"/>
    <w:uiPriority w:val="99"/>
    <w:semiHidden/>
    <w:unhideWhenUsed/>
    <w:rsid w:val="00C17404"/>
    <w:pPr>
      <w:spacing w:after="0"/>
    </w:pPr>
    <w:rPr>
      <w:i/>
      <w:iCs/>
    </w:rPr>
  </w:style>
  <w:style w:type="character" w:customStyle="1" w:styleId="HTMLAddressChar">
    <w:name w:val="HTML Address Char"/>
    <w:basedOn w:val="DefaultParagraphFont"/>
    <w:link w:val="HTMLAddress"/>
    <w:uiPriority w:val="99"/>
    <w:semiHidden/>
    <w:rsid w:val="00C17404"/>
    <w:rPr>
      <w:rFonts w:ascii="Arial Narrow" w:hAnsi="Arial Narrow" w:cs="Arial"/>
      <w:i/>
      <w:iCs/>
    </w:rPr>
  </w:style>
  <w:style w:type="character" w:styleId="HTMLCite">
    <w:name w:val="HTML Cite"/>
    <w:basedOn w:val="DefaultParagraphFont"/>
    <w:uiPriority w:val="99"/>
    <w:semiHidden/>
    <w:unhideWhenUsed/>
    <w:rsid w:val="00C17404"/>
    <w:rPr>
      <w:i/>
      <w:iCs/>
    </w:rPr>
  </w:style>
  <w:style w:type="character" w:styleId="HTMLCode">
    <w:name w:val="HTML Code"/>
    <w:basedOn w:val="DefaultParagraphFont"/>
    <w:uiPriority w:val="99"/>
    <w:semiHidden/>
    <w:unhideWhenUsed/>
    <w:rsid w:val="00C17404"/>
    <w:rPr>
      <w:rFonts w:ascii="Arial Narrow" w:hAnsi="Arial Narrow" w:cs="Arial"/>
      <w:sz w:val="20"/>
      <w:szCs w:val="20"/>
    </w:rPr>
  </w:style>
  <w:style w:type="character" w:styleId="HTMLDefinition">
    <w:name w:val="HTML Definition"/>
    <w:basedOn w:val="DefaultParagraphFont"/>
    <w:uiPriority w:val="99"/>
    <w:semiHidden/>
    <w:unhideWhenUsed/>
    <w:rsid w:val="00C17404"/>
    <w:rPr>
      <w:i/>
      <w:iCs/>
    </w:rPr>
  </w:style>
  <w:style w:type="character" w:styleId="HTMLKeyboard">
    <w:name w:val="HTML Keyboard"/>
    <w:basedOn w:val="DefaultParagraphFont"/>
    <w:uiPriority w:val="99"/>
    <w:semiHidden/>
    <w:unhideWhenUsed/>
    <w:rsid w:val="00C17404"/>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C17404"/>
    <w:pPr>
      <w:spacing w:after="0"/>
    </w:pPr>
    <w:rPr>
      <w:sz w:val="20"/>
      <w:szCs w:val="20"/>
    </w:rPr>
  </w:style>
  <w:style w:type="character" w:customStyle="1" w:styleId="HTMLPreformattedChar">
    <w:name w:val="HTML Preformatted Char"/>
    <w:basedOn w:val="DefaultParagraphFont"/>
    <w:link w:val="HTMLPreformatted"/>
    <w:uiPriority w:val="99"/>
    <w:semiHidden/>
    <w:rsid w:val="00C17404"/>
    <w:rPr>
      <w:rFonts w:ascii="Arial Narrow" w:hAnsi="Arial Narrow" w:cs="Arial"/>
      <w:sz w:val="20"/>
      <w:szCs w:val="20"/>
    </w:rPr>
  </w:style>
  <w:style w:type="character" w:styleId="HTMLSample">
    <w:name w:val="HTML Sample"/>
    <w:basedOn w:val="DefaultParagraphFont"/>
    <w:uiPriority w:val="99"/>
    <w:semiHidden/>
    <w:unhideWhenUsed/>
    <w:rsid w:val="00C17404"/>
    <w:rPr>
      <w:rFonts w:ascii="Arial Narrow" w:hAnsi="Arial Narrow" w:cs="Arial"/>
      <w:sz w:val="24"/>
      <w:szCs w:val="24"/>
    </w:rPr>
  </w:style>
  <w:style w:type="character" w:styleId="HTMLTypewriter">
    <w:name w:val="HTML Typewriter"/>
    <w:basedOn w:val="DefaultParagraphFont"/>
    <w:uiPriority w:val="99"/>
    <w:semiHidden/>
    <w:unhideWhenUsed/>
    <w:rsid w:val="00C17404"/>
    <w:rPr>
      <w:rFonts w:ascii="Arial Narrow" w:hAnsi="Arial Narrow" w:cs="Arial"/>
      <w:sz w:val="20"/>
      <w:szCs w:val="20"/>
    </w:rPr>
  </w:style>
  <w:style w:type="character" w:styleId="HTMLVariable">
    <w:name w:val="HTML Variable"/>
    <w:basedOn w:val="DefaultParagraphFont"/>
    <w:uiPriority w:val="99"/>
    <w:semiHidden/>
    <w:unhideWhenUsed/>
    <w:rsid w:val="00C17404"/>
    <w:rPr>
      <w:i/>
      <w:iCs/>
    </w:rPr>
  </w:style>
  <w:style w:type="character" w:styleId="Hyperlink">
    <w:name w:val="Hyperlink"/>
    <w:basedOn w:val="DefaultParagraphFont"/>
    <w:uiPriority w:val="99"/>
    <w:unhideWhenUsed/>
    <w:rsid w:val="00C17404"/>
    <w:rPr>
      <w:color w:val="7BBDD6" w:themeColor="hyperlink"/>
      <w:u w:val="single"/>
    </w:rPr>
  </w:style>
  <w:style w:type="paragraph" w:styleId="Index1">
    <w:name w:val="index 1"/>
    <w:basedOn w:val="Normal"/>
    <w:next w:val="Normal"/>
    <w:autoRedefine/>
    <w:uiPriority w:val="99"/>
    <w:semiHidden/>
    <w:unhideWhenUsed/>
    <w:rsid w:val="00C17404"/>
    <w:pPr>
      <w:spacing w:after="0"/>
      <w:ind w:left="220" w:hanging="220"/>
    </w:pPr>
  </w:style>
  <w:style w:type="paragraph" w:styleId="Index2">
    <w:name w:val="index 2"/>
    <w:basedOn w:val="Normal"/>
    <w:next w:val="Normal"/>
    <w:autoRedefine/>
    <w:uiPriority w:val="99"/>
    <w:semiHidden/>
    <w:unhideWhenUsed/>
    <w:rsid w:val="00C17404"/>
    <w:pPr>
      <w:spacing w:after="0"/>
      <w:ind w:left="440" w:hanging="220"/>
    </w:pPr>
  </w:style>
  <w:style w:type="paragraph" w:styleId="Index3">
    <w:name w:val="index 3"/>
    <w:basedOn w:val="Normal"/>
    <w:next w:val="Normal"/>
    <w:autoRedefine/>
    <w:uiPriority w:val="99"/>
    <w:semiHidden/>
    <w:unhideWhenUsed/>
    <w:rsid w:val="00C17404"/>
    <w:pPr>
      <w:spacing w:after="0"/>
      <w:ind w:left="660" w:hanging="220"/>
    </w:pPr>
  </w:style>
  <w:style w:type="paragraph" w:styleId="Index4">
    <w:name w:val="index 4"/>
    <w:basedOn w:val="Normal"/>
    <w:next w:val="Normal"/>
    <w:autoRedefine/>
    <w:uiPriority w:val="99"/>
    <w:semiHidden/>
    <w:unhideWhenUsed/>
    <w:rsid w:val="00C17404"/>
    <w:pPr>
      <w:spacing w:after="0"/>
      <w:ind w:left="880" w:hanging="220"/>
    </w:pPr>
  </w:style>
  <w:style w:type="paragraph" w:styleId="Index5">
    <w:name w:val="index 5"/>
    <w:basedOn w:val="Normal"/>
    <w:next w:val="Normal"/>
    <w:autoRedefine/>
    <w:uiPriority w:val="99"/>
    <w:semiHidden/>
    <w:unhideWhenUsed/>
    <w:rsid w:val="00C17404"/>
    <w:pPr>
      <w:spacing w:after="0"/>
      <w:ind w:left="1100" w:hanging="220"/>
    </w:pPr>
  </w:style>
  <w:style w:type="paragraph" w:styleId="Index6">
    <w:name w:val="index 6"/>
    <w:basedOn w:val="Normal"/>
    <w:next w:val="Normal"/>
    <w:autoRedefine/>
    <w:uiPriority w:val="99"/>
    <w:semiHidden/>
    <w:unhideWhenUsed/>
    <w:rsid w:val="00C17404"/>
    <w:pPr>
      <w:spacing w:after="0"/>
      <w:ind w:left="1320" w:hanging="220"/>
    </w:pPr>
  </w:style>
  <w:style w:type="paragraph" w:styleId="Index7">
    <w:name w:val="index 7"/>
    <w:basedOn w:val="Normal"/>
    <w:next w:val="Normal"/>
    <w:autoRedefine/>
    <w:uiPriority w:val="99"/>
    <w:semiHidden/>
    <w:unhideWhenUsed/>
    <w:rsid w:val="00C17404"/>
    <w:pPr>
      <w:spacing w:after="0"/>
      <w:ind w:left="1540" w:hanging="220"/>
    </w:pPr>
  </w:style>
  <w:style w:type="paragraph" w:styleId="Index8">
    <w:name w:val="index 8"/>
    <w:basedOn w:val="Normal"/>
    <w:next w:val="Normal"/>
    <w:autoRedefine/>
    <w:uiPriority w:val="99"/>
    <w:semiHidden/>
    <w:unhideWhenUsed/>
    <w:rsid w:val="00C17404"/>
    <w:pPr>
      <w:spacing w:after="0"/>
      <w:ind w:left="1760" w:hanging="220"/>
    </w:pPr>
  </w:style>
  <w:style w:type="paragraph" w:styleId="Index9">
    <w:name w:val="index 9"/>
    <w:basedOn w:val="Normal"/>
    <w:next w:val="Normal"/>
    <w:autoRedefine/>
    <w:uiPriority w:val="99"/>
    <w:semiHidden/>
    <w:unhideWhenUsed/>
    <w:rsid w:val="00C17404"/>
    <w:pPr>
      <w:spacing w:after="0"/>
      <w:ind w:left="1980" w:hanging="220"/>
    </w:pPr>
  </w:style>
  <w:style w:type="paragraph" w:styleId="IndexHeading">
    <w:name w:val="index heading"/>
    <w:basedOn w:val="Normal"/>
    <w:next w:val="Index1"/>
    <w:uiPriority w:val="99"/>
    <w:semiHidden/>
    <w:unhideWhenUsed/>
    <w:rsid w:val="00C17404"/>
    <w:pPr>
      <w:spacing w:after="160" w:line="259" w:lineRule="auto"/>
    </w:pPr>
    <w:rPr>
      <w:rFonts w:eastAsiaTheme="majorEastAsia"/>
      <w:b/>
      <w:bCs/>
    </w:rPr>
  </w:style>
  <w:style w:type="character" w:styleId="IntenseEmphasis">
    <w:name w:val="Intense Emphasis"/>
    <w:basedOn w:val="DefaultParagraphFont"/>
    <w:uiPriority w:val="21"/>
    <w:qFormat/>
    <w:rsid w:val="00C17404"/>
    <w:rPr>
      <w:i/>
      <w:iCs/>
      <w:color w:val="9D85BE" w:themeColor="accent1"/>
    </w:rPr>
  </w:style>
  <w:style w:type="paragraph" w:styleId="IntenseQuote">
    <w:name w:val="Intense Quote"/>
    <w:basedOn w:val="Normal"/>
    <w:next w:val="Normal"/>
    <w:link w:val="IntenseQuoteChar"/>
    <w:uiPriority w:val="30"/>
    <w:qFormat/>
    <w:rsid w:val="00C17404"/>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C17404"/>
    <w:rPr>
      <w:rFonts w:ascii="Arial Narrow" w:hAnsi="Arial Narrow" w:cs="Arial"/>
      <w:i/>
      <w:iCs/>
      <w:color w:val="9D85BE" w:themeColor="accent1"/>
    </w:rPr>
  </w:style>
  <w:style w:type="character" w:styleId="IntenseReference">
    <w:name w:val="Intense Reference"/>
    <w:basedOn w:val="DefaultParagraphFont"/>
    <w:uiPriority w:val="32"/>
    <w:qFormat/>
    <w:rsid w:val="00C17404"/>
    <w:rPr>
      <w:b/>
      <w:bCs/>
      <w:smallCaps/>
      <w:color w:val="9D85BE" w:themeColor="accent1"/>
      <w:spacing w:val="5"/>
    </w:rPr>
  </w:style>
  <w:style w:type="table" w:styleId="LightGrid">
    <w:name w:val="Light Grid"/>
    <w:basedOn w:val="TableNormal"/>
    <w:uiPriority w:val="62"/>
    <w:semiHidden/>
    <w:unhideWhenUsed/>
    <w:rsid w:val="00C174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17404"/>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C17404"/>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C17404"/>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C17404"/>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C17404"/>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C17404"/>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C174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17404"/>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C17404"/>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C17404"/>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C17404"/>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C17404"/>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C17404"/>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C174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17404"/>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C17404"/>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C17404"/>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C17404"/>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C17404"/>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C17404"/>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C17404"/>
  </w:style>
  <w:style w:type="paragraph" w:styleId="List">
    <w:name w:val="List"/>
    <w:basedOn w:val="Normal"/>
    <w:uiPriority w:val="99"/>
    <w:semiHidden/>
    <w:unhideWhenUsed/>
    <w:rsid w:val="00C17404"/>
    <w:pPr>
      <w:spacing w:after="160" w:line="259" w:lineRule="auto"/>
      <w:ind w:left="283" w:hanging="283"/>
      <w:contextualSpacing/>
    </w:pPr>
  </w:style>
  <w:style w:type="paragraph" w:styleId="List2">
    <w:name w:val="List 2"/>
    <w:basedOn w:val="Normal"/>
    <w:uiPriority w:val="99"/>
    <w:semiHidden/>
    <w:unhideWhenUsed/>
    <w:rsid w:val="00C17404"/>
    <w:pPr>
      <w:spacing w:after="160" w:line="259" w:lineRule="auto"/>
      <w:ind w:left="566" w:hanging="283"/>
      <w:contextualSpacing/>
    </w:pPr>
  </w:style>
  <w:style w:type="paragraph" w:styleId="List3">
    <w:name w:val="List 3"/>
    <w:basedOn w:val="Normal"/>
    <w:uiPriority w:val="99"/>
    <w:semiHidden/>
    <w:unhideWhenUsed/>
    <w:rsid w:val="00C17404"/>
    <w:pPr>
      <w:spacing w:after="160" w:line="259" w:lineRule="auto"/>
      <w:ind w:left="849" w:hanging="283"/>
      <w:contextualSpacing/>
    </w:pPr>
  </w:style>
  <w:style w:type="paragraph" w:styleId="List4">
    <w:name w:val="List 4"/>
    <w:basedOn w:val="Normal"/>
    <w:uiPriority w:val="99"/>
    <w:semiHidden/>
    <w:unhideWhenUsed/>
    <w:rsid w:val="00C17404"/>
    <w:pPr>
      <w:spacing w:after="160" w:line="259" w:lineRule="auto"/>
      <w:ind w:left="1132" w:hanging="283"/>
      <w:contextualSpacing/>
    </w:pPr>
  </w:style>
  <w:style w:type="paragraph" w:styleId="List5">
    <w:name w:val="List 5"/>
    <w:basedOn w:val="Normal"/>
    <w:uiPriority w:val="99"/>
    <w:semiHidden/>
    <w:unhideWhenUsed/>
    <w:rsid w:val="00C17404"/>
    <w:pPr>
      <w:spacing w:after="160" w:line="259" w:lineRule="auto"/>
      <w:ind w:left="1415" w:hanging="283"/>
      <w:contextualSpacing/>
    </w:pPr>
  </w:style>
  <w:style w:type="paragraph" w:styleId="ListBullet">
    <w:name w:val="List Bullet"/>
    <w:basedOn w:val="Normal"/>
    <w:uiPriority w:val="99"/>
    <w:qFormat/>
    <w:rsid w:val="00C17404"/>
    <w:pPr>
      <w:numPr>
        <w:numId w:val="9"/>
      </w:numPr>
      <w:spacing w:before="70" w:after="70"/>
    </w:pPr>
  </w:style>
  <w:style w:type="paragraph" w:styleId="ListBullet2">
    <w:name w:val="List Bullet 2"/>
    <w:basedOn w:val="Normal"/>
    <w:uiPriority w:val="99"/>
    <w:qFormat/>
    <w:rsid w:val="00C17404"/>
    <w:pPr>
      <w:numPr>
        <w:ilvl w:val="1"/>
        <w:numId w:val="9"/>
      </w:numPr>
      <w:spacing w:before="0" w:after="60" w:line="240" w:lineRule="atLeast"/>
    </w:pPr>
  </w:style>
  <w:style w:type="paragraph" w:styleId="ListBullet3">
    <w:name w:val="List Bullet 3"/>
    <w:basedOn w:val="Normal"/>
    <w:uiPriority w:val="99"/>
    <w:qFormat/>
    <w:rsid w:val="00C17404"/>
    <w:pPr>
      <w:numPr>
        <w:ilvl w:val="2"/>
        <w:numId w:val="9"/>
      </w:numPr>
      <w:spacing w:before="0" w:after="60" w:line="240" w:lineRule="atLeast"/>
    </w:pPr>
  </w:style>
  <w:style w:type="paragraph" w:styleId="ListBullet4">
    <w:name w:val="List Bullet 4"/>
    <w:basedOn w:val="Normal"/>
    <w:uiPriority w:val="99"/>
    <w:semiHidden/>
    <w:unhideWhenUsed/>
    <w:rsid w:val="00C17404"/>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C17404"/>
    <w:pPr>
      <w:numPr>
        <w:numId w:val="2"/>
      </w:numPr>
      <w:spacing w:after="160" w:line="259" w:lineRule="auto"/>
      <w:contextualSpacing/>
    </w:pPr>
  </w:style>
  <w:style w:type="paragraph" w:styleId="ListContinue">
    <w:name w:val="List Continue"/>
    <w:basedOn w:val="Normal"/>
    <w:uiPriority w:val="99"/>
    <w:semiHidden/>
    <w:unhideWhenUsed/>
    <w:rsid w:val="00C17404"/>
    <w:pPr>
      <w:spacing w:line="259" w:lineRule="auto"/>
      <w:ind w:left="283"/>
      <w:contextualSpacing/>
    </w:pPr>
  </w:style>
  <w:style w:type="paragraph" w:styleId="ListContinue2">
    <w:name w:val="List Continue 2"/>
    <w:basedOn w:val="Normal"/>
    <w:uiPriority w:val="99"/>
    <w:semiHidden/>
    <w:unhideWhenUsed/>
    <w:rsid w:val="00C17404"/>
    <w:pPr>
      <w:spacing w:line="259" w:lineRule="auto"/>
      <w:ind w:left="566"/>
      <w:contextualSpacing/>
    </w:pPr>
  </w:style>
  <w:style w:type="paragraph" w:styleId="ListContinue3">
    <w:name w:val="List Continue 3"/>
    <w:basedOn w:val="Normal"/>
    <w:uiPriority w:val="99"/>
    <w:semiHidden/>
    <w:unhideWhenUsed/>
    <w:rsid w:val="00C17404"/>
    <w:pPr>
      <w:spacing w:line="259" w:lineRule="auto"/>
      <w:ind w:left="849"/>
      <w:contextualSpacing/>
    </w:pPr>
  </w:style>
  <w:style w:type="paragraph" w:styleId="ListContinue4">
    <w:name w:val="List Continue 4"/>
    <w:basedOn w:val="Normal"/>
    <w:uiPriority w:val="99"/>
    <w:semiHidden/>
    <w:unhideWhenUsed/>
    <w:rsid w:val="00C17404"/>
    <w:pPr>
      <w:spacing w:line="259" w:lineRule="auto"/>
      <w:ind w:left="1132"/>
      <w:contextualSpacing/>
    </w:pPr>
  </w:style>
  <w:style w:type="paragraph" w:styleId="ListContinue5">
    <w:name w:val="List Continue 5"/>
    <w:basedOn w:val="Normal"/>
    <w:uiPriority w:val="99"/>
    <w:semiHidden/>
    <w:unhideWhenUsed/>
    <w:rsid w:val="00C17404"/>
    <w:pPr>
      <w:spacing w:line="259" w:lineRule="auto"/>
      <w:ind w:left="1415"/>
      <w:contextualSpacing/>
    </w:pPr>
  </w:style>
  <w:style w:type="paragraph" w:styleId="ListNumber">
    <w:name w:val="List Number"/>
    <w:basedOn w:val="Normal"/>
    <w:uiPriority w:val="99"/>
    <w:qFormat/>
    <w:rsid w:val="00C17404"/>
    <w:pPr>
      <w:numPr>
        <w:numId w:val="8"/>
      </w:numPr>
      <w:spacing w:before="70" w:after="70"/>
    </w:pPr>
  </w:style>
  <w:style w:type="paragraph" w:styleId="ListNumber2">
    <w:name w:val="List Number 2"/>
    <w:basedOn w:val="Normal"/>
    <w:uiPriority w:val="99"/>
    <w:qFormat/>
    <w:rsid w:val="00C17404"/>
    <w:pPr>
      <w:numPr>
        <w:ilvl w:val="1"/>
        <w:numId w:val="8"/>
      </w:numPr>
      <w:spacing w:before="0" w:after="60" w:line="240" w:lineRule="atLeast"/>
    </w:pPr>
  </w:style>
  <w:style w:type="paragraph" w:styleId="ListNumber3">
    <w:name w:val="List Number 3"/>
    <w:basedOn w:val="Normal"/>
    <w:uiPriority w:val="99"/>
    <w:qFormat/>
    <w:rsid w:val="00C17404"/>
    <w:pPr>
      <w:numPr>
        <w:ilvl w:val="2"/>
        <w:numId w:val="8"/>
      </w:numPr>
      <w:spacing w:before="0" w:after="60" w:line="240" w:lineRule="atLeast"/>
    </w:pPr>
  </w:style>
  <w:style w:type="paragraph" w:styleId="ListNumber4">
    <w:name w:val="List Number 4"/>
    <w:basedOn w:val="Normal"/>
    <w:uiPriority w:val="99"/>
    <w:semiHidden/>
    <w:unhideWhenUsed/>
    <w:rsid w:val="00C17404"/>
    <w:pPr>
      <w:numPr>
        <w:numId w:val="3"/>
      </w:numPr>
      <w:spacing w:after="160" w:line="259" w:lineRule="auto"/>
      <w:contextualSpacing/>
    </w:pPr>
  </w:style>
  <w:style w:type="paragraph" w:styleId="ListNumber5">
    <w:name w:val="List Number 5"/>
    <w:basedOn w:val="Normal"/>
    <w:uiPriority w:val="99"/>
    <w:semiHidden/>
    <w:unhideWhenUsed/>
    <w:rsid w:val="00C17404"/>
    <w:pPr>
      <w:numPr>
        <w:numId w:val="4"/>
      </w:numPr>
      <w:spacing w:after="160" w:line="259" w:lineRule="auto"/>
      <w:contextualSpacing/>
    </w:pPr>
  </w:style>
  <w:style w:type="paragraph" w:styleId="ListParagraph">
    <w:name w:val="List Paragraph"/>
    <w:basedOn w:val="Normal"/>
    <w:uiPriority w:val="34"/>
    <w:qFormat/>
    <w:rsid w:val="00C17404"/>
    <w:pPr>
      <w:spacing w:after="160" w:line="259" w:lineRule="auto"/>
      <w:ind w:left="720"/>
      <w:contextualSpacing/>
    </w:pPr>
  </w:style>
  <w:style w:type="table" w:styleId="ListTable1Light">
    <w:name w:val="List Table 1 Light"/>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C17404"/>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C1740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17404"/>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C17404"/>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C17404"/>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C17404"/>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C17404"/>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C17404"/>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C1740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17404"/>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C17404"/>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C17404"/>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C17404"/>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C17404"/>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C17404"/>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C174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1740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C1740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C1740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C1740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C1740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C1740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C1740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17404"/>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17404"/>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17404"/>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17404"/>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17404"/>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17404"/>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1740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17404"/>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C17404"/>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C17404"/>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C17404"/>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C17404"/>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C17404"/>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C1740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17404"/>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17404"/>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17404"/>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17404"/>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17404"/>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17404"/>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17404"/>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C17404"/>
    <w:rPr>
      <w:rFonts w:ascii="Arial Narrow" w:hAnsi="Arial Narrow" w:cs="Arial"/>
      <w:sz w:val="20"/>
      <w:szCs w:val="20"/>
    </w:rPr>
  </w:style>
  <w:style w:type="table" w:styleId="MediumGrid1">
    <w:name w:val="Medium Grid 1"/>
    <w:basedOn w:val="TableNormal"/>
    <w:uiPriority w:val="67"/>
    <w:semiHidden/>
    <w:unhideWhenUsed/>
    <w:rsid w:val="00C174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17404"/>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C17404"/>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C17404"/>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C17404"/>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C17404"/>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C17404"/>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C174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C17404"/>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17404"/>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174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17404"/>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17404"/>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17404"/>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17404"/>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17404"/>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17404"/>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174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C17404"/>
    <w:rPr>
      <w:color w:val="2B579A"/>
      <w:shd w:val="clear" w:color="auto" w:fill="E1DFDD"/>
    </w:rPr>
  </w:style>
  <w:style w:type="paragraph" w:styleId="MessageHeader">
    <w:name w:val="Message Header"/>
    <w:basedOn w:val="Normal"/>
    <w:link w:val="MessageHeaderChar"/>
    <w:uiPriority w:val="99"/>
    <w:semiHidden/>
    <w:unhideWhenUsed/>
    <w:rsid w:val="00C1740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C17404"/>
    <w:rPr>
      <w:rFonts w:ascii="Arial Narrow" w:eastAsiaTheme="majorEastAsia" w:hAnsi="Arial Narrow" w:cs="Arial"/>
      <w:sz w:val="24"/>
      <w:szCs w:val="24"/>
      <w:shd w:val="pct20" w:color="auto" w:fill="auto"/>
    </w:rPr>
  </w:style>
  <w:style w:type="paragraph" w:styleId="NoSpacing">
    <w:name w:val="No Spacing"/>
    <w:uiPriority w:val="1"/>
    <w:qFormat/>
    <w:rsid w:val="00C17404"/>
    <w:pPr>
      <w:spacing w:after="0" w:line="240" w:lineRule="auto"/>
    </w:pPr>
    <w:rPr>
      <w:rFonts w:ascii="Arial Narrow" w:hAnsi="Arial Narrow" w:cs="Arial"/>
    </w:rPr>
  </w:style>
  <w:style w:type="paragraph" w:styleId="NormalWeb">
    <w:name w:val="Normal (Web)"/>
    <w:basedOn w:val="Normal"/>
    <w:uiPriority w:val="99"/>
    <w:semiHidden/>
    <w:unhideWhenUsed/>
    <w:rsid w:val="00C17404"/>
    <w:pPr>
      <w:spacing w:after="160" w:line="259" w:lineRule="auto"/>
    </w:pPr>
    <w:rPr>
      <w:sz w:val="24"/>
      <w:szCs w:val="24"/>
    </w:rPr>
  </w:style>
  <w:style w:type="paragraph" w:styleId="NormalIndent">
    <w:name w:val="Normal Indent"/>
    <w:basedOn w:val="Normal"/>
    <w:uiPriority w:val="99"/>
    <w:semiHidden/>
    <w:unhideWhenUsed/>
    <w:rsid w:val="00C17404"/>
    <w:pPr>
      <w:spacing w:after="160" w:line="259" w:lineRule="auto"/>
      <w:ind w:left="720"/>
    </w:pPr>
  </w:style>
  <w:style w:type="paragraph" w:styleId="NoteHeading">
    <w:name w:val="Note Heading"/>
    <w:basedOn w:val="Normal"/>
    <w:next w:val="Normal"/>
    <w:link w:val="NoteHeadingChar"/>
    <w:uiPriority w:val="99"/>
    <w:semiHidden/>
    <w:unhideWhenUsed/>
    <w:rsid w:val="00C17404"/>
    <w:pPr>
      <w:spacing w:after="0"/>
    </w:pPr>
  </w:style>
  <w:style w:type="character" w:customStyle="1" w:styleId="NoteHeadingChar">
    <w:name w:val="Note Heading Char"/>
    <w:basedOn w:val="DefaultParagraphFont"/>
    <w:link w:val="NoteHeading"/>
    <w:uiPriority w:val="99"/>
    <w:semiHidden/>
    <w:rsid w:val="00C17404"/>
    <w:rPr>
      <w:rFonts w:ascii="Arial Narrow" w:hAnsi="Arial Narrow" w:cs="Arial"/>
    </w:rPr>
  </w:style>
  <w:style w:type="character" w:styleId="PageNumber">
    <w:name w:val="page number"/>
    <w:basedOn w:val="DefaultParagraphFont"/>
    <w:uiPriority w:val="99"/>
    <w:semiHidden/>
    <w:unhideWhenUsed/>
    <w:rsid w:val="00C17404"/>
  </w:style>
  <w:style w:type="character" w:styleId="PlaceholderText">
    <w:name w:val="Placeholder Text"/>
    <w:basedOn w:val="DefaultParagraphFont"/>
    <w:uiPriority w:val="99"/>
    <w:semiHidden/>
    <w:rsid w:val="00C17404"/>
    <w:rPr>
      <w:color w:val="808080"/>
    </w:rPr>
  </w:style>
  <w:style w:type="table" w:styleId="PlainTable1">
    <w:name w:val="Plain Table 1"/>
    <w:basedOn w:val="TableNormal"/>
    <w:uiPriority w:val="41"/>
    <w:rsid w:val="00C174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174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174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174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174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17404"/>
    <w:pPr>
      <w:spacing w:after="0"/>
    </w:pPr>
    <w:rPr>
      <w:sz w:val="21"/>
      <w:szCs w:val="21"/>
    </w:rPr>
  </w:style>
  <w:style w:type="character" w:customStyle="1" w:styleId="PlainTextChar">
    <w:name w:val="Plain Text Char"/>
    <w:basedOn w:val="DefaultParagraphFont"/>
    <w:link w:val="PlainText"/>
    <w:uiPriority w:val="99"/>
    <w:semiHidden/>
    <w:rsid w:val="00C17404"/>
    <w:rPr>
      <w:rFonts w:ascii="Arial Narrow" w:hAnsi="Arial Narrow" w:cs="Arial"/>
      <w:sz w:val="21"/>
      <w:szCs w:val="21"/>
    </w:rPr>
  </w:style>
  <w:style w:type="paragraph" w:styleId="Quote">
    <w:name w:val="Quote"/>
    <w:basedOn w:val="Normal"/>
    <w:next w:val="Normal"/>
    <w:link w:val="QuoteChar"/>
    <w:uiPriority w:val="29"/>
    <w:qFormat/>
    <w:rsid w:val="00C17404"/>
    <w:pPr>
      <w:spacing w:before="120" w:after="120"/>
      <w:ind w:right="601"/>
    </w:pPr>
    <w:rPr>
      <w:rFonts w:cstheme="minorBidi"/>
      <w:i/>
      <w:iCs/>
      <w:color w:val="4D4C4D"/>
    </w:rPr>
  </w:style>
  <w:style w:type="character" w:customStyle="1" w:styleId="QuoteChar">
    <w:name w:val="Quote Char"/>
    <w:basedOn w:val="DefaultParagraphFont"/>
    <w:link w:val="Quote"/>
    <w:uiPriority w:val="29"/>
    <w:rsid w:val="00C17404"/>
    <w:rPr>
      <w:rFonts w:ascii="Arial Narrow" w:hAnsi="Arial Narrow"/>
      <w:i/>
      <w:iCs/>
      <w:color w:val="4D4C4D"/>
    </w:rPr>
  </w:style>
  <w:style w:type="paragraph" w:styleId="Salutation">
    <w:name w:val="Salutation"/>
    <w:basedOn w:val="Normal"/>
    <w:next w:val="Normal"/>
    <w:link w:val="SalutationChar"/>
    <w:uiPriority w:val="99"/>
    <w:semiHidden/>
    <w:unhideWhenUsed/>
    <w:rsid w:val="00C17404"/>
    <w:pPr>
      <w:spacing w:after="160" w:line="259" w:lineRule="auto"/>
    </w:pPr>
  </w:style>
  <w:style w:type="character" w:customStyle="1" w:styleId="SalutationChar">
    <w:name w:val="Salutation Char"/>
    <w:basedOn w:val="DefaultParagraphFont"/>
    <w:link w:val="Salutation"/>
    <w:uiPriority w:val="99"/>
    <w:semiHidden/>
    <w:rsid w:val="00C17404"/>
    <w:rPr>
      <w:rFonts w:ascii="Arial Narrow" w:hAnsi="Arial Narrow" w:cs="Arial"/>
    </w:rPr>
  </w:style>
  <w:style w:type="paragraph" w:styleId="Signature">
    <w:name w:val="Signature"/>
    <w:basedOn w:val="Normal"/>
    <w:link w:val="SignatureChar"/>
    <w:uiPriority w:val="99"/>
    <w:semiHidden/>
    <w:unhideWhenUsed/>
    <w:rsid w:val="00C17404"/>
    <w:pPr>
      <w:spacing w:after="0"/>
      <w:ind w:left="4252"/>
    </w:pPr>
  </w:style>
  <w:style w:type="character" w:customStyle="1" w:styleId="SignatureChar">
    <w:name w:val="Signature Char"/>
    <w:basedOn w:val="DefaultParagraphFont"/>
    <w:link w:val="Signature"/>
    <w:uiPriority w:val="99"/>
    <w:semiHidden/>
    <w:rsid w:val="00C17404"/>
    <w:rPr>
      <w:rFonts w:ascii="Arial Narrow" w:hAnsi="Arial Narrow" w:cs="Arial"/>
    </w:rPr>
  </w:style>
  <w:style w:type="character" w:customStyle="1" w:styleId="SmartHyperlink1">
    <w:name w:val="Smart Hyperlink1"/>
    <w:basedOn w:val="DefaultParagraphFont"/>
    <w:uiPriority w:val="99"/>
    <w:semiHidden/>
    <w:unhideWhenUsed/>
    <w:rsid w:val="00C17404"/>
    <w:rPr>
      <w:u w:val="dotted"/>
    </w:rPr>
  </w:style>
  <w:style w:type="character" w:customStyle="1" w:styleId="SmartLink">
    <w:name w:val="Smart Link"/>
    <w:basedOn w:val="DefaultParagraphFont"/>
    <w:uiPriority w:val="99"/>
    <w:semiHidden/>
    <w:unhideWhenUsed/>
    <w:rsid w:val="00C17404"/>
    <w:rPr>
      <w:color w:val="0000FF"/>
      <w:u w:val="single"/>
      <w:shd w:val="clear" w:color="auto" w:fill="F3F2F1"/>
    </w:rPr>
  </w:style>
  <w:style w:type="character" w:styleId="Strong">
    <w:name w:val="Strong"/>
    <w:basedOn w:val="DefaultParagraphFont"/>
    <w:uiPriority w:val="22"/>
    <w:qFormat/>
    <w:rsid w:val="00C17404"/>
    <w:rPr>
      <w:b/>
      <w:bCs/>
    </w:rPr>
  </w:style>
  <w:style w:type="paragraph" w:styleId="Subtitle">
    <w:name w:val="Subtitle"/>
    <w:basedOn w:val="Normal"/>
    <w:next w:val="Normal"/>
    <w:link w:val="SubtitleChar"/>
    <w:uiPriority w:val="11"/>
    <w:qFormat/>
    <w:rsid w:val="00C1740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17404"/>
    <w:rPr>
      <w:rFonts w:ascii="Arial Narrow" w:eastAsiaTheme="minorEastAsia" w:hAnsi="Arial Narrow" w:cs="Arial"/>
      <w:color w:val="5A5A5A" w:themeColor="text1" w:themeTint="A5"/>
      <w:spacing w:val="15"/>
    </w:rPr>
  </w:style>
  <w:style w:type="character" w:styleId="SubtleEmphasis">
    <w:name w:val="Subtle Emphasis"/>
    <w:basedOn w:val="DefaultParagraphFont"/>
    <w:uiPriority w:val="19"/>
    <w:qFormat/>
    <w:rsid w:val="00C17404"/>
    <w:rPr>
      <w:i/>
      <w:iCs/>
      <w:color w:val="404040" w:themeColor="text1" w:themeTint="BF"/>
    </w:rPr>
  </w:style>
  <w:style w:type="character" w:styleId="SubtleReference">
    <w:name w:val="Subtle Reference"/>
    <w:basedOn w:val="DefaultParagraphFont"/>
    <w:uiPriority w:val="31"/>
    <w:qFormat/>
    <w:rsid w:val="00C17404"/>
    <w:rPr>
      <w:smallCaps/>
      <w:color w:val="5A5A5A" w:themeColor="text1" w:themeTint="A5"/>
    </w:rPr>
  </w:style>
  <w:style w:type="table" w:styleId="Table3Deffects1">
    <w:name w:val="Table 3D effects 1"/>
    <w:basedOn w:val="TableNormal"/>
    <w:uiPriority w:val="99"/>
    <w:semiHidden/>
    <w:unhideWhenUsed/>
    <w:rsid w:val="00C1740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1740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1740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1740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1740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174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1740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174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1740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174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174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1740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174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1740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174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174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174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1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174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1740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1740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1740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174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1740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174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174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174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1740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1740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1740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1740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1740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174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174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174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C17404"/>
    <w:pPr>
      <w:tabs>
        <w:tab w:val="right" w:pos="7643"/>
      </w:tabs>
      <w:spacing w:after="0" w:line="259" w:lineRule="auto"/>
      <w:ind w:left="1164" w:hanging="1164"/>
    </w:pPr>
  </w:style>
  <w:style w:type="paragraph" w:styleId="TableofFigures">
    <w:name w:val="table of figures"/>
    <w:basedOn w:val="Normal"/>
    <w:next w:val="Normal"/>
    <w:uiPriority w:val="99"/>
    <w:unhideWhenUsed/>
    <w:rsid w:val="00C17404"/>
    <w:pPr>
      <w:tabs>
        <w:tab w:val="right" w:pos="7643"/>
      </w:tabs>
      <w:spacing w:before="0" w:after="0" w:line="260" w:lineRule="exact"/>
      <w:ind w:left="1120" w:hanging="1120"/>
    </w:pPr>
  </w:style>
  <w:style w:type="table" w:styleId="TableProfessional">
    <w:name w:val="Table Professional"/>
    <w:basedOn w:val="TableNormal"/>
    <w:uiPriority w:val="99"/>
    <w:semiHidden/>
    <w:unhideWhenUsed/>
    <w:rsid w:val="00C174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1740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1740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1740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1740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1740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1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174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174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174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C17404"/>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C17404"/>
    <w:rPr>
      <w:rFonts w:ascii="Arial Narrow" w:eastAsiaTheme="majorEastAsia" w:hAnsi="Arial Narrow" w:cs="Arial"/>
      <w:spacing w:val="-10"/>
      <w:kern w:val="28"/>
      <w:sz w:val="56"/>
      <w:szCs w:val="56"/>
    </w:rPr>
  </w:style>
  <w:style w:type="paragraph" w:styleId="TOAHeading">
    <w:name w:val="toa heading"/>
    <w:basedOn w:val="Normal"/>
    <w:next w:val="Normal"/>
    <w:uiPriority w:val="99"/>
    <w:semiHidden/>
    <w:unhideWhenUsed/>
    <w:rsid w:val="00C17404"/>
    <w:pPr>
      <w:spacing w:before="120" w:after="160" w:line="259" w:lineRule="auto"/>
    </w:pPr>
    <w:rPr>
      <w:rFonts w:eastAsiaTheme="majorEastAsia"/>
      <w:b/>
      <w:bCs/>
      <w:sz w:val="24"/>
      <w:szCs w:val="24"/>
    </w:rPr>
  </w:style>
  <w:style w:type="paragraph" w:styleId="TOC1">
    <w:name w:val="toc 1"/>
    <w:basedOn w:val="Normal"/>
    <w:next w:val="Normal"/>
    <w:uiPriority w:val="39"/>
    <w:rsid w:val="00C17404"/>
    <w:pPr>
      <w:tabs>
        <w:tab w:val="right" w:pos="7643"/>
      </w:tabs>
      <w:spacing w:before="300" w:after="360" w:line="240" w:lineRule="exact"/>
    </w:pPr>
    <w:rPr>
      <w:rFonts w:ascii="Yu Gothic Medium" w:eastAsia="Yu Gothic Medium" w:hAnsi="Yu Gothic Medium" w:cstheme="minorBidi"/>
      <w:b/>
      <w:noProof/>
      <w:color w:val="6C3F99"/>
      <w:sz w:val="24"/>
    </w:rPr>
  </w:style>
  <w:style w:type="paragraph" w:styleId="TOC2">
    <w:name w:val="toc 2"/>
    <w:basedOn w:val="Normal"/>
    <w:next w:val="Normal"/>
    <w:uiPriority w:val="39"/>
    <w:rsid w:val="00C17404"/>
    <w:pPr>
      <w:keepNext/>
      <w:tabs>
        <w:tab w:val="right" w:pos="7643"/>
      </w:tabs>
      <w:spacing w:before="292" w:after="168" w:line="240" w:lineRule="exact"/>
      <w:ind w:left="560" w:hanging="560"/>
    </w:pPr>
    <w:rPr>
      <w:rFonts w:ascii="Yu Gothic Medium" w:eastAsia="Yu Gothic Medium" w:hAnsi="Yu Gothic Medium" w:cstheme="minorBidi"/>
      <w:b/>
      <w:noProof/>
      <w:color w:val="000100"/>
      <w:sz w:val="24"/>
    </w:rPr>
  </w:style>
  <w:style w:type="paragraph" w:styleId="TOC3">
    <w:name w:val="toc 3"/>
    <w:basedOn w:val="Normal"/>
    <w:next w:val="Normal"/>
    <w:uiPriority w:val="39"/>
    <w:rsid w:val="00C17404"/>
    <w:pPr>
      <w:tabs>
        <w:tab w:val="right" w:pos="7643"/>
      </w:tabs>
      <w:spacing w:before="0" w:after="0" w:line="240" w:lineRule="auto"/>
      <w:ind w:left="1120" w:hanging="560"/>
    </w:pPr>
    <w:rPr>
      <w:rFonts w:cstheme="minorBidi"/>
      <w:noProof/>
      <w:color w:val="000100"/>
      <w:position w:val="-6"/>
    </w:rPr>
  </w:style>
  <w:style w:type="paragraph" w:styleId="TOC4">
    <w:name w:val="toc 4"/>
    <w:basedOn w:val="Normal"/>
    <w:next w:val="Normal"/>
    <w:uiPriority w:val="39"/>
    <w:rsid w:val="00C17404"/>
    <w:pPr>
      <w:tabs>
        <w:tab w:val="right" w:pos="7643"/>
      </w:tabs>
      <w:spacing w:before="0" w:after="60"/>
      <w:ind w:left="1680" w:hanging="560"/>
      <w:contextualSpacing/>
    </w:pPr>
    <w:rPr>
      <w:rFonts w:cstheme="minorBidi"/>
      <w:noProof/>
      <w:color w:val="000100"/>
      <w:sz w:val="20"/>
    </w:rPr>
  </w:style>
  <w:style w:type="paragraph" w:styleId="TOC5">
    <w:name w:val="toc 5"/>
    <w:basedOn w:val="Normal"/>
    <w:next w:val="Normal"/>
    <w:uiPriority w:val="39"/>
    <w:rsid w:val="00C17404"/>
    <w:pPr>
      <w:tabs>
        <w:tab w:val="right" w:pos="5670"/>
      </w:tabs>
      <w:spacing w:after="32"/>
      <w:ind w:left="454" w:right="283" w:hanging="454"/>
    </w:pPr>
    <w:rPr>
      <w:rFonts w:cstheme="minorBidi"/>
      <w:noProof/>
      <w:color w:val="000100"/>
      <w:spacing w:val="-4"/>
      <w:sz w:val="21"/>
    </w:rPr>
  </w:style>
  <w:style w:type="paragraph" w:styleId="TOC6">
    <w:name w:val="toc 6"/>
    <w:basedOn w:val="Normal"/>
    <w:next w:val="Normal"/>
    <w:uiPriority w:val="39"/>
    <w:rsid w:val="00C17404"/>
    <w:pPr>
      <w:numPr>
        <w:ilvl w:val="5"/>
        <w:numId w:val="16"/>
      </w:numPr>
      <w:pBdr>
        <w:bottom w:val="single" w:sz="4" w:space="1" w:color="auto"/>
        <w:between w:val="single" w:sz="4" w:space="1" w:color="auto"/>
      </w:pBdr>
      <w:tabs>
        <w:tab w:val="right" w:pos="5670"/>
      </w:tabs>
      <w:spacing w:before="240" w:after="0" w:line="240" w:lineRule="exact"/>
      <w:ind w:left="0" w:firstLine="0"/>
    </w:pPr>
    <w:rPr>
      <w:rFonts w:cstheme="minorBidi"/>
      <w:noProof/>
      <w:color w:val="000100"/>
      <w:sz w:val="20"/>
    </w:rPr>
  </w:style>
  <w:style w:type="paragraph" w:styleId="TOC7">
    <w:name w:val="toc 7"/>
    <w:basedOn w:val="Normal"/>
    <w:next w:val="Normal"/>
    <w:uiPriority w:val="39"/>
    <w:rsid w:val="00C17404"/>
    <w:pPr>
      <w:keepNext/>
      <w:numPr>
        <w:ilvl w:val="6"/>
        <w:numId w:val="16"/>
      </w:numPr>
      <w:spacing w:before="240" w:after="0" w:line="240" w:lineRule="exact"/>
      <w:contextualSpacing/>
    </w:pPr>
    <w:rPr>
      <w:rFonts w:ascii="Yu Gothic Medium" w:eastAsia="Yu Gothic Medium" w:hAnsi="Yu Gothic Medium" w:cstheme="minorBidi"/>
      <w:b/>
      <w:color w:val="000100"/>
      <w:sz w:val="24"/>
    </w:rPr>
  </w:style>
  <w:style w:type="paragraph" w:styleId="TOC8">
    <w:name w:val="toc 8"/>
    <w:basedOn w:val="Normal"/>
    <w:next w:val="Normal"/>
    <w:uiPriority w:val="39"/>
    <w:rsid w:val="00C17404"/>
    <w:pPr>
      <w:tabs>
        <w:tab w:val="right" w:pos="8478"/>
      </w:tabs>
      <w:spacing w:after="100"/>
      <w:contextualSpacing/>
    </w:pPr>
    <w:rPr>
      <w:rFonts w:cstheme="minorBidi"/>
      <w:noProof/>
      <w:color w:val="000100"/>
      <w:sz w:val="18"/>
    </w:rPr>
  </w:style>
  <w:style w:type="paragraph" w:styleId="TOC9">
    <w:name w:val="toc 9"/>
    <w:basedOn w:val="Normal"/>
    <w:next w:val="Normal"/>
    <w:uiPriority w:val="39"/>
    <w:rsid w:val="00C17404"/>
    <w:pPr>
      <w:spacing w:after="100"/>
    </w:pPr>
    <w:rPr>
      <w:rFonts w:cstheme="minorBidi"/>
      <w:color w:val="000100"/>
      <w:spacing w:val="-4"/>
      <w:sz w:val="19"/>
    </w:rPr>
  </w:style>
  <w:style w:type="paragraph" w:styleId="TOCHeading">
    <w:name w:val="TOC Heading"/>
    <w:basedOn w:val="Heading1"/>
    <w:next w:val="Normal"/>
    <w:uiPriority w:val="39"/>
    <w:unhideWhenUsed/>
    <w:qFormat/>
    <w:rsid w:val="00C17404"/>
    <w:pPr>
      <w:numPr>
        <w:numId w:val="0"/>
      </w:numPr>
      <w:outlineLvl w:val="9"/>
    </w:pPr>
    <w:rPr>
      <w:rFonts w:eastAsia="Yu Gothic Medium"/>
      <w:color w:val="6C3D99"/>
    </w:rPr>
  </w:style>
  <w:style w:type="character" w:customStyle="1" w:styleId="UnresolvedMention1">
    <w:name w:val="Unresolved Mention1"/>
    <w:basedOn w:val="DefaultParagraphFont"/>
    <w:uiPriority w:val="99"/>
    <w:semiHidden/>
    <w:unhideWhenUsed/>
    <w:rsid w:val="00C17404"/>
    <w:rPr>
      <w:color w:val="605E5C"/>
      <w:shd w:val="clear" w:color="auto" w:fill="E1DFDD"/>
    </w:rPr>
  </w:style>
  <w:style w:type="numbering" w:customStyle="1" w:styleId="aaclstStyleBullets">
    <w:name w:val="aac_lstStyle_Bullets"/>
    <w:uiPriority w:val="99"/>
    <w:rsid w:val="00C17404"/>
    <w:pPr>
      <w:numPr>
        <w:numId w:val="5"/>
      </w:numPr>
    </w:pPr>
  </w:style>
  <w:style w:type="numbering" w:customStyle="1" w:styleId="aaclstStyleListNumber">
    <w:name w:val="aac_lstStyle_ListNumber"/>
    <w:uiPriority w:val="99"/>
    <w:rsid w:val="00C17404"/>
    <w:pPr>
      <w:numPr>
        <w:numId w:val="6"/>
      </w:numPr>
    </w:pPr>
  </w:style>
  <w:style w:type="numbering" w:customStyle="1" w:styleId="aaclstStyleHeadingNumbered">
    <w:name w:val="aac_lstStyle_HeadingNumbered"/>
    <w:uiPriority w:val="99"/>
    <w:rsid w:val="00C17404"/>
    <w:pPr>
      <w:numPr>
        <w:numId w:val="7"/>
      </w:numPr>
    </w:pPr>
  </w:style>
  <w:style w:type="paragraph" w:customStyle="1" w:styleId="Normal-nospace">
    <w:name w:val="Normal - no space"/>
    <w:basedOn w:val="Normal"/>
    <w:qFormat/>
    <w:rsid w:val="00C17404"/>
    <w:pPr>
      <w:spacing w:before="0" w:after="0"/>
    </w:pPr>
    <w:rPr>
      <w:color w:val="000100"/>
    </w:rPr>
  </w:style>
  <w:style w:type="paragraph" w:customStyle="1" w:styleId="Heading2ES">
    <w:name w:val="Heading 2 (ES)"/>
    <w:basedOn w:val="Normal-nospace"/>
    <w:next w:val="BodyText"/>
    <w:qFormat/>
    <w:rsid w:val="00C17404"/>
    <w:pPr>
      <w:numPr>
        <w:ilvl w:val="1"/>
        <w:numId w:val="31"/>
      </w:numPr>
      <w:pBdr>
        <w:bottom w:val="single" w:sz="4" w:space="1" w:color="6C3E99"/>
      </w:pBdr>
      <w:spacing w:before="240" w:after="216"/>
    </w:pPr>
    <w:rPr>
      <w:b/>
      <w:color w:val="6C3E99"/>
      <w:sz w:val="28"/>
    </w:rPr>
  </w:style>
  <w:style w:type="paragraph" w:customStyle="1" w:styleId="Introduction">
    <w:name w:val="Introduction"/>
    <w:basedOn w:val="Normal-nospace"/>
    <w:qFormat/>
    <w:rsid w:val="00C17404"/>
    <w:pPr>
      <w:spacing w:before="240" w:after="460" w:line="300" w:lineRule="exact"/>
      <w:ind w:right="120"/>
      <w:contextualSpacing/>
    </w:pPr>
    <w:rPr>
      <w:i/>
      <w:color w:val="7D7C7D"/>
      <w:sz w:val="24"/>
    </w:rPr>
  </w:style>
  <w:style w:type="paragraph" w:customStyle="1" w:styleId="Heading3ES">
    <w:name w:val="Heading 3 (ES)"/>
    <w:basedOn w:val="Normal-nospace"/>
    <w:next w:val="BodyText"/>
    <w:qFormat/>
    <w:rsid w:val="00C17404"/>
    <w:pPr>
      <w:numPr>
        <w:ilvl w:val="2"/>
        <w:numId w:val="31"/>
      </w:numPr>
      <w:pBdr>
        <w:bottom w:val="single" w:sz="4" w:space="0" w:color="000100"/>
      </w:pBdr>
      <w:spacing w:before="240" w:after="160" w:line="240" w:lineRule="atLeast"/>
    </w:pPr>
    <w:rPr>
      <w:b/>
    </w:rPr>
  </w:style>
  <w:style w:type="paragraph" w:customStyle="1" w:styleId="Heading4ES">
    <w:name w:val="Heading 4 (ES)"/>
    <w:basedOn w:val="Normal-nospace"/>
    <w:next w:val="BodyText"/>
    <w:qFormat/>
    <w:rsid w:val="00C17404"/>
    <w:pPr>
      <w:numPr>
        <w:ilvl w:val="3"/>
        <w:numId w:val="31"/>
      </w:numPr>
      <w:spacing w:before="240" w:after="160" w:line="240" w:lineRule="atLeast"/>
    </w:pPr>
    <w:rPr>
      <w:b/>
    </w:rPr>
  </w:style>
  <w:style w:type="paragraph" w:customStyle="1" w:styleId="Heading5ES">
    <w:name w:val="Heading 5 (ES)"/>
    <w:basedOn w:val="Normal-nospace"/>
    <w:next w:val="BodyText"/>
    <w:qFormat/>
    <w:rsid w:val="00C17404"/>
    <w:pPr>
      <w:numPr>
        <w:ilvl w:val="4"/>
        <w:numId w:val="31"/>
      </w:numPr>
      <w:spacing w:before="240" w:after="160" w:line="240" w:lineRule="atLeast"/>
    </w:pPr>
    <w:rPr>
      <w:b/>
      <w:i/>
    </w:rPr>
  </w:style>
  <w:style w:type="paragraph" w:customStyle="1" w:styleId="Heading6ES">
    <w:name w:val="Heading 6 (ES)"/>
    <w:basedOn w:val="Normal-nospace"/>
    <w:next w:val="BodyText"/>
    <w:qFormat/>
    <w:rsid w:val="00C17404"/>
    <w:pPr>
      <w:numPr>
        <w:ilvl w:val="5"/>
        <w:numId w:val="31"/>
      </w:numPr>
      <w:spacing w:before="240" w:after="160" w:line="240" w:lineRule="atLeast"/>
    </w:pPr>
    <w:rPr>
      <w:b/>
      <w:i/>
      <w:color w:val="959495"/>
    </w:rPr>
  </w:style>
  <w:style w:type="numbering" w:customStyle="1" w:styleId="aaclstStyleHeadingsES">
    <w:name w:val="aac_lstStyle_HeadingsES"/>
    <w:uiPriority w:val="99"/>
    <w:rsid w:val="00C17404"/>
    <w:pPr>
      <w:numPr>
        <w:numId w:val="10"/>
      </w:numPr>
    </w:pPr>
  </w:style>
  <w:style w:type="paragraph" w:customStyle="1" w:styleId="Header-CompanyName">
    <w:name w:val="Header-Company Name"/>
    <w:basedOn w:val="Normal-nospace"/>
    <w:qFormat/>
    <w:rsid w:val="00C17404"/>
    <w:pPr>
      <w:spacing w:before="16" w:line="240" w:lineRule="auto"/>
      <w:jc w:val="right"/>
    </w:pPr>
    <w:rPr>
      <w:sz w:val="14"/>
    </w:rPr>
  </w:style>
  <w:style w:type="paragraph" w:customStyle="1" w:styleId="FooterText">
    <w:name w:val="Footer Text"/>
    <w:basedOn w:val="Normal-nospace"/>
    <w:qFormat/>
    <w:rsid w:val="00C17404"/>
    <w:pPr>
      <w:spacing w:line="240" w:lineRule="auto"/>
    </w:pPr>
    <w:rPr>
      <w:rFonts w:ascii="Yu Gothic Medium" w:eastAsia="Yu Gothic Medium" w:hAnsi="Yu Gothic Medium"/>
      <w:spacing w:val="6"/>
      <w:sz w:val="15"/>
    </w:rPr>
  </w:style>
  <w:style w:type="paragraph" w:customStyle="1" w:styleId="pageNumber0">
    <w:name w:val="pageNumber"/>
    <w:basedOn w:val="Normal-nospace"/>
    <w:qFormat/>
    <w:rsid w:val="00C17404"/>
    <w:pPr>
      <w:spacing w:after="20" w:line="280" w:lineRule="exact"/>
      <w:jc w:val="center"/>
    </w:pPr>
    <w:rPr>
      <w:rFonts w:ascii="Yu Gothic Medium" w:eastAsia="Yu Gothic Medium" w:hAnsi="Yu Gothic Medium"/>
      <w:color w:val="959495"/>
      <w:sz w:val="25"/>
    </w:rPr>
  </w:style>
  <w:style w:type="paragraph" w:customStyle="1" w:styleId="CpTitle">
    <w:name w:val="Cp Title"/>
    <w:basedOn w:val="Normal-nospace"/>
    <w:qFormat/>
    <w:rsid w:val="00C17404"/>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C17404"/>
    <w:pPr>
      <w:spacing w:after="400" w:line="168" w:lineRule="auto"/>
    </w:pPr>
    <w:rPr>
      <w:rFonts w:ascii="Yu Gothic Medium" w:hAnsi="Yu Gothic Medium"/>
      <w:sz w:val="48"/>
    </w:rPr>
  </w:style>
  <w:style w:type="numbering" w:customStyle="1" w:styleId="aaclstStyleAppendices">
    <w:name w:val="aac_lstStyle_Appendices"/>
    <w:uiPriority w:val="99"/>
    <w:rsid w:val="00C17404"/>
    <w:pPr>
      <w:numPr>
        <w:numId w:val="11"/>
      </w:numPr>
    </w:pPr>
  </w:style>
  <w:style w:type="paragraph" w:customStyle="1" w:styleId="CpReportDate">
    <w:name w:val="Cp Report Date"/>
    <w:basedOn w:val="Normalrgb"/>
    <w:qFormat/>
    <w:rsid w:val="00C17404"/>
    <w:pPr>
      <w:spacing w:before="90" w:line="260" w:lineRule="exact"/>
    </w:pPr>
    <w:rPr>
      <w:rFonts w:ascii="Yu Gothic Medium" w:eastAsia="Yu Gothic Medium" w:hAnsi="Yu Gothic Medium"/>
      <w:sz w:val="20"/>
    </w:rPr>
  </w:style>
  <w:style w:type="paragraph" w:customStyle="1" w:styleId="CpReportTo">
    <w:name w:val="Cp Report To"/>
    <w:basedOn w:val="Normalrgb"/>
    <w:qFormat/>
    <w:rsid w:val="00C17404"/>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C17404"/>
    <w:pPr>
      <w:spacing w:before="90" w:line="260" w:lineRule="exact"/>
    </w:pPr>
    <w:rPr>
      <w:rFonts w:ascii="Yu Gothic Medium" w:eastAsia="Yu Gothic Medium" w:hAnsi="Yu Gothic Medium"/>
      <w:sz w:val="20"/>
    </w:rPr>
  </w:style>
  <w:style w:type="paragraph" w:customStyle="1" w:styleId="Style1">
    <w:name w:val="Style1"/>
    <w:basedOn w:val="Normal-nospace"/>
    <w:qFormat/>
    <w:rsid w:val="00C17404"/>
    <w:pPr>
      <w:spacing w:after="400" w:line="216" w:lineRule="auto"/>
    </w:pPr>
    <w:rPr>
      <w:rFonts w:ascii="Yu Gothic Medium" w:hAnsi="Yu Gothic Medium"/>
      <w:b/>
      <w:color w:val="FF0000"/>
      <w:sz w:val="80"/>
    </w:rPr>
  </w:style>
  <w:style w:type="numbering" w:customStyle="1" w:styleId="lstStyleBullets">
    <w:name w:val="lstStyle_Bullets"/>
    <w:uiPriority w:val="99"/>
    <w:rsid w:val="00C17404"/>
  </w:style>
  <w:style w:type="numbering" w:customStyle="1" w:styleId="lstStyleListNumber">
    <w:name w:val="lstStyle_ListNumber"/>
    <w:uiPriority w:val="99"/>
    <w:rsid w:val="00C17404"/>
    <w:pPr>
      <w:numPr>
        <w:numId w:val="13"/>
      </w:numPr>
    </w:pPr>
  </w:style>
  <w:style w:type="numbering" w:customStyle="1" w:styleId="lstStyleHeadingNumbered">
    <w:name w:val="lstStyle_Heading_Numbered"/>
    <w:uiPriority w:val="99"/>
    <w:rsid w:val="00C17404"/>
    <w:pPr>
      <w:numPr>
        <w:numId w:val="14"/>
      </w:numPr>
    </w:pPr>
  </w:style>
  <w:style w:type="paragraph" w:customStyle="1" w:styleId="spacer">
    <w:name w:val="spacer"/>
    <w:basedOn w:val="Normal-nospace"/>
    <w:qFormat/>
    <w:rsid w:val="00C17404"/>
    <w:pPr>
      <w:spacing w:line="240" w:lineRule="auto"/>
    </w:pPr>
    <w:rPr>
      <w:sz w:val="4"/>
    </w:rPr>
  </w:style>
  <w:style w:type="paragraph" w:customStyle="1" w:styleId="spacertbl">
    <w:name w:val="spacer_tbl"/>
    <w:basedOn w:val="spacer"/>
    <w:qFormat/>
    <w:rsid w:val="00C17404"/>
  </w:style>
  <w:style w:type="paragraph" w:customStyle="1" w:styleId="tagchapterBanner">
    <w:name w:val="tag_chapterBanner"/>
    <w:basedOn w:val="spacer"/>
    <w:qFormat/>
    <w:rsid w:val="00C17404"/>
    <w:pPr>
      <w:keepNext/>
      <w:pageBreakBefore/>
    </w:pPr>
  </w:style>
  <w:style w:type="paragraph" w:customStyle="1" w:styleId="HeadingChapter">
    <w:name w:val="Heading (Chapter)"/>
    <w:basedOn w:val="Normal-nospace"/>
    <w:qFormat/>
    <w:rsid w:val="00C17404"/>
    <w:pPr>
      <w:spacing w:line="1960" w:lineRule="exact"/>
      <w:ind w:left="216" w:right="62"/>
      <w:jc w:val="right"/>
    </w:pPr>
    <w:rPr>
      <w:rFonts w:ascii="Yu Gothic Medium" w:hAnsi="Yu Gothic Medium"/>
      <w:color w:val="FFFEFF"/>
      <w:sz w:val="160"/>
    </w:rPr>
  </w:style>
  <w:style w:type="paragraph" w:customStyle="1" w:styleId="Heading1ES">
    <w:name w:val="Heading 1 (ES)"/>
    <w:basedOn w:val="Normal"/>
    <w:qFormat/>
    <w:rsid w:val="00C17404"/>
    <w:pPr>
      <w:numPr>
        <w:numId w:val="31"/>
      </w:numPr>
      <w:spacing w:before="0" w:after="200" w:line="192" w:lineRule="auto"/>
    </w:pPr>
    <w:rPr>
      <w:rFonts w:ascii="Yu Gothic Medium" w:hAnsi="Yu Gothic Medium"/>
      <w:color w:val="FFFEFF"/>
      <w:sz w:val="52"/>
    </w:rPr>
  </w:style>
  <w:style w:type="paragraph" w:customStyle="1" w:styleId="tagexecBanner">
    <w:name w:val="tag_execBanner"/>
    <w:basedOn w:val="spacer"/>
    <w:qFormat/>
    <w:rsid w:val="00C17404"/>
    <w:pPr>
      <w:keepNext/>
      <w:pageBreakBefore/>
    </w:pPr>
  </w:style>
  <w:style w:type="paragraph" w:customStyle="1" w:styleId="HeadingAppendix">
    <w:name w:val="Heading (Appendix)"/>
    <w:basedOn w:val="HeadingChapter"/>
    <w:qFormat/>
    <w:rsid w:val="00C17404"/>
  </w:style>
  <w:style w:type="paragraph" w:customStyle="1" w:styleId="tagappendixChapter">
    <w:name w:val="tag_appendixChapter"/>
    <w:basedOn w:val="spacer"/>
    <w:qFormat/>
    <w:rsid w:val="00C17404"/>
    <w:pPr>
      <w:keepNext/>
      <w:pageBreakBefore/>
    </w:pPr>
  </w:style>
  <w:style w:type="table" w:customStyle="1" w:styleId="aacTableBasic">
    <w:name w:val="aac Table (Basic)"/>
    <w:basedOn w:val="TableNormal"/>
    <w:next w:val="TableGrid"/>
    <w:uiPriority w:val="39"/>
    <w:rsid w:val="00C17404"/>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C17404"/>
    <w:rPr>
      <w:b/>
      <w:bCs/>
    </w:rPr>
  </w:style>
  <w:style w:type="paragraph" w:customStyle="1" w:styleId="tagcontactsPage-Front">
    <w:name w:val="tag_contactsPage-Front"/>
    <w:basedOn w:val="spacer"/>
    <w:qFormat/>
    <w:rsid w:val="00C17404"/>
    <w:pPr>
      <w:keepNext/>
      <w:pageBreakBefore/>
    </w:pPr>
  </w:style>
  <w:style w:type="paragraph" w:customStyle="1" w:styleId="tagcontactsPage-Back">
    <w:name w:val="tag_contactsPage-Back"/>
    <w:basedOn w:val="spacer"/>
    <w:qFormat/>
    <w:rsid w:val="00C17404"/>
  </w:style>
  <w:style w:type="paragraph" w:customStyle="1" w:styleId="tagpartBanner">
    <w:name w:val="tag_partBanner"/>
    <w:basedOn w:val="spacer"/>
    <w:qFormat/>
    <w:rsid w:val="00C17404"/>
    <w:pPr>
      <w:keepNext/>
      <w:pageBreakBefore/>
    </w:pPr>
  </w:style>
  <w:style w:type="paragraph" w:customStyle="1" w:styleId="tagappendixPart">
    <w:name w:val="tag_appendixPart"/>
    <w:basedOn w:val="spacer"/>
    <w:qFormat/>
    <w:rsid w:val="00C17404"/>
  </w:style>
  <w:style w:type="paragraph" w:customStyle="1" w:styleId="Tabletext">
    <w:name w:val="Table text"/>
    <w:basedOn w:val="Normal-nospace"/>
    <w:qFormat/>
    <w:rsid w:val="00C17404"/>
    <w:pPr>
      <w:spacing w:before="60" w:line="240" w:lineRule="atLeast"/>
      <w:ind w:right="119"/>
    </w:pPr>
    <w:rPr>
      <w:sz w:val="20"/>
    </w:rPr>
  </w:style>
  <w:style w:type="paragraph" w:customStyle="1" w:styleId="Tabletextsmall">
    <w:name w:val="Table text (small)"/>
    <w:basedOn w:val="Normal-nospace"/>
    <w:qFormat/>
    <w:rsid w:val="00C17404"/>
    <w:pPr>
      <w:spacing w:before="40" w:line="180" w:lineRule="exact"/>
      <w:ind w:right="119"/>
    </w:pPr>
    <w:rPr>
      <w:sz w:val="16"/>
    </w:rPr>
  </w:style>
  <w:style w:type="paragraph" w:customStyle="1" w:styleId="Tableunitsrow">
    <w:name w:val="Table units row"/>
    <w:basedOn w:val="Normal-nospace"/>
    <w:qFormat/>
    <w:rsid w:val="00C17404"/>
    <w:pPr>
      <w:spacing w:before="60" w:line="240" w:lineRule="atLeast"/>
      <w:ind w:right="119"/>
    </w:pPr>
    <w:rPr>
      <w:sz w:val="20"/>
    </w:rPr>
  </w:style>
  <w:style w:type="paragraph" w:customStyle="1" w:styleId="Tablecolumnheadings">
    <w:name w:val="Table column headings"/>
    <w:basedOn w:val="Tabletext"/>
    <w:qFormat/>
    <w:rsid w:val="00C17404"/>
    <w:pPr>
      <w:keepNext/>
      <w:spacing w:before="40" w:after="40"/>
    </w:pPr>
    <w:rPr>
      <w:b/>
      <w:color w:val="FFFFFF" w:themeColor="background1"/>
    </w:rPr>
  </w:style>
  <w:style w:type="paragraph" w:customStyle="1" w:styleId="Source">
    <w:name w:val="Source"/>
    <w:basedOn w:val="Normal-nospace"/>
    <w:link w:val="SourceChar"/>
    <w:qFormat/>
    <w:rsid w:val="00C17404"/>
    <w:pPr>
      <w:spacing w:before="52" w:line="240" w:lineRule="auto"/>
    </w:pPr>
    <w:rPr>
      <w:i/>
      <w:sz w:val="16"/>
    </w:rPr>
  </w:style>
  <w:style w:type="paragraph" w:customStyle="1" w:styleId="CpAboutAcilAllen">
    <w:name w:val="Cp About Acil Allen"/>
    <w:basedOn w:val="Normalrgb"/>
    <w:qFormat/>
    <w:rsid w:val="00C17404"/>
    <w:pPr>
      <w:spacing w:after="100" w:line="240" w:lineRule="auto"/>
    </w:pPr>
    <w:rPr>
      <w:sz w:val="24"/>
    </w:rPr>
  </w:style>
  <w:style w:type="paragraph" w:customStyle="1" w:styleId="CpDisclaimer">
    <w:name w:val="Cp Disclaimer"/>
    <w:basedOn w:val="Normal-nospace"/>
    <w:qFormat/>
    <w:rsid w:val="00C17404"/>
    <w:pPr>
      <w:spacing w:after="100" w:line="240" w:lineRule="auto"/>
      <w:ind w:right="323"/>
    </w:pPr>
    <w:rPr>
      <w:color w:val="FFFEFF"/>
      <w:sz w:val="14"/>
    </w:rPr>
  </w:style>
  <w:style w:type="paragraph" w:customStyle="1" w:styleId="CpDisclaimer9pt">
    <w:name w:val="Cp Disclaimer 9pt"/>
    <w:basedOn w:val="Normal-nospace"/>
    <w:qFormat/>
    <w:rsid w:val="00C17404"/>
    <w:pPr>
      <w:spacing w:after="100" w:line="240" w:lineRule="auto"/>
    </w:pPr>
    <w:rPr>
      <w:color w:val="FFFEFF"/>
      <w:sz w:val="18"/>
    </w:rPr>
  </w:style>
  <w:style w:type="paragraph" w:customStyle="1" w:styleId="Part-HeadingBanner">
    <w:name w:val="Part - Heading (Banner)"/>
    <w:basedOn w:val="Normal-nospace"/>
    <w:next w:val="Part-SubHeadBanner"/>
    <w:qFormat/>
    <w:rsid w:val="00C17404"/>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17404"/>
    <w:pPr>
      <w:spacing w:line="192" w:lineRule="auto"/>
    </w:pPr>
    <w:rPr>
      <w:rFonts w:ascii="Yu Gothic Medium" w:hAnsi="Yu Gothic Medium"/>
      <w:b/>
      <w:sz w:val="52"/>
    </w:rPr>
  </w:style>
  <w:style w:type="paragraph" w:customStyle="1" w:styleId="Partxx">
    <w:name w:val="Part xx"/>
    <w:basedOn w:val="spacer"/>
    <w:qFormat/>
    <w:rsid w:val="00C17404"/>
    <w:rPr>
      <w:color w:val="140134"/>
    </w:rPr>
  </w:style>
  <w:style w:type="paragraph" w:customStyle="1" w:styleId="Part-Number">
    <w:name w:val="Part - Number"/>
    <w:basedOn w:val="BodyText"/>
    <w:qFormat/>
    <w:rsid w:val="00C17404"/>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C17404"/>
  </w:style>
  <w:style w:type="paragraph" w:customStyle="1" w:styleId="App-DividerSubHeading">
    <w:name w:val="App - Divider (Sub Heading)"/>
    <w:basedOn w:val="Part-SubHeadBanner"/>
    <w:qFormat/>
    <w:rsid w:val="00C17404"/>
  </w:style>
  <w:style w:type="paragraph" w:customStyle="1" w:styleId="CpContactDetails">
    <w:name w:val="Cp Contact Details"/>
    <w:basedOn w:val="Normal"/>
    <w:qFormat/>
    <w:rsid w:val="00C17404"/>
    <w:pPr>
      <w:spacing w:before="0" w:after="0" w:line="250" w:lineRule="exact"/>
    </w:pPr>
    <w:rPr>
      <w:color w:val="FFFEFF"/>
    </w:rPr>
  </w:style>
  <w:style w:type="paragraph" w:customStyle="1" w:styleId="LetterHeading1">
    <w:name w:val="Letter Heading 1"/>
    <w:basedOn w:val="BodyText"/>
    <w:next w:val="BodyText"/>
    <w:qFormat/>
    <w:rsid w:val="00C17404"/>
    <w:rPr>
      <w:b/>
      <w:color w:val="000100"/>
    </w:rPr>
  </w:style>
  <w:style w:type="paragraph" w:customStyle="1" w:styleId="LetterDate">
    <w:name w:val="LetterDate"/>
    <w:basedOn w:val="Normal-nospace"/>
    <w:next w:val="LetterRef"/>
    <w:qFormat/>
    <w:rsid w:val="00C17404"/>
    <w:pPr>
      <w:spacing w:before="600" w:line="280" w:lineRule="exact"/>
    </w:pPr>
  </w:style>
  <w:style w:type="paragraph" w:customStyle="1" w:styleId="LetterRef">
    <w:name w:val="LetterRef"/>
    <w:basedOn w:val="Normal-nospace"/>
    <w:next w:val="LetterName"/>
    <w:qFormat/>
    <w:rsid w:val="00C17404"/>
    <w:pPr>
      <w:spacing w:before="40" w:after="600"/>
    </w:pPr>
  </w:style>
  <w:style w:type="paragraph" w:customStyle="1" w:styleId="LetterName">
    <w:name w:val="LetterName"/>
    <w:basedOn w:val="Normal-nospace"/>
    <w:next w:val="LetterTitle"/>
    <w:qFormat/>
    <w:rsid w:val="00C17404"/>
    <w:pPr>
      <w:spacing w:line="280" w:lineRule="exact"/>
    </w:pPr>
  </w:style>
  <w:style w:type="paragraph" w:customStyle="1" w:styleId="LetterTitle">
    <w:name w:val="LetterTitle"/>
    <w:basedOn w:val="Normal-nospace"/>
    <w:next w:val="LetterCompany"/>
    <w:qFormat/>
    <w:rsid w:val="00C17404"/>
    <w:pPr>
      <w:spacing w:line="280" w:lineRule="exact"/>
    </w:pPr>
  </w:style>
  <w:style w:type="paragraph" w:customStyle="1" w:styleId="LetterCompany">
    <w:name w:val="LetterCompany"/>
    <w:basedOn w:val="Normal-nospace"/>
    <w:next w:val="LetterAddress"/>
    <w:qFormat/>
    <w:rsid w:val="00C17404"/>
    <w:pPr>
      <w:spacing w:line="280" w:lineRule="exact"/>
    </w:pPr>
  </w:style>
  <w:style w:type="paragraph" w:customStyle="1" w:styleId="LetterAddress">
    <w:name w:val="LetterAddress"/>
    <w:basedOn w:val="Normal-nospace"/>
    <w:next w:val="LetterCityStatePostcode"/>
    <w:qFormat/>
    <w:rsid w:val="00C17404"/>
    <w:pPr>
      <w:spacing w:line="280" w:lineRule="exact"/>
    </w:pPr>
  </w:style>
  <w:style w:type="paragraph" w:customStyle="1" w:styleId="LetterCityStatePostcode">
    <w:name w:val="LetterCityStatePostcode"/>
    <w:basedOn w:val="Normal-nospace"/>
    <w:next w:val="LetterSubject"/>
    <w:qFormat/>
    <w:rsid w:val="00C17404"/>
    <w:pPr>
      <w:spacing w:line="280" w:lineRule="exact"/>
    </w:pPr>
  </w:style>
  <w:style w:type="paragraph" w:customStyle="1" w:styleId="LetterSubject">
    <w:name w:val="LetterSubject"/>
    <w:basedOn w:val="Normal-nospace"/>
    <w:next w:val="BodyText"/>
    <w:qFormat/>
    <w:rsid w:val="00C17404"/>
    <w:pPr>
      <w:spacing w:before="400" w:after="200" w:line="260" w:lineRule="exact"/>
    </w:pPr>
    <w:rPr>
      <w:b/>
      <w:sz w:val="24"/>
    </w:rPr>
  </w:style>
  <w:style w:type="paragraph" w:customStyle="1" w:styleId="SignatureBlock">
    <w:name w:val="Signature Block"/>
    <w:basedOn w:val="Normal-nospace"/>
    <w:qFormat/>
    <w:rsid w:val="00C17404"/>
    <w:pPr>
      <w:keepNext/>
      <w:keepLines/>
      <w:spacing w:line="240" w:lineRule="auto"/>
    </w:pPr>
  </w:style>
  <w:style w:type="paragraph" w:customStyle="1" w:styleId="StationeryConfidentiality">
    <w:name w:val="Stationery Confidentiality"/>
    <w:basedOn w:val="Normal-nospace"/>
    <w:qFormat/>
    <w:rsid w:val="00C17404"/>
    <w:pPr>
      <w:spacing w:before="120" w:after="120" w:line="280" w:lineRule="exact"/>
    </w:pPr>
    <w:rPr>
      <w:i/>
    </w:rPr>
  </w:style>
  <w:style w:type="paragraph" w:customStyle="1" w:styleId="StationeryContact">
    <w:name w:val="StationeryContact"/>
    <w:basedOn w:val="Normal-nospace"/>
    <w:qFormat/>
    <w:rsid w:val="00C17404"/>
    <w:pPr>
      <w:spacing w:line="240" w:lineRule="auto"/>
    </w:pPr>
  </w:style>
  <w:style w:type="paragraph" w:customStyle="1" w:styleId="StationeryType">
    <w:name w:val="StationeryType"/>
    <w:basedOn w:val="Normal-nospace"/>
    <w:qFormat/>
    <w:rsid w:val="00C17404"/>
    <w:pPr>
      <w:spacing w:before="90" w:after="84" w:line="240" w:lineRule="auto"/>
    </w:pPr>
    <w:rPr>
      <w:b/>
      <w:color w:val="FFFEFF"/>
      <w:sz w:val="24"/>
    </w:rPr>
  </w:style>
  <w:style w:type="paragraph" w:customStyle="1" w:styleId="StationeryLabel">
    <w:name w:val="StationeryLabel"/>
    <w:basedOn w:val="Normal-nospace"/>
    <w:qFormat/>
    <w:rsid w:val="00C17404"/>
    <w:pPr>
      <w:spacing w:line="240" w:lineRule="auto"/>
    </w:pPr>
    <w:rPr>
      <w:b/>
      <w:spacing w:val="8"/>
    </w:rPr>
  </w:style>
  <w:style w:type="paragraph" w:customStyle="1" w:styleId="StationeryRefMemo">
    <w:name w:val="StationeryRef_Memo"/>
    <w:basedOn w:val="StationeryContact"/>
    <w:qFormat/>
    <w:rsid w:val="00C17404"/>
  </w:style>
  <w:style w:type="paragraph" w:customStyle="1" w:styleId="FooterLetter">
    <w:name w:val="Footer (Letter)"/>
    <w:basedOn w:val="Normal"/>
    <w:qFormat/>
    <w:rsid w:val="00C17404"/>
    <w:pPr>
      <w:spacing w:before="26" w:after="0" w:line="240" w:lineRule="auto"/>
    </w:pPr>
    <w:rPr>
      <w:rFonts w:cstheme="minorBidi"/>
      <w:color w:val="000100"/>
      <w:sz w:val="16"/>
    </w:rPr>
  </w:style>
  <w:style w:type="paragraph" w:customStyle="1" w:styleId="FooterLetter-Contact">
    <w:name w:val="Footer (Letter-Contact)"/>
    <w:basedOn w:val="FooterLetter"/>
    <w:qFormat/>
    <w:rsid w:val="00C17404"/>
    <w:pPr>
      <w:spacing w:before="20" w:after="20"/>
      <w:jc w:val="right"/>
    </w:pPr>
    <w:rPr>
      <w:color w:val="6C3E99"/>
    </w:rPr>
  </w:style>
  <w:style w:type="paragraph" w:customStyle="1" w:styleId="FooterText0">
    <w:name w:val="Footer (Text)"/>
    <w:basedOn w:val="Footer"/>
    <w:qFormat/>
    <w:rsid w:val="00C17404"/>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C17404"/>
    <w:pPr>
      <w:spacing w:before="0" w:after="0" w:line="240" w:lineRule="auto"/>
    </w:pPr>
    <w:rPr>
      <w:rFonts w:cstheme="minorBidi"/>
      <w:vanish/>
      <w:color w:val="000100"/>
      <w:sz w:val="8"/>
    </w:rPr>
  </w:style>
  <w:style w:type="numbering" w:customStyle="1" w:styleId="TOCList">
    <w:name w:val="TOC List"/>
    <w:uiPriority w:val="99"/>
    <w:rsid w:val="00C17404"/>
    <w:pPr>
      <w:numPr>
        <w:numId w:val="15"/>
      </w:numPr>
    </w:pPr>
  </w:style>
  <w:style w:type="paragraph" w:customStyle="1" w:styleId="FooterLetter-Logo">
    <w:name w:val="Footer (Letter-Logo)"/>
    <w:basedOn w:val="FooterLetter-Contact"/>
    <w:qFormat/>
    <w:rsid w:val="00C17404"/>
    <w:rPr>
      <w:lang w:val="en-US"/>
    </w:rPr>
  </w:style>
  <w:style w:type="paragraph" w:customStyle="1" w:styleId="Headingglossary">
    <w:name w:val="Heading (glossary)"/>
    <w:basedOn w:val="Normal-nospace"/>
    <w:qFormat/>
    <w:rsid w:val="00C17404"/>
    <w:pPr>
      <w:spacing w:after="200" w:line="192" w:lineRule="auto"/>
      <w:ind w:left="250"/>
    </w:pPr>
    <w:rPr>
      <w:rFonts w:ascii="Yu Gothic Medium" w:hAnsi="Yu Gothic Medium"/>
      <w:color w:val="FFFEFF"/>
      <w:sz w:val="52"/>
    </w:rPr>
  </w:style>
  <w:style w:type="character" w:customStyle="1" w:styleId="CaptionLabel">
    <w:name w:val="Caption Label"/>
    <w:basedOn w:val="DefaultParagraphFont"/>
    <w:uiPriority w:val="1"/>
    <w:qFormat/>
    <w:rsid w:val="00C17404"/>
    <w:rPr>
      <w:b/>
      <w:color w:val="000100"/>
    </w:rPr>
  </w:style>
  <w:style w:type="paragraph" w:customStyle="1" w:styleId="BoxListBullet">
    <w:name w:val="Box List Bullet"/>
    <w:basedOn w:val="Normal"/>
    <w:qFormat/>
    <w:rsid w:val="00C17404"/>
    <w:pPr>
      <w:keepNext/>
      <w:numPr>
        <w:numId w:val="36"/>
      </w:numPr>
      <w:spacing w:before="60" w:after="60" w:line="240" w:lineRule="atLeast"/>
    </w:pPr>
    <w:rPr>
      <w:rFonts w:cstheme="minorBidi"/>
      <w:color w:val="000100"/>
      <w:sz w:val="20"/>
    </w:rPr>
  </w:style>
  <w:style w:type="paragraph" w:customStyle="1" w:styleId="BoxListBullet2">
    <w:name w:val="Box List Bullet 2"/>
    <w:basedOn w:val="Normal"/>
    <w:qFormat/>
    <w:rsid w:val="00C17404"/>
    <w:pPr>
      <w:keepNext/>
      <w:numPr>
        <w:ilvl w:val="1"/>
        <w:numId w:val="36"/>
      </w:numPr>
      <w:spacing w:before="0" w:after="60" w:line="240" w:lineRule="atLeast"/>
    </w:pPr>
    <w:rPr>
      <w:rFonts w:cstheme="minorBidi"/>
      <w:color w:val="000100"/>
      <w:sz w:val="20"/>
    </w:rPr>
  </w:style>
  <w:style w:type="paragraph" w:customStyle="1" w:styleId="BoxListBullet3">
    <w:name w:val="Box List Bullet 3"/>
    <w:basedOn w:val="Normal"/>
    <w:qFormat/>
    <w:rsid w:val="00C17404"/>
    <w:pPr>
      <w:keepNext/>
      <w:numPr>
        <w:ilvl w:val="2"/>
        <w:numId w:val="36"/>
      </w:numPr>
      <w:spacing w:before="0" w:after="60" w:line="240" w:lineRule="atLeast"/>
    </w:pPr>
    <w:rPr>
      <w:rFonts w:cstheme="minorBidi"/>
      <w:color w:val="000100"/>
      <w:sz w:val="20"/>
    </w:rPr>
  </w:style>
  <w:style w:type="numbering" w:customStyle="1" w:styleId="aaclstStyleBoxListBullets">
    <w:name w:val="aac_lstStyle_BoxListBullets"/>
    <w:uiPriority w:val="99"/>
    <w:rsid w:val="00C17404"/>
    <w:pPr>
      <w:numPr>
        <w:numId w:val="17"/>
      </w:numPr>
    </w:pPr>
  </w:style>
  <w:style w:type="paragraph" w:customStyle="1" w:styleId="BoxListNumber">
    <w:name w:val="Box List Number"/>
    <w:basedOn w:val="Normal"/>
    <w:qFormat/>
    <w:rsid w:val="00C17404"/>
    <w:pPr>
      <w:keepNext/>
      <w:numPr>
        <w:numId w:val="25"/>
      </w:numPr>
      <w:spacing w:before="60" w:after="60" w:line="240" w:lineRule="atLeast"/>
    </w:pPr>
    <w:rPr>
      <w:rFonts w:cstheme="minorBidi"/>
      <w:color w:val="000100"/>
      <w:sz w:val="20"/>
    </w:rPr>
  </w:style>
  <w:style w:type="paragraph" w:customStyle="1" w:styleId="BoxText">
    <w:name w:val="Box Text"/>
    <w:basedOn w:val="Normal"/>
    <w:qFormat/>
    <w:rsid w:val="00C17404"/>
    <w:pPr>
      <w:keepNext/>
      <w:spacing w:before="60" w:after="60" w:line="240" w:lineRule="atLeast"/>
      <w:ind w:left="252"/>
    </w:pPr>
    <w:rPr>
      <w:rFonts w:cstheme="minorBidi"/>
      <w:color w:val="000100"/>
      <w:sz w:val="20"/>
    </w:rPr>
  </w:style>
  <w:style w:type="paragraph" w:customStyle="1" w:styleId="BoxListNumber2">
    <w:name w:val="Box List Number 2"/>
    <w:basedOn w:val="BoxText"/>
    <w:qFormat/>
    <w:rsid w:val="00C17404"/>
    <w:pPr>
      <w:numPr>
        <w:ilvl w:val="1"/>
        <w:numId w:val="25"/>
      </w:numPr>
      <w:spacing w:before="0"/>
    </w:pPr>
  </w:style>
  <w:style w:type="paragraph" w:customStyle="1" w:styleId="BoxListNumber3">
    <w:name w:val="Box List Number 3"/>
    <w:basedOn w:val="BoxText"/>
    <w:qFormat/>
    <w:rsid w:val="00C17404"/>
    <w:pPr>
      <w:numPr>
        <w:ilvl w:val="2"/>
        <w:numId w:val="25"/>
      </w:numPr>
      <w:spacing w:before="0"/>
    </w:pPr>
  </w:style>
  <w:style w:type="paragraph" w:customStyle="1" w:styleId="BoxQuote">
    <w:name w:val="Box Quote"/>
    <w:basedOn w:val="BoxText"/>
    <w:qFormat/>
    <w:rsid w:val="00C17404"/>
    <w:pPr>
      <w:numPr>
        <w:ilvl w:val="3"/>
        <w:numId w:val="36"/>
      </w:numPr>
    </w:pPr>
    <w:rPr>
      <w:i/>
      <w:color w:val="595959" w:themeColor="text1" w:themeTint="A6"/>
      <w:sz w:val="18"/>
    </w:rPr>
  </w:style>
  <w:style w:type="paragraph" w:customStyle="1" w:styleId="BoxQuoteListBullet">
    <w:name w:val="Box Quote List Bullet"/>
    <w:basedOn w:val="Normal-nospace"/>
    <w:qFormat/>
    <w:rsid w:val="00C17404"/>
    <w:pPr>
      <w:numPr>
        <w:ilvl w:val="4"/>
        <w:numId w:val="36"/>
      </w:numPr>
      <w:spacing w:before="60" w:after="60" w:line="240" w:lineRule="atLeast"/>
      <w:ind w:right="400"/>
    </w:pPr>
    <w:rPr>
      <w:rFonts w:cstheme="minorBidi"/>
      <w:i/>
      <w:color w:val="404040" w:themeColor="text1" w:themeTint="BF"/>
      <w:sz w:val="18"/>
    </w:rPr>
  </w:style>
  <w:style w:type="paragraph" w:customStyle="1" w:styleId="BoxQuoteSource">
    <w:name w:val="Box Quote Source"/>
    <w:basedOn w:val="Normal-nospace"/>
    <w:qFormat/>
    <w:rsid w:val="00C17404"/>
    <w:pPr>
      <w:spacing w:before="90" w:line="240" w:lineRule="auto"/>
      <w:ind w:right="400"/>
      <w:jc w:val="right"/>
    </w:pPr>
    <w:rPr>
      <w:rFonts w:cstheme="minorBidi"/>
      <w:i/>
      <w:color w:val="595959" w:themeColor="text1" w:themeTint="A6"/>
      <w:sz w:val="18"/>
    </w:rPr>
  </w:style>
  <w:style w:type="paragraph" w:customStyle="1" w:styleId="BoxSideHeading1">
    <w:name w:val="Box Side Heading 1"/>
    <w:basedOn w:val="BoxText"/>
    <w:next w:val="BoxText"/>
    <w:qFormat/>
    <w:rsid w:val="00C17404"/>
    <w:pPr>
      <w:spacing w:before="0"/>
    </w:pPr>
    <w:rPr>
      <w:b/>
      <w:i/>
    </w:rPr>
  </w:style>
  <w:style w:type="paragraph" w:customStyle="1" w:styleId="BoxSideHeading2">
    <w:name w:val="Box Side Heading 2"/>
    <w:basedOn w:val="BoxText"/>
    <w:next w:val="BoxText"/>
    <w:qFormat/>
    <w:rsid w:val="00C17404"/>
    <w:pPr>
      <w:spacing w:before="0"/>
    </w:pPr>
    <w:rPr>
      <w:i/>
    </w:rPr>
  </w:style>
  <w:style w:type="paragraph" w:customStyle="1" w:styleId="BoxTextBoldItalic">
    <w:name w:val="Box Text (Bold Italic)"/>
    <w:basedOn w:val="Normal"/>
    <w:qFormat/>
    <w:rsid w:val="00C17404"/>
    <w:pPr>
      <w:spacing w:after="61" w:line="240" w:lineRule="atLeast"/>
      <w:ind w:left="252"/>
    </w:pPr>
    <w:rPr>
      <w:rFonts w:cstheme="minorBidi"/>
      <w:b/>
      <w:i/>
      <w:color w:val="000100"/>
      <w:sz w:val="20"/>
    </w:rPr>
  </w:style>
  <w:style w:type="paragraph" w:customStyle="1" w:styleId="BoxTextHeading">
    <w:name w:val="Box Text Heading"/>
    <w:basedOn w:val="Normal"/>
    <w:qFormat/>
    <w:rsid w:val="00C17404"/>
    <w:pPr>
      <w:keepNext/>
      <w:spacing w:after="61" w:line="240" w:lineRule="atLeast"/>
      <w:ind w:left="442"/>
    </w:pPr>
    <w:rPr>
      <w:rFonts w:cstheme="minorBidi"/>
      <w:b/>
      <w:color w:val="000100"/>
      <w:sz w:val="20"/>
    </w:rPr>
  </w:style>
  <w:style w:type="paragraph" w:customStyle="1" w:styleId="Figure">
    <w:name w:val="Figure"/>
    <w:basedOn w:val="Normal-nospace"/>
    <w:qFormat/>
    <w:rsid w:val="00C17404"/>
    <w:pPr>
      <w:keepNext/>
      <w:spacing w:line="240" w:lineRule="auto"/>
    </w:pPr>
    <w:rPr>
      <w:sz w:val="16"/>
    </w:rPr>
  </w:style>
  <w:style w:type="numbering" w:customStyle="1" w:styleId="aacTableListBullets">
    <w:name w:val="aac Table List Bullets"/>
    <w:uiPriority w:val="99"/>
    <w:rsid w:val="00C17404"/>
    <w:pPr>
      <w:numPr>
        <w:numId w:val="18"/>
      </w:numPr>
    </w:pPr>
  </w:style>
  <w:style w:type="numbering" w:customStyle="1" w:styleId="aacTableListBulletssmall">
    <w:name w:val="aac Table List Bullets (small)"/>
    <w:uiPriority w:val="99"/>
    <w:rsid w:val="00C17404"/>
    <w:pPr>
      <w:numPr>
        <w:numId w:val="19"/>
      </w:numPr>
    </w:pPr>
  </w:style>
  <w:style w:type="numbering" w:customStyle="1" w:styleId="aacTableListNumbers">
    <w:name w:val="aac Table List Numbers"/>
    <w:uiPriority w:val="99"/>
    <w:rsid w:val="00C17404"/>
    <w:pPr>
      <w:numPr>
        <w:numId w:val="20"/>
      </w:numPr>
    </w:pPr>
  </w:style>
  <w:style w:type="numbering" w:customStyle="1" w:styleId="aacTableListNumberssmall">
    <w:name w:val="aac Table List Numbers (small)"/>
    <w:uiPriority w:val="99"/>
    <w:rsid w:val="00C17404"/>
    <w:pPr>
      <w:numPr>
        <w:numId w:val="21"/>
      </w:numPr>
    </w:pPr>
  </w:style>
  <w:style w:type="paragraph" w:customStyle="1" w:styleId="Tablelistbullet">
    <w:name w:val="Table list bullet"/>
    <w:basedOn w:val="Tabletext"/>
    <w:qFormat/>
    <w:rsid w:val="00C17404"/>
    <w:pPr>
      <w:numPr>
        <w:numId w:val="22"/>
      </w:numPr>
      <w:spacing w:before="40" w:after="40"/>
    </w:pPr>
    <w:rPr>
      <w:rFonts w:cstheme="minorBidi"/>
    </w:rPr>
  </w:style>
  <w:style w:type="paragraph" w:customStyle="1" w:styleId="Tablelistbulletsmall">
    <w:name w:val="Table list bullet (small)"/>
    <w:basedOn w:val="Tabletextsmall"/>
    <w:qFormat/>
    <w:rsid w:val="00C17404"/>
    <w:pPr>
      <w:numPr>
        <w:numId w:val="23"/>
      </w:numPr>
      <w:spacing w:after="40"/>
      <w:ind w:right="85"/>
    </w:pPr>
    <w:rPr>
      <w:rFonts w:cstheme="minorBidi"/>
    </w:rPr>
  </w:style>
  <w:style w:type="paragraph" w:customStyle="1" w:styleId="Tablelistbullet2">
    <w:name w:val="Table list bullet 2"/>
    <w:basedOn w:val="Tablelistbullet"/>
    <w:qFormat/>
    <w:rsid w:val="00C17404"/>
    <w:pPr>
      <w:numPr>
        <w:ilvl w:val="1"/>
      </w:numPr>
      <w:spacing w:before="0"/>
      <w:ind w:left="516" w:hanging="238"/>
    </w:pPr>
  </w:style>
  <w:style w:type="paragraph" w:customStyle="1" w:styleId="Tablelistbullet2small">
    <w:name w:val="Table list bullet 2 (small)"/>
    <w:basedOn w:val="Tabletextsmall"/>
    <w:qFormat/>
    <w:rsid w:val="00C17404"/>
    <w:pPr>
      <w:numPr>
        <w:ilvl w:val="1"/>
        <w:numId w:val="23"/>
      </w:numPr>
      <w:spacing w:before="0" w:after="40"/>
      <w:ind w:right="85"/>
    </w:pPr>
    <w:rPr>
      <w:rFonts w:cstheme="minorBidi"/>
    </w:rPr>
  </w:style>
  <w:style w:type="paragraph" w:customStyle="1" w:styleId="Tablelistbullet3">
    <w:name w:val="Table list bullet 3"/>
    <w:basedOn w:val="Tabletext"/>
    <w:qFormat/>
    <w:rsid w:val="00C17404"/>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C17404"/>
    <w:pPr>
      <w:numPr>
        <w:ilvl w:val="2"/>
        <w:numId w:val="23"/>
      </w:numPr>
      <w:spacing w:before="0" w:after="40"/>
      <w:ind w:right="85"/>
    </w:pPr>
    <w:rPr>
      <w:rFonts w:cstheme="minorBidi"/>
    </w:rPr>
  </w:style>
  <w:style w:type="paragraph" w:customStyle="1" w:styleId="Tablelistnumber">
    <w:name w:val="Table list number"/>
    <w:basedOn w:val="Tabletext"/>
    <w:qFormat/>
    <w:rsid w:val="00C17404"/>
    <w:pPr>
      <w:numPr>
        <w:numId w:val="20"/>
      </w:numPr>
      <w:spacing w:before="40" w:after="40"/>
    </w:pPr>
    <w:rPr>
      <w:rFonts w:cstheme="minorBidi"/>
    </w:rPr>
  </w:style>
  <w:style w:type="paragraph" w:customStyle="1" w:styleId="Tablelistnumbersmall">
    <w:name w:val="Table list number (small)"/>
    <w:basedOn w:val="Tabletextsmall"/>
    <w:qFormat/>
    <w:rsid w:val="00C17404"/>
    <w:pPr>
      <w:numPr>
        <w:numId w:val="21"/>
      </w:numPr>
      <w:spacing w:after="40"/>
      <w:ind w:right="85"/>
    </w:pPr>
    <w:rPr>
      <w:rFonts w:cstheme="minorBidi"/>
    </w:rPr>
  </w:style>
  <w:style w:type="paragraph" w:customStyle="1" w:styleId="Tablelistnumber2">
    <w:name w:val="Table list number 2"/>
    <w:basedOn w:val="Tabletext"/>
    <w:qFormat/>
    <w:rsid w:val="00C17404"/>
    <w:pPr>
      <w:numPr>
        <w:ilvl w:val="1"/>
        <w:numId w:val="20"/>
      </w:numPr>
      <w:spacing w:before="0" w:after="40"/>
    </w:pPr>
    <w:rPr>
      <w:rFonts w:cstheme="minorBidi"/>
    </w:rPr>
  </w:style>
  <w:style w:type="paragraph" w:customStyle="1" w:styleId="Tablelistnumber2small">
    <w:name w:val="Table list number 2 (small)"/>
    <w:basedOn w:val="Tabletextsmall"/>
    <w:qFormat/>
    <w:rsid w:val="00C17404"/>
    <w:pPr>
      <w:numPr>
        <w:ilvl w:val="1"/>
        <w:numId w:val="21"/>
      </w:numPr>
      <w:spacing w:before="0" w:after="40"/>
      <w:ind w:right="85"/>
    </w:pPr>
    <w:rPr>
      <w:rFonts w:cstheme="minorBidi"/>
    </w:rPr>
  </w:style>
  <w:style w:type="paragraph" w:customStyle="1" w:styleId="Tablelistnumber3">
    <w:name w:val="Table list number 3"/>
    <w:basedOn w:val="Tabletext"/>
    <w:qFormat/>
    <w:rsid w:val="00C17404"/>
    <w:pPr>
      <w:numPr>
        <w:ilvl w:val="2"/>
        <w:numId w:val="20"/>
      </w:numPr>
      <w:spacing w:before="0" w:after="40"/>
    </w:pPr>
    <w:rPr>
      <w:rFonts w:cstheme="minorBidi"/>
    </w:rPr>
  </w:style>
  <w:style w:type="paragraph" w:customStyle="1" w:styleId="Tablelistnumber3small">
    <w:name w:val="Table list number 3 (small)"/>
    <w:basedOn w:val="Tabletextsmall"/>
    <w:qFormat/>
    <w:rsid w:val="00C17404"/>
    <w:pPr>
      <w:numPr>
        <w:ilvl w:val="2"/>
        <w:numId w:val="21"/>
      </w:numPr>
      <w:spacing w:before="0" w:after="40"/>
      <w:ind w:right="85"/>
    </w:pPr>
    <w:rPr>
      <w:rFonts w:cstheme="minorBidi"/>
    </w:rPr>
  </w:style>
  <w:style w:type="numbering" w:customStyle="1" w:styleId="aaclstStyleBoxListNumbers">
    <w:name w:val="aac_lstStyle_BoxListNumbers"/>
    <w:uiPriority w:val="99"/>
    <w:rsid w:val="00C17404"/>
    <w:pPr>
      <w:numPr>
        <w:numId w:val="24"/>
      </w:numPr>
    </w:pPr>
  </w:style>
  <w:style w:type="paragraph" w:customStyle="1" w:styleId="Tablesideheading1">
    <w:name w:val="Table side heading 1"/>
    <w:basedOn w:val="Tabletext"/>
    <w:next w:val="Tabletext"/>
    <w:qFormat/>
    <w:rsid w:val="00C17404"/>
    <w:rPr>
      <w:rFonts w:cstheme="minorBidi"/>
      <w:b/>
      <w:spacing w:val="3"/>
    </w:rPr>
  </w:style>
  <w:style w:type="paragraph" w:customStyle="1" w:styleId="Tablesideheading1small">
    <w:name w:val="Table side heading 1 (small)"/>
    <w:basedOn w:val="Tablesideheading1"/>
    <w:qFormat/>
    <w:rsid w:val="00C17404"/>
    <w:pPr>
      <w:spacing w:before="40" w:line="180" w:lineRule="exact"/>
    </w:pPr>
    <w:rPr>
      <w:sz w:val="16"/>
    </w:rPr>
  </w:style>
  <w:style w:type="paragraph" w:customStyle="1" w:styleId="Tablesideheading2">
    <w:name w:val="Table side heading 2"/>
    <w:basedOn w:val="Tabletext"/>
    <w:qFormat/>
    <w:rsid w:val="00C17404"/>
    <w:rPr>
      <w:rFonts w:cstheme="minorBidi"/>
      <w:b/>
      <w:i/>
    </w:rPr>
  </w:style>
  <w:style w:type="paragraph" w:customStyle="1" w:styleId="Tablesideheading2small">
    <w:name w:val="Table side heading 2 (small)"/>
    <w:basedOn w:val="Tablesideheading2"/>
    <w:qFormat/>
    <w:rsid w:val="00C17404"/>
    <w:pPr>
      <w:spacing w:line="180" w:lineRule="exact"/>
    </w:pPr>
    <w:rPr>
      <w:sz w:val="16"/>
    </w:rPr>
  </w:style>
  <w:style w:type="paragraph" w:customStyle="1" w:styleId="Note">
    <w:name w:val="Note"/>
    <w:rsid w:val="00C17404"/>
    <w:pPr>
      <w:keepNext/>
      <w:keepLines/>
      <w:spacing w:before="40" w:after="0" w:line="180" w:lineRule="exact"/>
    </w:pPr>
    <w:rPr>
      <w:rFonts w:ascii="Arial Narrow" w:eastAsia="Times New Roman" w:hAnsi="Arial Narrow" w:cs="Times New Roman"/>
      <w:sz w:val="16"/>
      <w:szCs w:val="24"/>
    </w:rPr>
  </w:style>
  <w:style w:type="paragraph" w:customStyle="1" w:styleId="SideNoteItalicRight">
    <w:name w:val="SideNote (Italic Right)"/>
    <w:basedOn w:val="Normal-nospace"/>
    <w:qFormat/>
    <w:rsid w:val="00C17404"/>
    <w:pPr>
      <w:spacing w:before="64" w:line="240" w:lineRule="atLeast"/>
      <w:contextualSpacing/>
      <w:jc w:val="right"/>
    </w:pPr>
    <w:rPr>
      <w:rFonts w:cstheme="minorBidi"/>
      <w:b/>
      <w:i/>
      <w:color w:val="140134"/>
      <w:sz w:val="28"/>
    </w:rPr>
  </w:style>
  <w:style w:type="paragraph" w:customStyle="1" w:styleId="SideNoteItalicLeft">
    <w:name w:val="SideNote (Italic Left)"/>
    <w:basedOn w:val="SideNoteItalicRight"/>
    <w:qFormat/>
    <w:rsid w:val="00C17404"/>
    <w:pPr>
      <w:jc w:val="left"/>
    </w:pPr>
  </w:style>
  <w:style w:type="paragraph" w:customStyle="1" w:styleId="SideNoteRegularLeft">
    <w:name w:val="SideNote (Regular Left)"/>
    <w:basedOn w:val="Normal-nospace"/>
    <w:qFormat/>
    <w:rsid w:val="00C17404"/>
    <w:pPr>
      <w:spacing w:before="64" w:line="240" w:lineRule="atLeast"/>
      <w:contextualSpacing/>
    </w:pPr>
    <w:rPr>
      <w:b/>
      <w:color w:val="140034" w:themeColor="background2"/>
      <w:sz w:val="28"/>
    </w:rPr>
  </w:style>
  <w:style w:type="paragraph" w:customStyle="1" w:styleId="SideNoteRegularRight">
    <w:name w:val="SideNote (Regular Right)"/>
    <w:basedOn w:val="SideNoteRegularLeft"/>
    <w:qFormat/>
    <w:rsid w:val="00C17404"/>
    <w:pPr>
      <w:jc w:val="right"/>
    </w:pPr>
  </w:style>
  <w:style w:type="paragraph" w:customStyle="1" w:styleId="SideNoteBullet">
    <w:name w:val="SideNote Bullet"/>
    <w:basedOn w:val="SideNoteRegularLeft"/>
    <w:rsid w:val="00C17404"/>
    <w:pPr>
      <w:numPr>
        <w:ilvl w:val="1"/>
        <w:numId w:val="26"/>
      </w:numPr>
      <w:spacing w:before="0" w:after="64"/>
    </w:pPr>
  </w:style>
  <w:style w:type="paragraph" w:customStyle="1" w:styleId="SideNoteDash">
    <w:name w:val="SideNote Dash"/>
    <w:basedOn w:val="SideNoteRegularLeft"/>
    <w:qFormat/>
    <w:rsid w:val="00C17404"/>
    <w:pPr>
      <w:numPr>
        <w:numId w:val="26"/>
      </w:numPr>
    </w:pPr>
  </w:style>
  <w:style w:type="paragraph" w:customStyle="1" w:styleId="PullOutTitle">
    <w:name w:val="PullOut Title"/>
    <w:basedOn w:val="Normal-nospace"/>
    <w:qFormat/>
    <w:rsid w:val="00C17404"/>
    <w:pPr>
      <w:spacing w:before="90"/>
    </w:pPr>
    <w:rPr>
      <w:rFonts w:cstheme="minorBidi"/>
      <w:b/>
    </w:rPr>
  </w:style>
  <w:style w:type="character" w:customStyle="1" w:styleId="SourceChar">
    <w:name w:val="Source Char"/>
    <w:basedOn w:val="DefaultParagraphFont"/>
    <w:link w:val="Source"/>
    <w:locked/>
    <w:rsid w:val="00C17404"/>
    <w:rPr>
      <w:rFonts w:ascii="Arial Narrow" w:hAnsi="Arial Narrow" w:cs="Arial"/>
      <w:i/>
      <w:color w:val="000100"/>
      <w:sz w:val="16"/>
    </w:rPr>
  </w:style>
  <w:style w:type="table" w:customStyle="1" w:styleId="aacTableBanded-Odd">
    <w:name w:val="aac Table (Banded-Odd)"/>
    <w:basedOn w:val="TableNormal"/>
    <w:uiPriority w:val="99"/>
    <w:rsid w:val="00C17404"/>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C17404"/>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C17404"/>
    <w:pPr>
      <w:numPr>
        <w:numId w:val="27"/>
      </w:numPr>
    </w:pPr>
  </w:style>
  <w:style w:type="paragraph" w:customStyle="1" w:styleId="Heading1AP">
    <w:name w:val="Heading 1 (AP)"/>
    <w:basedOn w:val="Normal-nospace"/>
    <w:next w:val="BodyText"/>
    <w:qFormat/>
    <w:rsid w:val="00C17404"/>
    <w:pPr>
      <w:numPr>
        <w:numId w:val="29"/>
      </w:numPr>
      <w:spacing w:after="200" w:line="192" w:lineRule="auto"/>
    </w:pPr>
    <w:rPr>
      <w:rFonts w:ascii="Yu Gothic Medium" w:hAnsi="Yu Gothic Medium"/>
      <w:color w:val="FFFEFF"/>
      <w:sz w:val="52"/>
    </w:rPr>
  </w:style>
  <w:style w:type="paragraph" w:customStyle="1" w:styleId="Heading2AP">
    <w:name w:val="Heading 2 (AP)"/>
    <w:basedOn w:val="Normal-nospace"/>
    <w:next w:val="BodyText"/>
    <w:qFormat/>
    <w:rsid w:val="00C17404"/>
    <w:pPr>
      <w:keepNext/>
      <w:numPr>
        <w:ilvl w:val="1"/>
        <w:numId w:val="29"/>
      </w:numPr>
      <w:pBdr>
        <w:bottom w:val="single" w:sz="4" w:space="0" w:color="6C3E99"/>
      </w:pBdr>
      <w:spacing w:before="240" w:after="216"/>
    </w:pPr>
    <w:rPr>
      <w:b/>
      <w:color w:val="6C3E99"/>
      <w:sz w:val="28"/>
    </w:rPr>
  </w:style>
  <w:style w:type="paragraph" w:customStyle="1" w:styleId="Heading3AP">
    <w:name w:val="Heading 3 (AP)"/>
    <w:basedOn w:val="Normal-nospace"/>
    <w:next w:val="BodyText"/>
    <w:qFormat/>
    <w:rsid w:val="00C17404"/>
    <w:pPr>
      <w:keepNext/>
      <w:numPr>
        <w:ilvl w:val="2"/>
        <w:numId w:val="29"/>
      </w:numPr>
      <w:pBdr>
        <w:bottom w:val="single" w:sz="4" w:space="0" w:color="000100"/>
      </w:pBdr>
      <w:spacing w:before="240" w:after="160" w:line="240" w:lineRule="atLeast"/>
    </w:pPr>
    <w:rPr>
      <w:b/>
    </w:rPr>
  </w:style>
  <w:style w:type="paragraph" w:customStyle="1" w:styleId="Heading4AP">
    <w:name w:val="Heading 4 (AP)"/>
    <w:basedOn w:val="Normal-nospace"/>
    <w:next w:val="BodyText"/>
    <w:qFormat/>
    <w:rsid w:val="00C17404"/>
    <w:pPr>
      <w:keepNext/>
      <w:numPr>
        <w:ilvl w:val="3"/>
        <w:numId w:val="29"/>
      </w:numPr>
      <w:spacing w:before="240" w:after="160" w:line="240" w:lineRule="atLeast"/>
    </w:pPr>
    <w:rPr>
      <w:b/>
    </w:rPr>
  </w:style>
  <w:style w:type="paragraph" w:customStyle="1" w:styleId="Heading5AP">
    <w:name w:val="Heading 5 (AP)"/>
    <w:basedOn w:val="Normal-nospace"/>
    <w:next w:val="BodyText"/>
    <w:qFormat/>
    <w:rsid w:val="00C17404"/>
    <w:pPr>
      <w:keepNext/>
      <w:numPr>
        <w:ilvl w:val="4"/>
        <w:numId w:val="29"/>
      </w:numPr>
      <w:spacing w:before="240" w:after="160" w:line="240" w:lineRule="atLeast"/>
    </w:pPr>
    <w:rPr>
      <w:b/>
      <w:i/>
    </w:rPr>
  </w:style>
  <w:style w:type="paragraph" w:customStyle="1" w:styleId="Heading6AP">
    <w:name w:val="Heading 6 (AP)"/>
    <w:basedOn w:val="Normal-nospace"/>
    <w:next w:val="BodyText"/>
    <w:qFormat/>
    <w:rsid w:val="00C17404"/>
    <w:pPr>
      <w:keepNext/>
      <w:numPr>
        <w:ilvl w:val="5"/>
        <w:numId w:val="29"/>
      </w:numPr>
      <w:spacing w:before="240" w:after="160" w:line="240" w:lineRule="atLeast"/>
    </w:pPr>
    <w:rPr>
      <w:b/>
      <w:i/>
      <w:color w:val="959495"/>
    </w:rPr>
  </w:style>
  <w:style w:type="numbering" w:customStyle="1" w:styleId="aaclstStyleHeadingApp">
    <w:name w:val="aac_lstStyle_HeadingApp"/>
    <w:uiPriority w:val="99"/>
    <w:rsid w:val="00C17404"/>
    <w:pPr>
      <w:numPr>
        <w:numId w:val="28"/>
      </w:numPr>
    </w:pPr>
  </w:style>
  <w:style w:type="numbering" w:customStyle="1" w:styleId="aaReportListDash">
    <w:name w:val="aa Report List Dash"/>
    <w:uiPriority w:val="99"/>
    <w:rsid w:val="00C17404"/>
    <w:pPr>
      <w:numPr>
        <w:numId w:val="30"/>
      </w:numPr>
    </w:pPr>
  </w:style>
  <w:style w:type="paragraph" w:customStyle="1" w:styleId="waterMarkaadraftstat">
    <w:name w:val="waterMark_aa_draft_stat"/>
    <w:rsid w:val="00C17404"/>
    <w:rPr>
      <w:rFonts w:eastAsiaTheme="minorEastAsia" w:cs="Times New Roman"/>
      <w:sz w:val="3276"/>
      <w:szCs w:val="3276"/>
      <w:lang w:val="en-US"/>
    </w:rPr>
  </w:style>
  <w:style w:type="paragraph" w:customStyle="1" w:styleId="waterMarkaaCabinetsec">
    <w:name w:val="waterMark_aa_Cabinet_sec"/>
    <w:rsid w:val="00C17404"/>
    <w:rPr>
      <w:rFonts w:eastAsiaTheme="minorEastAsia" w:cs="Times New Roman"/>
      <w:sz w:val="3276"/>
      <w:szCs w:val="3276"/>
      <w:lang w:val="en-US"/>
    </w:rPr>
  </w:style>
  <w:style w:type="paragraph" w:customStyle="1" w:styleId="waterMarkaaCommercialsec">
    <w:name w:val="waterMark_aa_Commercial_sec"/>
    <w:rsid w:val="00C17404"/>
    <w:rPr>
      <w:rFonts w:eastAsiaTheme="minorEastAsia" w:cs="Times New Roman"/>
      <w:sz w:val="3276"/>
      <w:szCs w:val="3276"/>
      <w:lang w:val="en-US"/>
    </w:rPr>
  </w:style>
  <w:style w:type="paragraph" w:customStyle="1" w:styleId="waterMarkaadraftOnlyBodstat">
    <w:name w:val="waterMark_aa_draftOnlyBod_stat"/>
    <w:rsid w:val="00C17404"/>
    <w:rPr>
      <w:rFonts w:eastAsiaTheme="minorEastAsia" w:cs="Times New Roman"/>
      <w:sz w:val="3276"/>
      <w:szCs w:val="3276"/>
      <w:lang w:val="en-US"/>
    </w:rPr>
  </w:style>
  <w:style w:type="paragraph" w:customStyle="1" w:styleId="waterMarkaaConfidentialsec">
    <w:name w:val="waterMark_aa_Confidential_sec"/>
    <w:rsid w:val="00C17404"/>
    <w:rPr>
      <w:rFonts w:eastAsiaTheme="minorEastAsia" w:cs="Times New Roman"/>
      <w:sz w:val="3276"/>
      <w:szCs w:val="3276"/>
      <w:lang w:val="en-US"/>
    </w:rPr>
  </w:style>
  <w:style w:type="paragraph" w:customStyle="1" w:styleId="TableQuoteSource">
    <w:name w:val="Table Quote Source"/>
    <w:basedOn w:val="Normal-nospace"/>
    <w:qFormat/>
    <w:rsid w:val="00C17404"/>
    <w:pPr>
      <w:spacing w:before="90" w:after="60" w:line="240" w:lineRule="auto"/>
      <w:ind w:right="200"/>
      <w:jc w:val="right"/>
    </w:pPr>
    <w:rPr>
      <w:rFonts w:cstheme="minorBidi"/>
      <w:i/>
      <w:color w:val="404040" w:themeColor="text1" w:themeTint="BF"/>
      <w:sz w:val="20"/>
    </w:rPr>
  </w:style>
  <w:style w:type="paragraph" w:customStyle="1" w:styleId="TableQuoteSourcesmall">
    <w:name w:val="Table Quote Source (small)"/>
    <w:basedOn w:val="BodyText"/>
    <w:qFormat/>
    <w:rsid w:val="00C17404"/>
    <w:pPr>
      <w:spacing w:before="0" w:line="240" w:lineRule="auto"/>
      <w:ind w:right="200"/>
      <w:jc w:val="right"/>
    </w:pPr>
    <w:rPr>
      <w:rFonts w:cstheme="minorBidi"/>
      <w:i/>
      <w:color w:val="403F40"/>
      <w:sz w:val="16"/>
    </w:rPr>
  </w:style>
  <w:style w:type="paragraph" w:customStyle="1" w:styleId="TableQuote">
    <w:name w:val="Table Quote"/>
    <w:basedOn w:val="Normal-nospace"/>
    <w:qFormat/>
    <w:rsid w:val="00C17404"/>
    <w:pPr>
      <w:spacing w:before="60" w:line="240" w:lineRule="atLeast"/>
      <w:ind w:right="199"/>
    </w:pPr>
    <w:rPr>
      <w:rFonts w:cstheme="minorBidi"/>
      <w:i/>
      <w:color w:val="404040" w:themeColor="text1" w:themeTint="BF"/>
      <w:sz w:val="20"/>
    </w:rPr>
  </w:style>
  <w:style w:type="paragraph" w:customStyle="1" w:styleId="QuoteListBullet">
    <w:name w:val="Quote List Bullet"/>
    <w:basedOn w:val="Quote"/>
    <w:qFormat/>
    <w:rsid w:val="00C17404"/>
    <w:pPr>
      <w:numPr>
        <w:numId w:val="33"/>
      </w:numPr>
      <w:spacing w:before="0"/>
      <w:contextualSpacing/>
    </w:pPr>
  </w:style>
  <w:style w:type="paragraph" w:customStyle="1" w:styleId="QuoteSource">
    <w:name w:val="Quote Source"/>
    <w:basedOn w:val="Quote"/>
    <w:next w:val="BodyText"/>
    <w:qFormat/>
    <w:rsid w:val="00C17404"/>
    <w:pPr>
      <w:ind w:right="707"/>
      <w:contextualSpacing/>
      <w:jc w:val="right"/>
    </w:pPr>
  </w:style>
  <w:style w:type="paragraph" w:customStyle="1" w:styleId="TableQuotesmall">
    <w:name w:val="Table Quote (small)"/>
    <w:basedOn w:val="Normal-nospace"/>
    <w:qFormat/>
    <w:rsid w:val="00C17404"/>
    <w:pPr>
      <w:spacing w:before="60" w:line="180" w:lineRule="exact"/>
      <w:ind w:right="199"/>
    </w:pPr>
    <w:rPr>
      <w:rFonts w:cstheme="minorBidi"/>
      <w:i/>
      <w:color w:val="403F40"/>
      <w:sz w:val="16"/>
    </w:rPr>
  </w:style>
  <w:style w:type="paragraph" w:customStyle="1" w:styleId="TableQuoteBullet">
    <w:name w:val="Table Quote Bullet"/>
    <w:basedOn w:val="Normal-nospace"/>
    <w:qFormat/>
    <w:rsid w:val="00C17404"/>
    <w:pPr>
      <w:numPr>
        <w:numId w:val="34"/>
      </w:numPr>
      <w:spacing w:before="60" w:after="60" w:line="240" w:lineRule="auto"/>
      <w:ind w:left="360" w:right="200"/>
      <w:contextualSpacing/>
    </w:pPr>
    <w:rPr>
      <w:rFonts w:cstheme="minorBidi"/>
      <w:i/>
      <w:color w:val="404040" w:themeColor="text1" w:themeTint="BF"/>
      <w:sz w:val="20"/>
    </w:rPr>
  </w:style>
  <w:style w:type="paragraph" w:customStyle="1" w:styleId="TableQuoteBulletsmall">
    <w:name w:val="Table Quote Bullet (small)"/>
    <w:basedOn w:val="Normal-nospace"/>
    <w:qFormat/>
    <w:rsid w:val="00C17404"/>
    <w:pPr>
      <w:numPr>
        <w:numId w:val="35"/>
      </w:numPr>
      <w:spacing w:before="40" w:after="60" w:line="240" w:lineRule="auto"/>
      <w:ind w:left="360"/>
      <w:contextualSpacing/>
    </w:pPr>
    <w:rPr>
      <w:rFonts w:cstheme="minorBidi"/>
      <w:i/>
      <w:color w:val="403F40"/>
      <w:sz w:val="16"/>
    </w:rPr>
  </w:style>
  <w:style w:type="paragraph" w:customStyle="1" w:styleId="SubHeading1">
    <w:name w:val="Sub Heading 1"/>
    <w:basedOn w:val="Normalrgb"/>
    <w:qFormat/>
    <w:rsid w:val="00C17404"/>
    <w:pPr>
      <w:spacing w:line="240" w:lineRule="auto"/>
      <w:contextualSpacing/>
    </w:pPr>
    <w:rPr>
      <w:sz w:val="40"/>
    </w:rPr>
  </w:style>
  <w:style w:type="paragraph" w:customStyle="1" w:styleId="tagglossaryChpt">
    <w:name w:val="tag_glossary_Chpt"/>
    <w:basedOn w:val="spacer"/>
    <w:rsid w:val="00C17404"/>
  </w:style>
  <w:style w:type="paragraph" w:customStyle="1" w:styleId="tagbiblioChpt">
    <w:name w:val="tag_biblio_Chpt"/>
    <w:basedOn w:val="spacer"/>
    <w:qFormat/>
    <w:rsid w:val="00C17404"/>
  </w:style>
  <w:style w:type="paragraph" w:customStyle="1" w:styleId="tagrefsChpt">
    <w:name w:val="tag_refs_Chpt"/>
    <w:basedOn w:val="spacer"/>
    <w:qFormat/>
    <w:rsid w:val="00C17404"/>
  </w:style>
  <w:style w:type="paragraph" w:customStyle="1" w:styleId="tagworksCitedChpt">
    <w:name w:val="tag_worksCited_Chpt"/>
    <w:basedOn w:val="spacer"/>
    <w:qFormat/>
    <w:rsid w:val="00C17404"/>
  </w:style>
  <w:style w:type="paragraph" w:customStyle="1" w:styleId="TOCTOFSubHeading">
    <w:name w:val="TOC TOFSubHeading"/>
    <w:basedOn w:val="Normal-nospace"/>
    <w:qFormat/>
    <w:rsid w:val="00C17404"/>
    <w:pPr>
      <w:keepNext/>
      <w:spacing w:before="240" w:after="60" w:line="260" w:lineRule="exact"/>
    </w:pPr>
    <w:rPr>
      <w:rFonts w:ascii="Yu Gothic Medium" w:hAnsi="Yu Gothic Medium"/>
      <w:b/>
    </w:rPr>
  </w:style>
  <w:style w:type="paragraph" w:customStyle="1" w:styleId="Heading2nonumber">
    <w:name w:val="Heading 2 (no number)"/>
    <w:basedOn w:val="Normal-nospace"/>
    <w:next w:val="BodyText"/>
    <w:qFormat/>
    <w:rsid w:val="00C17404"/>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C17404"/>
    <w:pPr>
      <w:pBdr>
        <w:bottom w:val="single" w:sz="4" w:space="0" w:color="000100"/>
      </w:pBdr>
      <w:spacing w:before="240" w:after="160" w:line="240" w:lineRule="atLeast"/>
    </w:pPr>
    <w:rPr>
      <w:b/>
    </w:rPr>
  </w:style>
  <w:style w:type="paragraph" w:customStyle="1" w:styleId="Heading4nonumber">
    <w:name w:val="Heading 4 (no number)"/>
    <w:basedOn w:val="Normal-nospace"/>
    <w:next w:val="BodyText"/>
    <w:qFormat/>
    <w:rsid w:val="00C17404"/>
    <w:pPr>
      <w:keepNext/>
      <w:spacing w:before="240" w:after="160" w:line="240" w:lineRule="atLeast"/>
    </w:pPr>
    <w:rPr>
      <w:b/>
    </w:rPr>
  </w:style>
  <w:style w:type="paragraph" w:customStyle="1" w:styleId="LetterHeading2">
    <w:name w:val="Letter Heading 2"/>
    <w:basedOn w:val="LetterHeading1"/>
    <w:next w:val="BodyText"/>
    <w:qFormat/>
    <w:rsid w:val="00C17404"/>
    <w:rPr>
      <w:i/>
    </w:rPr>
  </w:style>
  <w:style w:type="paragraph" w:customStyle="1" w:styleId="LetterHeading3">
    <w:name w:val="Letter Heading 3"/>
    <w:basedOn w:val="LetterHeading1"/>
    <w:next w:val="BodyText"/>
    <w:qFormat/>
    <w:rsid w:val="00C17404"/>
    <w:rPr>
      <w:b w:val="0"/>
      <w:i/>
    </w:rPr>
  </w:style>
  <w:style w:type="paragraph" w:customStyle="1" w:styleId="FigureSubHeadings">
    <w:name w:val="Figure (Sub Headings)"/>
    <w:basedOn w:val="Normal-nospace"/>
    <w:qFormat/>
    <w:rsid w:val="00C17404"/>
    <w:pPr>
      <w:spacing w:before="60" w:after="120" w:line="240" w:lineRule="auto"/>
    </w:pPr>
    <w:rPr>
      <w:sz w:val="18"/>
    </w:rPr>
  </w:style>
  <w:style w:type="table" w:customStyle="1" w:styleId="aacTablenolines">
    <w:name w:val="aac Table (no lines)"/>
    <w:basedOn w:val="TableNormal"/>
    <w:uiPriority w:val="99"/>
    <w:rsid w:val="00C17404"/>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C17404"/>
    <w:rPr>
      <w:b/>
      <w:vertAlign w:val="superscript"/>
    </w:rPr>
  </w:style>
  <w:style w:type="paragraph" w:customStyle="1" w:styleId="LetterConfidentiality">
    <w:name w:val="Letter Confidentiality"/>
    <w:basedOn w:val="BodyText"/>
    <w:qFormat/>
    <w:rsid w:val="00C17404"/>
    <w:rPr>
      <w:color w:val="000000"/>
    </w:rPr>
  </w:style>
  <w:style w:type="paragraph" w:customStyle="1" w:styleId="Normalrgb">
    <w:name w:val="Normal_rgb"/>
    <w:basedOn w:val="Normal-nospace"/>
    <w:qFormat/>
    <w:rsid w:val="00C17404"/>
    <w:rPr>
      <w:color w:val="9D85BE"/>
    </w:rPr>
  </w:style>
  <w:style w:type="paragraph" w:customStyle="1" w:styleId="CpContactDetailsWeb">
    <w:name w:val="Cp Contact Details Web"/>
    <w:basedOn w:val="Normalrgb"/>
    <w:qFormat/>
    <w:rsid w:val="00C17404"/>
    <w:pPr>
      <w:spacing w:line="250" w:lineRule="exact"/>
    </w:pPr>
  </w:style>
  <w:style w:type="paragraph" w:customStyle="1" w:styleId="CpContactDetailsHeading">
    <w:name w:val="Cp Contact Details Heading"/>
    <w:basedOn w:val="Normalrgb"/>
    <w:next w:val="CpContactDetails"/>
    <w:qFormat/>
    <w:rsid w:val="00C17404"/>
    <w:pPr>
      <w:spacing w:line="250" w:lineRule="exact"/>
    </w:pPr>
    <w:rPr>
      <w:b/>
    </w:rPr>
  </w:style>
  <w:style w:type="paragraph" w:customStyle="1" w:styleId="tagaaRptTestStyle00">
    <w:name w:val="tag_aa_RptTestStyle_#?_00"/>
    <w:basedOn w:val="BodyText"/>
    <w:qFormat/>
    <w:rsid w:val="00C17404"/>
    <w:pPr>
      <w:spacing w:before="0" w:after="0" w:line="240" w:lineRule="auto"/>
    </w:pPr>
    <w:rPr>
      <w:sz w:val="16"/>
    </w:rPr>
  </w:style>
  <w:style w:type="paragraph" w:customStyle="1" w:styleId="Cp-Banner">
    <w:name w:val="Cp - Banner"/>
    <w:basedOn w:val="Normal"/>
    <w:rsid w:val="002B2199"/>
    <w:pPr>
      <w:pageBreakBefore/>
      <w:spacing w:before="0" w:after="0" w:line="240" w:lineRule="auto"/>
    </w:pPr>
    <w:rPr>
      <w:rFonts w:cstheme="minorBidi"/>
      <w:sz w:val="4"/>
    </w:rPr>
  </w:style>
  <w:style w:type="numbering" w:customStyle="1" w:styleId="aaReportListBullets">
    <w:name w:val="aa Report List Bullets"/>
    <w:uiPriority w:val="99"/>
    <w:rsid w:val="002B2199"/>
    <w:pPr>
      <w:numPr>
        <w:numId w:val="37"/>
      </w:numPr>
    </w:pPr>
  </w:style>
  <w:style w:type="paragraph" w:customStyle="1" w:styleId="ImprintHeading">
    <w:name w:val="Imprint Heading"/>
    <w:basedOn w:val="Normal"/>
    <w:uiPriority w:val="12"/>
    <w:rsid w:val="00EA3C69"/>
    <w:pPr>
      <w:suppressAutoHyphens/>
      <w:spacing w:before="240" w:after="160" w:line="240" w:lineRule="auto"/>
      <w:outlineLvl w:val="1"/>
    </w:pPr>
    <w:rPr>
      <w:rFonts w:asciiTheme="minorHAnsi" w:hAnsiTheme="minorHAnsi" w:cstheme="minorBidi"/>
      <w:b/>
      <w:color w:val="000000" w:themeColor="text1"/>
      <w:kern w:val="12"/>
      <w:lang w:val="x-none"/>
    </w:rPr>
  </w:style>
  <w:style w:type="paragraph" w:customStyle="1" w:styleId="Bullet1">
    <w:name w:val="Bullet 1"/>
    <w:basedOn w:val="Normal"/>
    <w:uiPriority w:val="3"/>
    <w:qFormat/>
    <w:rsid w:val="003E300A"/>
    <w:pPr>
      <w:numPr>
        <w:numId w:val="38"/>
      </w:numPr>
      <w:suppressAutoHyphens/>
      <w:spacing w:before="80" w:after="80" w:line="240" w:lineRule="auto"/>
    </w:pPr>
    <w:rPr>
      <w:rFonts w:asciiTheme="minorHAnsi" w:hAnsiTheme="minorHAnsi" w:cstheme="minorBidi"/>
      <w:color w:val="000000" w:themeColor="text1"/>
      <w:kern w:val="12"/>
      <w:sz w:val="20"/>
      <w:szCs w:val="20"/>
      <w:lang w:val="x-none"/>
    </w:rPr>
  </w:style>
  <w:style w:type="paragraph" w:customStyle="1" w:styleId="Bullet2">
    <w:name w:val="Bullet 2"/>
    <w:basedOn w:val="Bullet1"/>
    <w:uiPriority w:val="3"/>
    <w:rsid w:val="003E300A"/>
    <w:pPr>
      <w:numPr>
        <w:ilvl w:val="1"/>
      </w:numPr>
    </w:pPr>
  </w:style>
  <w:style w:type="paragraph" w:customStyle="1" w:styleId="Bullet3">
    <w:name w:val="Bullet 3"/>
    <w:basedOn w:val="Bullet2"/>
    <w:uiPriority w:val="3"/>
    <w:rsid w:val="003E300A"/>
    <w:pPr>
      <w:numPr>
        <w:ilvl w:val="2"/>
      </w:numPr>
    </w:pPr>
  </w:style>
  <w:style w:type="numbering" w:customStyle="1" w:styleId="Bullets">
    <w:name w:val="Bullets"/>
    <w:uiPriority w:val="99"/>
    <w:rsid w:val="003E300A"/>
    <w:pPr>
      <w:numPr>
        <w:numId w:val="38"/>
      </w:numPr>
    </w:pPr>
  </w:style>
  <w:style w:type="paragraph" w:customStyle="1" w:styleId="Default">
    <w:name w:val="Default"/>
    <w:rsid w:val="004029B2"/>
    <w:pPr>
      <w:autoSpaceDE w:val="0"/>
      <w:autoSpaceDN w:val="0"/>
      <w:adjustRightInd w:val="0"/>
      <w:spacing w:after="0" w:line="240" w:lineRule="auto"/>
    </w:pPr>
    <w:rPr>
      <w:rFonts w:ascii="Acumin Pro" w:hAnsi="Acumin Pro" w:cs="Acumin Pro"/>
      <w:color w:val="000000"/>
      <w:sz w:val="24"/>
      <w:szCs w:val="24"/>
    </w:rPr>
  </w:style>
  <w:style w:type="paragraph" w:customStyle="1" w:styleId="Heading1Numbered">
    <w:name w:val="Heading 1 Numbered"/>
    <w:basedOn w:val="Heading1"/>
    <w:uiPriority w:val="10"/>
    <w:rsid w:val="0046478B"/>
    <w:pPr>
      <w:numPr>
        <w:numId w:val="40"/>
      </w:numPr>
      <w:suppressAutoHyphens/>
      <w:spacing w:before="480" w:after="160" w:line="240" w:lineRule="auto"/>
      <w:contextualSpacing/>
    </w:pPr>
    <w:rPr>
      <w:rFonts w:asciiTheme="majorHAnsi" w:hAnsiTheme="majorHAnsi" w:cstheme="majorBidi"/>
      <w:color w:val="6C3F99" w:themeColor="text2"/>
      <w:kern w:val="12"/>
      <w:sz w:val="44"/>
    </w:rPr>
  </w:style>
  <w:style w:type="paragraph" w:customStyle="1" w:styleId="Heading2Numbered">
    <w:name w:val="Heading 2 Numbered"/>
    <w:basedOn w:val="Heading2"/>
    <w:uiPriority w:val="10"/>
    <w:rsid w:val="0046478B"/>
    <w:pPr>
      <w:numPr>
        <w:numId w:val="40"/>
      </w:numPr>
      <w:pBdr>
        <w:bottom w:val="none" w:sz="0" w:space="0" w:color="auto"/>
        <w:between w:val="none" w:sz="0" w:space="0" w:color="auto"/>
      </w:pBdr>
      <w:suppressAutoHyphens/>
      <w:spacing w:before="320" w:after="160" w:line="240" w:lineRule="auto"/>
    </w:pPr>
    <w:rPr>
      <w:rFonts w:asciiTheme="majorHAnsi" w:hAnsiTheme="majorHAnsi" w:cstheme="majorBidi"/>
      <w:b w:val="0"/>
      <w:color w:val="6C3F99" w:themeColor="text2"/>
      <w:kern w:val="12"/>
      <w:sz w:val="36"/>
    </w:rPr>
  </w:style>
  <w:style w:type="paragraph" w:customStyle="1" w:styleId="Heading3Numbered">
    <w:name w:val="Heading 3 Numbered"/>
    <w:basedOn w:val="Heading3"/>
    <w:uiPriority w:val="10"/>
    <w:rsid w:val="0046478B"/>
    <w:pPr>
      <w:numPr>
        <w:numId w:val="40"/>
      </w:numPr>
      <w:pBdr>
        <w:bottom w:val="none" w:sz="0" w:space="0" w:color="auto"/>
        <w:between w:val="none" w:sz="0" w:space="0" w:color="auto"/>
      </w:pBdr>
      <w:suppressAutoHyphens/>
      <w:spacing w:line="240" w:lineRule="auto"/>
    </w:pPr>
    <w:rPr>
      <w:rFonts w:asciiTheme="majorHAnsi" w:hAnsiTheme="majorHAnsi" w:cstheme="majorBidi"/>
      <w:color w:val="006A9F" w:themeColor="accent4"/>
      <w:kern w:val="12"/>
      <w:sz w:val="32"/>
    </w:rPr>
  </w:style>
  <w:style w:type="paragraph" w:customStyle="1" w:styleId="Heading4Numbered">
    <w:name w:val="Heading 4 Numbered"/>
    <w:basedOn w:val="Heading4"/>
    <w:uiPriority w:val="10"/>
    <w:rsid w:val="0046478B"/>
    <w:pPr>
      <w:numPr>
        <w:numId w:val="40"/>
      </w:numPr>
      <w:suppressAutoHyphens/>
      <w:spacing w:line="240" w:lineRule="auto"/>
    </w:pPr>
    <w:rPr>
      <w:rFonts w:asciiTheme="majorHAnsi" w:hAnsiTheme="majorHAnsi" w:cstheme="majorBidi"/>
      <w:color w:val="006A9F" w:themeColor="accent4"/>
      <w:kern w:val="12"/>
      <w:sz w:val="26"/>
      <w:szCs w:val="20"/>
    </w:rPr>
  </w:style>
  <w:style w:type="paragraph" w:customStyle="1" w:styleId="Heading5Numbered">
    <w:name w:val="Heading 5 Numbered"/>
    <w:basedOn w:val="Heading5"/>
    <w:uiPriority w:val="10"/>
    <w:rsid w:val="0046478B"/>
    <w:pPr>
      <w:numPr>
        <w:numId w:val="40"/>
      </w:numPr>
      <w:suppressAutoHyphens/>
      <w:spacing w:line="240" w:lineRule="auto"/>
    </w:pPr>
    <w:rPr>
      <w:rFonts w:asciiTheme="majorHAnsi" w:hAnsiTheme="majorHAnsi" w:cstheme="majorBidi"/>
      <w:i w:val="0"/>
      <w:color w:val="6C3F99" w:themeColor="text2"/>
      <w:kern w:val="12"/>
      <w:szCs w:val="20"/>
    </w:rPr>
  </w:style>
  <w:style w:type="numbering" w:customStyle="1" w:styleId="NumberedHeadings">
    <w:name w:val="Numbered Headings"/>
    <w:uiPriority w:val="99"/>
    <w:rsid w:val="0046478B"/>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813961">
      <w:bodyDiv w:val="1"/>
      <w:marLeft w:val="0"/>
      <w:marRight w:val="0"/>
      <w:marTop w:val="0"/>
      <w:marBottom w:val="0"/>
      <w:divBdr>
        <w:top w:val="none" w:sz="0" w:space="0" w:color="auto"/>
        <w:left w:val="none" w:sz="0" w:space="0" w:color="auto"/>
        <w:bottom w:val="none" w:sz="0" w:space="0" w:color="auto"/>
        <w:right w:val="none" w:sz="0" w:space="0" w:color="auto"/>
      </w:divBdr>
    </w:div>
    <w:div w:id="525993594">
      <w:bodyDiv w:val="1"/>
      <w:marLeft w:val="0"/>
      <w:marRight w:val="0"/>
      <w:marTop w:val="0"/>
      <w:marBottom w:val="0"/>
      <w:divBdr>
        <w:top w:val="none" w:sz="0" w:space="0" w:color="auto"/>
        <w:left w:val="none" w:sz="0" w:space="0" w:color="auto"/>
        <w:bottom w:val="none" w:sz="0" w:space="0" w:color="auto"/>
        <w:right w:val="none" w:sz="0" w:space="0" w:color="auto"/>
      </w:divBdr>
    </w:div>
    <w:div w:id="540554665">
      <w:bodyDiv w:val="1"/>
      <w:marLeft w:val="0"/>
      <w:marRight w:val="0"/>
      <w:marTop w:val="0"/>
      <w:marBottom w:val="0"/>
      <w:divBdr>
        <w:top w:val="none" w:sz="0" w:space="0" w:color="auto"/>
        <w:left w:val="none" w:sz="0" w:space="0" w:color="auto"/>
        <w:bottom w:val="none" w:sz="0" w:space="0" w:color="auto"/>
        <w:right w:val="none" w:sz="0" w:space="0" w:color="auto"/>
      </w:divBdr>
      <w:divsChild>
        <w:div w:id="14580357">
          <w:marLeft w:val="0"/>
          <w:marRight w:val="0"/>
          <w:marTop w:val="0"/>
          <w:marBottom w:val="0"/>
          <w:divBdr>
            <w:top w:val="none" w:sz="0" w:space="0" w:color="auto"/>
            <w:left w:val="none" w:sz="0" w:space="0" w:color="auto"/>
            <w:bottom w:val="none" w:sz="0" w:space="0" w:color="auto"/>
            <w:right w:val="none" w:sz="0" w:space="0" w:color="auto"/>
          </w:divBdr>
          <w:divsChild>
            <w:div w:id="860125960">
              <w:marLeft w:val="0"/>
              <w:marRight w:val="0"/>
              <w:marTop w:val="0"/>
              <w:marBottom w:val="0"/>
              <w:divBdr>
                <w:top w:val="none" w:sz="0" w:space="0" w:color="auto"/>
                <w:left w:val="none" w:sz="0" w:space="0" w:color="auto"/>
                <w:bottom w:val="none" w:sz="0" w:space="0" w:color="auto"/>
                <w:right w:val="none" w:sz="0" w:space="0" w:color="auto"/>
              </w:divBdr>
              <w:divsChild>
                <w:div w:id="16000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84196">
          <w:marLeft w:val="0"/>
          <w:marRight w:val="0"/>
          <w:marTop w:val="0"/>
          <w:marBottom w:val="0"/>
          <w:divBdr>
            <w:top w:val="none" w:sz="0" w:space="0" w:color="auto"/>
            <w:left w:val="none" w:sz="0" w:space="0" w:color="auto"/>
            <w:bottom w:val="none" w:sz="0" w:space="0" w:color="auto"/>
            <w:right w:val="none" w:sz="0" w:space="0" w:color="auto"/>
          </w:divBdr>
          <w:divsChild>
            <w:div w:id="1283919920">
              <w:marLeft w:val="0"/>
              <w:marRight w:val="0"/>
              <w:marTop w:val="0"/>
              <w:marBottom w:val="0"/>
              <w:divBdr>
                <w:top w:val="none" w:sz="0" w:space="0" w:color="auto"/>
                <w:left w:val="none" w:sz="0" w:space="0" w:color="auto"/>
                <w:bottom w:val="none" w:sz="0" w:space="0" w:color="auto"/>
                <w:right w:val="none" w:sz="0" w:space="0" w:color="auto"/>
              </w:divBdr>
              <w:divsChild>
                <w:div w:id="15184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8662">
          <w:marLeft w:val="0"/>
          <w:marRight w:val="0"/>
          <w:marTop w:val="0"/>
          <w:marBottom w:val="0"/>
          <w:divBdr>
            <w:top w:val="none" w:sz="0" w:space="0" w:color="auto"/>
            <w:left w:val="none" w:sz="0" w:space="0" w:color="auto"/>
            <w:bottom w:val="none" w:sz="0" w:space="0" w:color="auto"/>
            <w:right w:val="none" w:sz="0" w:space="0" w:color="auto"/>
          </w:divBdr>
          <w:divsChild>
            <w:div w:id="143553401">
              <w:marLeft w:val="0"/>
              <w:marRight w:val="0"/>
              <w:marTop w:val="0"/>
              <w:marBottom w:val="0"/>
              <w:divBdr>
                <w:top w:val="none" w:sz="0" w:space="0" w:color="auto"/>
                <w:left w:val="none" w:sz="0" w:space="0" w:color="auto"/>
                <w:bottom w:val="none" w:sz="0" w:space="0" w:color="auto"/>
                <w:right w:val="none" w:sz="0" w:space="0" w:color="auto"/>
              </w:divBdr>
              <w:divsChild>
                <w:div w:id="13943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0936">
          <w:marLeft w:val="0"/>
          <w:marRight w:val="0"/>
          <w:marTop w:val="0"/>
          <w:marBottom w:val="0"/>
          <w:divBdr>
            <w:top w:val="none" w:sz="0" w:space="0" w:color="auto"/>
            <w:left w:val="none" w:sz="0" w:space="0" w:color="auto"/>
            <w:bottom w:val="none" w:sz="0" w:space="0" w:color="auto"/>
            <w:right w:val="none" w:sz="0" w:space="0" w:color="auto"/>
          </w:divBdr>
          <w:divsChild>
            <w:div w:id="1770464710">
              <w:marLeft w:val="0"/>
              <w:marRight w:val="0"/>
              <w:marTop w:val="0"/>
              <w:marBottom w:val="0"/>
              <w:divBdr>
                <w:top w:val="none" w:sz="0" w:space="0" w:color="auto"/>
                <w:left w:val="none" w:sz="0" w:space="0" w:color="auto"/>
                <w:bottom w:val="none" w:sz="0" w:space="0" w:color="auto"/>
                <w:right w:val="none" w:sz="0" w:space="0" w:color="auto"/>
              </w:divBdr>
              <w:divsChild>
                <w:div w:id="7431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597">
          <w:marLeft w:val="0"/>
          <w:marRight w:val="0"/>
          <w:marTop w:val="0"/>
          <w:marBottom w:val="0"/>
          <w:divBdr>
            <w:top w:val="none" w:sz="0" w:space="0" w:color="auto"/>
            <w:left w:val="none" w:sz="0" w:space="0" w:color="auto"/>
            <w:bottom w:val="none" w:sz="0" w:space="0" w:color="auto"/>
            <w:right w:val="none" w:sz="0" w:space="0" w:color="auto"/>
          </w:divBdr>
          <w:divsChild>
            <w:div w:id="20206029">
              <w:marLeft w:val="0"/>
              <w:marRight w:val="0"/>
              <w:marTop w:val="0"/>
              <w:marBottom w:val="0"/>
              <w:divBdr>
                <w:top w:val="none" w:sz="0" w:space="0" w:color="auto"/>
                <w:left w:val="none" w:sz="0" w:space="0" w:color="auto"/>
                <w:bottom w:val="none" w:sz="0" w:space="0" w:color="auto"/>
                <w:right w:val="none" w:sz="0" w:space="0" w:color="auto"/>
              </w:divBdr>
              <w:divsChild>
                <w:div w:id="192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6491">
          <w:marLeft w:val="0"/>
          <w:marRight w:val="0"/>
          <w:marTop w:val="0"/>
          <w:marBottom w:val="0"/>
          <w:divBdr>
            <w:top w:val="none" w:sz="0" w:space="0" w:color="auto"/>
            <w:left w:val="none" w:sz="0" w:space="0" w:color="auto"/>
            <w:bottom w:val="none" w:sz="0" w:space="0" w:color="auto"/>
            <w:right w:val="none" w:sz="0" w:space="0" w:color="auto"/>
          </w:divBdr>
          <w:divsChild>
            <w:div w:id="2144885919">
              <w:marLeft w:val="0"/>
              <w:marRight w:val="0"/>
              <w:marTop w:val="0"/>
              <w:marBottom w:val="0"/>
              <w:divBdr>
                <w:top w:val="none" w:sz="0" w:space="0" w:color="auto"/>
                <w:left w:val="none" w:sz="0" w:space="0" w:color="auto"/>
                <w:bottom w:val="none" w:sz="0" w:space="0" w:color="auto"/>
                <w:right w:val="none" w:sz="0" w:space="0" w:color="auto"/>
              </w:divBdr>
              <w:divsChild>
                <w:div w:id="8204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365">
          <w:marLeft w:val="0"/>
          <w:marRight w:val="0"/>
          <w:marTop w:val="0"/>
          <w:marBottom w:val="0"/>
          <w:divBdr>
            <w:top w:val="none" w:sz="0" w:space="0" w:color="auto"/>
            <w:left w:val="none" w:sz="0" w:space="0" w:color="auto"/>
            <w:bottom w:val="none" w:sz="0" w:space="0" w:color="auto"/>
            <w:right w:val="none" w:sz="0" w:space="0" w:color="auto"/>
          </w:divBdr>
          <w:divsChild>
            <w:div w:id="1110123729">
              <w:marLeft w:val="0"/>
              <w:marRight w:val="0"/>
              <w:marTop w:val="0"/>
              <w:marBottom w:val="0"/>
              <w:divBdr>
                <w:top w:val="none" w:sz="0" w:space="0" w:color="auto"/>
                <w:left w:val="none" w:sz="0" w:space="0" w:color="auto"/>
                <w:bottom w:val="none" w:sz="0" w:space="0" w:color="auto"/>
                <w:right w:val="none" w:sz="0" w:space="0" w:color="auto"/>
              </w:divBdr>
              <w:divsChild>
                <w:div w:id="8112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4621">
          <w:marLeft w:val="0"/>
          <w:marRight w:val="0"/>
          <w:marTop w:val="0"/>
          <w:marBottom w:val="0"/>
          <w:divBdr>
            <w:top w:val="none" w:sz="0" w:space="0" w:color="auto"/>
            <w:left w:val="none" w:sz="0" w:space="0" w:color="auto"/>
            <w:bottom w:val="none" w:sz="0" w:space="0" w:color="auto"/>
            <w:right w:val="none" w:sz="0" w:space="0" w:color="auto"/>
          </w:divBdr>
          <w:divsChild>
            <w:div w:id="1950311664">
              <w:marLeft w:val="0"/>
              <w:marRight w:val="0"/>
              <w:marTop w:val="0"/>
              <w:marBottom w:val="0"/>
              <w:divBdr>
                <w:top w:val="none" w:sz="0" w:space="0" w:color="auto"/>
                <w:left w:val="none" w:sz="0" w:space="0" w:color="auto"/>
                <w:bottom w:val="none" w:sz="0" w:space="0" w:color="auto"/>
                <w:right w:val="none" w:sz="0" w:space="0" w:color="auto"/>
              </w:divBdr>
              <w:divsChild>
                <w:div w:id="4128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043825">
      <w:bodyDiv w:val="1"/>
      <w:marLeft w:val="0"/>
      <w:marRight w:val="0"/>
      <w:marTop w:val="0"/>
      <w:marBottom w:val="0"/>
      <w:divBdr>
        <w:top w:val="none" w:sz="0" w:space="0" w:color="auto"/>
        <w:left w:val="none" w:sz="0" w:space="0" w:color="auto"/>
        <w:bottom w:val="none" w:sz="0" w:space="0" w:color="auto"/>
        <w:right w:val="none" w:sz="0" w:space="0" w:color="auto"/>
      </w:divBdr>
    </w:div>
    <w:div w:id="619260796">
      <w:bodyDiv w:val="1"/>
      <w:marLeft w:val="0"/>
      <w:marRight w:val="0"/>
      <w:marTop w:val="0"/>
      <w:marBottom w:val="0"/>
      <w:divBdr>
        <w:top w:val="none" w:sz="0" w:space="0" w:color="auto"/>
        <w:left w:val="none" w:sz="0" w:space="0" w:color="auto"/>
        <w:bottom w:val="none" w:sz="0" w:space="0" w:color="auto"/>
        <w:right w:val="none" w:sz="0" w:space="0" w:color="auto"/>
      </w:divBdr>
    </w:div>
    <w:div w:id="691688172">
      <w:bodyDiv w:val="1"/>
      <w:marLeft w:val="0"/>
      <w:marRight w:val="0"/>
      <w:marTop w:val="0"/>
      <w:marBottom w:val="0"/>
      <w:divBdr>
        <w:top w:val="none" w:sz="0" w:space="0" w:color="auto"/>
        <w:left w:val="none" w:sz="0" w:space="0" w:color="auto"/>
        <w:bottom w:val="none" w:sz="0" w:space="0" w:color="auto"/>
        <w:right w:val="none" w:sz="0" w:space="0" w:color="auto"/>
      </w:divBdr>
    </w:div>
    <w:div w:id="1120686621">
      <w:bodyDiv w:val="1"/>
      <w:marLeft w:val="0"/>
      <w:marRight w:val="0"/>
      <w:marTop w:val="0"/>
      <w:marBottom w:val="0"/>
      <w:divBdr>
        <w:top w:val="none" w:sz="0" w:space="0" w:color="auto"/>
        <w:left w:val="none" w:sz="0" w:space="0" w:color="auto"/>
        <w:bottom w:val="none" w:sz="0" w:space="0" w:color="auto"/>
        <w:right w:val="none" w:sz="0" w:space="0" w:color="auto"/>
      </w:divBdr>
    </w:div>
    <w:div w:id="1192956418">
      <w:bodyDiv w:val="1"/>
      <w:marLeft w:val="0"/>
      <w:marRight w:val="0"/>
      <w:marTop w:val="0"/>
      <w:marBottom w:val="0"/>
      <w:divBdr>
        <w:top w:val="none" w:sz="0" w:space="0" w:color="auto"/>
        <w:left w:val="none" w:sz="0" w:space="0" w:color="auto"/>
        <w:bottom w:val="none" w:sz="0" w:space="0" w:color="auto"/>
        <w:right w:val="none" w:sz="0" w:space="0" w:color="auto"/>
      </w:divBdr>
    </w:div>
    <w:div w:id="1216282645">
      <w:bodyDiv w:val="1"/>
      <w:marLeft w:val="0"/>
      <w:marRight w:val="0"/>
      <w:marTop w:val="0"/>
      <w:marBottom w:val="0"/>
      <w:divBdr>
        <w:top w:val="none" w:sz="0" w:space="0" w:color="auto"/>
        <w:left w:val="none" w:sz="0" w:space="0" w:color="auto"/>
        <w:bottom w:val="none" w:sz="0" w:space="0" w:color="auto"/>
        <w:right w:val="none" w:sz="0" w:space="0" w:color="auto"/>
      </w:divBdr>
    </w:div>
    <w:div w:id="1233200928">
      <w:bodyDiv w:val="1"/>
      <w:marLeft w:val="0"/>
      <w:marRight w:val="0"/>
      <w:marTop w:val="0"/>
      <w:marBottom w:val="0"/>
      <w:divBdr>
        <w:top w:val="none" w:sz="0" w:space="0" w:color="auto"/>
        <w:left w:val="none" w:sz="0" w:space="0" w:color="auto"/>
        <w:bottom w:val="none" w:sz="0" w:space="0" w:color="auto"/>
        <w:right w:val="none" w:sz="0" w:space="0" w:color="auto"/>
      </w:divBdr>
    </w:div>
    <w:div w:id="1428232420">
      <w:bodyDiv w:val="1"/>
      <w:marLeft w:val="0"/>
      <w:marRight w:val="0"/>
      <w:marTop w:val="0"/>
      <w:marBottom w:val="0"/>
      <w:divBdr>
        <w:top w:val="none" w:sz="0" w:space="0" w:color="auto"/>
        <w:left w:val="none" w:sz="0" w:space="0" w:color="auto"/>
        <w:bottom w:val="none" w:sz="0" w:space="0" w:color="auto"/>
        <w:right w:val="none" w:sz="0" w:space="0" w:color="auto"/>
      </w:divBdr>
    </w:div>
    <w:div w:id="1434129020">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736971635">
      <w:bodyDiv w:val="1"/>
      <w:marLeft w:val="0"/>
      <w:marRight w:val="0"/>
      <w:marTop w:val="0"/>
      <w:marBottom w:val="0"/>
      <w:divBdr>
        <w:top w:val="none" w:sz="0" w:space="0" w:color="auto"/>
        <w:left w:val="none" w:sz="0" w:space="0" w:color="auto"/>
        <w:bottom w:val="none" w:sz="0" w:space="0" w:color="auto"/>
        <w:right w:val="none" w:sz="0" w:space="0" w:color="auto"/>
      </w:divBdr>
    </w:div>
    <w:div w:id="1819765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8.xml"/><Relationship Id="rId42" Type="http://schemas.openxmlformats.org/officeDocument/2006/relationships/footer" Target="footer15.xml"/><Relationship Id="rId47" Type="http://schemas.openxmlformats.org/officeDocument/2006/relationships/header" Target="header17.xml"/><Relationship Id="rId63" Type="http://schemas.openxmlformats.org/officeDocument/2006/relationships/hyperlink" Target="http://www.comlaw.gov.au/Series/C2004A02409" TargetMode="External"/><Relationship Id="rId68" Type="http://schemas.openxmlformats.org/officeDocument/2006/relationships/header" Target="header22.xml"/><Relationship Id="rId84" Type="http://schemas.openxmlformats.org/officeDocument/2006/relationships/header" Target="header29.xml"/><Relationship Id="rId89"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image" Target="media/image10.png"/><Relationship Id="rId74" Type="http://schemas.openxmlformats.org/officeDocument/2006/relationships/image" Target="media/image12.png"/><Relationship Id="rId79"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glossaryDocument" Target="glossary/document.xml"/><Relationship Id="rId95" Type="http://schemas.openxmlformats.org/officeDocument/2006/relationships/customXml" Target="../customXml/item5.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footer" Target="footer16.xml"/><Relationship Id="rId64" Type="http://schemas.openxmlformats.org/officeDocument/2006/relationships/hyperlink" Target="http://www.comlaw.gov.au/Series/C2004A03899" TargetMode="External"/><Relationship Id="rId69" Type="http://schemas.openxmlformats.org/officeDocument/2006/relationships/header" Target="header23.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eader" Target="header24.xml"/><Relationship Id="rId80" Type="http://schemas.openxmlformats.org/officeDocument/2006/relationships/footer" Target="footer26.xml"/><Relationship Id="rId85" Type="http://schemas.openxmlformats.org/officeDocument/2006/relationships/footer" Target="footer28.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header" Target="header14.xml"/><Relationship Id="rId46" Type="http://schemas.openxmlformats.org/officeDocument/2006/relationships/header" Target="header16.xml"/><Relationship Id="rId59" Type="http://schemas.openxmlformats.org/officeDocument/2006/relationships/image" Target="media/image11.png"/><Relationship Id="rId67" Type="http://schemas.openxmlformats.org/officeDocument/2006/relationships/chart" Target="charts/chart4.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footer" Target="footer19.xml"/><Relationship Id="rId62" Type="http://schemas.openxmlformats.org/officeDocument/2006/relationships/hyperlink" Target="https://www.marsh.com/us/insights/research/protection-and-indemnity-review-2019.html" TargetMode="External"/><Relationship Id="rId70" Type="http://schemas.openxmlformats.org/officeDocument/2006/relationships/footer" Target="footer22.xml"/><Relationship Id="rId75" Type="http://schemas.openxmlformats.org/officeDocument/2006/relationships/image" Target="media/image13.png"/><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image" Target="media/image6.png"/><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8.png"/><Relationship Id="rId52" Type="http://schemas.openxmlformats.org/officeDocument/2006/relationships/header" Target="header19.xml"/><Relationship Id="rId60" Type="http://schemas.openxmlformats.org/officeDocument/2006/relationships/hyperlink" Target="https://pmc.gov.au/resource-centre/regulation/cost-benefit-analysis-guidance-note" TargetMode="External"/><Relationship Id="rId65" Type="http://schemas.openxmlformats.org/officeDocument/2006/relationships/chart" Target="charts/chart2.xml"/><Relationship Id="rId73" Type="http://schemas.openxmlformats.org/officeDocument/2006/relationships/footer" Target="footer24.xml"/><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footer" Target="footer29.xm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3.xml"/><Relationship Id="rId34" Type="http://schemas.openxmlformats.org/officeDocument/2006/relationships/image" Target="media/image4.png"/><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9.xml"/><Relationship Id="rId40" Type="http://schemas.openxmlformats.org/officeDocument/2006/relationships/footer" Target="footer14.xml"/><Relationship Id="rId45" Type="http://schemas.openxmlformats.org/officeDocument/2006/relationships/image" Target="media/image9.png"/><Relationship Id="rId66" Type="http://schemas.openxmlformats.org/officeDocument/2006/relationships/chart" Target="charts/chart3.xml"/><Relationship Id="rId87" Type="http://schemas.openxmlformats.org/officeDocument/2006/relationships/header" Target="header30.xml"/><Relationship Id="rId61" Type="http://schemas.openxmlformats.org/officeDocument/2006/relationships/chart" Target="charts/chart1.xml"/><Relationship Id="rId82" Type="http://schemas.openxmlformats.org/officeDocument/2006/relationships/footer" Target="footer27.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image" Target="media/image5.png"/><Relationship Id="rId56" Type="http://schemas.openxmlformats.org/officeDocument/2006/relationships/header" Target="header21.xml"/><Relationship Id="rId77" Type="http://schemas.openxmlformats.org/officeDocument/2006/relationships/header" Target="header25.xml"/></Relationships>
</file>

<file path=word/_rels/footnotes.xml.rels><?xml version="1.0" encoding="UTF-8" standalone="yes"?>
<Relationships xmlns="http://schemas.openxmlformats.org/package/2006/relationships"><Relationship Id="rId3" Type="http://schemas.openxmlformats.org/officeDocument/2006/relationships/hyperlink" Target="https://pmc.gov.au/resource-centre/regulation/cost-benefit-analysis-guidance-note" TargetMode="External"/><Relationship Id="rId2" Type="http://schemas.openxmlformats.org/officeDocument/2006/relationships/hyperlink" Target="https://www.pmc.gov.au/resource-centre/regulation/user-guide-australian-government-guide-regulatory-impact-analysis%20dated%20March%202020" TargetMode="External"/><Relationship Id="rId1" Type="http://schemas.openxmlformats.org/officeDocument/2006/relationships/hyperlink" Target="https://www.pmc.gov.au/resource-centre/regulation/user-guide-australian-government-guide-regulatory-impact-analysis%20dated%20March%202020" TargetMode="External"/><Relationship Id="rId5" Type="http://schemas.openxmlformats.org/officeDocument/2006/relationships/hyperlink" Target="https://www.legislation.gov.uk/ukia/2010/249/pdfs/ukia_20100249_en.pdf" TargetMode="External"/><Relationship Id="rId4" Type="http://schemas.openxmlformats.org/officeDocument/2006/relationships/hyperlink" Target="https://www.msq.qld.gov.au/-/media/MSQInternet/MSQFiles/Home/WoW-Taskforce-Interim-Report-March-2019.pdf?la=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acil%20allen\1.projects\2020-21\j0617%20cba%20nairobi%20convention\cba\cost%20benefit%20analysis\9%20June%202021%20CBA%20Nairobi%20Conven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cil%20allen\1.projects\2020-21\j0617%20cba%20nairobi%20convention\cba\cost%20benefit%20analysis\18%20June%202021%20CBA%20Nairobi%20Conven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cil%20allen\1.projects\2020-21\j0617%20cba%20nairobi%20convention\cba\cost%20benefit%20analysis\18%20June%202021%20CBA%20Nairobi%20Conven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cil%20allen\1.projects\2020-21\j0617%20cba%20nairobi%20convention\cba\cost%20benefit%20analysis\18%20June%202021%20CBA%20Nairobi%20Conventio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chemeClr val="accent1"/>
              </a:solidFill>
              <a:round/>
            </a:ln>
            <a:effectLst/>
          </c:spPr>
          <c:marker>
            <c:symbol val="none"/>
          </c:marker>
          <c:cat>
            <c:numRef>
              <c:f>'Key parameters'!$H$82:$H$88</c:f>
              <c:numCache>
                <c:formatCode>General</c:formatCode>
                <c:ptCount val="7"/>
                <c:pt idx="0">
                  <c:v>2013</c:v>
                </c:pt>
                <c:pt idx="1">
                  <c:v>2014</c:v>
                </c:pt>
                <c:pt idx="2">
                  <c:v>2015</c:v>
                </c:pt>
                <c:pt idx="3">
                  <c:v>2016</c:v>
                </c:pt>
                <c:pt idx="4">
                  <c:v>2017</c:v>
                </c:pt>
                <c:pt idx="5">
                  <c:v>2018</c:v>
                </c:pt>
                <c:pt idx="6">
                  <c:v>2019</c:v>
                </c:pt>
              </c:numCache>
            </c:numRef>
          </c:cat>
          <c:val>
            <c:numRef>
              <c:f>'Key parameters'!$L$82:$L$88</c:f>
              <c:numCache>
                <c:formatCode>0.0</c:formatCode>
                <c:ptCount val="7"/>
                <c:pt idx="0">
                  <c:v>2.5293568961052073</c:v>
                </c:pt>
                <c:pt idx="1">
                  <c:v>2.7060108424589502</c:v>
                </c:pt>
                <c:pt idx="2">
                  <c:v>2.8439456800046377</c:v>
                </c:pt>
                <c:pt idx="3">
                  <c:v>2.4214319744506274</c:v>
                </c:pt>
                <c:pt idx="4">
                  <c:v>2.2896607223464893</c:v>
                </c:pt>
                <c:pt idx="5">
                  <c:v>2.0633893836370452</c:v>
                </c:pt>
                <c:pt idx="6">
                  <c:v>1.5655217355905637</c:v>
                </c:pt>
              </c:numCache>
            </c:numRef>
          </c:val>
          <c:smooth val="0"/>
          <c:extLst>
            <c:ext xmlns:c16="http://schemas.microsoft.com/office/drawing/2014/chart" uri="{C3380CC4-5D6E-409C-BE32-E72D297353CC}">
              <c16:uniqueId val="{00000000-2D9D-4C3C-8775-0458B8D71D23}"/>
            </c:ext>
          </c:extLst>
        </c:ser>
        <c:dLbls>
          <c:showLegendKey val="0"/>
          <c:showVal val="0"/>
          <c:showCatName val="0"/>
          <c:showSerName val="0"/>
          <c:showPercent val="0"/>
          <c:showBubbleSize val="0"/>
        </c:dLbls>
        <c:smooth val="0"/>
        <c:axId val="415972431"/>
        <c:axId val="415976591"/>
      </c:lineChart>
      <c:catAx>
        <c:axId val="41597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415976591"/>
        <c:crosses val="autoZero"/>
        <c:auto val="1"/>
        <c:lblAlgn val="ctr"/>
        <c:lblOffset val="100"/>
        <c:noMultiLvlLbl val="0"/>
      </c:catAx>
      <c:valAx>
        <c:axId val="415976591"/>
        <c:scaling>
          <c:orientation val="minMax"/>
        </c:scaling>
        <c:delete val="0"/>
        <c:axPos val="l"/>
        <c:majorGridlines>
          <c:spPr>
            <a:ln w="9525" cap="flat" cmpd="sng" algn="ctr">
              <a:solidFill>
                <a:schemeClr val="tx1">
                  <a:lumMod val="15000"/>
                  <a:lumOff val="85000"/>
                </a:schemeClr>
              </a:solidFill>
              <a:round/>
            </a:ln>
            <a:effectLst/>
          </c:spPr>
        </c:majorGridlines>
        <c:numFmt formatCode="#,##0.0;[Red]\-#,##0.0;&quot;$A/GT&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4159724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D85BE"/>
            </a:solidFill>
            <a:ln>
              <a:noFill/>
            </a:ln>
            <a:effectLst/>
            <a:extLst>
              <a:ext uri="{91240B29-F687-4F45-9708-019B960494DF}">
                <a14:hiddenLine xmlns:a14="http://schemas.microsoft.com/office/drawing/2010/main">
                  <a:noFill/>
                </a14:hiddenLine>
              </a:ext>
            </a:ex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'Levy pivot'!$A$5:$A$14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'Levy pivot'!$F$5:$F$14</c:f>
              <c:numCache>
                <c:formatCode>0.0</c:formatCode>
                <c:ptCount val="10"/>
                <c:pt idx="0">
                  <c:v>29.795965810000183</c:v>
                </c:pt>
                <c:pt idx="1">
                  <c:v>33.709175990000411</c:v>
                </c:pt>
                <c:pt idx="2">
                  <c:v>37.087722180000455</c:v>
                </c:pt>
                <c:pt idx="3">
                  <c:v>34.98704951000019</c:v>
                </c:pt>
                <c:pt idx="4">
                  <c:v>31.652406209999771</c:v>
                </c:pt>
                <c:pt idx="5">
                  <c:v>33.138915029999751</c:v>
                </c:pt>
                <c:pt idx="6">
                  <c:v>34.556253499999684</c:v>
                </c:pt>
                <c:pt idx="7">
                  <c:v>35.478227209999886</c:v>
                </c:pt>
                <c:pt idx="8">
                  <c:v>36.224914480000088</c:v>
                </c:pt>
                <c:pt idx="9">
                  <c:v>36.626522809999862</c:v>
                </c:pt>
              </c:numCache>
            </c:numRef>
          </c:val>
          <c:extLst>
            <c:ext xmlns:c16="http://schemas.microsoft.com/office/drawing/2014/chart" uri="{C3380CC4-5D6E-409C-BE32-E72D297353CC}">
              <c16:uniqueId val="{00000000-E381-465D-BCBA-7C51242791D6}"/>
            </c:ext>
          </c:extLst>
        </c:ser>
        <c:dLbls>
          <c:showLegendKey val="0"/>
          <c:showVal val="0"/>
          <c:showCatName val="0"/>
          <c:showSerName val="0"/>
          <c:showPercent val="0"/>
          <c:showBubbleSize val="0"/>
        </c:dLbls>
        <c:gapWidth val="219"/>
        <c:overlap val="-27"/>
        <c:axId val="1087914592"/>
        <c:axId val="1087921664"/>
      </c:barChart>
      <c:catAx>
        <c:axId val="10879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087921664"/>
        <c:crosses val="autoZero"/>
        <c:auto val="1"/>
        <c:lblAlgn val="ctr"/>
        <c:lblOffset val="100"/>
        <c:noMultiLvlLbl val="0"/>
      </c:catAx>
      <c:valAx>
        <c:axId val="1087921664"/>
        <c:scaling>
          <c:orientation val="minMax"/>
        </c:scaling>
        <c:delete val="0"/>
        <c:axPos val="l"/>
        <c:majorGridlines>
          <c:spPr>
            <a:ln w="9525" cap="flat" cmpd="sng" algn="ctr">
              <a:solidFill>
                <a:schemeClr val="tx1">
                  <a:lumMod val="15000"/>
                  <a:lumOff val="85000"/>
                </a:schemeClr>
              </a:solidFill>
              <a:round/>
            </a:ln>
            <a:effectLst/>
          </c:spPr>
        </c:majorGridlines>
        <c:numFmt formatCode="#,##0.0;[Red]\-#,##0.0;&quot;A$m&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087914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D85BE"/>
            </a:solidFill>
            <a:ln>
              <a:noFill/>
            </a:ln>
            <a:effectLst/>
            <a:extLst>
              <a:ext uri="{91240B29-F687-4F45-9708-019B960494DF}">
                <a14:hiddenLine xmlns:a14="http://schemas.microsoft.com/office/drawing/2010/main">
                  <a:noFill/>
                </a14:hiddenLine>
              </a:ext>
            </a:extLst>
          </c:spPr>
          <c:invertIfNegative val="0"/>
          <c:cat>
            <c:strRef>
              <c:f>'Levy pivot'!$A$5:$A$14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'Levy pivot'!$G$5:$G$14</c:f>
              <c:numCache>
                <c:formatCode>General</c:formatCode>
                <c:ptCount val="10"/>
                <c:pt idx="0">
                  <c:v>210.49338</c:v>
                </c:pt>
                <c:pt idx="1">
                  <c:v>245.45586</c:v>
                </c:pt>
                <c:pt idx="2">
                  <c:v>266.14398799999998</c:v>
                </c:pt>
                <c:pt idx="3">
                  <c:v>353.401704</c:v>
                </c:pt>
                <c:pt idx="4">
                  <c:v>286.10252800000001</c:v>
                </c:pt>
                <c:pt idx="5">
                  <c:v>298.51047599999998</c:v>
                </c:pt>
                <c:pt idx="6">
                  <c:v>311.791066</c:v>
                </c:pt>
                <c:pt idx="7">
                  <c:v>319.88550900000001</c:v>
                </c:pt>
                <c:pt idx="8">
                  <c:v>326.56043799999998</c:v>
                </c:pt>
                <c:pt idx="9">
                  <c:v>328.97779500000001</c:v>
                </c:pt>
              </c:numCache>
            </c:numRef>
          </c:val>
          <c:extLst>
            <c:ext xmlns:c16="http://schemas.microsoft.com/office/drawing/2014/chart" uri="{C3380CC4-5D6E-409C-BE32-E72D297353CC}">
              <c16:uniqueId val="{00000000-1B02-4776-B18B-B7DF6D2D4F92}"/>
            </c:ext>
          </c:extLst>
        </c:ser>
        <c:dLbls>
          <c:showLegendKey val="0"/>
          <c:showVal val="0"/>
          <c:showCatName val="0"/>
          <c:showSerName val="0"/>
          <c:showPercent val="0"/>
          <c:showBubbleSize val="0"/>
        </c:dLbls>
        <c:gapWidth val="219"/>
        <c:overlap val="-27"/>
        <c:axId val="1087914592"/>
        <c:axId val="1087921664"/>
      </c:barChart>
      <c:catAx>
        <c:axId val="10879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087921664"/>
        <c:crosses val="autoZero"/>
        <c:auto val="1"/>
        <c:lblAlgn val="ctr"/>
        <c:lblOffset val="100"/>
        <c:noMultiLvlLbl val="0"/>
      </c:catAx>
      <c:valAx>
        <c:axId val="1087921664"/>
        <c:scaling>
          <c:orientation val="minMax"/>
        </c:scaling>
        <c:delete val="0"/>
        <c:axPos val="l"/>
        <c:majorGridlines>
          <c:spPr>
            <a:ln w="9525" cap="flat" cmpd="sng" algn="ctr">
              <a:solidFill>
                <a:schemeClr val="tx1">
                  <a:lumMod val="15000"/>
                  <a:lumOff val="85000"/>
                </a:schemeClr>
              </a:solidFill>
              <a:round/>
            </a:ln>
            <a:effectLst/>
          </c:spPr>
        </c:majorGridlines>
        <c:numFmt formatCode="#,##0;[Red]\-#,##0;&quot;million net tonnage&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087914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700">
          <a:solidFill>
            <a:srgbClr val="000000"/>
          </a:solidFill>
          <a:latin typeface="Arial Narrow"/>
          <a:ea typeface="Arial Narrow"/>
          <a:cs typeface="Arial Narrow"/>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D85BE"/>
            </a:solidFill>
            <a:ln>
              <a:noFill/>
            </a:ln>
            <a:effectLst/>
            <a:extLst>
              <a:ext uri="{91240B29-F687-4F45-9708-019B960494DF}">
                <a14:hiddenLine xmlns:a14="http://schemas.microsoft.com/office/drawing/2010/main">
                  <a:noFill/>
                </a14:hiddenLine>
              </a:ext>
            </a:extLst>
          </c:spPr>
          <c:invertIfNegative val="0"/>
          <c:cat>
            <c:strRef>
              <c:f>'Levy pivot'!$A$5:$A$14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'Levy pivot'!$H$5:$H$14</c:f>
              <c:numCache>
                <c:formatCode>General</c:formatCode>
                <c:ptCount val="10"/>
                <c:pt idx="0">
                  <c:v>0.14155298285390344</c:v>
                </c:pt>
                <c:pt idx="1">
                  <c:v>0.13733294446504724</c:v>
                </c:pt>
                <c:pt idx="2">
                  <c:v>0.13935209455116626</c:v>
                </c:pt>
                <c:pt idx="3">
                  <c:v>9.9000794602847164E-2</c:v>
                </c:pt>
                <c:pt idx="4">
                  <c:v>0.11063308818438602</c:v>
                </c:pt>
                <c:pt idx="5">
                  <c:v>0.11101424470610456</c:v>
                </c:pt>
                <c:pt idx="6">
                  <c:v>0.11083144216839004</c:v>
                </c:pt>
                <c:pt idx="7">
                  <c:v>0.11090914158915491</c:v>
                </c:pt>
                <c:pt idx="8">
                  <c:v>0.11092866821791833</c:v>
                </c:pt>
                <c:pt idx="9">
                  <c:v>0.11133433127302668</c:v>
                </c:pt>
              </c:numCache>
            </c:numRef>
          </c:val>
          <c:extLst>
            <c:ext xmlns:c16="http://schemas.microsoft.com/office/drawing/2014/chart" uri="{C3380CC4-5D6E-409C-BE32-E72D297353CC}">
              <c16:uniqueId val="{00000000-DA40-4C11-8A86-2313B7A9368B}"/>
            </c:ext>
          </c:extLst>
        </c:ser>
        <c:dLbls>
          <c:showLegendKey val="0"/>
          <c:showVal val="0"/>
          <c:showCatName val="0"/>
          <c:showSerName val="0"/>
          <c:showPercent val="0"/>
          <c:showBubbleSize val="0"/>
        </c:dLbls>
        <c:gapWidth val="219"/>
        <c:overlap val="-27"/>
        <c:axId val="1087914592"/>
        <c:axId val="1087921664"/>
      </c:barChart>
      <c:catAx>
        <c:axId val="10879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0000"/>
                </a:solidFill>
                <a:latin typeface="Arial Narrow"/>
                <a:ea typeface="Arial Narrow"/>
                <a:cs typeface="Arial Narrow"/>
              </a:defRPr>
            </a:pPr>
            <a:endParaRPr lang="en-US"/>
          </a:p>
        </c:txPr>
        <c:crossAx val="1087921664"/>
        <c:crosses val="autoZero"/>
        <c:auto val="1"/>
        <c:lblAlgn val="ctr"/>
        <c:lblOffset val="100"/>
        <c:noMultiLvlLbl val="0"/>
      </c:catAx>
      <c:valAx>
        <c:axId val="1087921664"/>
        <c:scaling>
          <c:orientation val="minMax"/>
        </c:scaling>
        <c:delete val="0"/>
        <c:axPos val="l"/>
        <c:majorGridlines>
          <c:spPr>
            <a:ln w="9525" cap="flat" cmpd="sng" algn="ctr">
              <a:solidFill>
                <a:schemeClr val="tx1">
                  <a:lumMod val="15000"/>
                  <a:lumOff val="85000"/>
                </a:schemeClr>
              </a:solidFill>
              <a:round/>
            </a:ln>
            <a:effectLst/>
          </c:spPr>
        </c:majorGridlines>
        <c:numFmt formatCode="#,##0.00;[Red]\-#,##0.00;&quot;$A/NT&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0000"/>
                </a:solidFill>
                <a:latin typeface="Arial Narrow"/>
                <a:ea typeface="Arial Narrow"/>
                <a:cs typeface="Arial Narrow"/>
              </a:defRPr>
            </a:pPr>
            <a:endParaRPr lang="en-US"/>
          </a:p>
        </c:txPr>
        <c:crossAx val="1087914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noFill/>
      <a:round/>
    </a:ln>
    <a:effectLst/>
  </c:spPr>
  <c:txPr>
    <a:bodyPr/>
    <a:lstStyle/>
    <a:p>
      <a:pPr>
        <a:defRPr sz="700">
          <a:solidFill>
            <a:srgbClr val="000000"/>
          </a:solidFill>
          <a:latin typeface="Arial Narrow"/>
          <a:ea typeface="Arial Narrow"/>
          <a:cs typeface="Arial Narrow"/>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7"/>
        <w:category>
          <w:name w:val="General"/>
          <w:gallery w:val="placeholder"/>
        </w:category>
        <w:types>
          <w:type w:val="bbPlcHdr"/>
        </w:types>
        <w:behaviors>
          <w:behavior w:val="content"/>
        </w:behaviors>
        <w:guid w:val="{7F1ED85F-25D8-4B0D-AB9B-85EE9D3C37CF}"/>
      </w:docPartPr>
      <w:docPartBody>
        <w:p w:rsidR="00B63519" w:rsidRDefault="00B63519">
          <w:r w:rsidRPr="00F51520">
            <w:rPr>
              <w:rStyle w:val="PlaceholderText"/>
            </w:rPr>
            <w:t>Click or tap to enter a date.</w:t>
          </w:r>
        </w:p>
      </w:docPartBody>
    </w:docPart>
    <w:docPart>
      <w:docPartPr>
        <w:name w:val="8FBCBA6352C1454198201BA3A2C723FA"/>
        <w:category>
          <w:name w:val="General"/>
          <w:gallery w:val="placeholder"/>
        </w:category>
        <w:types>
          <w:type w:val="bbPlcHdr"/>
        </w:types>
        <w:behaviors>
          <w:behavior w:val="content"/>
        </w:behaviors>
        <w:guid w:val="{44685C5B-DA8C-406F-B6CD-A4ABC972701A}"/>
      </w:docPartPr>
      <w:docPartBody>
        <w:p w:rsidR="00B63519" w:rsidRDefault="00B63519">
          <w:r w:rsidRPr="00F51520">
            <w:rPr>
              <w:rStyle w:val="PlaceholderText"/>
            </w:rPr>
            <w:t>Report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cumin Pro">
    <w:altName w:val="Calibri"/>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19"/>
    <w:rsid w:val="00013942"/>
    <w:rsid w:val="00187C40"/>
    <w:rsid w:val="001B2360"/>
    <w:rsid w:val="00340FD6"/>
    <w:rsid w:val="00367469"/>
    <w:rsid w:val="00417792"/>
    <w:rsid w:val="00452764"/>
    <w:rsid w:val="00471AF1"/>
    <w:rsid w:val="00521F80"/>
    <w:rsid w:val="005A19BE"/>
    <w:rsid w:val="006240DF"/>
    <w:rsid w:val="006D1559"/>
    <w:rsid w:val="006E451A"/>
    <w:rsid w:val="0071569F"/>
    <w:rsid w:val="0074377E"/>
    <w:rsid w:val="00744263"/>
    <w:rsid w:val="007D2AED"/>
    <w:rsid w:val="00831B55"/>
    <w:rsid w:val="00876ED3"/>
    <w:rsid w:val="008E0985"/>
    <w:rsid w:val="008E441C"/>
    <w:rsid w:val="00986004"/>
    <w:rsid w:val="00A21DD0"/>
    <w:rsid w:val="00A44537"/>
    <w:rsid w:val="00A91F06"/>
    <w:rsid w:val="00A93EF4"/>
    <w:rsid w:val="00AD3523"/>
    <w:rsid w:val="00AE70C8"/>
    <w:rsid w:val="00B63519"/>
    <w:rsid w:val="00C22446"/>
    <w:rsid w:val="00C3079D"/>
    <w:rsid w:val="00C966DF"/>
    <w:rsid w:val="00CE2814"/>
    <w:rsid w:val="00D037FB"/>
    <w:rsid w:val="00D44CA8"/>
    <w:rsid w:val="00D81D76"/>
    <w:rsid w:val="00D97377"/>
    <w:rsid w:val="00DA70CA"/>
    <w:rsid w:val="00DB3BEB"/>
    <w:rsid w:val="00EE7C64"/>
    <w:rsid w:val="00F118E9"/>
    <w:rsid w:val="00F25565"/>
    <w:rsid w:val="00FA45AD"/>
    <w:rsid w:val="00FE65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35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6" ma:contentTypeDescription="Create a new document." ma:contentTypeScope="" ma:versionID="15883b792da53fd44784623907b31bb4">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fc62fc07c23b42ad0842bced76ef983"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DOCID-322795542-31592</_dlc_DocId>
    <_dlc_DocIdUrl xmlns="4195ad5f-cdf2-4c4a-8d9b-b7944a108e98">
      <Url>https://pmc01.sharepoint.com/sites/CRMOBPR/_layouts/15/DocIdRedir.aspx?ID=DOCID-322795542-31592</Url>
      <Description>DOCID-322795542-31592</Description>
    </_dlc_DocIdUrl>
  </documentManagement>
</p:properties>
</file>

<file path=customXml/itemProps1.xml><?xml version="1.0" encoding="utf-8"?>
<ds:datastoreItem xmlns:ds="http://schemas.openxmlformats.org/officeDocument/2006/customXml" ds:itemID="{0051A565-39F7-43E2-9029-6743163BFEE6}">
  <ds:schemaRefs>
    <ds:schemaRef ds:uri="http://schemas.openxmlformats.org/officeDocument/2006/bibliography"/>
  </ds:schemaRefs>
</ds:datastoreItem>
</file>

<file path=customXml/itemProps2.xml><?xml version="1.0" encoding="utf-8"?>
<ds:datastoreItem xmlns:ds="http://schemas.openxmlformats.org/officeDocument/2006/customXml" ds:itemID="{0E92E00E-57E9-4632-A912-3282D9E6CB7E}"/>
</file>

<file path=customXml/itemProps3.xml><?xml version="1.0" encoding="utf-8"?>
<ds:datastoreItem xmlns:ds="http://schemas.openxmlformats.org/officeDocument/2006/customXml" ds:itemID="{B1A0F804-EA04-46D2-BD1F-EEF88BDA2BEF}"/>
</file>

<file path=customXml/itemProps4.xml><?xml version="1.0" encoding="utf-8"?>
<ds:datastoreItem xmlns:ds="http://schemas.openxmlformats.org/officeDocument/2006/customXml" ds:itemID="{B9AC65EC-8957-44DE-9D26-EFD3D69FC5EC}"/>
</file>

<file path=customXml/itemProps5.xml><?xml version="1.0" encoding="utf-8"?>
<ds:datastoreItem xmlns:ds="http://schemas.openxmlformats.org/officeDocument/2006/customXml" ds:itemID="{6795D60D-2C66-42AD-A42D-F46CC0B2A1A9}"/>
</file>

<file path=docProps/app.xml><?xml version="1.0" encoding="utf-8"?>
<Properties xmlns="http://schemas.openxmlformats.org/officeDocument/2006/extended-properties" xmlns:vt="http://schemas.openxmlformats.org/officeDocument/2006/docPropsVTypes">
  <Template>Normal</Template>
  <TotalTime>0</TotalTime>
  <Pages>54</Pages>
  <Words>21029</Words>
  <Characters>110618</Characters>
  <Application>Microsoft Office Word</Application>
  <DocSecurity>0</DocSecurity>
  <Lines>3814</Lines>
  <Paragraphs>2483</Paragraphs>
  <ScaleCrop>false</ScaleCrop>
  <HeadingPairs>
    <vt:vector size="2" baseType="variant">
      <vt:variant>
        <vt:lpstr>Title</vt:lpstr>
      </vt:variant>
      <vt:variant>
        <vt:i4>1</vt:i4>
      </vt:variant>
    </vt:vector>
  </HeadingPairs>
  <TitlesOfParts>
    <vt:vector size="1" baseType="lpstr">
      <vt:lpstr>Report</vt:lpstr>
    </vt:vector>
  </TitlesOfParts>
  <Manager/>
  <Company/>
  <LinksUpToDate>false</LinksUpToDate>
  <CharactersWithSpaces>129164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
  <cp:keywords/>
  <dc:description/>
  <cp:lastModifiedBy/>
  <cp:revision>1</cp:revision>
  <dcterms:created xsi:type="dcterms:W3CDTF">2023-04-19T05:44:00Z</dcterms:created>
  <dcterms:modified xsi:type="dcterms:W3CDTF">2023-04-19T05:46:00Z</dcterms:modified>
  <cp:category>12.12.29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cc3ab8b5-9799-4ac4-bbfc-3b169f07da12</vt:lpwstr>
  </property>
</Properties>
</file>