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7.xml" ContentType="application/vnd.openxmlformats-officedocument.wordprocessingml.header+xml"/>
  <Override PartName="/word/header6.xml" ContentType="application/vnd.openxmlformats-officedocument.wordprocessingml.header+xml"/>
  <Override PartName="/word/header5.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4.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5.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8.xml" ContentType="application/vnd.openxmlformats-officedocument.wordprocessingml.header+xml"/>
  <Override PartName="/word/header16.xml" ContentType="application/vnd.openxmlformats-officedocument.wordprocessingml.header+xml"/>
  <Override PartName="/word/footer1.xml" ContentType="application/vnd.openxmlformats-officedocument.wordprocessingml.footer+xml"/>
  <Override PartName="/word/header17.xml" ContentType="application/vnd.openxmlformats-officedocument.wordprocessingml.header+xml"/>
  <Override PartName="/word/header2.xml" ContentType="application/vnd.openxmlformats-officedocument.wordprocessingml.header+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theme/theme1.xml" ContentType="application/vnd.openxmlformats-officedocument.theme+xml"/>
  <Override PartName="/word/charts/colors1.xml" ContentType="application/vnd.ms-office.chartcolorstyle+xml"/>
  <Override PartName="/word/glossary/settings.xml" ContentType="application/vnd.openxmlformats-officedocument.wordprocessingml.settings+xml"/>
  <Override PartName="/word/settings.xml" ContentType="application/vnd.openxmlformats-officedocument.wordprocessingml.settings+xml"/>
  <Override PartName="/word/glossary/document.xml" ContentType="application/vnd.openxmlformats-officedocument.wordprocessingml.document.glossary+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word/webSettings.xml" ContentType="application/vnd.openxmlformats-officedocument.wordprocessingml.webSettings+xml"/>
  <Override PartName="/word/fontTable.xml" ContentType="application/vnd.openxmlformats-officedocument.wordprocessingml.fontTable+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807C96" w14:textId="03675BAD" w:rsidR="008456D5" w:rsidRPr="00B703F0" w:rsidRDefault="00546218" w:rsidP="00F1428D">
      <w:pPr>
        <w:ind w:left="-1247"/>
      </w:pPr>
      <w:r w:rsidRPr="00B703F0">
        <w:rPr>
          <w:noProof/>
          <w:lang w:eastAsia="en-AU"/>
        </w:rPr>
        <w:drawing>
          <wp:anchor distT="0" distB="0" distL="114300" distR="114300" simplePos="0" relativeHeight="251658240" behindDoc="0" locked="1" layoutInCell="1" allowOverlap="1" wp14:anchorId="056ADDD3" wp14:editId="6FCC943B">
            <wp:simplePos x="0" y="0"/>
            <wp:positionH relativeFrom="page">
              <wp:align>right</wp:align>
            </wp:positionH>
            <wp:positionV relativeFrom="page">
              <wp:align>bottom</wp:align>
            </wp:positionV>
            <wp:extent cx="10692000" cy="3595320"/>
            <wp:effectExtent l="0" t="0" r="0" b="5715"/>
            <wp:wrapNone/>
            <wp:docPr id="14" name="Picture 14" descr="background" title="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eport-Template-Long_Network-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692000" cy="3595320"/>
                    </a:xfrm>
                    <a:prstGeom prst="rect">
                      <a:avLst/>
                    </a:prstGeom>
                  </pic:spPr>
                </pic:pic>
              </a:graphicData>
            </a:graphic>
            <wp14:sizeRelH relativeFrom="margin">
              <wp14:pctWidth>0</wp14:pctWidth>
            </wp14:sizeRelH>
            <wp14:sizeRelV relativeFrom="margin">
              <wp14:pctHeight>0</wp14:pctHeight>
            </wp14:sizeRelV>
          </wp:anchor>
        </w:drawing>
      </w:r>
      <w:r w:rsidR="00402325">
        <w:rPr>
          <w:noProof/>
          <w:lang w:eastAsia="en-AU"/>
        </w:rPr>
        <w:drawing>
          <wp:inline distT="0" distB="0" distL="0" distR="0" wp14:anchorId="14772C73" wp14:editId="4736104C">
            <wp:extent cx="3645535" cy="67056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45535" cy="670560"/>
                    </a:xfrm>
                    <a:prstGeom prst="rect">
                      <a:avLst/>
                    </a:prstGeom>
                    <a:noFill/>
                  </pic:spPr>
                </pic:pic>
              </a:graphicData>
            </a:graphic>
          </wp:inline>
        </w:drawing>
      </w:r>
    </w:p>
    <w:p w14:paraId="58384E7F" w14:textId="73EBD9C9" w:rsidR="00A114E6" w:rsidRPr="00B703F0" w:rsidRDefault="009F73E6" w:rsidP="0022611D">
      <w:pPr>
        <w:pStyle w:val="Title"/>
      </w:pPr>
      <w:r w:rsidRPr="00B703F0">
        <w:t>Regulatory Impact Statement</w:t>
      </w:r>
    </w:p>
    <w:p w14:paraId="03284D56" w14:textId="77777777" w:rsidR="00DE4FE2" w:rsidRPr="00B703F0" w:rsidRDefault="009F73E6" w:rsidP="00DE4FE2">
      <w:pPr>
        <w:pStyle w:val="Subtitle"/>
      </w:pPr>
      <w:r w:rsidRPr="00B703F0">
        <w:t xml:space="preserve">Australia’s accession to </w:t>
      </w:r>
      <w:r w:rsidR="00CD2263" w:rsidRPr="00B703F0">
        <w:t xml:space="preserve">the </w:t>
      </w:r>
      <w:r w:rsidR="00CD2263" w:rsidRPr="00B703F0">
        <w:rPr>
          <w:i/>
        </w:rPr>
        <w:t>Nairobi International Convention on the Removal of Wrecks</w:t>
      </w:r>
    </w:p>
    <w:p w14:paraId="3C2B7EA3" w14:textId="056458C0" w:rsidR="00DE4FE2" w:rsidRPr="00B703F0" w:rsidRDefault="00664028" w:rsidP="00DE4FE2">
      <w:pPr>
        <w:pStyle w:val="CoverDate"/>
      </w:pPr>
      <w:r>
        <w:t>Novembe</w:t>
      </w:r>
      <w:r w:rsidR="001964F6">
        <w:t>r</w:t>
      </w:r>
      <w:r w:rsidR="00975FD5">
        <w:t xml:space="preserve"> 2022</w:t>
      </w:r>
    </w:p>
    <w:p w14:paraId="6BA5F500" w14:textId="3F14F5A9" w:rsidR="00DE4FE2" w:rsidRPr="00B703F0" w:rsidRDefault="00866F63" w:rsidP="0022611D">
      <w:pPr>
        <w:pStyle w:val="CoverPhoto"/>
      </w:pPr>
      <w:r w:rsidRPr="00B703F0">
        <w:rPr>
          <w:noProof/>
          <w:lang w:eastAsia="en-AU"/>
        </w:rPr>
        <w:drawing>
          <wp:inline distT="0" distB="0" distL="0" distR="0" wp14:anchorId="22211DD4" wp14:editId="30F2B3B1">
            <wp:extent cx="5471795" cy="3731260"/>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eport-Template-Long_Photo-1.png"/>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5471795" cy="3731260"/>
                    </a:xfrm>
                    <a:prstGeom prst="rect">
                      <a:avLst/>
                    </a:prstGeom>
                    <a:ln>
                      <a:noFill/>
                    </a:ln>
                    <a:extLst>
                      <a:ext uri="{53640926-AAD7-44D8-BBD7-CCE9431645EC}">
                        <a14:shadowObscured xmlns:a14="http://schemas.microsoft.com/office/drawing/2010/main"/>
                      </a:ext>
                    </a:extLst>
                  </pic:spPr>
                </pic:pic>
              </a:graphicData>
            </a:graphic>
          </wp:inline>
        </w:drawing>
      </w:r>
    </w:p>
    <w:p w14:paraId="58B50446" w14:textId="77777777" w:rsidR="00DE4FE2" w:rsidRPr="00B703F0" w:rsidRDefault="00DE4FE2"/>
    <w:p w14:paraId="3371D443" w14:textId="77777777" w:rsidR="00DE4FE2" w:rsidRPr="00B703F0" w:rsidRDefault="00DE4FE2">
      <w:pPr>
        <w:sectPr w:rsidR="00DE4FE2" w:rsidRPr="00B703F0" w:rsidSect="00546218">
          <w:headerReference w:type="even" r:id="rId11"/>
          <w:headerReference w:type="default" r:id="rId12"/>
          <w:footerReference w:type="even" r:id="rId13"/>
          <w:footerReference w:type="default" r:id="rId14"/>
          <w:headerReference w:type="first" r:id="rId15"/>
          <w:footerReference w:type="first" r:id="rId16"/>
          <w:pgSz w:w="11906" w:h="16838" w:code="9"/>
          <w:pgMar w:top="1021" w:right="1021" w:bottom="1021" w:left="2268" w:header="510" w:footer="567" w:gutter="0"/>
          <w:cols w:space="708"/>
          <w:titlePg/>
          <w:docGrid w:linePitch="360"/>
        </w:sectPr>
      </w:pPr>
    </w:p>
    <w:p w14:paraId="30E8D838" w14:textId="2207A53F" w:rsidR="00DE4FE2" w:rsidRDefault="002B7197" w:rsidP="00F35863">
      <w:pPr>
        <w:pStyle w:val="TOCHeading"/>
        <w:spacing w:after="120"/>
      </w:pPr>
      <w:r w:rsidRPr="00B703F0">
        <w:lastRenderedPageBreak/>
        <w:t>Table of C</w:t>
      </w:r>
      <w:r w:rsidR="00DE4FE2" w:rsidRPr="00B703F0">
        <w:t>ontents</w:t>
      </w:r>
    </w:p>
    <w:p w14:paraId="1A5B2C71" w14:textId="649D875C" w:rsidR="00C025E8" w:rsidRDefault="00C025E8" w:rsidP="00C025E8"/>
    <w:p w14:paraId="180B44CD" w14:textId="3BF6DF3D" w:rsidR="003D6E44" w:rsidRDefault="00C025E8">
      <w:pPr>
        <w:pStyle w:val="TOC1"/>
        <w:rPr>
          <w:rFonts w:eastAsiaTheme="minorEastAsia"/>
          <w:b w:val="0"/>
          <w:noProof/>
          <w:color w:val="auto"/>
          <w:kern w:val="0"/>
          <w:sz w:val="22"/>
          <w:szCs w:val="22"/>
          <w:u w:val="none"/>
          <w:lang w:eastAsia="en-AU"/>
        </w:rPr>
      </w:pPr>
      <w:r>
        <w:fldChar w:fldCharType="begin"/>
      </w:r>
      <w:r>
        <w:instrText xml:space="preserve"> TOC \o "3-3" \h \z \t "Heading 1,1,Heading 2,2,Heading 1 Numbered,1,Heading 2 Numbered,2,Appendix Heading 1,1,Attachment Heading 1,1" </w:instrText>
      </w:r>
      <w:r>
        <w:fldChar w:fldCharType="separate"/>
      </w:r>
      <w:hyperlink w:anchor="_Toc105060766" w:history="1">
        <w:r w:rsidR="003D6E44" w:rsidRPr="00AA73ED">
          <w:rPr>
            <w:rStyle w:val="Hyperlink"/>
            <w:noProof/>
          </w:rPr>
          <w:t>Glossary</w:t>
        </w:r>
        <w:r w:rsidR="003D6E44">
          <w:rPr>
            <w:noProof/>
            <w:webHidden/>
          </w:rPr>
          <w:tab/>
        </w:r>
        <w:r w:rsidR="003D6E44">
          <w:rPr>
            <w:noProof/>
            <w:webHidden/>
          </w:rPr>
          <w:fldChar w:fldCharType="begin"/>
        </w:r>
        <w:r w:rsidR="003D6E44">
          <w:rPr>
            <w:noProof/>
            <w:webHidden/>
          </w:rPr>
          <w:instrText xml:space="preserve"> PAGEREF _Toc105060766 \h </w:instrText>
        </w:r>
        <w:r w:rsidR="003D6E44">
          <w:rPr>
            <w:noProof/>
            <w:webHidden/>
          </w:rPr>
        </w:r>
        <w:r w:rsidR="003D6E44">
          <w:rPr>
            <w:noProof/>
            <w:webHidden/>
          </w:rPr>
          <w:fldChar w:fldCharType="separate"/>
        </w:r>
        <w:r w:rsidR="000F268E">
          <w:rPr>
            <w:noProof/>
            <w:webHidden/>
          </w:rPr>
          <w:t>4</w:t>
        </w:r>
        <w:r w:rsidR="003D6E44">
          <w:rPr>
            <w:noProof/>
            <w:webHidden/>
          </w:rPr>
          <w:fldChar w:fldCharType="end"/>
        </w:r>
      </w:hyperlink>
    </w:p>
    <w:p w14:paraId="035B2679" w14:textId="16DAA804" w:rsidR="003D6E44" w:rsidRDefault="000F268E">
      <w:pPr>
        <w:pStyle w:val="TOC1"/>
        <w:rPr>
          <w:rFonts w:eastAsiaTheme="minorEastAsia"/>
          <w:b w:val="0"/>
          <w:noProof/>
          <w:color w:val="auto"/>
          <w:kern w:val="0"/>
          <w:sz w:val="22"/>
          <w:szCs w:val="22"/>
          <w:u w:val="none"/>
          <w:lang w:eastAsia="en-AU"/>
        </w:rPr>
      </w:pPr>
      <w:hyperlink w:anchor="_Toc105060767" w:history="1">
        <w:r w:rsidR="003D6E44" w:rsidRPr="00AA73ED">
          <w:rPr>
            <w:rStyle w:val="Hyperlink"/>
            <w:noProof/>
          </w:rPr>
          <w:t>1.</w:t>
        </w:r>
        <w:r w:rsidR="003D6E44">
          <w:rPr>
            <w:rFonts w:eastAsiaTheme="minorEastAsia"/>
            <w:b w:val="0"/>
            <w:noProof/>
            <w:color w:val="auto"/>
            <w:kern w:val="0"/>
            <w:sz w:val="22"/>
            <w:szCs w:val="22"/>
            <w:u w:val="none"/>
            <w:lang w:eastAsia="en-AU"/>
          </w:rPr>
          <w:tab/>
        </w:r>
        <w:r w:rsidR="003D6E44" w:rsidRPr="00AA73ED">
          <w:rPr>
            <w:rStyle w:val="Hyperlink"/>
            <w:noProof/>
          </w:rPr>
          <w:t>Executive summary</w:t>
        </w:r>
        <w:r w:rsidR="003D6E44">
          <w:rPr>
            <w:noProof/>
            <w:webHidden/>
          </w:rPr>
          <w:tab/>
        </w:r>
        <w:r w:rsidR="003D6E44">
          <w:rPr>
            <w:noProof/>
            <w:webHidden/>
          </w:rPr>
          <w:fldChar w:fldCharType="begin"/>
        </w:r>
        <w:r w:rsidR="003D6E44">
          <w:rPr>
            <w:noProof/>
            <w:webHidden/>
          </w:rPr>
          <w:instrText xml:space="preserve"> PAGEREF _Toc105060767 \h </w:instrText>
        </w:r>
        <w:r w:rsidR="003D6E44">
          <w:rPr>
            <w:noProof/>
            <w:webHidden/>
          </w:rPr>
        </w:r>
        <w:r w:rsidR="003D6E44">
          <w:rPr>
            <w:noProof/>
            <w:webHidden/>
          </w:rPr>
          <w:fldChar w:fldCharType="separate"/>
        </w:r>
        <w:r>
          <w:rPr>
            <w:noProof/>
            <w:webHidden/>
          </w:rPr>
          <w:t>7</w:t>
        </w:r>
        <w:r w:rsidR="003D6E44">
          <w:rPr>
            <w:noProof/>
            <w:webHidden/>
          </w:rPr>
          <w:fldChar w:fldCharType="end"/>
        </w:r>
      </w:hyperlink>
    </w:p>
    <w:p w14:paraId="5ADF93B2" w14:textId="1FFA6086" w:rsidR="003D6E44" w:rsidRDefault="000F268E">
      <w:pPr>
        <w:pStyle w:val="TOC1"/>
        <w:rPr>
          <w:rFonts w:eastAsiaTheme="minorEastAsia"/>
          <w:b w:val="0"/>
          <w:noProof/>
          <w:color w:val="auto"/>
          <w:kern w:val="0"/>
          <w:sz w:val="22"/>
          <w:szCs w:val="22"/>
          <w:u w:val="none"/>
          <w:lang w:eastAsia="en-AU"/>
        </w:rPr>
      </w:pPr>
      <w:hyperlink w:anchor="_Toc105060768" w:history="1">
        <w:r w:rsidR="003D6E44" w:rsidRPr="00AA73ED">
          <w:rPr>
            <w:rStyle w:val="Hyperlink"/>
            <w:noProof/>
          </w:rPr>
          <w:t>2.</w:t>
        </w:r>
        <w:r w:rsidR="003D6E44">
          <w:rPr>
            <w:rFonts w:eastAsiaTheme="minorEastAsia"/>
            <w:b w:val="0"/>
            <w:noProof/>
            <w:color w:val="auto"/>
            <w:kern w:val="0"/>
            <w:sz w:val="22"/>
            <w:szCs w:val="22"/>
            <w:u w:val="none"/>
            <w:lang w:eastAsia="en-AU"/>
          </w:rPr>
          <w:tab/>
        </w:r>
        <w:r w:rsidR="003D6E44" w:rsidRPr="00AA73ED">
          <w:rPr>
            <w:rStyle w:val="Hyperlink"/>
            <w:noProof/>
          </w:rPr>
          <w:t>Introduction</w:t>
        </w:r>
        <w:r w:rsidR="003D6E44">
          <w:rPr>
            <w:noProof/>
            <w:webHidden/>
          </w:rPr>
          <w:tab/>
        </w:r>
        <w:r w:rsidR="003D6E44">
          <w:rPr>
            <w:noProof/>
            <w:webHidden/>
          </w:rPr>
          <w:fldChar w:fldCharType="begin"/>
        </w:r>
        <w:r w:rsidR="003D6E44">
          <w:rPr>
            <w:noProof/>
            <w:webHidden/>
          </w:rPr>
          <w:instrText xml:space="preserve"> PAGEREF _Toc105060768 \h </w:instrText>
        </w:r>
        <w:r w:rsidR="003D6E44">
          <w:rPr>
            <w:noProof/>
            <w:webHidden/>
          </w:rPr>
        </w:r>
        <w:r w:rsidR="003D6E44">
          <w:rPr>
            <w:noProof/>
            <w:webHidden/>
          </w:rPr>
          <w:fldChar w:fldCharType="separate"/>
        </w:r>
        <w:r>
          <w:rPr>
            <w:noProof/>
            <w:webHidden/>
          </w:rPr>
          <w:t>8</w:t>
        </w:r>
        <w:r w:rsidR="003D6E44">
          <w:rPr>
            <w:noProof/>
            <w:webHidden/>
          </w:rPr>
          <w:fldChar w:fldCharType="end"/>
        </w:r>
      </w:hyperlink>
    </w:p>
    <w:p w14:paraId="4E320627" w14:textId="69E9E3A3" w:rsidR="003D6E44" w:rsidRDefault="000F268E">
      <w:pPr>
        <w:pStyle w:val="TOC2"/>
        <w:tabs>
          <w:tab w:val="right" w:pos="9854"/>
        </w:tabs>
        <w:rPr>
          <w:rFonts w:eastAsiaTheme="minorEastAsia"/>
          <w:noProof/>
          <w:color w:val="auto"/>
          <w:kern w:val="0"/>
          <w:sz w:val="22"/>
          <w:szCs w:val="22"/>
          <w:lang w:eastAsia="en-AU"/>
        </w:rPr>
      </w:pPr>
      <w:hyperlink w:anchor="_Toc105060769" w:history="1">
        <w:r w:rsidR="003D6E44" w:rsidRPr="00AA73ED">
          <w:rPr>
            <w:rStyle w:val="Hyperlink"/>
            <w:noProof/>
          </w:rPr>
          <w:t>2.1</w:t>
        </w:r>
        <w:r w:rsidR="003D6E44">
          <w:rPr>
            <w:rFonts w:eastAsiaTheme="minorEastAsia"/>
            <w:noProof/>
            <w:color w:val="auto"/>
            <w:kern w:val="0"/>
            <w:sz w:val="22"/>
            <w:szCs w:val="22"/>
            <w:lang w:eastAsia="en-AU"/>
          </w:rPr>
          <w:tab/>
        </w:r>
        <w:r w:rsidR="003D6E44" w:rsidRPr="00AA73ED">
          <w:rPr>
            <w:rStyle w:val="Hyperlink"/>
            <w:noProof/>
          </w:rPr>
          <w:t>Problem</w:t>
        </w:r>
        <w:r w:rsidR="003D6E44">
          <w:rPr>
            <w:noProof/>
            <w:webHidden/>
          </w:rPr>
          <w:tab/>
        </w:r>
        <w:r w:rsidR="003D6E44">
          <w:rPr>
            <w:noProof/>
            <w:webHidden/>
          </w:rPr>
          <w:fldChar w:fldCharType="begin"/>
        </w:r>
        <w:r w:rsidR="003D6E44">
          <w:rPr>
            <w:noProof/>
            <w:webHidden/>
          </w:rPr>
          <w:instrText xml:space="preserve"> PAGEREF _Toc105060769 \h </w:instrText>
        </w:r>
        <w:r w:rsidR="003D6E44">
          <w:rPr>
            <w:noProof/>
            <w:webHidden/>
          </w:rPr>
        </w:r>
        <w:r w:rsidR="003D6E44">
          <w:rPr>
            <w:noProof/>
            <w:webHidden/>
          </w:rPr>
          <w:fldChar w:fldCharType="separate"/>
        </w:r>
        <w:r>
          <w:rPr>
            <w:noProof/>
            <w:webHidden/>
          </w:rPr>
          <w:t>10</w:t>
        </w:r>
        <w:r w:rsidR="003D6E44">
          <w:rPr>
            <w:noProof/>
            <w:webHidden/>
          </w:rPr>
          <w:fldChar w:fldCharType="end"/>
        </w:r>
      </w:hyperlink>
    </w:p>
    <w:p w14:paraId="7022F4FC" w14:textId="3796949F" w:rsidR="003D6E44" w:rsidRDefault="000F268E">
      <w:pPr>
        <w:pStyle w:val="TOC2"/>
        <w:tabs>
          <w:tab w:val="right" w:pos="9854"/>
        </w:tabs>
        <w:rPr>
          <w:rFonts w:eastAsiaTheme="minorEastAsia"/>
          <w:noProof/>
          <w:color w:val="auto"/>
          <w:kern w:val="0"/>
          <w:sz w:val="22"/>
          <w:szCs w:val="22"/>
          <w:lang w:eastAsia="en-AU"/>
        </w:rPr>
      </w:pPr>
      <w:hyperlink w:anchor="_Toc105060770" w:history="1">
        <w:r w:rsidR="003D6E44" w:rsidRPr="00AA73ED">
          <w:rPr>
            <w:rStyle w:val="Hyperlink"/>
            <w:noProof/>
          </w:rPr>
          <w:t>2.2</w:t>
        </w:r>
        <w:r w:rsidR="003D6E44">
          <w:rPr>
            <w:rFonts w:eastAsiaTheme="minorEastAsia"/>
            <w:noProof/>
            <w:color w:val="auto"/>
            <w:kern w:val="0"/>
            <w:sz w:val="22"/>
            <w:szCs w:val="22"/>
            <w:lang w:eastAsia="en-AU"/>
          </w:rPr>
          <w:tab/>
        </w:r>
        <w:r w:rsidR="003D6E44" w:rsidRPr="00AA73ED">
          <w:rPr>
            <w:rStyle w:val="Hyperlink"/>
            <w:noProof/>
          </w:rPr>
          <w:t>Case for Government Action</w:t>
        </w:r>
        <w:r w:rsidR="003D6E44">
          <w:rPr>
            <w:noProof/>
            <w:webHidden/>
          </w:rPr>
          <w:tab/>
        </w:r>
        <w:r w:rsidR="003D6E44">
          <w:rPr>
            <w:noProof/>
            <w:webHidden/>
          </w:rPr>
          <w:fldChar w:fldCharType="begin"/>
        </w:r>
        <w:r w:rsidR="003D6E44">
          <w:rPr>
            <w:noProof/>
            <w:webHidden/>
          </w:rPr>
          <w:instrText xml:space="preserve"> PAGEREF _Toc105060770 \h </w:instrText>
        </w:r>
        <w:r w:rsidR="003D6E44">
          <w:rPr>
            <w:noProof/>
            <w:webHidden/>
          </w:rPr>
        </w:r>
        <w:r w:rsidR="003D6E44">
          <w:rPr>
            <w:noProof/>
            <w:webHidden/>
          </w:rPr>
          <w:fldChar w:fldCharType="separate"/>
        </w:r>
        <w:r>
          <w:rPr>
            <w:noProof/>
            <w:webHidden/>
          </w:rPr>
          <w:t>13</w:t>
        </w:r>
        <w:r w:rsidR="003D6E44">
          <w:rPr>
            <w:noProof/>
            <w:webHidden/>
          </w:rPr>
          <w:fldChar w:fldCharType="end"/>
        </w:r>
      </w:hyperlink>
    </w:p>
    <w:p w14:paraId="081D5A31" w14:textId="25D99029" w:rsidR="003D6E44" w:rsidRDefault="000F268E">
      <w:pPr>
        <w:pStyle w:val="TOC2"/>
        <w:tabs>
          <w:tab w:val="right" w:pos="9854"/>
        </w:tabs>
        <w:rPr>
          <w:rFonts w:eastAsiaTheme="minorEastAsia"/>
          <w:noProof/>
          <w:color w:val="auto"/>
          <w:kern w:val="0"/>
          <w:sz w:val="22"/>
          <w:szCs w:val="22"/>
          <w:lang w:eastAsia="en-AU"/>
        </w:rPr>
      </w:pPr>
      <w:hyperlink w:anchor="_Toc105060771" w:history="1">
        <w:r w:rsidR="003D6E44" w:rsidRPr="00AA73ED">
          <w:rPr>
            <w:rStyle w:val="Hyperlink"/>
            <w:noProof/>
          </w:rPr>
          <w:t>2.3</w:t>
        </w:r>
        <w:r w:rsidR="003D6E44">
          <w:rPr>
            <w:rFonts w:eastAsiaTheme="minorEastAsia"/>
            <w:noProof/>
            <w:color w:val="auto"/>
            <w:kern w:val="0"/>
            <w:sz w:val="22"/>
            <w:szCs w:val="22"/>
            <w:lang w:eastAsia="en-AU"/>
          </w:rPr>
          <w:tab/>
        </w:r>
        <w:r w:rsidR="003D6E44" w:rsidRPr="00AA73ED">
          <w:rPr>
            <w:rStyle w:val="Hyperlink"/>
            <w:noProof/>
          </w:rPr>
          <w:t>Objectives of the Regulatory Impact Statement</w:t>
        </w:r>
        <w:r w:rsidR="003D6E44">
          <w:rPr>
            <w:noProof/>
            <w:webHidden/>
          </w:rPr>
          <w:tab/>
        </w:r>
        <w:r w:rsidR="003D6E44">
          <w:rPr>
            <w:noProof/>
            <w:webHidden/>
          </w:rPr>
          <w:fldChar w:fldCharType="begin"/>
        </w:r>
        <w:r w:rsidR="003D6E44">
          <w:rPr>
            <w:noProof/>
            <w:webHidden/>
          </w:rPr>
          <w:instrText xml:space="preserve"> PAGEREF _Toc105060771 \h </w:instrText>
        </w:r>
        <w:r w:rsidR="003D6E44">
          <w:rPr>
            <w:noProof/>
            <w:webHidden/>
          </w:rPr>
        </w:r>
        <w:r w:rsidR="003D6E44">
          <w:rPr>
            <w:noProof/>
            <w:webHidden/>
          </w:rPr>
          <w:fldChar w:fldCharType="separate"/>
        </w:r>
        <w:r>
          <w:rPr>
            <w:noProof/>
            <w:webHidden/>
          </w:rPr>
          <w:t>14</w:t>
        </w:r>
        <w:r w:rsidR="003D6E44">
          <w:rPr>
            <w:noProof/>
            <w:webHidden/>
          </w:rPr>
          <w:fldChar w:fldCharType="end"/>
        </w:r>
      </w:hyperlink>
    </w:p>
    <w:p w14:paraId="6919B9FA" w14:textId="0997B777" w:rsidR="003D6E44" w:rsidRDefault="000F268E">
      <w:pPr>
        <w:pStyle w:val="TOC1"/>
        <w:rPr>
          <w:rFonts w:eastAsiaTheme="minorEastAsia"/>
          <w:b w:val="0"/>
          <w:noProof/>
          <w:color w:val="auto"/>
          <w:kern w:val="0"/>
          <w:sz w:val="22"/>
          <w:szCs w:val="22"/>
          <w:u w:val="none"/>
          <w:lang w:eastAsia="en-AU"/>
        </w:rPr>
      </w:pPr>
      <w:hyperlink w:anchor="_Toc105060772" w:history="1">
        <w:r w:rsidR="003D6E44" w:rsidRPr="00AA73ED">
          <w:rPr>
            <w:rStyle w:val="Hyperlink"/>
            <w:noProof/>
          </w:rPr>
          <w:t>3.</w:t>
        </w:r>
        <w:r w:rsidR="003D6E44">
          <w:rPr>
            <w:rFonts w:eastAsiaTheme="minorEastAsia"/>
            <w:b w:val="0"/>
            <w:noProof/>
            <w:color w:val="auto"/>
            <w:kern w:val="0"/>
            <w:sz w:val="22"/>
            <w:szCs w:val="22"/>
            <w:u w:val="none"/>
            <w:lang w:eastAsia="en-AU"/>
          </w:rPr>
          <w:tab/>
        </w:r>
        <w:r w:rsidR="003D6E44" w:rsidRPr="00AA73ED">
          <w:rPr>
            <w:rStyle w:val="Hyperlink"/>
            <w:noProof/>
          </w:rPr>
          <w:t>Options</w:t>
        </w:r>
        <w:r w:rsidR="003D6E44">
          <w:rPr>
            <w:noProof/>
            <w:webHidden/>
          </w:rPr>
          <w:tab/>
        </w:r>
        <w:r w:rsidR="003D6E44">
          <w:rPr>
            <w:noProof/>
            <w:webHidden/>
          </w:rPr>
          <w:fldChar w:fldCharType="begin"/>
        </w:r>
        <w:r w:rsidR="003D6E44">
          <w:rPr>
            <w:noProof/>
            <w:webHidden/>
          </w:rPr>
          <w:instrText xml:space="preserve"> PAGEREF _Toc105060772 \h </w:instrText>
        </w:r>
        <w:r w:rsidR="003D6E44">
          <w:rPr>
            <w:noProof/>
            <w:webHidden/>
          </w:rPr>
        </w:r>
        <w:r w:rsidR="003D6E44">
          <w:rPr>
            <w:noProof/>
            <w:webHidden/>
          </w:rPr>
          <w:fldChar w:fldCharType="separate"/>
        </w:r>
        <w:r>
          <w:rPr>
            <w:noProof/>
            <w:webHidden/>
          </w:rPr>
          <w:t>15</w:t>
        </w:r>
        <w:r w:rsidR="003D6E44">
          <w:rPr>
            <w:noProof/>
            <w:webHidden/>
          </w:rPr>
          <w:fldChar w:fldCharType="end"/>
        </w:r>
      </w:hyperlink>
    </w:p>
    <w:p w14:paraId="1B00A428" w14:textId="10052FCD" w:rsidR="003D6E44" w:rsidRDefault="000F268E">
      <w:pPr>
        <w:pStyle w:val="TOC2"/>
        <w:tabs>
          <w:tab w:val="right" w:pos="9854"/>
        </w:tabs>
        <w:rPr>
          <w:rFonts w:eastAsiaTheme="minorEastAsia"/>
          <w:noProof/>
          <w:color w:val="auto"/>
          <w:kern w:val="0"/>
          <w:sz w:val="22"/>
          <w:szCs w:val="22"/>
          <w:lang w:eastAsia="en-AU"/>
        </w:rPr>
      </w:pPr>
      <w:hyperlink w:anchor="_Toc105060773" w:history="1">
        <w:r w:rsidR="003D6E44" w:rsidRPr="00AA73ED">
          <w:rPr>
            <w:rStyle w:val="Hyperlink"/>
            <w:noProof/>
          </w:rPr>
          <w:t>Option 1: Status quo</w:t>
        </w:r>
        <w:r w:rsidR="003D6E44">
          <w:rPr>
            <w:noProof/>
            <w:webHidden/>
          </w:rPr>
          <w:tab/>
        </w:r>
        <w:r w:rsidR="003D6E44">
          <w:rPr>
            <w:noProof/>
            <w:webHidden/>
          </w:rPr>
          <w:fldChar w:fldCharType="begin"/>
        </w:r>
        <w:r w:rsidR="003D6E44">
          <w:rPr>
            <w:noProof/>
            <w:webHidden/>
          </w:rPr>
          <w:instrText xml:space="preserve"> PAGEREF _Toc105060773 \h </w:instrText>
        </w:r>
        <w:r w:rsidR="003D6E44">
          <w:rPr>
            <w:noProof/>
            <w:webHidden/>
          </w:rPr>
        </w:r>
        <w:r w:rsidR="003D6E44">
          <w:rPr>
            <w:noProof/>
            <w:webHidden/>
          </w:rPr>
          <w:fldChar w:fldCharType="separate"/>
        </w:r>
        <w:r>
          <w:rPr>
            <w:noProof/>
            <w:webHidden/>
          </w:rPr>
          <w:t>15</w:t>
        </w:r>
        <w:r w:rsidR="003D6E44">
          <w:rPr>
            <w:noProof/>
            <w:webHidden/>
          </w:rPr>
          <w:fldChar w:fldCharType="end"/>
        </w:r>
      </w:hyperlink>
    </w:p>
    <w:p w14:paraId="02A6616F" w14:textId="6541DA93" w:rsidR="003D6E44" w:rsidRDefault="000F268E">
      <w:pPr>
        <w:pStyle w:val="TOC2"/>
        <w:tabs>
          <w:tab w:val="right" w:pos="9854"/>
        </w:tabs>
        <w:rPr>
          <w:rFonts w:eastAsiaTheme="minorEastAsia"/>
          <w:noProof/>
          <w:color w:val="auto"/>
          <w:kern w:val="0"/>
          <w:sz w:val="22"/>
          <w:szCs w:val="22"/>
          <w:lang w:eastAsia="en-AU"/>
        </w:rPr>
      </w:pPr>
      <w:hyperlink w:anchor="_Toc105060774" w:history="1">
        <w:r w:rsidR="003D6E44" w:rsidRPr="00AA73ED">
          <w:rPr>
            <w:rStyle w:val="Hyperlink"/>
            <w:noProof/>
          </w:rPr>
          <w:t xml:space="preserve">Option 2: Amendments to the </w:t>
        </w:r>
        <w:r w:rsidR="003D6E44" w:rsidRPr="00AA73ED">
          <w:rPr>
            <w:rStyle w:val="Hyperlink"/>
            <w:i/>
            <w:noProof/>
          </w:rPr>
          <w:t>Navigation Act 2012</w:t>
        </w:r>
        <w:r w:rsidR="003D6E44">
          <w:rPr>
            <w:noProof/>
            <w:webHidden/>
          </w:rPr>
          <w:tab/>
        </w:r>
        <w:r w:rsidR="003D6E44">
          <w:rPr>
            <w:noProof/>
            <w:webHidden/>
          </w:rPr>
          <w:fldChar w:fldCharType="begin"/>
        </w:r>
        <w:r w:rsidR="003D6E44">
          <w:rPr>
            <w:noProof/>
            <w:webHidden/>
          </w:rPr>
          <w:instrText xml:space="preserve"> PAGEREF _Toc105060774 \h </w:instrText>
        </w:r>
        <w:r w:rsidR="003D6E44">
          <w:rPr>
            <w:noProof/>
            <w:webHidden/>
          </w:rPr>
        </w:r>
        <w:r w:rsidR="003D6E44">
          <w:rPr>
            <w:noProof/>
            <w:webHidden/>
          </w:rPr>
          <w:fldChar w:fldCharType="separate"/>
        </w:r>
        <w:r>
          <w:rPr>
            <w:noProof/>
            <w:webHidden/>
          </w:rPr>
          <w:t>17</w:t>
        </w:r>
        <w:r w:rsidR="003D6E44">
          <w:rPr>
            <w:noProof/>
            <w:webHidden/>
          </w:rPr>
          <w:fldChar w:fldCharType="end"/>
        </w:r>
      </w:hyperlink>
    </w:p>
    <w:p w14:paraId="43F49D11" w14:textId="6DC769E7" w:rsidR="003D6E44" w:rsidRDefault="000F268E">
      <w:pPr>
        <w:pStyle w:val="TOC2"/>
        <w:tabs>
          <w:tab w:val="right" w:pos="9854"/>
        </w:tabs>
        <w:rPr>
          <w:rFonts w:eastAsiaTheme="minorEastAsia"/>
          <w:noProof/>
          <w:color w:val="auto"/>
          <w:kern w:val="0"/>
          <w:sz w:val="22"/>
          <w:szCs w:val="22"/>
          <w:lang w:eastAsia="en-AU"/>
        </w:rPr>
      </w:pPr>
      <w:hyperlink w:anchor="_Toc105060775" w:history="1">
        <w:r w:rsidR="003D6E44" w:rsidRPr="00AA73ED">
          <w:rPr>
            <w:rStyle w:val="Hyperlink"/>
            <w:noProof/>
          </w:rPr>
          <w:t>Option 3: Australia accedes to the Nairobi Convention and applies it to all ships in the EEZ</w:t>
        </w:r>
        <w:r w:rsidR="003D6E44">
          <w:rPr>
            <w:noProof/>
            <w:webHidden/>
          </w:rPr>
          <w:tab/>
        </w:r>
        <w:r w:rsidR="003D6E44">
          <w:rPr>
            <w:noProof/>
            <w:webHidden/>
          </w:rPr>
          <w:fldChar w:fldCharType="begin"/>
        </w:r>
        <w:r w:rsidR="003D6E44">
          <w:rPr>
            <w:noProof/>
            <w:webHidden/>
          </w:rPr>
          <w:instrText xml:space="preserve"> PAGEREF _Toc105060775 \h </w:instrText>
        </w:r>
        <w:r w:rsidR="003D6E44">
          <w:rPr>
            <w:noProof/>
            <w:webHidden/>
          </w:rPr>
        </w:r>
        <w:r w:rsidR="003D6E44">
          <w:rPr>
            <w:noProof/>
            <w:webHidden/>
          </w:rPr>
          <w:fldChar w:fldCharType="separate"/>
        </w:r>
        <w:r>
          <w:rPr>
            <w:noProof/>
            <w:webHidden/>
          </w:rPr>
          <w:t>18</w:t>
        </w:r>
        <w:r w:rsidR="003D6E44">
          <w:rPr>
            <w:noProof/>
            <w:webHidden/>
          </w:rPr>
          <w:fldChar w:fldCharType="end"/>
        </w:r>
      </w:hyperlink>
    </w:p>
    <w:p w14:paraId="1A3A626F" w14:textId="4A75D5A3" w:rsidR="003D6E44" w:rsidRDefault="000F268E">
      <w:pPr>
        <w:pStyle w:val="TOC2"/>
        <w:tabs>
          <w:tab w:val="right" w:pos="9854"/>
        </w:tabs>
        <w:rPr>
          <w:rFonts w:eastAsiaTheme="minorEastAsia"/>
          <w:noProof/>
          <w:color w:val="auto"/>
          <w:kern w:val="0"/>
          <w:sz w:val="22"/>
          <w:szCs w:val="22"/>
          <w:lang w:eastAsia="en-AU"/>
        </w:rPr>
      </w:pPr>
      <w:hyperlink w:anchor="_Toc105060776" w:history="1">
        <w:r w:rsidR="003D6E44" w:rsidRPr="00AA73ED">
          <w:rPr>
            <w:rStyle w:val="Hyperlink"/>
            <w:noProof/>
          </w:rPr>
          <w:t>Option 4: Australia accedes to the Nairobi Convention and applies it to all ships in the EEZ and the territorial sea</w:t>
        </w:r>
        <w:r w:rsidR="003D6E44">
          <w:rPr>
            <w:noProof/>
            <w:webHidden/>
          </w:rPr>
          <w:tab/>
        </w:r>
        <w:r w:rsidR="003D6E44">
          <w:rPr>
            <w:noProof/>
            <w:webHidden/>
          </w:rPr>
          <w:fldChar w:fldCharType="begin"/>
        </w:r>
        <w:r w:rsidR="003D6E44">
          <w:rPr>
            <w:noProof/>
            <w:webHidden/>
          </w:rPr>
          <w:instrText xml:space="preserve"> PAGEREF _Toc105060776 \h </w:instrText>
        </w:r>
        <w:r w:rsidR="003D6E44">
          <w:rPr>
            <w:noProof/>
            <w:webHidden/>
          </w:rPr>
        </w:r>
        <w:r w:rsidR="003D6E44">
          <w:rPr>
            <w:noProof/>
            <w:webHidden/>
          </w:rPr>
          <w:fldChar w:fldCharType="separate"/>
        </w:r>
        <w:r>
          <w:rPr>
            <w:noProof/>
            <w:webHidden/>
          </w:rPr>
          <w:t>23</w:t>
        </w:r>
        <w:r w:rsidR="003D6E44">
          <w:rPr>
            <w:noProof/>
            <w:webHidden/>
          </w:rPr>
          <w:fldChar w:fldCharType="end"/>
        </w:r>
      </w:hyperlink>
    </w:p>
    <w:p w14:paraId="4CDEEADB" w14:textId="5FB814F4" w:rsidR="003D6E44" w:rsidRDefault="000F268E">
      <w:pPr>
        <w:pStyle w:val="TOC1"/>
        <w:rPr>
          <w:rFonts w:eastAsiaTheme="minorEastAsia"/>
          <w:b w:val="0"/>
          <w:noProof/>
          <w:color w:val="auto"/>
          <w:kern w:val="0"/>
          <w:sz w:val="22"/>
          <w:szCs w:val="22"/>
          <w:u w:val="none"/>
          <w:lang w:eastAsia="en-AU"/>
        </w:rPr>
      </w:pPr>
      <w:hyperlink w:anchor="_Toc105060777" w:history="1">
        <w:r w:rsidR="003D6E44" w:rsidRPr="00AA73ED">
          <w:rPr>
            <w:rStyle w:val="Hyperlink"/>
            <w:noProof/>
          </w:rPr>
          <w:t>4.</w:t>
        </w:r>
        <w:r w:rsidR="003D6E44">
          <w:rPr>
            <w:rFonts w:eastAsiaTheme="minorEastAsia"/>
            <w:b w:val="0"/>
            <w:noProof/>
            <w:color w:val="auto"/>
            <w:kern w:val="0"/>
            <w:sz w:val="22"/>
            <w:szCs w:val="22"/>
            <w:u w:val="none"/>
            <w:lang w:eastAsia="en-AU"/>
          </w:rPr>
          <w:tab/>
        </w:r>
        <w:r w:rsidR="003D6E44" w:rsidRPr="00AA73ED">
          <w:rPr>
            <w:rStyle w:val="Hyperlink"/>
            <w:noProof/>
          </w:rPr>
          <w:t>Consultation</w:t>
        </w:r>
        <w:r w:rsidR="003D6E44">
          <w:rPr>
            <w:noProof/>
            <w:webHidden/>
          </w:rPr>
          <w:tab/>
        </w:r>
        <w:r w:rsidR="003D6E44">
          <w:rPr>
            <w:noProof/>
            <w:webHidden/>
          </w:rPr>
          <w:fldChar w:fldCharType="begin"/>
        </w:r>
        <w:r w:rsidR="003D6E44">
          <w:rPr>
            <w:noProof/>
            <w:webHidden/>
          </w:rPr>
          <w:instrText xml:space="preserve"> PAGEREF _Toc105060777 \h </w:instrText>
        </w:r>
        <w:r w:rsidR="003D6E44">
          <w:rPr>
            <w:noProof/>
            <w:webHidden/>
          </w:rPr>
        </w:r>
        <w:r w:rsidR="003D6E44">
          <w:rPr>
            <w:noProof/>
            <w:webHidden/>
          </w:rPr>
          <w:fldChar w:fldCharType="separate"/>
        </w:r>
        <w:r>
          <w:rPr>
            <w:noProof/>
            <w:webHidden/>
          </w:rPr>
          <w:t>25</w:t>
        </w:r>
        <w:r w:rsidR="003D6E44">
          <w:rPr>
            <w:noProof/>
            <w:webHidden/>
          </w:rPr>
          <w:fldChar w:fldCharType="end"/>
        </w:r>
      </w:hyperlink>
    </w:p>
    <w:p w14:paraId="1EE4A5AF" w14:textId="50C9206D" w:rsidR="003D6E44" w:rsidRDefault="000F268E">
      <w:pPr>
        <w:pStyle w:val="TOC2"/>
        <w:tabs>
          <w:tab w:val="right" w:pos="9854"/>
        </w:tabs>
        <w:rPr>
          <w:rFonts w:eastAsiaTheme="minorEastAsia"/>
          <w:noProof/>
          <w:color w:val="auto"/>
          <w:kern w:val="0"/>
          <w:sz w:val="22"/>
          <w:szCs w:val="22"/>
          <w:lang w:eastAsia="en-AU"/>
        </w:rPr>
      </w:pPr>
      <w:hyperlink w:anchor="_Toc105060778" w:history="1">
        <w:r w:rsidR="003D6E44" w:rsidRPr="00AA73ED">
          <w:rPr>
            <w:rStyle w:val="Hyperlink"/>
            <w:noProof/>
          </w:rPr>
          <w:t>4.1</w:t>
        </w:r>
        <w:r w:rsidR="003D6E44">
          <w:rPr>
            <w:rFonts w:eastAsiaTheme="minorEastAsia"/>
            <w:noProof/>
            <w:color w:val="auto"/>
            <w:kern w:val="0"/>
            <w:sz w:val="22"/>
            <w:szCs w:val="22"/>
            <w:lang w:eastAsia="en-AU"/>
          </w:rPr>
          <w:tab/>
        </w:r>
        <w:r w:rsidR="003D6E44" w:rsidRPr="00AA73ED">
          <w:rPr>
            <w:rStyle w:val="Hyperlink"/>
            <w:noProof/>
          </w:rPr>
          <w:t>Means of consultation</w:t>
        </w:r>
        <w:r w:rsidR="003D6E44">
          <w:rPr>
            <w:noProof/>
            <w:webHidden/>
          </w:rPr>
          <w:tab/>
        </w:r>
        <w:r w:rsidR="003D6E44">
          <w:rPr>
            <w:noProof/>
            <w:webHidden/>
          </w:rPr>
          <w:fldChar w:fldCharType="begin"/>
        </w:r>
        <w:r w:rsidR="003D6E44">
          <w:rPr>
            <w:noProof/>
            <w:webHidden/>
          </w:rPr>
          <w:instrText xml:space="preserve"> PAGEREF _Toc105060778 \h </w:instrText>
        </w:r>
        <w:r w:rsidR="003D6E44">
          <w:rPr>
            <w:noProof/>
            <w:webHidden/>
          </w:rPr>
        </w:r>
        <w:r w:rsidR="003D6E44">
          <w:rPr>
            <w:noProof/>
            <w:webHidden/>
          </w:rPr>
          <w:fldChar w:fldCharType="separate"/>
        </w:r>
        <w:r>
          <w:rPr>
            <w:noProof/>
            <w:webHidden/>
          </w:rPr>
          <w:t>25</w:t>
        </w:r>
        <w:r w:rsidR="003D6E44">
          <w:rPr>
            <w:noProof/>
            <w:webHidden/>
          </w:rPr>
          <w:fldChar w:fldCharType="end"/>
        </w:r>
      </w:hyperlink>
    </w:p>
    <w:p w14:paraId="44B4E10C" w14:textId="1558608F" w:rsidR="003D6E44" w:rsidRDefault="000F268E">
      <w:pPr>
        <w:pStyle w:val="TOC2"/>
        <w:tabs>
          <w:tab w:val="right" w:pos="9854"/>
        </w:tabs>
        <w:rPr>
          <w:rFonts w:eastAsiaTheme="minorEastAsia"/>
          <w:noProof/>
          <w:color w:val="auto"/>
          <w:kern w:val="0"/>
          <w:sz w:val="22"/>
          <w:szCs w:val="22"/>
          <w:lang w:eastAsia="en-AU"/>
        </w:rPr>
      </w:pPr>
      <w:hyperlink w:anchor="_Toc105060779" w:history="1">
        <w:r w:rsidR="003D6E44" w:rsidRPr="00AA73ED">
          <w:rPr>
            <w:rStyle w:val="Hyperlink"/>
            <w:noProof/>
          </w:rPr>
          <w:t>4.2</w:t>
        </w:r>
        <w:r w:rsidR="003D6E44">
          <w:rPr>
            <w:rFonts w:eastAsiaTheme="minorEastAsia"/>
            <w:noProof/>
            <w:color w:val="auto"/>
            <w:kern w:val="0"/>
            <w:sz w:val="22"/>
            <w:szCs w:val="22"/>
            <w:lang w:eastAsia="en-AU"/>
          </w:rPr>
          <w:tab/>
        </w:r>
        <w:r w:rsidR="003D6E44" w:rsidRPr="00AA73ED">
          <w:rPr>
            <w:rStyle w:val="Hyperlink"/>
            <w:noProof/>
          </w:rPr>
          <w:t>Key issues raised in consultation</w:t>
        </w:r>
        <w:r w:rsidR="003D6E44">
          <w:rPr>
            <w:noProof/>
            <w:webHidden/>
          </w:rPr>
          <w:tab/>
        </w:r>
        <w:r w:rsidR="003D6E44">
          <w:rPr>
            <w:noProof/>
            <w:webHidden/>
          </w:rPr>
          <w:fldChar w:fldCharType="begin"/>
        </w:r>
        <w:r w:rsidR="003D6E44">
          <w:rPr>
            <w:noProof/>
            <w:webHidden/>
          </w:rPr>
          <w:instrText xml:space="preserve"> PAGEREF _Toc105060779 \h </w:instrText>
        </w:r>
        <w:r w:rsidR="003D6E44">
          <w:rPr>
            <w:noProof/>
            <w:webHidden/>
          </w:rPr>
        </w:r>
        <w:r w:rsidR="003D6E44">
          <w:rPr>
            <w:noProof/>
            <w:webHidden/>
          </w:rPr>
          <w:fldChar w:fldCharType="separate"/>
        </w:r>
        <w:r>
          <w:rPr>
            <w:noProof/>
            <w:webHidden/>
          </w:rPr>
          <w:t>26</w:t>
        </w:r>
        <w:r w:rsidR="003D6E44">
          <w:rPr>
            <w:noProof/>
            <w:webHidden/>
          </w:rPr>
          <w:fldChar w:fldCharType="end"/>
        </w:r>
      </w:hyperlink>
    </w:p>
    <w:p w14:paraId="6A2A6538" w14:textId="2AB4CCDD" w:rsidR="003D6E44" w:rsidRDefault="000F268E">
      <w:pPr>
        <w:pStyle w:val="TOC1"/>
        <w:rPr>
          <w:rFonts w:eastAsiaTheme="minorEastAsia"/>
          <w:b w:val="0"/>
          <w:noProof/>
          <w:color w:val="auto"/>
          <w:kern w:val="0"/>
          <w:sz w:val="22"/>
          <w:szCs w:val="22"/>
          <w:u w:val="none"/>
          <w:lang w:eastAsia="en-AU"/>
        </w:rPr>
      </w:pPr>
      <w:hyperlink w:anchor="_Toc105060780" w:history="1">
        <w:r w:rsidR="003D6E44" w:rsidRPr="00AA73ED">
          <w:rPr>
            <w:rStyle w:val="Hyperlink"/>
            <w:noProof/>
          </w:rPr>
          <w:t>5.</w:t>
        </w:r>
        <w:r w:rsidR="003D6E44">
          <w:rPr>
            <w:rFonts w:eastAsiaTheme="minorEastAsia"/>
            <w:b w:val="0"/>
            <w:noProof/>
            <w:color w:val="auto"/>
            <w:kern w:val="0"/>
            <w:sz w:val="22"/>
            <w:szCs w:val="22"/>
            <w:u w:val="none"/>
            <w:lang w:eastAsia="en-AU"/>
          </w:rPr>
          <w:tab/>
        </w:r>
        <w:r w:rsidR="003D6E44" w:rsidRPr="00AA73ED">
          <w:rPr>
            <w:rStyle w:val="Hyperlink"/>
            <w:noProof/>
          </w:rPr>
          <w:t>Cost benefit analysis</w:t>
        </w:r>
        <w:r w:rsidR="003D6E44">
          <w:rPr>
            <w:noProof/>
            <w:webHidden/>
          </w:rPr>
          <w:tab/>
        </w:r>
        <w:r w:rsidR="003D6E44">
          <w:rPr>
            <w:noProof/>
            <w:webHidden/>
          </w:rPr>
          <w:fldChar w:fldCharType="begin"/>
        </w:r>
        <w:r w:rsidR="003D6E44">
          <w:rPr>
            <w:noProof/>
            <w:webHidden/>
          </w:rPr>
          <w:instrText xml:space="preserve"> PAGEREF _Toc105060780 \h </w:instrText>
        </w:r>
        <w:r w:rsidR="003D6E44">
          <w:rPr>
            <w:noProof/>
            <w:webHidden/>
          </w:rPr>
        </w:r>
        <w:r w:rsidR="003D6E44">
          <w:rPr>
            <w:noProof/>
            <w:webHidden/>
          </w:rPr>
          <w:fldChar w:fldCharType="separate"/>
        </w:r>
        <w:r>
          <w:rPr>
            <w:noProof/>
            <w:webHidden/>
          </w:rPr>
          <w:t>28</w:t>
        </w:r>
        <w:r w:rsidR="003D6E44">
          <w:rPr>
            <w:noProof/>
            <w:webHidden/>
          </w:rPr>
          <w:fldChar w:fldCharType="end"/>
        </w:r>
      </w:hyperlink>
    </w:p>
    <w:p w14:paraId="777A09B4" w14:textId="0189FF4E" w:rsidR="003D6E44" w:rsidRDefault="000F268E">
      <w:pPr>
        <w:pStyle w:val="TOC2"/>
        <w:tabs>
          <w:tab w:val="right" w:pos="9854"/>
        </w:tabs>
        <w:rPr>
          <w:rFonts w:eastAsiaTheme="minorEastAsia"/>
          <w:noProof/>
          <w:color w:val="auto"/>
          <w:kern w:val="0"/>
          <w:sz w:val="22"/>
          <w:szCs w:val="22"/>
          <w:lang w:eastAsia="en-AU"/>
        </w:rPr>
      </w:pPr>
      <w:hyperlink w:anchor="_Toc105060781" w:history="1">
        <w:r w:rsidR="003D6E44" w:rsidRPr="00AA73ED">
          <w:rPr>
            <w:rStyle w:val="Hyperlink"/>
            <w:noProof/>
          </w:rPr>
          <w:t>5.1</w:t>
        </w:r>
        <w:r w:rsidR="003D6E44">
          <w:rPr>
            <w:rFonts w:eastAsiaTheme="minorEastAsia"/>
            <w:noProof/>
            <w:color w:val="auto"/>
            <w:kern w:val="0"/>
            <w:sz w:val="22"/>
            <w:szCs w:val="22"/>
            <w:lang w:eastAsia="en-AU"/>
          </w:rPr>
          <w:tab/>
        </w:r>
        <w:r w:rsidR="003D6E44" w:rsidRPr="00AA73ED">
          <w:rPr>
            <w:rStyle w:val="Hyperlink"/>
            <w:noProof/>
          </w:rPr>
          <w:t>Who is impacted and what is the impact</w:t>
        </w:r>
        <w:r w:rsidR="003D6E44">
          <w:rPr>
            <w:noProof/>
            <w:webHidden/>
          </w:rPr>
          <w:tab/>
        </w:r>
        <w:r w:rsidR="003D6E44">
          <w:rPr>
            <w:noProof/>
            <w:webHidden/>
          </w:rPr>
          <w:fldChar w:fldCharType="begin"/>
        </w:r>
        <w:r w:rsidR="003D6E44">
          <w:rPr>
            <w:noProof/>
            <w:webHidden/>
          </w:rPr>
          <w:instrText xml:space="preserve"> PAGEREF _Toc105060781 \h </w:instrText>
        </w:r>
        <w:r w:rsidR="003D6E44">
          <w:rPr>
            <w:noProof/>
            <w:webHidden/>
          </w:rPr>
        </w:r>
        <w:r w:rsidR="003D6E44">
          <w:rPr>
            <w:noProof/>
            <w:webHidden/>
          </w:rPr>
          <w:fldChar w:fldCharType="separate"/>
        </w:r>
        <w:r>
          <w:rPr>
            <w:noProof/>
            <w:webHidden/>
          </w:rPr>
          <w:t>30</w:t>
        </w:r>
        <w:r w:rsidR="003D6E44">
          <w:rPr>
            <w:noProof/>
            <w:webHidden/>
          </w:rPr>
          <w:fldChar w:fldCharType="end"/>
        </w:r>
      </w:hyperlink>
    </w:p>
    <w:p w14:paraId="1FD341F8" w14:textId="68D7B0EC" w:rsidR="003D6E44" w:rsidRDefault="000F268E">
      <w:pPr>
        <w:pStyle w:val="TOC2"/>
        <w:tabs>
          <w:tab w:val="right" w:pos="9854"/>
        </w:tabs>
        <w:rPr>
          <w:rFonts w:eastAsiaTheme="minorEastAsia"/>
          <w:noProof/>
          <w:color w:val="auto"/>
          <w:kern w:val="0"/>
          <w:sz w:val="22"/>
          <w:szCs w:val="22"/>
          <w:lang w:eastAsia="en-AU"/>
        </w:rPr>
      </w:pPr>
      <w:hyperlink w:anchor="_Toc105060782" w:history="1">
        <w:r w:rsidR="003D6E44" w:rsidRPr="00AA73ED">
          <w:rPr>
            <w:rStyle w:val="Hyperlink"/>
            <w:noProof/>
          </w:rPr>
          <w:t>5.2</w:t>
        </w:r>
        <w:r w:rsidR="003D6E44">
          <w:rPr>
            <w:rFonts w:eastAsiaTheme="minorEastAsia"/>
            <w:noProof/>
            <w:color w:val="auto"/>
            <w:kern w:val="0"/>
            <w:sz w:val="22"/>
            <w:szCs w:val="22"/>
            <w:lang w:eastAsia="en-AU"/>
          </w:rPr>
          <w:tab/>
        </w:r>
        <w:r w:rsidR="003D6E44" w:rsidRPr="00AA73ED">
          <w:rPr>
            <w:rStyle w:val="Hyperlink"/>
            <w:noProof/>
          </w:rPr>
          <w:t>Expected ongoing compliance costs under Options 3 and 4</w:t>
        </w:r>
        <w:r w:rsidR="003D6E44">
          <w:rPr>
            <w:noProof/>
            <w:webHidden/>
          </w:rPr>
          <w:tab/>
        </w:r>
        <w:r w:rsidR="003D6E44">
          <w:rPr>
            <w:noProof/>
            <w:webHidden/>
          </w:rPr>
          <w:fldChar w:fldCharType="begin"/>
        </w:r>
        <w:r w:rsidR="003D6E44">
          <w:rPr>
            <w:noProof/>
            <w:webHidden/>
          </w:rPr>
          <w:instrText xml:space="preserve"> PAGEREF _Toc105060782 \h </w:instrText>
        </w:r>
        <w:r w:rsidR="003D6E44">
          <w:rPr>
            <w:noProof/>
            <w:webHidden/>
          </w:rPr>
        </w:r>
        <w:r w:rsidR="003D6E44">
          <w:rPr>
            <w:noProof/>
            <w:webHidden/>
          </w:rPr>
          <w:fldChar w:fldCharType="separate"/>
        </w:r>
        <w:r>
          <w:rPr>
            <w:noProof/>
            <w:webHidden/>
          </w:rPr>
          <w:t>31</w:t>
        </w:r>
        <w:r w:rsidR="003D6E44">
          <w:rPr>
            <w:noProof/>
            <w:webHidden/>
          </w:rPr>
          <w:fldChar w:fldCharType="end"/>
        </w:r>
      </w:hyperlink>
    </w:p>
    <w:p w14:paraId="06967913" w14:textId="07EF50EE" w:rsidR="003D6E44" w:rsidRDefault="000F268E">
      <w:pPr>
        <w:pStyle w:val="TOC2"/>
        <w:tabs>
          <w:tab w:val="right" w:pos="9854"/>
        </w:tabs>
        <w:rPr>
          <w:rFonts w:eastAsiaTheme="minorEastAsia"/>
          <w:noProof/>
          <w:color w:val="auto"/>
          <w:kern w:val="0"/>
          <w:sz w:val="22"/>
          <w:szCs w:val="22"/>
          <w:lang w:eastAsia="en-AU"/>
        </w:rPr>
      </w:pPr>
      <w:hyperlink w:anchor="_Toc105060783" w:history="1">
        <w:r w:rsidR="003D6E44" w:rsidRPr="00AA73ED">
          <w:rPr>
            <w:rStyle w:val="Hyperlink"/>
            <w:noProof/>
          </w:rPr>
          <w:t>5.3</w:t>
        </w:r>
        <w:r w:rsidR="003D6E44">
          <w:rPr>
            <w:rFonts w:eastAsiaTheme="minorEastAsia"/>
            <w:noProof/>
            <w:color w:val="auto"/>
            <w:kern w:val="0"/>
            <w:sz w:val="22"/>
            <w:szCs w:val="22"/>
            <w:lang w:eastAsia="en-AU"/>
          </w:rPr>
          <w:tab/>
        </w:r>
        <w:r w:rsidR="003D6E44" w:rsidRPr="00AA73ED">
          <w:rPr>
            <w:rStyle w:val="Hyperlink"/>
            <w:noProof/>
          </w:rPr>
          <w:t>Costs and benefits in the event of an incident</w:t>
        </w:r>
        <w:r w:rsidR="003D6E44">
          <w:rPr>
            <w:noProof/>
            <w:webHidden/>
          </w:rPr>
          <w:tab/>
        </w:r>
        <w:r w:rsidR="003D6E44">
          <w:rPr>
            <w:noProof/>
            <w:webHidden/>
          </w:rPr>
          <w:fldChar w:fldCharType="begin"/>
        </w:r>
        <w:r w:rsidR="003D6E44">
          <w:rPr>
            <w:noProof/>
            <w:webHidden/>
          </w:rPr>
          <w:instrText xml:space="preserve"> PAGEREF _Toc105060783 \h </w:instrText>
        </w:r>
        <w:r w:rsidR="003D6E44">
          <w:rPr>
            <w:noProof/>
            <w:webHidden/>
          </w:rPr>
        </w:r>
        <w:r w:rsidR="003D6E44">
          <w:rPr>
            <w:noProof/>
            <w:webHidden/>
          </w:rPr>
          <w:fldChar w:fldCharType="separate"/>
        </w:r>
        <w:r>
          <w:rPr>
            <w:noProof/>
            <w:webHidden/>
          </w:rPr>
          <w:t>34</w:t>
        </w:r>
        <w:r w:rsidR="003D6E44">
          <w:rPr>
            <w:noProof/>
            <w:webHidden/>
          </w:rPr>
          <w:fldChar w:fldCharType="end"/>
        </w:r>
      </w:hyperlink>
    </w:p>
    <w:p w14:paraId="55AF874C" w14:textId="4418CFC1" w:rsidR="003D6E44" w:rsidRDefault="000F268E">
      <w:pPr>
        <w:pStyle w:val="TOC3"/>
        <w:tabs>
          <w:tab w:val="left" w:pos="1320"/>
          <w:tab w:val="right" w:pos="9854"/>
        </w:tabs>
        <w:rPr>
          <w:rFonts w:eastAsiaTheme="minorEastAsia"/>
          <w:noProof/>
          <w:color w:val="auto"/>
          <w:kern w:val="0"/>
          <w:sz w:val="22"/>
          <w:szCs w:val="22"/>
          <w:lang w:eastAsia="en-AU"/>
        </w:rPr>
      </w:pPr>
      <w:hyperlink w:anchor="_Toc105060784" w:history="1">
        <w:r w:rsidR="003D6E44" w:rsidRPr="00AA73ED">
          <w:rPr>
            <w:rStyle w:val="Hyperlink"/>
            <w:noProof/>
          </w:rPr>
          <w:t>5.3.1</w:t>
        </w:r>
        <w:r w:rsidR="003D6E44">
          <w:rPr>
            <w:rFonts w:eastAsiaTheme="minorEastAsia"/>
            <w:noProof/>
            <w:color w:val="auto"/>
            <w:kern w:val="0"/>
            <w:sz w:val="22"/>
            <w:szCs w:val="22"/>
            <w:lang w:eastAsia="en-AU"/>
          </w:rPr>
          <w:tab/>
        </w:r>
        <w:r w:rsidR="003D6E44" w:rsidRPr="00AA73ED">
          <w:rPr>
            <w:rStyle w:val="Hyperlink"/>
            <w:noProof/>
          </w:rPr>
          <w:t>Option 1 (counterfactual) costs</w:t>
        </w:r>
        <w:r w:rsidR="003D6E44">
          <w:rPr>
            <w:noProof/>
            <w:webHidden/>
          </w:rPr>
          <w:tab/>
        </w:r>
        <w:r w:rsidR="003D6E44">
          <w:rPr>
            <w:noProof/>
            <w:webHidden/>
          </w:rPr>
          <w:fldChar w:fldCharType="begin"/>
        </w:r>
        <w:r w:rsidR="003D6E44">
          <w:rPr>
            <w:noProof/>
            <w:webHidden/>
          </w:rPr>
          <w:instrText xml:space="preserve"> PAGEREF _Toc105060784 \h </w:instrText>
        </w:r>
        <w:r w:rsidR="003D6E44">
          <w:rPr>
            <w:noProof/>
            <w:webHidden/>
          </w:rPr>
        </w:r>
        <w:r w:rsidR="003D6E44">
          <w:rPr>
            <w:noProof/>
            <w:webHidden/>
          </w:rPr>
          <w:fldChar w:fldCharType="separate"/>
        </w:r>
        <w:r>
          <w:rPr>
            <w:noProof/>
            <w:webHidden/>
          </w:rPr>
          <w:t>34</w:t>
        </w:r>
        <w:r w:rsidR="003D6E44">
          <w:rPr>
            <w:noProof/>
            <w:webHidden/>
          </w:rPr>
          <w:fldChar w:fldCharType="end"/>
        </w:r>
      </w:hyperlink>
    </w:p>
    <w:p w14:paraId="49E64DB1" w14:textId="659ED4AD" w:rsidR="003D6E44" w:rsidRDefault="000F268E">
      <w:pPr>
        <w:pStyle w:val="TOC3"/>
        <w:tabs>
          <w:tab w:val="left" w:pos="1320"/>
          <w:tab w:val="right" w:pos="9854"/>
        </w:tabs>
        <w:rPr>
          <w:rFonts w:eastAsiaTheme="minorEastAsia"/>
          <w:noProof/>
          <w:color w:val="auto"/>
          <w:kern w:val="0"/>
          <w:sz w:val="22"/>
          <w:szCs w:val="22"/>
          <w:lang w:eastAsia="en-AU"/>
        </w:rPr>
      </w:pPr>
      <w:hyperlink w:anchor="_Toc105060785" w:history="1">
        <w:r w:rsidR="003D6E44" w:rsidRPr="00AA73ED">
          <w:rPr>
            <w:rStyle w:val="Hyperlink"/>
            <w:noProof/>
          </w:rPr>
          <w:t>5.3.2</w:t>
        </w:r>
        <w:r w:rsidR="003D6E44">
          <w:rPr>
            <w:rFonts w:eastAsiaTheme="minorEastAsia"/>
            <w:noProof/>
            <w:color w:val="auto"/>
            <w:kern w:val="0"/>
            <w:sz w:val="22"/>
            <w:szCs w:val="22"/>
            <w:lang w:eastAsia="en-AU"/>
          </w:rPr>
          <w:tab/>
        </w:r>
        <w:r w:rsidR="003D6E44" w:rsidRPr="00AA73ED">
          <w:rPr>
            <w:rStyle w:val="Hyperlink"/>
            <w:noProof/>
          </w:rPr>
          <w:t>Option 3 relative to Option 1</w:t>
        </w:r>
        <w:r w:rsidR="003D6E44">
          <w:rPr>
            <w:noProof/>
            <w:webHidden/>
          </w:rPr>
          <w:tab/>
        </w:r>
        <w:r w:rsidR="003D6E44">
          <w:rPr>
            <w:noProof/>
            <w:webHidden/>
          </w:rPr>
          <w:fldChar w:fldCharType="begin"/>
        </w:r>
        <w:r w:rsidR="003D6E44">
          <w:rPr>
            <w:noProof/>
            <w:webHidden/>
          </w:rPr>
          <w:instrText xml:space="preserve"> PAGEREF _Toc105060785 \h </w:instrText>
        </w:r>
        <w:r w:rsidR="003D6E44">
          <w:rPr>
            <w:noProof/>
            <w:webHidden/>
          </w:rPr>
        </w:r>
        <w:r w:rsidR="003D6E44">
          <w:rPr>
            <w:noProof/>
            <w:webHidden/>
          </w:rPr>
          <w:fldChar w:fldCharType="separate"/>
        </w:r>
        <w:r>
          <w:rPr>
            <w:noProof/>
            <w:webHidden/>
          </w:rPr>
          <w:t>34</w:t>
        </w:r>
        <w:r w:rsidR="003D6E44">
          <w:rPr>
            <w:noProof/>
            <w:webHidden/>
          </w:rPr>
          <w:fldChar w:fldCharType="end"/>
        </w:r>
      </w:hyperlink>
    </w:p>
    <w:p w14:paraId="233F6C66" w14:textId="74FB8F86" w:rsidR="003D6E44" w:rsidRDefault="000F268E">
      <w:pPr>
        <w:pStyle w:val="TOC3"/>
        <w:tabs>
          <w:tab w:val="left" w:pos="1320"/>
          <w:tab w:val="right" w:pos="9854"/>
        </w:tabs>
        <w:rPr>
          <w:rFonts w:eastAsiaTheme="minorEastAsia"/>
          <w:noProof/>
          <w:color w:val="auto"/>
          <w:kern w:val="0"/>
          <w:sz w:val="22"/>
          <w:szCs w:val="22"/>
          <w:lang w:eastAsia="en-AU"/>
        </w:rPr>
      </w:pPr>
      <w:hyperlink w:anchor="_Toc105060786" w:history="1">
        <w:r w:rsidR="003D6E44" w:rsidRPr="00AA73ED">
          <w:rPr>
            <w:rStyle w:val="Hyperlink"/>
            <w:noProof/>
          </w:rPr>
          <w:t>5.3.3</w:t>
        </w:r>
        <w:r w:rsidR="003D6E44">
          <w:rPr>
            <w:rFonts w:eastAsiaTheme="minorEastAsia"/>
            <w:noProof/>
            <w:color w:val="auto"/>
            <w:kern w:val="0"/>
            <w:sz w:val="22"/>
            <w:szCs w:val="22"/>
            <w:lang w:eastAsia="en-AU"/>
          </w:rPr>
          <w:tab/>
        </w:r>
        <w:r w:rsidR="003D6E44" w:rsidRPr="00AA73ED">
          <w:rPr>
            <w:rStyle w:val="Hyperlink"/>
            <w:noProof/>
          </w:rPr>
          <w:t>Option 4 relative to Option1</w:t>
        </w:r>
        <w:r w:rsidR="003D6E44">
          <w:rPr>
            <w:noProof/>
            <w:webHidden/>
          </w:rPr>
          <w:tab/>
        </w:r>
        <w:r w:rsidR="003D6E44">
          <w:rPr>
            <w:noProof/>
            <w:webHidden/>
          </w:rPr>
          <w:fldChar w:fldCharType="begin"/>
        </w:r>
        <w:r w:rsidR="003D6E44">
          <w:rPr>
            <w:noProof/>
            <w:webHidden/>
          </w:rPr>
          <w:instrText xml:space="preserve"> PAGEREF _Toc105060786 \h </w:instrText>
        </w:r>
        <w:r w:rsidR="003D6E44">
          <w:rPr>
            <w:noProof/>
            <w:webHidden/>
          </w:rPr>
        </w:r>
        <w:r w:rsidR="003D6E44">
          <w:rPr>
            <w:noProof/>
            <w:webHidden/>
          </w:rPr>
          <w:fldChar w:fldCharType="separate"/>
        </w:r>
        <w:r>
          <w:rPr>
            <w:noProof/>
            <w:webHidden/>
          </w:rPr>
          <w:t>36</w:t>
        </w:r>
        <w:r w:rsidR="003D6E44">
          <w:rPr>
            <w:noProof/>
            <w:webHidden/>
          </w:rPr>
          <w:fldChar w:fldCharType="end"/>
        </w:r>
      </w:hyperlink>
    </w:p>
    <w:p w14:paraId="532E4A83" w14:textId="225B199D" w:rsidR="003D6E44" w:rsidRDefault="000F268E">
      <w:pPr>
        <w:pStyle w:val="TOC2"/>
        <w:tabs>
          <w:tab w:val="right" w:pos="9854"/>
        </w:tabs>
        <w:rPr>
          <w:rFonts w:eastAsiaTheme="minorEastAsia"/>
          <w:noProof/>
          <w:color w:val="auto"/>
          <w:kern w:val="0"/>
          <w:sz w:val="22"/>
          <w:szCs w:val="22"/>
          <w:lang w:eastAsia="en-AU"/>
        </w:rPr>
      </w:pPr>
      <w:hyperlink w:anchor="_Toc105060787" w:history="1">
        <w:r w:rsidR="003D6E44" w:rsidRPr="00AA73ED">
          <w:rPr>
            <w:rStyle w:val="Hyperlink"/>
            <w:noProof/>
          </w:rPr>
          <w:t>5.4</w:t>
        </w:r>
        <w:r w:rsidR="003D6E44">
          <w:rPr>
            <w:rFonts w:eastAsiaTheme="minorEastAsia"/>
            <w:noProof/>
            <w:color w:val="auto"/>
            <w:kern w:val="0"/>
            <w:sz w:val="22"/>
            <w:szCs w:val="22"/>
            <w:lang w:eastAsia="en-AU"/>
          </w:rPr>
          <w:tab/>
        </w:r>
        <w:r w:rsidR="003D6E44" w:rsidRPr="00AA73ED">
          <w:rPr>
            <w:rStyle w:val="Hyperlink"/>
            <w:noProof/>
          </w:rPr>
          <w:t>Environmental and social impacts</w:t>
        </w:r>
        <w:r w:rsidR="003D6E44">
          <w:rPr>
            <w:noProof/>
            <w:webHidden/>
          </w:rPr>
          <w:tab/>
        </w:r>
        <w:r w:rsidR="003D6E44">
          <w:rPr>
            <w:noProof/>
            <w:webHidden/>
          </w:rPr>
          <w:fldChar w:fldCharType="begin"/>
        </w:r>
        <w:r w:rsidR="003D6E44">
          <w:rPr>
            <w:noProof/>
            <w:webHidden/>
          </w:rPr>
          <w:instrText xml:space="preserve"> PAGEREF _Toc105060787 \h </w:instrText>
        </w:r>
        <w:r w:rsidR="003D6E44">
          <w:rPr>
            <w:noProof/>
            <w:webHidden/>
          </w:rPr>
        </w:r>
        <w:r w:rsidR="003D6E44">
          <w:rPr>
            <w:noProof/>
            <w:webHidden/>
          </w:rPr>
          <w:fldChar w:fldCharType="separate"/>
        </w:r>
        <w:r>
          <w:rPr>
            <w:noProof/>
            <w:webHidden/>
          </w:rPr>
          <w:t>37</w:t>
        </w:r>
        <w:r w:rsidR="003D6E44">
          <w:rPr>
            <w:noProof/>
            <w:webHidden/>
          </w:rPr>
          <w:fldChar w:fldCharType="end"/>
        </w:r>
      </w:hyperlink>
    </w:p>
    <w:p w14:paraId="31ED6C0B" w14:textId="3A03A4B6" w:rsidR="003D6E44" w:rsidRDefault="000F268E">
      <w:pPr>
        <w:pStyle w:val="TOC2"/>
        <w:tabs>
          <w:tab w:val="right" w:pos="9854"/>
        </w:tabs>
        <w:rPr>
          <w:rFonts w:eastAsiaTheme="minorEastAsia"/>
          <w:noProof/>
          <w:color w:val="auto"/>
          <w:kern w:val="0"/>
          <w:sz w:val="22"/>
          <w:szCs w:val="22"/>
          <w:lang w:eastAsia="en-AU"/>
        </w:rPr>
      </w:pPr>
      <w:hyperlink w:anchor="_Toc105060788" w:history="1">
        <w:r w:rsidR="003D6E44" w:rsidRPr="00AA73ED">
          <w:rPr>
            <w:rStyle w:val="Hyperlink"/>
            <w:noProof/>
          </w:rPr>
          <w:t>5.5</w:t>
        </w:r>
        <w:r w:rsidR="003D6E44">
          <w:rPr>
            <w:rFonts w:eastAsiaTheme="minorEastAsia"/>
            <w:noProof/>
            <w:color w:val="auto"/>
            <w:kern w:val="0"/>
            <w:sz w:val="22"/>
            <w:szCs w:val="22"/>
            <w:lang w:eastAsia="en-AU"/>
          </w:rPr>
          <w:tab/>
        </w:r>
        <w:r w:rsidR="003D6E44" w:rsidRPr="00AA73ED">
          <w:rPr>
            <w:rStyle w:val="Hyperlink"/>
            <w:noProof/>
          </w:rPr>
          <w:t>Caveats of analysis</w:t>
        </w:r>
        <w:r w:rsidR="003D6E44">
          <w:rPr>
            <w:noProof/>
            <w:webHidden/>
          </w:rPr>
          <w:tab/>
        </w:r>
        <w:r w:rsidR="003D6E44">
          <w:rPr>
            <w:noProof/>
            <w:webHidden/>
          </w:rPr>
          <w:fldChar w:fldCharType="begin"/>
        </w:r>
        <w:r w:rsidR="003D6E44">
          <w:rPr>
            <w:noProof/>
            <w:webHidden/>
          </w:rPr>
          <w:instrText xml:space="preserve"> PAGEREF _Toc105060788 \h </w:instrText>
        </w:r>
        <w:r w:rsidR="003D6E44">
          <w:rPr>
            <w:noProof/>
            <w:webHidden/>
          </w:rPr>
        </w:r>
        <w:r w:rsidR="003D6E44">
          <w:rPr>
            <w:noProof/>
            <w:webHidden/>
          </w:rPr>
          <w:fldChar w:fldCharType="separate"/>
        </w:r>
        <w:r>
          <w:rPr>
            <w:noProof/>
            <w:webHidden/>
          </w:rPr>
          <w:t>37</w:t>
        </w:r>
        <w:r w:rsidR="003D6E44">
          <w:rPr>
            <w:noProof/>
            <w:webHidden/>
          </w:rPr>
          <w:fldChar w:fldCharType="end"/>
        </w:r>
      </w:hyperlink>
    </w:p>
    <w:p w14:paraId="7C569D69" w14:textId="0493E399" w:rsidR="003D6E44" w:rsidRDefault="000F268E">
      <w:pPr>
        <w:pStyle w:val="TOC1"/>
        <w:rPr>
          <w:rFonts w:eastAsiaTheme="minorEastAsia"/>
          <w:b w:val="0"/>
          <w:noProof/>
          <w:color w:val="auto"/>
          <w:kern w:val="0"/>
          <w:sz w:val="22"/>
          <w:szCs w:val="22"/>
          <w:u w:val="none"/>
          <w:lang w:eastAsia="en-AU"/>
        </w:rPr>
      </w:pPr>
      <w:hyperlink w:anchor="_Toc105060789" w:history="1">
        <w:r w:rsidR="003D6E44" w:rsidRPr="00AA73ED">
          <w:rPr>
            <w:rStyle w:val="Hyperlink"/>
            <w:noProof/>
          </w:rPr>
          <w:t>6.</w:t>
        </w:r>
        <w:r w:rsidR="003D6E44">
          <w:rPr>
            <w:rFonts w:eastAsiaTheme="minorEastAsia"/>
            <w:b w:val="0"/>
            <w:noProof/>
            <w:color w:val="auto"/>
            <w:kern w:val="0"/>
            <w:sz w:val="22"/>
            <w:szCs w:val="22"/>
            <w:u w:val="none"/>
            <w:lang w:eastAsia="en-AU"/>
          </w:rPr>
          <w:tab/>
        </w:r>
        <w:r w:rsidR="003D6E44" w:rsidRPr="00AA73ED">
          <w:rPr>
            <w:rStyle w:val="Hyperlink"/>
            <w:noProof/>
          </w:rPr>
          <w:t>Recommended option</w:t>
        </w:r>
        <w:r w:rsidR="003D6E44">
          <w:rPr>
            <w:noProof/>
            <w:webHidden/>
          </w:rPr>
          <w:tab/>
        </w:r>
        <w:r w:rsidR="003D6E44">
          <w:rPr>
            <w:noProof/>
            <w:webHidden/>
          </w:rPr>
          <w:fldChar w:fldCharType="begin"/>
        </w:r>
        <w:r w:rsidR="003D6E44">
          <w:rPr>
            <w:noProof/>
            <w:webHidden/>
          </w:rPr>
          <w:instrText xml:space="preserve"> PAGEREF _Toc105060789 \h </w:instrText>
        </w:r>
        <w:r w:rsidR="003D6E44">
          <w:rPr>
            <w:noProof/>
            <w:webHidden/>
          </w:rPr>
        </w:r>
        <w:r w:rsidR="003D6E44">
          <w:rPr>
            <w:noProof/>
            <w:webHidden/>
          </w:rPr>
          <w:fldChar w:fldCharType="separate"/>
        </w:r>
        <w:r>
          <w:rPr>
            <w:noProof/>
            <w:webHidden/>
          </w:rPr>
          <w:t>39</w:t>
        </w:r>
        <w:r w:rsidR="003D6E44">
          <w:rPr>
            <w:noProof/>
            <w:webHidden/>
          </w:rPr>
          <w:fldChar w:fldCharType="end"/>
        </w:r>
      </w:hyperlink>
    </w:p>
    <w:p w14:paraId="21E1C6EC" w14:textId="61E8E828" w:rsidR="003D6E44" w:rsidRDefault="000F268E">
      <w:pPr>
        <w:pStyle w:val="TOC1"/>
        <w:rPr>
          <w:rFonts w:eastAsiaTheme="minorEastAsia"/>
          <w:b w:val="0"/>
          <w:noProof/>
          <w:color w:val="auto"/>
          <w:kern w:val="0"/>
          <w:sz w:val="22"/>
          <w:szCs w:val="22"/>
          <w:u w:val="none"/>
          <w:lang w:eastAsia="en-AU"/>
        </w:rPr>
      </w:pPr>
      <w:hyperlink w:anchor="_Toc105060790" w:history="1">
        <w:r w:rsidR="003D6E44" w:rsidRPr="00AA73ED">
          <w:rPr>
            <w:rStyle w:val="Hyperlink"/>
            <w:noProof/>
          </w:rPr>
          <w:t>7.</w:t>
        </w:r>
        <w:r w:rsidR="003D6E44">
          <w:rPr>
            <w:rFonts w:eastAsiaTheme="minorEastAsia"/>
            <w:b w:val="0"/>
            <w:noProof/>
            <w:color w:val="auto"/>
            <w:kern w:val="0"/>
            <w:sz w:val="22"/>
            <w:szCs w:val="22"/>
            <w:u w:val="none"/>
            <w:lang w:eastAsia="en-AU"/>
          </w:rPr>
          <w:tab/>
        </w:r>
        <w:r w:rsidR="003D6E44" w:rsidRPr="00AA73ED">
          <w:rPr>
            <w:rStyle w:val="Hyperlink"/>
            <w:noProof/>
          </w:rPr>
          <w:t>Implementation and evaluation</w:t>
        </w:r>
        <w:r w:rsidR="003D6E44">
          <w:rPr>
            <w:noProof/>
            <w:webHidden/>
          </w:rPr>
          <w:tab/>
        </w:r>
        <w:r w:rsidR="003D6E44">
          <w:rPr>
            <w:noProof/>
            <w:webHidden/>
          </w:rPr>
          <w:fldChar w:fldCharType="begin"/>
        </w:r>
        <w:r w:rsidR="003D6E44">
          <w:rPr>
            <w:noProof/>
            <w:webHidden/>
          </w:rPr>
          <w:instrText xml:space="preserve"> PAGEREF _Toc105060790 \h </w:instrText>
        </w:r>
        <w:r w:rsidR="003D6E44">
          <w:rPr>
            <w:noProof/>
            <w:webHidden/>
          </w:rPr>
        </w:r>
        <w:r w:rsidR="003D6E44">
          <w:rPr>
            <w:noProof/>
            <w:webHidden/>
          </w:rPr>
          <w:fldChar w:fldCharType="separate"/>
        </w:r>
        <w:r>
          <w:rPr>
            <w:noProof/>
            <w:webHidden/>
          </w:rPr>
          <w:t>42</w:t>
        </w:r>
        <w:r w:rsidR="003D6E44">
          <w:rPr>
            <w:noProof/>
            <w:webHidden/>
          </w:rPr>
          <w:fldChar w:fldCharType="end"/>
        </w:r>
      </w:hyperlink>
    </w:p>
    <w:p w14:paraId="6D991649" w14:textId="2C963B3B" w:rsidR="003D6E44" w:rsidRDefault="000F268E">
      <w:pPr>
        <w:pStyle w:val="TOC1"/>
        <w:rPr>
          <w:rFonts w:eastAsiaTheme="minorEastAsia"/>
          <w:b w:val="0"/>
          <w:noProof/>
          <w:color w:val="auto"/>
          <w:kern w:val="0"/>
          <w:sz w:val="22"/>
          <w:szCs w:val="22"/>
          <w:u w:val="none"/>
          <w:lang w:eastAsia="en-AU"/>
        </w:rPr>
      </w:pPr>
      <w:hyperlink w:anchor="_Toc105060791" w:history="1">
        <w:r w:rsidR="003D6E44" w:rsidRPr="00AA73ED">
          <w:rPr>
            <w:rStyle w:val="Hyperlink"/>
            <w:noProof/>
          </w:rPr>
          <w:t>Appendix A – State Parties to the Nairobi Convention</w:t>
        </w:r>
        <w:r w:rsidR="003D6E44">
          <w:rPr>
            <w:noProof/>
            <w:webHidden/>
          </w:rPr>
          <w:tab/>
        </w:r>
        <w:r w:rsidR="003D6E44">
          <w:rPr>
            <w:noProof/>
            <w:webHidden/>
          </w:rPr>
          <w:fldChar w:fldCharType="begin"/>
        </w:r>
        <w:r w:rsidR="003D6E44">
          <w:rPr>
            <w:noProof/>
            <w:webHidden/>
          </w:rPr>
          <w:instrText xml:space="preserve"> PAGEREF _Toc105060791 \h </w:instrText>
        </w:r>
        <w:r w:rsidR="003D6E44">
          <w:rPr>
            <w:noProof/>
            <w:webHidden/>
          </w:rPr>
        </w:r>
        <w:r w:rsidR="003D6E44">
          <w:rPr>
            <w:noProof/>
            <w:webHidden/>
          </w:rPr>
          <w:fldChar w:fldCharType="separate"/>
        </w:r>
        <w:r>
          <w:rPr>
            <w:noProof/>
            <w:webHidden/>
          </w:rPr>
          <w:t>44</w:t>
        </w:r>
        <w:r w:rsidR="003D6E44">
          <w:rPr>
            <w:noProof/>
            <w:webHidden/>
          </w:rPr>
          <w:fldChar w:fldCharType="end"/>
        </w:r>
      </w:hyperlink>
    </w:p>
    <w:p w14:paraId="24F8E475" w14:textId="18D38559" w:rsidR="003D6E44" w:rsidRDefault="000F268E">
      <w:pPr>
        <w:pStyle w:val="TOC1"/>
        <w:rPr>
          <w:rFonts w:eastAsiaTheme="minorEastAsia"/>
          <w:b w:val="0"/>
          <w:noProof/>
          <w:color w:val="auto"/>
          <w:kern w:val="0"/>
          <w:sz w:val="22"/>
          <w:szCs w:val="22"/>
          <w:u w:val="none"/>
          <w:lang w:eastAsia="en-AU"/>
        </w:rPr>
      </w:pPr>
      <w:hyperlink w:anchor="_Toc105060792" w:history="1">
        <w:r w:rsidR="003D6E44" w:rsidRPr="00AA73ED">
          <w:rPr>
            <w:rStyle w:val="Hyperlink"/>
            <w:noProof/>
          </w:rPr>
          <w:t>Appendix B – Stakeholders consulted</w:t>
        </w:r>
        <w:r w:rsidR="003D6E44">
          <w:rPr>
            <w:noProof/>
            <w:webHidden/>
          </w:rPr>
          <w:tab/>
        </w:r>
        <w:r w:rsidR="003D6E44">
          <w:rPr>
            <w:noProof/>
            <w:webHidden/>
          </w:rPr>
          <w:fldChar w:fldCharType="begin"/>
        </w:r>
        <w:r w:rsidR="003D6E44">
          <w:rPr>
            <w:noProof/>
            <w:webHidden/>
          </w:rPr>
          <w:instrText xml:space="preserve"> PAGEREF _Toc105060792 \h </w:instrText>
        </w:r>
        <w:r w:rsidR="003D6E44">
          <w:rPr>
            <w:noProof/>
            <w:webHidden/>
          </w:rPr>
        </w:r>
        <w:r w:rsidR="003D6E44">
          <w:rPr>
            <w:noProof/>
            <w:webHidden/>
          </w:rPr>
          <w:fldChar w:fldCharType="separate"/>
        </w:r>
        <w:r>
          <w:rPr>
            <w:noProof/>
            <w:webHidden/>
          </w:rPr>
          <w:t>47</w:t>
        </w:r>
        <w:r w:rsidR="003D6E44">
          <w:rPr>
            <w:noProof/>
            <w:webHidden/>
          </w:rPr>
          <w:fldChar w:fldCharType="end"/>
        </w:r>
      </w:hyperlink>
    </w:p>
    <w:p w14:paraId="7B6132BE" w14:textId="35E7AA18" w:rsidR="003D6E44" w:rsidRDefault="000F268E">
      <w:pPr>
        <w:pStyle w:val="TOC1"/>
        <w:rPr>
          <w:rFonts w:eastAsiaTheme="minorEastAsia"/>
          <w:b w:val="0"/>
          <w:noProof/>
          <w:color w:val="auto"/>
          <w:kern w:val="0"/>
          <w:sz w:val="22"/>
          <w:szCs w:val="22"/>
          <w:u w:val="none"/>
          <w:lang w:eastAsia="en-AU"/>
        </w:rPr>
      </w:pPr>
      <w:hyperlink w:anchor="_Toc105060793" w:history="1">
        <w:r w:rsidR="003D6E44" w:rsidRPr="00AA73ED">
          <w:rPr>
            <w:rStyle w:val="Hyperlink"/>
            <w:noProof/>
            <w:lang w:val="en-US"/>
          </w:rPr>
          <w:t>Appendix C – Cost benefit analysis</w:t>
        </w:r>
        <w:r w:rsidR="003D6E44">
          <w:rPr>
            <w:noProof/>
            <w:webHidden/>
          </w:rPr>
          <w:tab/>
        </w:r>
        <w:r w:rsidR="003D6E44">
          <w:rPr>
            <w:noProof/>
            <w:webHidden/>
          </w:rPr>
          <w:fldChar w:fldCharType="begin"/>
        </w:r>
        <w:r w:rsidR="003D6E44">
          <w:rPr>
            <w:noProof/>
            <w:webHidden/>
          </w:rPr>
          <w:instrText xml:space="preserve"> PAGEREF _Toc105060793 \h </w:instrText>
        </w:r>
        <w:r w:rsidR="003D6E44">
          <w:rPr>
            <w:noProof/>
            <w:webHidden/>
          </w:rPr>
        </w:r>
        <w:r w:rsidR="003D6E44">
          <w:rPr>
            <w:noProof/>
            <w:webHidden/>
          </w:rPr>
          <w:fldChar w:fldCharType="separate"/>
        </w:r>
        <w:r>
          <w:rPr>
            <w:noProof/>
            <w:webHidden/>
          </w:rPr>
          <w:t>48</w:t>
        </w:r>
        <w:r w:rsidR="003D6E44">
          <w:rPr>
            <w:noProof/>
            <w:webHidden/>
          </w:rPr>
          <w:fldChar w:fldCharType="end"/>
        </w:r>
      </w:hyperlink>
    </w:p>
    <w:p w14:paraId="5AE4A5D9" w14:textId="0F1B49E8" w:rsidR="003D6E44" w:rsidRDefault="000F268E">
      <w:pPr>
        <w:pStyle w:val="TOC1"/>
        <w:rPr>
          <w:rFonts w:eastAsiaTheme="minorEastAsia"/>
          <w:b w:val="0"/>
          <w:noProof/>
          <w:color w:val="auto"/>
          <w:kern w:val="0"/>
          <w:sz w:val="22"/>
          <w:szCs w:val="22"/>
          <w:u w:val="none"/>
          <w:lang w:eastAsia="en-AU"/>
        </w:rPr>
      </w:pPr>
      <w:hyperlink w:anchor="_Toc105060794" w:history="1">
        <w:r w:rsidR="003D6E44" w:rsidRPr="00AA73ED">
          <w:rPr>
            <w:rStyle w:val="Hyperlink"/>
            <w:i/>
            <w:noProof/>
            <w:lang w:val="en-US"/>
          </w:rPr>
          <w:t>Appendix D – Nairobi International Convention on the Removal of Wrecks</w:t>
        </w:r>
        <w:r w:rsidR="003D6E44">
          <w:rPr>
            <w:noProof/>
            <w:webHidden/>
          </w:rPr>
          <w:tab/>
        </w:r>
        <w:r w:rsidR="003D6E44">
          <w:rPr>
            <w:noProof/>
            <w:webHidden/>
          </w:rPr>
          <w:fldChar w:fldCharType="begin"/>
        </w:r>
        <w:r w:rsidR="003D6E44">
          <w:rPr>
            <w:noProof/>
            <w:webHidden/>
          </w:rPr>
          <w:instrText xml:space="preserve"> PAGEREF _Toc105060794 \h </w:instrText>
        </w:r>
        <w:r w:rsidR="003D6E44">
          <w:rPr>
            <w:noProof/>
            <w:webHidden/>
          </w:rPr>
        </w:r>
        <w:r w:rsidR="003D6E44">
          <w:rPr>
            <w:noProof/>
            <w:webHidden/>
          </w:rPr>
          <w:fldChar w:fldCharType="separate"/>
        </w:r>
        <w:r>
          <w:rPr>
            <w:noProof/>
            <w:webHidden/>
          </w:rPr>
          <w:t>48</w:t>
        </w:r>
        <w:r w:rsidR="003D6E44">
          <w:rPr>
            <w:noProof/>
            <w:webHidden/>
          </w:rPr>
          <w:fldChar w:fldCharType="end"/>
        </w:r>
      </w:hyperlink>
    </w:p>
    <w:p w14:paraId="3C31872F" w14:textId="1E435471" w:rsidR="00891740" w:rsidRDefault="00C025E8" w:rsidP="00C025E8">
      <w:pPr>
        <w:rPr>
          <w:sz w:val="16"/>
        </w:rPr>
      </w:pPr>
      <w:r>
        <w:fldChar w:fldCharType="end"/>
      </w:r>
      <w:r w:rsidR="00C22FCA">
        <w:rPr>
          <w:sz w:val="16"/>
        </w:rPr>
        <w:tab/>
      </w:r>
    </w:p>
    <w:p w14:paraId="542B63BB" w14:textId="77777777" w:rsidR="00686C8B" w:rsidRDefault="00686C8B" w:rsidP="00677F9E">
      <w:pPr>
        <w:pStyle w:val="TOCHeading"/>
        <w:sectPr w:rsidR="00686C8B" w:rsidSect="00D87AD8">
          <w:headerReference w:type="even" r:id="rId17"/>
          <w:headerReference w:type="default" r:id="rId18"/>
          <w:headerReference w:type="first" r:id="rId19"/>
          <w:pgSz w:w="11906" w:h="16838" w:code="9"/>
          <w:pgMar w:top="1021" w:right="1021" w:bottom="1021" w:left="1021" w:header="510" w:footer="567" w:gutter="0"/>
          <w:cols w:space="708"/>
          <w:docGrid w:linePitch="360"/>
        </w:sectPr>
      </w:pPr>
    </w:p>
    <w:p w14:paraId="57B9B537" w14:textId="7E5313CC" w:rsidR="00677F9E" w:rsidRPr="00B703F0" w:rsidRDefault="00677F9E" w:rsidP="00677F9E">
      <w:pPr>
        <w:pStyle w:val="TOCHeading"/>
      </w:pPr>
      <w:r w:rsidRPr="00B703F0">
        <w:lastRenderedPageBreak/>
        <w:t xml:space="preserve">List of Figures </w:t>
      </w:r>
      <w:r w:rsidR="00C025E8">
        <w:t>and Tables</w:t>
      </w:r>
    </w:p>
    <w:p w14:paraId="3A229802" w14:textId="7DB31666" w:rsidR="003D6E44" w:rsidRDefault="00C025E8">
      <w:pPr>
        <w:pStyle w:val="TableofFigures"/>
        <w:tabs>
          <w:tab w:val="right" w:pos="9854"/>
        </w:tabs>
        <w:rPr>
          <w:rFonts w:eastAsiaTheme="minorEastAsia"/>
          <w:noProof/>
          <w:color w:val="auto"/>
          <w:kern w:val="0"/>
          <w:sz w:val="22"/>
          <w:szCs w:val="22"/>
          <w:lang w:eastAsia="en-AU"/>
        </w:rPr>
      </w:pPr>
      <w:r>
        <w:fldChar w:fldCharType="begin"/>
      </w:r>
      <w:r>
        <w:instrText xml:space="preserve"> TOC \h \z \t "Caption" \c </w:instrText>
      </w:r>
      <w:r>
        <w:fldChar w:fldCharType="separate"/>
      </w:r>
      <w:hyperlink w:anchor="_Toc105060755" w:history="1">
        <w:r w:rsidR="003D6E44" w:rsidRPr="00010B0F">
          <w:rPr>
            <w:rStyle w:val="Hyperlink"/>
            <w:noProof/>
          </w:rPr>
          <w:t>Figure 1: Dollar value of sea cargo</w:t>
        </w:r>
        <w:r w:rsidR="003D6E44">
          <w:rPr>
            <w:noProof/>
            <w:webHidden/>
          </w:rPr>
          <w:tab/>
        </w:r>
        <w:r w:rsidR="003D6E44">
          <w:rPr>
            <w:noProof/>
            <w:webHidden/>
          </w:rPr>
          <w:fldChar w:fldCharType="begin"/>
        </w:r>
        <w:r w:rsidR="003D6E44">
          <w:rPr>
            <w:noProof/>
            <w:webHidden/>
          </w:rPr>
          <w:instrText xml:space="preserve"> PAGEREF _Toc105060755 \h </w:instrText>
        </w:r>
        <w:r w:rsidR="003D6E44">
          <w:rPr>
            <w:noProof/>
            <w:webHidden/>
          </w:rPr>
        </w:r>
        <w:r w:rsidR="003D6E44">
          <w:rPr>
            <w:noProof/>
            <w:webHidden/>
          </w:rPr>
          <w:fldChar w:fldCharType="separate"/>
        </w:r>
        <w:r w:rsidR="000F268E">
          <w:rPr>
            <w:noProof/>
            <w:webHidden/>
          </w:rPr>
          <w:t>9</w:t>
        </w:r>
        <w:r w:rsidR="003D6E44">
          <w:rPr>
            <w:noProof/>
            <w:webHidden/>
          </w:rPr>
          <w:fldChar w:fldCharType="end"/>
        </w:r>
      </w:hyperlink>
    </w:p>
    <w:p w14:paraId="5C2E54E6" w14:textId="7B88EFA6" w:rsidR="003D6E44" w:rsidRDefault="000F268E">
      <w:pPr>
        <w:pStyle w:val="TableofFigures"/>
        <w:tabs>
          <w:tab w:val="right" w:pos="9854"/>
        </w:tabs>
        <w:rPr>
          <w:rFonts w:eastAsiaTheme="minorEastAsia"/>
          <w:noProof/>
          <w:color w:val="auto"/>
          <w:kern w:val="0"/>
          <w:sz w:val="22"/>
          <w:szCs w:val="22"/>
          <w:lang w:eastAsia="en-AU"/>
        </w:rPr>
      </w:pPr>
      <w:hyperlink w:anchor="_Toc105060756" w:history="1">
        <w:r w:rsidR="003D6E44" w:rsidRPr="00010B0F">
          <w:rPr>
            <w:rStyle w:val="Hyperlink"/>
            <w:noProof/>
          </w:rPr>
          <w:t>Figure 2: Total number of cargo ships that called at Australian ports</w:t>
        </w:r>
        <w:r w:rsidR="003D6E44">
          <w:rPr>
            <w:noProof/>
            <w:webHidden/>
          </w:rPr>
          <w:tab/>
        </w:r>
        <w:r w:rsidR="003D6E44">
          <w:rPr>
            <w:noProof/>
            <w:webHidden/>
          </w:rPr>
          <w:fldChar w:fldCharType="begin"/>
        </w:r>
        <w:r w:rsidR="003D6E44">
          <w:rPr>
            <w:noProof/>
            <w:webHidden/>
          </w:rPr>
          <w:instrText xml:space="preserve"> PAGEREF _Toc105060756 \h </w:instrText>
        </w:r>
        <w:r w:rsidR="003D6E44">
          <w:rPr>
            <w:noProof/>
            <w:webHidden/>
          </w:rPr>
        </w:r>
        <w:r w:rsidR="003D6E44">
          <w:rPr>
            <w:noProof/>
            <w:webHidden/>
          </w:rPr>
          <w:fldChar w:fldCharType="separate"/>
        </w:r>
        <w:r>
          <w:rPr>
            <w:noProof/>
            <w:webHidden/>
          </w:rPr>
          <w:t>9</w:t>
        </w:r>
        <w:r w:rsidR="003D6E44">
          <w:rPr>
            <w:noProof/>
            <w:webHidden/>
          </w:rPr>
          <w:fldChar w:fldCharType="end"/>
        </w:r>
      </w:hyperlink>
    </w:p>
    <w:p w14:paraId="787BE307" w14:textId="7F0AF4B1" w:rsidR="003D6E44" w:rsidRDefault="000F268E">
      <w:pPr>
        <w:pStyle w:val="TableofFigures"/>
        <w:tabs>
          <w:tab w:val="right" w:pos="9854"/>
        </w:tabs>
        <w:rPr>
          <w:rFonts w:eastAsiaTheme="minorEastAsia"/>
          <w:noProof/>
          <w:color w:val="auto"/>
          <w:kern w:val="0"/>
          <w:sz w:val="22"/>
          <w:szCs w:val="22"/>
          <w:lang w:eastAsia="en-AU"/>
        </w:rPr>
      </w:pPr>
      <w:hyperlink w:anchor="_Toc105060757" w:history="1">
        <w:r w:rsidR="003D6E44" w:rsidRPr="00010B0F">
          <w:rPr>
            <w:rStyle w:val="Hyperlink"/>
            <w:noProof/>
          </w:rPr>
          <w:t>Figure 3: Australia's Maritime Zones</w:t>
        </w:r>
        <w:r w:rsidR="003D6E44">
          <w:rPr>
            <w:noProof/>
            <w:webHidden/>
          </w:rPr>
          <w:tab/>
        </w:r>
        <w:r w:rsidR="003D6E44">
          <w:rPr>
            <w:noProof/>
            <w:webHidden/>
          </w:rPr>
          <w:fldChar w:fldCharType="begin"/>
        </w:r>
        <w:r w:rsidR="003D6E44">
          <w:rPr>
            <w:noProof/>
            <w:webHidden/>
          </w:rPr>
          <w:instrText xml:space="preserve"> PAGEREF _Toc105060757 \h </w:instrText>
        </w:r>
        <w:r w:rsidR="003D6E44">
          <w:rPr>
            <w:noProof/>
            <w:webHidden/>
          </w:rPr>
        </w:r>
        <w:r w:rsidR="003D6E44">
          <w:rPr>
            <w:noProof/>
            <w:webHidden/>
          </w:rPr>
          <w:fldChar w:fldCharType="separate"/>
        </w:r>
        <w:r>
          <w:rPr>
            <w:noProof/>
            <w:webHidden/>
          </w:rPr>
          <w:t>11</w:t>
        </w:r>
        <w:r w:rsidR="003D6E44">
          <w:rPr>
            <w:noProof/>
            <w:webHidden/>
          </w:rPr>
          <w:fldChar w:fldCharType="end"/>
        </w:r>
      </w:hyperlink>
    </w:p>
    <w:p w14:paraId="43C17DD3" w14:textId="3779900F" w:rsidR="003D6E44" w:rsidRDefault="000F268E">
      <w:pPr>
        <w:pStyle w:val="TableofFigures"/>
        <w:tabs>
          <w:tab w:val="right" w:pos="9854"/>
        </w:tabs>
        <w:rPr>
          <w:rFonts w:eastAsiaTheme="minorEastAsia"/>
          <w:noProof/>
          <w:color w:val="auto"/>
          <w:kern w:val="0"/>
          <w:sz w:val="22"/>
          <w:szCs w:val="22"/>
          <w:lang w:eastAsia="en-AU"/>
        </w:rPr>
      </w:pPr>
      <w:hyperlink w:anchor="_Toc105060758" w:history="1">
        <w:r w:rsidR="003D6E44" w:rsidRPr="00010B0F">
          <w:rPr>
            <w:rStyle w:val="Hyperlink"/>
            <w:noProof/>
          </w:rPr>
          <w:t>Figure 4: Analytical framework</w:t>
        </w:r>
        <w:r w:rsidR="003D6E44">
          <w:rPr>
            <w:noProof/>
            <w:webHidden/>
          </w:rPr>
          <w:tab/>
        </w:r>
        <w:r w:rsidR="003D6E44">
          <w:rPr>
            <w:noProof/>
            <w:webHidden/>
          </w:rPr>
          <w:fldChar w:fldCharType="begin"/>
        </w:r>
        <w:r w:rsidR="003D6E44">
          <w:rPr>
            <w:noProof/>
            <w:webHidden/>
          </w:rPr>
          <w:instrText xml:space="preserve"> PAGEREF _Toc105060758 \h </w:instrText>
        </w:r>
        <w:r w:rsidR="003D6E44">
          <w:rPr>
            <w:noProof/>
            <w:webHidden/>
          </w:rPr>
        </w:r>
        <w:r w:rsidR="003D6E44">
          <w:rPr>
            <w:noProof/>
            <w:webHidden/>
          </w:rPr>
          <w:fldChar w:fldCharType="separate"/>
        </w:r>
        <w:r>
          <w:rPr>
            <w:noProof/>
            <w:webHidden/>
          </w:rPr>
          <w:t>29</w:t>
        </w:r>
        <w:r w:rsidR="003D6E44">
          <w:rPr>
            <w:noProof/>
            <w:webHidden/>
          </w:rPr>
          <w:fldChar w:fldCharType="end"/>
        </w:r>
      </w:hyperlink>
    </w:p>
    <w:p w14:paraId="7104F246" w14:textId="6806D057" w:rsidR="003D6E44" w:rsidRDefault="000F268E">
      <w:pPr>
        <w:pStyle w:val="TableofFigures"/>
        <w:tabs>
          <w:tab w:val="right" w:pos="9854"/>
        </w:tabs>
        <w:rPr>
          <w:rFonts w:eastAsiaTheme="minorEastAsia"/>
          <w:noProof/>
          <w:color w:val="auto"/>
          <w:kern w:val="0"/>
          <w:sz w:val="22"/>
          <w:szCs w:val="22"/>
          <w:lang w:eastAsia="en-AU"/>
        </w:rPr>
      </w:pPr>
      <w:hyperlink w:anchor="_Toc105060759" w:history="1">
        <w:r w:rsidR="003D6E44" w:rsidRPr="00010B0F">
          <w:rPr>
            <w:rStyle w:val="Hyperlink"/>
            <w:noProof/>
          </w:rPr>
          <w:t>Table 1: Incidence of costs and benefits</w:t>
        </w:r>
        <w:r w:rsidR="003D6E44">
          <w:rPr>
            <w:noProof/>
            <w:webHidden/>
          </w:rPr>
          <w:tab/>
        </w:r>
        <w:r w:rsidR="003D6E44">
          <w:rPr>
            <w:noProof/>
            <w:webHidden/>
          </w:rPr>
          <w:fldChar w:fldCharType="begin"/>
        </w:r>
        <w:r w:rsidR="003D6E44">
          <w:rPr>
            <w:noProof/>
            <w:webHidden/>
          </w:rPr>
          <w:instrText xml:space="preserve"> PAGEREF _Toc105060759 \h </w:instrText>
        </w:r>
        <w:r w:rsidR="003D6E44">
          <w:rPr>
            <w:noProof/>
            <w:webHidden/>
          </w:rPr>
        </w:r>
        <w:r w:rsidR="003D6E44">
          <w:rPr>
            <w:noProof/>
            <w:webHidden/>
          </w:rPr>
          <w:fldChar w:fldCharType="separate"/>
        </w:r>
        <w:r>
          <w:rPr>
            <w:noProof/>
            <w:webHidden/>
          </w:rPr>
          <w:t>30</w:t>
        </w:r>
        <w:r w:rsidR="003D6E44">
          <w:rPr>
            <w:noProof/>
            <w:webHidden/>
          </w:rPr>
          <w:fldChar w:fldCharType="end"/>
        </w:r>
      </w:hyperlink>
    </w:p>
    <w:p w14:paraId="65CF5379" w14:textId="3536D381" w:rsidR="003D6E44" w:rsidRDefault="000F268E">
      <w:pPr>
        <w:pStyle w:val="TableofFigures"/>
        <w:tabs>
          <w:tab w:val="right" w:pos="9854"/>
        </w:tabs>
        <w:rPr>
          <w:rFonts w:eastAsiaTheme="minorEastAsia"/>
          <w:noProof/>
          <w:color w:val="auto"/>
          <w:kern w:val="0"/>
          <w:sz w:val="22"/>
          <w:szCs w:val="22"/>
          <w:lang w:eastAsia="en-AU"/>
        </w:rPr>
      </w:pPr>
      <w:hyperlink w:anchor="_Toc105060760" w:history="1">
        <w:r w:rsidR="003D6E44" w:rsidRPr="00010B0F">
          <w:rPr>
            <w:rStyle w:val="Hyperlink"/>
            <w:noProof/>
          </w:rPr>
          <w:t>Table 2: Compliance costs for RAVs and foreign vessels under Options 3 and 4, relative to Option 1 over a 10-year period</w:t>
        </w:r>
        <w:r w:rsidR="003D6E44">
          <w:rPr>
            <w:noProof/>
            <w:webHidden/>
          </w:rPr>
          <w:tab/>
        </w:r>
        <w:r w:rsidR="003D6E44">
          <w:rPr>
            <w:noProof/>
            <w:webHidden/>
          </w:rPr>
          <w:fldChar w:fldCharType="begin"/>
        </w:r>
        <w:r w:rsidR="003D6E44">
          <w:rPr>
            <w:noProof/>
            <w:webHidden/>
          </w:rPr>
          <w:instrText xml:space="preserve"> PAGEREF _Toc105060760 \h </w:instrText>
        </w:r>
        <w:r w:rsidR="003D6E44">
          <w:rPr>
            <w:noProof/>
            <w:webHidden/>
          </w:rPr>
        </w:r>
        <w:r w:rsidR="003D6E44">
          <w:rPr>
            <w:noProof/>
            <w:webHidden/>
          </w:rPr>
          <w:fldChar w:fldCharType="separate"/>
        </w:r>
        <w:r>
          <w:rPr>
            <w:noProof/>
            <w:webHidden/>
          </w:rPr>
          <w:t>31</w:t>
        </w:r>
        <w:r w:rsidR="003D6E44">
          <w:rPr>
            <w:noProof/>
            <w:webHidden/>
          </w:rPr>
          <w:fldChar w:fldCharType="end"/>
        </w:r>
      </w:hyperlink>
    </w:p>
    <w:p w14:paraId="5DC24676" w14:textId="679F78AE" w:rsidR="003D6E44" w:rsidRDefault="000F268E">
      <w:pPr>
        <w:pStyle w:val="TableofFigures"/>
        <w:tabs>
          <w:tab w:val="right" w:pos="9854"/>
        </w:tabs>
        <w:rPr>
          <w:rFonts w:eastAsiaTheme="minorEastAsia"/>
          <w:noProof/>
          <w:color w:val="auto"/>
          <w:kern w:val="0"/>
          <w:sz w:val="22"/>
          <w:szCs w:val="22"/>
          <w:lang w:eastAsia="en-AU"/>
        </w:rPr>
      </w:pPr>
      <w:hyperlink w:anchor="_Toc105060761" w:history="1">
        <w:r w:rsidR="003D6E44" w:rsidRPr="00010B0F">
          <w:rPr>
            <w:rStyle w:val="Hyperlink"/>
            <w:noProof/>
          </w:rPr>
          <w:t>Table 3: Overview of recreational vessel numbers</w:t>
        </w:r>
        <w:r w:rsidR="003D6E44">
          <w:rPr>
            <w:noProof/>
            <w:webHidden/>
          </w:rPr>
          <w:tab/>
        </w:r>
        <w:r w:rsidR="003D6E44">
          <w:rPr>
            <w:noProof/>
            <w:webHidden/>
          </w:rPr>
          <w:fldChar w:fldCharType="begin"/>
        </w:r>
        <w:r w:rsidR="003D6E44">
          <w:rPr>
            <w:noProof/>
            <w:webHidden/>
          </w:rPr>
          <w:instrText xml:space="preserve"> PAGEREF _Toc105060761 \h </w:instrText>
        </w:r>
        <w:r w:rsidR="003D6E44">
          <w:rPr>
            <w:noProof/>
            <w:webHidden/>
          </w:rPr>
        </w:r>
        <w:r w:rsidR="003D6E44">
          <w:rPr>
            <w:noProof/>
            <w:webHidden/>
          </w:rPr>
          <w:fldChar w:fldCharType="separate"/>
        </w:r>
        <w:r>
          <w:rPr>
            <w:noProof/>
            <w:webHidden/>
          </w:rPr>
          <w:t>32</w:t>
        </w:r>
        <w:r w:rsidR="003D6E44">
          <w:rPr>
            <w:noProof/>
            <w:webHidden/>
          </w:rPr>
          <w:fldChar w:fldCharType="end"/>
        </w:r>
      </w:hyperlink>
    </w:p>
    <w:p w14:paraId="0116003A" w14:textId="5F75F229" w:rsidR="003D6E44" w:rsidRDefault="000F268E">
      <w:pPr>
        <w:pStyle w:val="TableofFigures"/>
        <w:tabs>
          <w:tab w:val="right" w:pos="9854"/>
        </w:tabs>
        <w:rPr>
          <w:rFonts w:eastAsiaTheme="minorEastAsia"/>
          <w:noProof/>
          <w:color w:val="auto"/>
          <w:kern w:val="0"/>
          <w:sz w:val="22"/>
          <w:szCs w:val="22"/>
          <w:lang w:eastAsia="en-AU"/>
        </w:rPr>
      </w:pPr>
      <w:hyperlink w:anchor="_Toc105060762" w:history="1">
        <w:r w:rsidR="003D6E44" w:rsidRPr="00010B0F">
          <w:rPr>
            <w:rStyle w:val="Hyperlink"/>
            <w:noProof/>
          </w:rPr>
          <w:t>Table 4: Estimated compliance costs annually for DCVs and recreational vessels under Options 3 and 4</w:t>
        </w:r>
        <w:r w:rsidR="003D6E44">
          <w:rPr>
            <w:noProof/>
            <w:webHidden/>
          </w:rPr>
          <w:tab/>
        </w:r>
        <w:r w:rsidR="003D6E44">
          <w:rPr>
            <w:noProof/>
            <w:webHidden/>
          </w:rPr>
          <w:fldChar w:fldCharType="begin"/>
        </w:r>
        <w:r w:rsidR="003D6E44">
          <w:rPr>
            <w:noProof/>
            <w:webHidden/>
          </w:rPr>
          <w:instrText xml:space="preserve"> PAGEREF _Toc105060762 \h </w:instrText>
        </w:r>
        <w:r w:rsidR="003D6E44">
          <w:rPr>
            <w:noProof/>
            <w:webHidden/>
          </w:rPr>
        </w:r>
        <w:r w:rsidR="003D6E44">
          <w:rPr>
            <w:noProof/>
            <w:webHidden/>
          </w:rPr>
          <w:fldChar w:fldCharType="separate"/>
        </w:r>
        <w:r>
          <w:rPr>
            <w:noProof/>
            <w:webHidden/>
          </w:rPr>
          <w:t>33</w:t>
        </w:r>
        <w:r w:rsidR="003D6E44">
          <w:rPr>
            <w:noProof/>
            <w:webHidden/>
          </w:rPr>
          <w:fldChar w:fldCharType="end"/>
        </w:r>
      </w:hyperlink>
    </w:p>
    <w:p w14:paraId="44135F00" w14:textId="59C8B1CB" w:rsidR="003D6E44" w:rsidRDefault="000F268E">
      <w:pPr>
        <w:pStyle w:val="TableofFigures"/>
        <w:tabs>
          <w:tab w:val="right" w:pos="9854"/>
        </w:tabs>
        <w:rPr>
          <w:rFonts w:eastAsiaTheme="minorEastAsia"/>
          <w:noProof/>
          <w:color w:val="auto"/>
          <w:kern w:val="0"/>
          <w:sz w:val="22"/>
          <w:szCs w:val="22"/>
          <w:lang w:eastAsia="en-AU"/>
        </w:rPr>
      </w:pPr>
      <w:hyperlink w:anchor="_Toc105060763" w:history="1">
        <w:r w:rsidR="003D6E44" w:rsidRPr="00010B0F">
          <w:rPr>
            <w:rStyle w:val="Hyperlink"/>
            <w:noProof/>
          </w:rPr>
          <w:t>Figure 5: Net benefits of Option 3 relative to Option 1 over a 10-year period</w:t>
        </w:r>
        <w:r w:rsidR="003D6E44">
          <w:rPr>
            <w:noProof/>
            <w:webHidden/>
          </w:rPr>
          <w:tab/>
        </w:r>
        <w:r w:rsidR="003D6E44">
          <w:rPr>
            <w:noProof/>
            <w:webHidden/>
          </w:rPr>
          <w:fldChar w:fldCharType="begin"/>
        </w:r>
        <w:r w:rsidR="003D6E44">
          <w:rPr>
            <w:noProof/>
            <w:webHidden/>
          </w:rPr>
          <w:instrText xml:space="preserve"> PAGEREF _Toc105060763 \h </w:instrText>
        </w:r>
        <w:r w:rsidR="003D6E44">
          <w:rPr>
            <w:noProof/>
            <w:webHidden/>
          </w:rPr>
        </w:r>
        <w:r w:rsidR="003D6E44">
          <w:rPr>
            <w:noProof/>
            <w:webHidden/>
          </w:rPr>
          <w:fldChar w:fldCharType="separate"/>
        </w:r>
        <w:r>
          <w:rPr>
            <w:noProof/>
            <w:webHidden/>
          </w:rPr>
          <w:t>35</w:t>
        </w:r>
        <w:r w:rsidR="003D6E44">
          <w:rPr>
            <w:noProof/>
            <w:webHidden/>
          </w:rPr>
          <w:fldChar w:fldCharType="end"/>
        </w:r>
      </w:hyperlink>
    </w:p>
    <w:p w14:paraId="36306A1A" w14:textId="1FAC86E8" w:rsidR="003D6E44" w:rsidRDefault="000F268E">
      <w:pPr>
        <w:pStyle w:val="TableofFigures"/>
        <w:tabs>
          <w:tab w:val="right" w:pos="9854"/>
        </w:tabs>
        <w:rPr>
          <w:rFonts w:eastAsiaTheme="minorEastAsia"/>
          <w:noProof/>
          <w:color w:val="auto"/>
          <w:kern w:val="0"/>
          <w:sz w:val="22"/>
          <w:szCs w:val="22"/>
          <w:lang w:eastAsia="en-AU"/>
        </w:rPr>
      </w:pPr>
      <w:hyperlink w:anchor="_Toc105060764" w:history="1">
        <w:r w:rsidR="003D6E44" w:rsidRPr="00010B0F">
          <w:rPr>
            <w:rStyle w:val="Hyperlink"/>
            <w:noProof/>
          </w:rPr>
          <w:t>Figure 6: Net benefits of Option 4 relative to Option 1 over a 10-year period</w:t>
        </w:r>
        <w:r w:rsidR="003D6E44">
          <w:rPr>
            <w:noProof/>
            <w:webHidden/>
          </w:rPr>
          <w:tab/>
        </w:r>
        <w:r w:rsidR="003D6E44">
          <w:rPr>
            <w:noProof/>
            <w:webHidden/>
          </w:rPr>
          <w:fldChar w:fldCharType="begin"/>
        </w:r>
        <w:r w:rsidR="003D6E44">
          <w:rPr>
            <w:noProof/>
            <w:webHidden/>
          </w:rPr>
          <w:instrText xml:space="preserve"> PAGEREF _Toc105060764 \h </w:instrText>
        </w:r>
        <w:r w:rsidR="003D6E44">
          <w:rPr>
            <w:noProof/>
            <w:webHidden/>
          </w:rPr>
        </w:r>
        <w:r w:rsidR="003D6E44">
          <w:rPr>
            <w:noProof/>
            <w:webHidden/>
          </w:rPr>
          <w:fldChar w:fldCharType="separate"/>
        </w:r>
        <w:r>
          <w:rPr>
            <w:noProof/>
            <w:webHidden/>
          </w:rPr>
          <w:t>36</w:t>
        </w:r>
        <w:r w:rsidR="003D6E44">
          <w:rPr>
            <w:noProof/>
            <w:webHidden/>
          </w:rPr>
          <w:fldChar w:fldCharType="end"/>
        </w:r>
      </w:hyperlink>
    </w:p>
    <w:p w14:paraId="7A634A59" w14:textId="40414075" w:rsidR="003D6E44" w:rsidRDefault="000F268E">
      <w:pPr>
        <w:pStyle w:val="TableofFigures"/>
        <w:tabs>
          <w:tab w:val="right" w:pos="9854"/>
        </w:tabs>
        <w:rPr>
          <w:rFonts w:eastAsiaTheme="minorEastAsia"/>
          <w:noProof/>
          <w:color w:val="auto"/>
          <w:kern w:val="0"/>
          <w:sz w:val="22"/>
          <w:szCs w:val="22"/>
          <w:lang w:eastAsia="en-AU"/>
        </w:rPr>
      </w:pPr>
      <w:hyperlink w:anchor="_Toc105060765" w:history="1">
        <w:r w:rsidR="003D6E44" w:rsidRPr="00010B0F">
          <w:rPr>
            <w:rStyle w:val="Hyperlink"/>
            <w:noProof/>
          </w:rPr>
          <w:t>Table 6: Ability for the Australian Government to recover costs associated with wrecks</w:t>
        </w:r>
        <w:r w:rsidR="003D6E44">
          <w:rPr>
            <w:noProof/>
            <w:webHidden/>
          </w:rPr>
          <w:tab/>
        </w:r>
        <w:r w:rsidR="003D6E44">
          <w:rPr>
            <w:noProof/>
            <w:webHidden/>
          </w:rPr>
          <w:fldChar w:fldCharType="begin"/>
        </w:r>
        <w:r w:rsidR="003D6E44">
          <w:rPr>
            <w:noProof/>
            <w:webHidden/>
          </w:rPr>
          <w:instrText xml:space="preserve"> PAGEREF _Toc105060765 \h </w:instrText>
        </w:r>
        <w:r w:rsidR="003D6E44">
          <w:rPr>
            <w:noProof/>
            <w:webHidden/>
          </w:rPr>
        </w:r>
        <w:r w:rsidR="003D6E44">
          <w:rPr>
            <w:noProof/>
            <w:webHidden/>
          </w:rPr>
          <w:fldChar w:fldCharType="separate"/>
        </w:r>
        <w:r>
          <w:rPr>
            <w:noProof/>
            <w:webHidden/>
          </w:rPr>
          <w:t>40</w:t>
        </w:r>
        <w:r w:rsidR="003D6E44">
          <w:rPr>
            <w:noProof/>
            <w:webHidden/>
          </w:rPr>
          <w:fldChar w:fldCharType="end"/>
        </w:r>
      </w:hyperlink>
    </w:p>
    <w:p w14:paraId="7514DB28" w14:textId="5A7E4B7B" w:rsidR="00F13EFC" w:rsidRDefault="00C025E8" w:rsidP="00C025E8">
      <w:pPr>
        <w:pStyle w:val="TableofFigures"/>
        <w:tabs>
          <w:tab w:val="right" w:pos="9854"/>
        </w:tabs>
        <w:rPr>
          <w:rFonts w:eastAsiaTheme="minorEastAsia"/>
          <w:noProof/>
          <w:color w:val="auto"/>
          <w:kern w:val="0"/>
          <w:sz w:val="22"/>
          <w:szCs w:val="22"/>
          <w:lang w:eastAsia="en-AU"/>
        </w:rPr>
      </w:pPr>
      <w:r>
        <w:fldChar w:fldCharType="end"/>
      </w:r>
    </w:p>
    <w:p w14:paraId="524EC574" w14:textId="285AFF25" w:rsidR="00CD7363" w:rsidRDefault="00CD7363" w:rsidP="00CD7363">
      <w:pPr>
        <w:pStyle w:val="TableofFigures"/>
        <w:tabs>
          <w:tab w:val="right" w:leader="dot" w:pos="9854"/>
        </w:tabs>
      </w:pPr>
      <w:r w:rsidRPr="00B703F0">
        <w:t xml:space="preserve"> </w:t>
      </w:r>
    </w:p>
    <w:p w14:paraId="69288FAF" w14:textId="313C0A9C" w:rsidR="00891740" w:rsidRDefault="00891740" w:rsidP="00891740"/>
    <w:p w14:paraId="676FE01B" w14:textId="7D11D9CA" w:rsidR="00891740" w:rsidRDefault="00891740" w:rsidP="00891740"/>
    <w:p w14:paraId="30DD089B" w14:textId="4F2C9B71" w:rsidR="00891740" w:rsidRDefault="00891740" w:rsidP="00891740"/>
    <w:p w14:paraId="7D5419AF" w14:textId="2C12DB7C" w:rsidR="00891740" w:rsidRDefault="00891740" w:rsidP="00891740"/>
    <w:p w14:paraId="6A7AE502" w14:textId="7E8BCB8E" w:rsidR="00891740" w:rsidRDefault="00891740" w:rsidP="00891740"/>
    <w:p w14:paraId="540CF34E" w14:textId="66BB2342" w:rsidR="00891740" w:rsidRDefault="00891740" w:rsidP="00891740"/>
    <w:p w14:paraId="3444841A" w14:textId="4D80B09B" w:rsidR="00891740" w:rsidRDefault="00891740" w:rsidP="00891740"/>
    <w:p w14:paraId="5D04118F" w14:textId="23AC19A1" w:rsidR="00891740" w:rsidRDefault="00891740" w:rsidP="00891740"/>
    <w:p w14:paraId="1C5FFD32" w14:textId="3535C15F" w:rsidR="00891740" w:rsidRDefault="00891740" w:rsidP="00891740"/>
    <w:p w14:paraId="0D4F32DC" w14:textId="749146B0" w:rsidR="00C22FCA" w:rsidRDefault="00C22FCA" w:rsidP="00891740"/>
    <w:p w14:paraId="0451BD0F" w14:textId="6A61F00B" w:rsidR="00C22FCA" w:rsidRDefault="00C22FCA" w:rsidP="00891740"/>
    <w:p w14:paraId="4A42CC16" w14:textId="614492E8" w:rsidR="00C22FCA" w:rsidRDefault="00C22FCA" w:rsidP="00891740"/>
    <w:p w14:paraId="455F8311" w14:textId="6FA8696B" w:rsidR="00C22FCA" w:rsidRDefault="00C22FCA" w:rsidP="00891740"/>
    <w:p w14:paraId="2AE12D2D" w14:textId="6679770A" w:rsidR="00686C8B" w:rsidRDefault="00686C8B" w:rsidP="00891740"/>
    <w:p w14:paraId="5CD8ADB9" w14:textId="4B3C1419" w:rsidR="00686C8B" w:rsidRDefault="00686C8B" w:rsidP="00891740"/>
    <w:p w14:paraId="5ADBEF5A" w14:textId="0A364BDA" w:rsidR="00686C8B" w:rsidRDefault="00686C8B" w:rsidP="00891740"/>
    <w:p w14:paraId="6008A71C" w14:textId="7BCA9A92" w:rsidR="00686C8B" w:rsidRDefault="00686C8B" w:rsidP="00891740"/>
    <w:p w14:paraId="2698DD6F" w14:textId="16152110" w:rsidR="00686C8B" w:rsidRDefault="00686C8B" w:rsidP="00891740"/>
    <w:p w14:paraId="43A219E3" w14:textId="7D0D43C8" w:rsidR="00686C8B" w:rsidRDefault="00686C8B" w:rsidP="00891740"/>
    <w:p w14:paraId="00EE4F43" w14:textId="77777777" w:rsidR="00686C8B" w:rsidRDefault="00686C8B" w:rsidP="00891740"/>
    <w:p w14:paraId="76D944AF" w14:textId="77777777" w:rsidR="00891740" w:rsidRDefault="00891740" w:rsidP="00891740"/>
    <w:p w14:paraId="2C6ADD1D" w14:textId="702D36AA" w:rsidR="0064427A" w:rsidRPr="00B703F0" w:rsidRDefault="00891740" w:rsidP="00891740">
      <w:pPr>
        <w:sectPr w:rsidR="0064427A" w:rsidRPr="00B703F0" w:rsidSect="00D87AD8">
          <w:pgSz w:w="11906" w:h="16838" w:code="9"/>
          <w:pgMar w:top="1021" w:right="1021" w:bottom="1021" w:left="1021" w:header="510" w:footer="567" w:gutter="0"/>
          <w:cols w:space="708"/>
          <w:docGrid w:linePitch="360"/>
        </w:sectPr>
      </w:pPr>
      <w:r w:rsidRPr="00B703F0">
        <w:rPr>
          <w:sz w:val="16"/>
        </w:rPr>
        <w:t>Cover Photo: Maheno Shipwreck, QLD © Tourism Australia</w:t>
      </w:r>
    </w:p>
    <w:p w14:paraId="7C25F58F" w14:textId="5A25B036" w:rsidR="003D3B1D" w:rsidRPr="00B703F0" w:rsidRDefault="003D3B1D" w:rsidP="003D3B1D">
      <w:pPr>
        <w:pStyle w:val="Heading1"/>
      </w:pPr>
      <w:bookmarkStart w:id="0" w:name="_Toc96354452"/>
      <w:bookmarkStart w:id="1" w:name="_Toc105060766"/>
      <w:r w:rsidRPr="00B703F0">
        <w:lastRenderedPageBreak/>
        <w:t>Glossary</w:t>
      </w:r>
      <w:bookmarkEnd w:id="0"/>
      <w:bookmarkEnd w:id="1"/>
    </w:p>
    <w:tbl>
      <w:tblPr>
        <w:tblStyle w:val="DefaultTable1"/>
        <w:tblW w:w="0" w:type="auto"/>
        <w:tblLook w:val="04E0" w:firstRow="1" w:lastRow="1" w:firstColumn="1" w:lastColumn="0" w:noHBand="0" w:noVBand="1"/>
        <w:tblCaption w:val="Sample table"/>
        <w:tblDescription w:val="Sample table"/>
      </w:tblPr>
      <w:tblGrid>
        <w:gridCol w:w="2552"/>
        <w:gridCol w:w="1559"/>
        <w:gridCol w:w="5670"/>
      </w:tblGrid>
      <w:tr w:rsidR="0064427A" w:rsidRPr="00B703F0" w14:paraId="5CB9C276" w14:textId="77777777" w:rsidTr="00674869">
        <w:trPr>
          <w:cnfStyle w:val="100000000000" w:firstRow="1" w:lastRow="0" w:firstColumn="0" w:lastColumn="0" w:oddVBand="0" w:evenVBand="0" w:oddHBand="0"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2552" w:type="dxa"/>
          </w:tcPr>
          <w:p w14:paraId="793F1EE2" w14:textId="013F9EE3" w:rsidR="0064427A" w:rsidRPr="00B703F0" w:rsidRDefault="0064427A" w:rsidP="00647975">
            <w:r w:rsidRPr="00B703F0">
              <w:t>Term</w:t>
            </w:r>
          </w:p>
        </w:tc>
        <w:tc>
          <w:tcPr>
            <w:tcW w:w="1559" w:type="dxa"/>
          </w:tcPr>
          <w:p w14:paraId="0590C2A9" w14:textId="6F1DB27C" w:rsidR="0064427A" w:rsidRPr="00B703F0" w:rsidRDefault="0064427A" w:rsidP="00647975">
            <w:pPr>
              <w:cnfStyle w:val="100000000000" w:firstRow="1" w:lastRow="0" w:firstColumn="0" w:lastColumn="0" w:oddVBand="0" w:evenVBand="0" w:oddHBand="0" w:evenHBand="0" w:firstRowFirstColumn="0" w:firstRowLastColumn="0" w:lastRowFirstColumn="0" w:lastRowLastColumn="0"/>
            </w:pPr>
            <w:r w:rsidRPr="00B703F0">
              <w:t>Abbreviation</w:t>
            </w:r>
          </w:p>
        </w:tc>
        <w:tc>
          <w:tcPr>
            <w:tcW w:w="5670" w:type="dxa"/>
          </w:tcPr>
          <w:p w14:paraId="1D8878EE" w14:textId="673C0026" w:rsidR="0064427A" w:rsidRPr="00B703F0" w:rsidRDefault="0064427A" w:rsidP="00647975">
            <w:pPr>
              <w:cnfStyle w:val="100000000000" w:firstRow="1" w:lastRow="0" w:firstColumn="0" w:lastColumn="0" w:oddVBand="0" w:evenVBand="0" w:oddHBand="0" w:evenHBand="0" w:firstRowFirstColumn="0" w:firstRowLastColumn="0" w:lastRowFirstColumn="0" w:lastRowLastColumn="0"/>
            </w:pPr>
            <w:r w:rsidRPr="00B703F0">
              <w:t>Definition</w:t>
            </w:r>
          </w:p>
        </w:tc>
      </w:tr>
      <w:tr w:rsidR="0064427A" w:rsidRPr="00B703F0" w14:paraId="251BFF3F" w14:textId="77777777" w:rsidTr="00674869">
        <w:trPr>
          <w:trHeight w:val="431"/>
        </w:trPr>
        <w:tc>
          <w:tcPr>
            <w:cnfStyle w:val="001000000000" w:firstRow="0" w:lastRow="0" w:firstColumn="1" w:lastColumn="0" w:oddVBand="0" w:evenVBand="0" w:oddHBand="0" w:evenHBand="0" w:firstRowFirstColumn="0" w:firstRowLastColumn="0" w:lastRowFirstColumn="0" w:lastRowLastColumn="0"/>
            <w:tcW w:w="2552" w:type="dxa"/>
          </w:tcPr>
          <w:p w14:paraId="5D6610A4" w14:textId="00E78990" w:rsidR="0064427A" w:rsidRPr="00B703F0" w:rsidRDefault="0064427A" w:rsidP="0064427A">
            <w:pPr>
              <w:rPr>
                <w:b w:val="0"/>
              </w:rPr>
            </w:pPr>
            <w:r w:rsidRPr="00B703F0">
              <w:rPr>
                <w:b w:val="0"/>
              </w:rPr>
              <w:t>Australian Maritime Safety Authority</w:t>
            </w:r>
          </w:p>
        </w:tc>
        <w:tc>
          <w:tcPr>
            <w:tcW w:w="1559" w:type="dxa"/>
          </w:tcPr>
          <w:p w14:paraId="2F99535F" w14:textId="516D3EB5" w:rsidR="0064427A" w:rsidRPr="00B703F0" w:rsidRDefault="0064427A" w:rsidP="0064427A">
            <w:pPr>
              <w:cnfStyle w:val="000000000000" w:firstRow="0" w:lastRow="0" w:firstColumn="0" w:lastColumn="0" w:oddVBand="0" w:evenVBand="0" w:oddHBand="0" w:evenHBand="0" w:firstRowFirstColumn="0" w:firstRowLastColumn="0" w:lastRowFirstColumn="0" w:lastRowLastColumn="0"/>
            </w:pPr>
            <w:r w:rsidRPr="00B703F0">
              <w:t>AMSA</w:t>
            </w:r>
            <w:r w:rsidR="00794ECB" w:rsidRPr="00B703F0">
              <w:t xml:space="preserve"> </w:t>
            </w:r>
          </w:p>
        </w:tc>
        <w:tc>
          <w:tcPr>
            <w:tcW w:w="5670" w:type="dxa"/>
          </w:tcPr>
          <w:p w14:paraId="28203DA7" w14:textId="616B97D0" w:rsidR="0064427A" w:rsidRPr="00B703F0" w:rsidRDefault="0064427A" w:rsidP="0064427A">
            <w:pPr>
              <w:cnfStyle w:val="000000000000" w:firstRow="0" w:lastRow="0" w:firstColumn="0" w:lastColumn="0" w:oddVBand="0" w:evenVBand="0" w:oddHBand="0" w:evenHBand="0" w:firstRowFirstColumn="0" w:firstRowLastColumn="0" w:lastRowFirstColumn="0" w:lastRowLastColumn="0"/>
            </w:pPr>
            <w:r w:rsidRPr="00B703F0">
              <w:t>Australia's national agency responsible for maritime safety, protection of the marine environment, and maritime aviation search and rescue</w:t>
            </w:r>
            <w:r w:rsidR="00EC5357" w:rsidRPr="00B703F0">
              <w:t>.</w:t>
            </w:r>
          </w:p>
        </w:tc>
      </w:tr>
      <w:tr w:rsidR="00A364F1" w:rsidRPr="00B703F0" w14:paraId="52DC6CF9" w14:textId="77777777" w:rsidTr="00647975">
        <w:trPr>
          <w:cnfStyle w:val="000000010000" w:firstRow="0" w:lastRow="0" w:firstColumn="0" w:lastColumn="0" w:oddVBand="0" w:evenVBand="0" w:oddHBand="0" w:evenHBand="1"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2552" w:type="dxa"/>
          </w:tcPr>
          <w:p w14:paraId="3B94F310" w14:textId="77777777" w:rsidR="00A364F1" w:rsidRPr="00B703F0" w:rsidRDefault="00A364F1" w:rsidP="00647975">
            <w:pPr>
              <w:rPr>
                <w:b w:val="0"/>
              </w:rPr>
            </w:pPr>
            <w:r w:rsidRPr="00B703F0">
              <w:rPr>
                <w:b w:val="0"/>
                <w:i/>
                <w:lang w:eastAsia="en-AU"/>
              </w:rPr>
              <w:t>Convention on Limitation of Liability for Maritime Claims</w:t>
            </w:r>
          </w:p>
        </w:tc>
        <w:tc>
          <w:tcPr>
            <w:tcW w:w="1559" w:type="dxa"/>
          </w:tcPr>
          <w:p w14:paraId="5C3D7797" w14:textId="130792E8" w:rsidR="00A364F1" w:rsidRPr="00B703F0" w:rsidRDefault="00A364F1" w:rsidP="00A83238">
            <w:pPr>
              <w:cnfStyle w:val="000000010000" w:firstRow="0" w:lastRow="0" w:firstColumn="0" w:lastColumn="0" w:oddVBand="0" w:evenVBand="0" w:oddHBand="0" w:evenHBand="1" w:firstRowFirstColumn="0" w:firstRowLastColumn="0" w:lastRowFirstColumn="0" w:lastRowLastColumn="0"/>
            </w:pPr>
            <w:r w:rsidRPr="00B703F0">
              <w:t xml:space="preserve">LLMC </w:t>
            </w:r>
            <w:r w:rsidR="00266DE7" w:rsidRPr="00B703F0">
              <w:t>Convention</w:t>
            </w:r>
          </w:p>
        </w:tc>
        <w:tc>
          <w:tcPr>
            <w:tcW w:w="5670" w:type="dxa"/>
          </w:tcPr>
          <w:p w14:paraId="3D21C056" w14:textId="39695735" w:rsidR="00A364F1" w:rsidRPr="00B703F0" w:rsidRDefault="00462CCD" w:rsidP="005E00BD">
            <w:pPr>
              <w:cnfStyle w:val="000000010000" w:firstRow="0" w:lastRow="0" w:firstColumn="0" w:lastColumn="0" w:oddVBand="0" w:evenVBand="0" w:oddHBand="0" w:evenHBand="1" w:firstRowFirstColumn="0" w:firstRowLastColumn="0" w:lastRowFirstColumn="0" w:lastRowLastColumn="0"/>
              <w:rPr>
                <w:rFonts w:cstheme="minorHAnsi"/>
              </w:rPr>
            </w:pPr>
            <w:r w:rsidRPr="00B703F0">
              <w:t xml:space="preserve">A </w:t>
            </w:r>
            <w:r w:rsidR="005E00BD">
              <w:t>C</w:t>
            </w:r>
            <w:r w:rsidR="00A364F1" w:rsidRPr="00B703F0">
              <w:t>onvention relating to ship</w:t>
            </w:r>
            <w:r w:rsidR="006E6212" w:rsidRPr="00B703F0">
              <w:t xml:space="preserve"> </w:t>
            </w:r>
            <w:r w:rsidR="00A364F1" w:rsidRPr="00B703F0">
              <w:t>owners, allowing them to limit their liability to pay compensation for general s</w:t>
            </w:r>
            <w:bookmarkStart w:id="2" w:name="_GoBack"/>
            <w:bookmarkEnd w:id="2"/>
            <w:r w:rsidR="00A364F1" w:rsidRPr="00B703F0">
              <w:t>hip-sourced damage.</w:t>
            </w:r>
          </w:p>
        </w:tc>
      </w:tr>
      <w:tr w:rsidR="00EC1673" w:rsidRPr="00B703F0" w14:paraId="183EA58F" w14:textId="77777777" w:rsidTr="00647975">
        <w:trPr>
          <w:trHeight w:val="422"/>
        </w:trPr>
        <w:tc>
          <w:tcPr>
            <w:cnfStyle w:val="001000000000" w:firstRow="0" w:lastRow="0" w:firstColumn="1" w:lastColumn="0" w:oddVBand="0" w:evenVBand="0" w:oddHBand="0" w:evenHBand="0" w:firstRowFirstColumn="0" w:firstRowLastColumn="0" w:lastRowFirstColumn="0" w:lastRowLastColumn="0"/>
            <w:tcW w:w="2552" w:type="dxa"/>
          </w:tcPr>
          <w:p w14:paraId="470B0376" w14:textId="33F8927E" w:rsidR="00EC1673" w:rsidRPr="00B703F0" w:rsidRDefault="00EC1673" w:rsidP="00647975">
            <w:pPr>
              <w:rPr>
                <w:b w:val="0"/>
                <w:lang w:eastAsia="en-AU"/>
              </w:rPr>
            </w:pPr>
            <w:r>
              <w:rPr>
                <w:b w:val="0"/>
                <w:lang w:eastAsia="en-AU"/>
              </w:rPr>
              <w:t>Coastal State</w:t>
            </w:r>
          </w:p>
        </w:tc>
        <w:tc>
          <w:tcPr>
            <w:tcW w:w="1559" w:type="dxa"/>
          </w:tcPr>
          <w:p w14:paraId="0C90AE65" w14:textId="77777777" w:rsidR="00EC1673" w:rsidRPr="00B703F0" w:rsidRDefault="00EC1673" w:rsidP="00A83238">
            <w:pPr>
              <w:cnfStyle w:val="000000000000" w:firstRow="0" w:lastRow="0" w:firstColumn="0" w:lastColumn="0" w:oddVBand="0" w:evenVBand="0" w:oddHBand="0" w:evenHBand="0" w:firstRowFirstColumn="0" w:firstRowLastColumn="0" w:lastRowFirstColumn="0" w:lastRowLastColumn="0"/>
            </w:pPr>
          </w:p>
        </w:tc>
        <w:tc>
          <w:tcPr>
            <w:tcW w:w="5670" w:type="dxa"/>
          </w:tcPr>
          <w:p w14:paraId="257F1B14" w14:textId="7B15D45E" w:rsidR="00EC1673" w:rsidRDefault="00EC1673" w:rsidP="00EC1673">
            <w:pPr>
              <w:cnfStyle w:val="000000000000" w:firstRow="0" w:lastRow="0" w:firstColumn="0" w:lastColumn="0" w:oddVBand="0" w:evenVBand="0" w:oddHBand="0" w:evenHBand="0" w:firstRowFirstColumn="0" w:firstRowLastColumn="0" w:lastRowFirstColumn="0" w:lastRowLastColumn="0"/>
            </w:pPr>
            <w:r>
              <w:rPr>
                <w:lang w:val="en-US"/>
              </w:rPr>
              <w:t xml:space="preserve">A term used in the </w:t>
            </w:r>
            <w:r w:rsidRPr="00EC1673">
              <w:rPr>
                <w:i/>
                <w:lang w:val="en-US"/>
              </w:rPr>
              <w:t>United Nations Convention on the Law of the Sea</w:t>
            </w:r>
            <w:r>
              <w:rPr>
                <w:lang w:val="en-US"/>
              </w:rPr>
              <w:t xml:space="preserve"> when referring to a country with a sea coastline, which provides the country with a number of rights and obligations.   </w:t>
            </w:r>
          </w:p>
        </w:tc>
      </w:tr>
      <w:tr w:rsidR="00D95E3B" w:rsidRPr="00B703F0" w14:paraId="43012D9B" w14:textId="77777777" w:rsidTr="00647975">
        <w:trPr>
          <w:cnfStyle w:val="000000010000" w:firstRow="0" w:lastRow="0" w:firstColumn="0" w:lastColumn="0" w:oddVBand="0" w:evenVBand="0" w:oddHBand="0" w:evenHBand="1"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2552" w:type="dxa"/>
          </w:tcPr>
          <w:p w14:paraId="694B4BBB" w14:textId="4F7BE096" w:rsidR="00D95E3B" w:rsidRPr="00B703F0" w:rsidRDefault="00D95E3B" w:rsidP="00647975">
            <w:pPr>
              <w:rPr>
                <w:b w:val="0"/>
                <w:lang w:eastAsia="en-AU"/>
              </w:rPr>
            </w:pPr>
            <w:r w:rsidRPr="00B703F0">
              <w:rPr>
                <w:b w:val="0"/>
                <w:lang w:eastAsia="en-AU"/>
              </w:rPr>
              <w:t>Coastal waters</w:t>
            </w:r>
          </w:p>
        </w:tc>
        <w:tc>
          <w:tcPr>
            <w:tcW w:w="1559" w:type="dxa"/>
          </w:tcPr>
          <w:p w14:paraId="08A52A3E" w14:textId="77777777" w:rsidR="00D95E3B" w:rsidRPr="00B703F0" w:rsidRDefault="00D95E3B" w:rsidP="00A83238">
            <w:pPr>
              <w:cnfStyle w:val="000000010000" w:firstRow="0" w:lastRow="0" w:firstColumn="0" w:lastColumn="0" w:oddVBand="0" w:evenVBand="0" w:oddHBand="0" w:evenHBand="1" w:firstRowFirstColumn="0" w:firstRowLastColumn="0" w:lastRowFirstColumn="0" w:lastRowLastColumn="0"/>
            </w:pPr>
          </w:p>
        </w:tc>
        <w:tc>
          <w:tcPr>
            <w:tcW w:w="5670" w:type="dxa"/>
          </w:tcPr>
          <w:p w14:paraId="3B2263D3" w14:textId="19856564" w:rsidR="00D95E3B" w:rsidRPr="00B703F0" w:rsidRDefault="005E00BD" w:rsidP="00647975">
            <w:pPr>
              <w:cnfStyle w:val="000000010000" w:firstRow="0" w:lastRow="0" w:firstColumn="0" w:lastColumn="0" w:oddVBand="0" w:evenVBand="0" w:oddHBand="0" w:evenHBand="1" w:firstRowFirstColumn="0" w:firstRowLastColumn="0" w:lastRowFirstColumn="0" w:lastRowLastColumn="0"/>
            </w:pPr>
            <w:r>
              <w:t>A</w:t>
            </w:r>
            <w:r w:rsidR="00D95E3B" w:rsidRPr="00B703F0">
              <w:t xml:space="preserve"> belt of water betwee</w:t>
            </w:r>
            <w:r w:rsidR="001A52D5" w:rsidRPr="00B703F0">
              <w:t>n the limits of the Australian s</w:t>
            </w:r>
            <w:r w:rsidR="00D95E3B" w:rsidRPr="00B703F0">
              <w:t xml:space="preserve">tates and the Northern Territory and a line 3 nautical miles seaward of the </w:t>
            </w:r>
            <w:r w:rsidR="00635073" w:rsidRPr="00B703F0">
              <w:t>territorial sea</w:t>
            </w:r>
            <w:r w:rsidR="00D95E3B" w:rsidRPr="00B703F0">
              <w:t xml:space="preserve"> baseline.</w:t>
            </w:r>
          </w:p>
          <w:p w14:paraId="43522FD1" w14:textId="67109996" w:rsidR="00D95E3B" w:rsidRPr="00B703F0" w:rsidRDefault="00D95E3B" w:rsidP="00242393">
            <w:pPr>
              <w:cnfStyle w:val="000000010000" w:firstRow="0" w:lastRow="0" w:firstColumn="0" w:lastColumn="0" w:oddVBand="0" w:evenVBand="0" w:oddHBand="0" w:evenHBand="1" w:firstRowFirstColumn="0" w:firstRowLastColumn="0" w:lastRowFirstColumn="0" w:lastRowLastColumn="0"/>
            </w:pPr>
            <w:r w:rsidRPr="00B703F0">
              <w:t xml:space="preserve">Jurisdiction over the water column and the subjacent seabed is vested in the adjacent </w:t>
            </w:r>
            <w:r w:rsidR="00242393" w:rsidRPr="00B703F0">
              <w:t>s</w:t>
            </w:r>
            <w:r w:rsidR="001A52D5" w:rsidRPr="00B703F0">
              <w:t>tate or t</w:t>
            </w:r>
            <w:r w:rsidRPr="00B703F0">
              <w:t>erritory as i</w:t>
            </w:r>
            <w:r w:rsidR="001A52D5" w:rsidRPr="00B703F0">
              <w:t>f the area formed part of that state or t</w:t>
            </w:r>
            <w:r w:rsidRPr="00B703F0">
              <w:t>erritory.</w:t>
            </w:r>
          </w:p>
        </w:tc>
      </w:tr>
      <w:tr w:rsidR="0064427A" w:rsidRPr="00B703F0" w14:paraId="252BABAE" w14:textId="77777777" w:rsidTr="00EF349D">
        <w:trPr>
          <w:trHeight w:val="1149"/>
        </w:trPr>
        <w:tc>
          <w:tcPr>
            <w:cnfStyle w:val="001000000000" w:firstRow="0" w:lastRow="0" w:firstColumn="1" w:lastColumn="0" w:oddVBand="0" w:evenVBand="0" w:oddHBand="0" w:evenHBand="0" w:firstRowFirstColumn="0" w:firstRowLastColumn="0" w:lastRowFirstColumn="0" w:lastRowLastColumn="0"/>
            <w:tcW w:w="2552" w:type="dxa"/>
          </w:tcPr>
          <w:p w14:paraId="3E1BD885" w14:textId="7417CB26" w:rsidR="0064427A" w:rsidRPr="00B703F0" w:rsidRDefault="0064427A" w:rsidP="0064427A">
            <w:pPr>
              <w:rPr>
                <w:b w:val="0"/>
              </w:rPr>
            </w:pPr>
            <w:r w:rsidRPr="00B703F0">
              <w:rPr>
                <w:b w:val="0"/>
              </w:rPr>
              <w:t>Domestic commercial vessels</w:t>
            </w:r>
          </w:p>
        </w:tc>
        <w:tc>
          <w:tcPr>
            <w:tcW w:w="1559" w:type="dxa"/>
          </w:tcPr>
          <w:p w14:paraId="4D4E4ED7" w14:textId="74C2240A" w:rsidR="0064427A" w:rsidRPr="00B703F0" w:rsidRDefault="0064427A" w:rsidP="0064427A">
            <w:pPr>
              <w:cnfStyle w:val="000000000000" w:firstRow="0" w:lastRow="0" w:firstColumn="0" w:lastColumn="0" w:oddVBand="0" w:evenVBand="0" w:oddHBand="0" w:evenHBand="0" w:firstRowFirstColumn="0" w:firstRowLastColumn="0" w:lastRowFirstColumn="0" w:lastRowLastColumn="0"/>
            </w:pPr>
            <w:r w:rsidRPr="00B703F0">
              <w:t>DCVs</w:t>
            </w:r>
          </w:p>
        </w:tc>
        <w:tc>
          <w:tcPr>
            <w:tcW w:w="5670" w:type="dxa"/>
          </w:tcPr>
          <w:p w14:paraId="0C24C25C" w14:textId="1ECA9D89" w:rsidR="00EF349D" w:rsidRPr="00B703F0" w:rsidRDefault="00A5737D" w:rsidP="00EF349D">
            <w:pPr>
              <w:cnfStyle w:val="000000000000" w:firstRow="0" w:lastRow="0" w:firstColumn="0" w:lastColumn="0" w:oddVBand="0" w:evenVBand="0" w:oddHBand="0" w:evenHBand="0" w:firstRowFirstColumn="0" w:firstRowLastColumn="0" w:lastRowFirstColumn="0" w:lastRowLastColumn="0"/>
            </w:pPr>
            <w:r w:rsidRPr="00B703F0">
              <w:t>A vessel</w:t>
            </w:r>
            <w:r w:rsidR="00E34B9B">
              <w:t xml:space="preserve"> for use </w:t>
            </w:r>
            <w:r w:rsidRPr="00B703F0">
              <w:t>in connection with a commercial, governmental or research activity</w:t>
            </w:r>
            <w:r w:rsidR="0067604A" w:rsidRPr="00B703F0">
              <w:t xml:space="preserve"> and </w:t>
            </w:r>
            <w:r w:rsidR="005E00BD">
              <w:t xml:space="preserve">only </w:t>
            </w:r>
            <w:r w:rsidR="0067604A" w:rsidRPr="00B703F0">
              <w:t>undertakes domestic voyages around Australia</w:t>
            </w:r>
            <w:r w:rsidRPr="00B703F0">
              <w:t>.</w:t>
            </w:r>
          </w:p>
          <w:p w14:paraId="503376DB" w14:textId="5A9B1FEE" w:rsidR="00A5737D" w:rsidRPr="00B703F0" w:rsidRDefault="00A5737D" w:rsidP="00EF349D">
            <w:pPr>
              <w:cnfStyle w:val="000000000000" w:firstRow="0" w:lastRow="0" w:firstColumn="0" w:lastColumn="0" w:oddVBand="0" w:evenVBand="0" w:oddHBand="0" w:evenHBand="0" w:firstRowFirstColumn="0" w:firstRowLastColumn="0" w:lastRowFirstColumn="0" w:lastRowLastColumn="0"/>
            </w:pPr>
            <w:r w:rsidRPr="00B703F0">
              <w:t xml:space="preserve">The full definition is provided in Schedule 1 of the </w:t>
            </w:r>
            <w:r w:rsidRPr="00B703F0">
              <w:rPr>
                <w:i/>
              </w:rPr>
              <w:t>Marine Safety (Domestic Commercial Vessel) National Law Act 2012</w:t>
            </w:r>
            <w:r w:rsidRPr="00B703F0">
              <w:t>.</w:t>
            </w:r>
          </w:p>
        </w:tc>
      </w:tr>
      <w:tr w:rsidR="0064427A" w:rsidRPr="00B703F0" w14:paraId="0BB1B873" w14:textId="77777777" w:rsidTr="00674869">
        <w:trPr>
          <w:cnfStyle w:val="000000010000" w:firstRow="0" w:lastRow="0" w:firstColumn="0" w:lastColumn="0" w:oddVBand="0" w:evenVBand="0" w:oddHBand="0" w:evenHBand="1"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2552" w:type="dxa"/>
          </w:tcPr>
          <w:p w14:paraId="1765F3B3" w14:textId="307FAB31" w:rsidR="0064427A" w:rsidRPr="00B703F0" w:rsidRDefault="00D816A9" w:rsidP="0064427A">
            <w:pPr>
              <w:rPr>
                <w:b w:val="0"/>
              </w:rPr>
            </w:pPr>
            <w:r w:rsidRPr="00B703F0">
              <w:rPr>
                <w:b w:val="0"/>
              </w:rPr>
              <w:t>Exclusive economic z</w:t>
            </w:r>
            <w:r w:rsidR="0064427A" w:rsidRPr="00B703F0">
              <w:rPr>
                <w:b w:val="0"/>
              </w:rPr>
              <w:t>one</w:t>
            </w:r>
          </w:p>
        </w:tc>
        <w:tc>
          <w:tcPr>
            <w:tcW w:w="1559" w:type="dxa"/>
          </w:tcPr>
          <w:p w14:paraId="3D42EA6D" w14:textId="5A4B9B18" w:rsidR="0064427A" w:rsidRPr="00B703F0" w:rsidRDefault="0064427A" w:rsidP="0064427A">
            <w:pPr>
              <w:cnfStyle w:val="000000010000" w:firstRow="0" w:lastRow="0" w:firstColumn="0" w:lastColumn="0" w:oddVBand="0" w:evenVBand="0" w:oddHBand="0" w:evenHBand="1" w:firstRowFirstColumn="0" w:firstRowLastColumn="0" w:lastRowFirstColumn="0" w:lastRowLastColumn="0"/>
            </w:pPr>
            <w:r w:rsidRPr="00B703F0">
              <w:t>EEZ</w:t>
            </w:r>
            <w:r w:rsidR="00794ECB" w:rsidRPr="00B703F0">
              <w:t xml:space="preserve"> </w:t>
            </w:r>
          </w:p>
        </w:tc>
        <w:tc>
          <w:tcPr>
            <w:tcW w:w="5670" w:type="dxa"/>
          </w:tcPr>
          <w:p w14:paraId="4B282D9D" w14:textId="0930DA78" w:rsidR="0064427A" w:rsidRPr="00B703F0" w:rsidRDefault="007E3BE9">
            <w:pPr>
              <w:cnfStyle w:val="000000010000" w:firstRow="0" w:lastRow="0" w:firstColumn="0" w:lastColumn="0" w:oddVBand="0" w:evenVBand="0" w:oddHBand="0" w:evenHBand="1" w:firstRowFirstColumn="0" w:firstRowLastColumn="0" w:lastRowFirstColumn="0" w:lastRowLastColumn="0"/>
            </w:pPr>
            <w:r>
              <w:t>As</w:t>
            </w:r>
            <w:r w:rsidR="00D816A9" w:rsidRPr="00B703F0">
              <w:t xml:space="preserve"> defined in the </w:t>
            </w:r>
            <w:r w:rsidR="00D816A9" w:rsidRPr="00B703F0">
              <w:rPr>
                <w:i/>
              </w:rPr>
              <w:t>United Nations Convention on the Law of the Sea</w:t>
            </w:r>
            <w:r>
              <w:rPr>
                <w:i/>
              </w:rPr>
              <w:t>,</w:t>
            </w:r>
            <w:r w:rsidR="00D816A9" w:rsidRPr="00B703F0">
              <w:t xml:space="preserve"> </w:t>
            </w:r>
            <w:r w:rsidR="0064427A" w:rsidRPr="00B703F0">
              <w:rPr>
                <w:rFonts w:cstheme="minorHAnsi"/>
              </w:rPr>
              <w:t xml:space="preserve">the area 200 nautical miles outwards from the baseline of the </w:t>
            </w:r>
            <w:r w:rsidR="00635073" w:rsidRPr="00B703F0">
              <w:rPr>
                <w:rFonts w:cstheme="minorHAnsi"/>
              </w:rPr>
              <w:t>territorial sea</w:t>
            </w:r>
            <w:r w:rsidR="00EC5357" w:rsidRPr="00B703F0">
              <w:rPr>
                <w:rFonts w:cstheme="minorHAnsi"/>
              </w:rPr>
              <w:t>.</w:t>
            </w:r>
          </w:p>
        </w:tc>
      </w:tr>
      <w:tr w:rsidR="00EC1673" w:rsidRPr="00B703F0" w14:paraId="1256E996" w14:textId="77777777" w:rsidTr="00647975">
        <w:trPr>
          <w:trHeight w:val="422"/>
        </w:trPr>
        <w:tc>
          <w:tcPr>
            <w:cnfStyle w:val="001000000000" w:firstRow="0" w:lastRow="0" w:firstColumn="1" w:lastColumn="0" w:oddVBand="0" w:evenVBand="0" w:oddHBand="0" w:evenHBand="0" w:firstRowFirstColumn="0" w:firstRowLastColumn="0" w:lastRowFirstColumn="0" w:lastRowLastColumn="0"/>
            <w:tcW w:w="2552" w:type="dxa"/>
          </w:tcPr>
          <w:p w14:paraId="26427752" w14:textId="26811C5C" w:rsidR="00EC1673" w:rsidRPr="00B703F0" w:rsidRDefault="00EC1673" w:rsidP="00647975">
            <w:pPr>
              <w:rPr>
                <w:b w:val="0"/>
              </w:rPr>
            </w:pPr>
            <w:r>
              <w:rPr>
                <w:b w:val="0"/>
              </w:rPr>
              <w:t>Flag State</w:t>
            </w:r>
          </w:p>
        </w:tc>
        <w:tc>
          <w:tcPr>
            <w:tcW w:w="1559" w:type="dxa"/>
          </w:tcPr>
          <w:p w14:paraId="5EE840F4" w14:textId="77777777" w:rsidR="00EC1673" w:rsidRPr="00B703F0" w:rsidRDefault="00EC1673" w:rsidP="00647975">
            <w:pPr>
              <w:cnfStyle w:val="000000000000" w:firstRow="0" w:lastRow="0" w:firstColumn="0" w:lastColumn="0" w:oddVBand="0" w:evenVBand="0" w:oddHBand="0" w:evenHBand="0" w:firstRowFirstColumn="0" w:firstRowLastColumn="0" w:lastRowFirstColumn="0" w:lastRowLastColumn="0"/>
            </w:pPr>
          </w:p>
        </w:tc>
        <w:tc>
          <w:tcPr>
            <w:tcW w:w="5670" w:type="dxa"/>
          </w:tcPr>
          <w:p w14:paraId="0F10CB60" w14:textId="3FD6C3E2" w:rsidR="00EC1673" w:rsidRPr="00B703F0" w:rsidRDefault="008852EA" w:rsidP="00647975">
            <w:pPr>
              <w:cnfStyle w:val="000000000000" w:firstRow="0" w:lastRow="0" w:firstColumn="0" w:lastColumn="0" w:oddVBand="0" w:evenVBand="0" w:oddHBand="0" w:evenHBand="0" w:firstRowFirstColumn="0" w:firstRowLastColumn="0" w:lastRowFirstColumn="0" w:lastRowLastColumn="0"/>
              <w:rPr>
                <w:rFonts w:cstheme="minorHAnsi"/>
              </w:rPr>
            </w:pPr>
            <w:r>
              <w:rPr>
                <w:lang w:val="en-US"/>
              </w:rPr>
              <w:t xml:space="preserve">The country in which a ship is registered. The ship is deemed to have the nationality of that country. A ship can only be registered in one jurisdiction.  </w:t>
            </w:r>
          </w:p>
        </w:tc>
      </w:tr>
      <w:tr w:rsidR="00A364F1" w:rsidRPr="00B703F0" w14:paraId="0A505130" w14:textId="77777777" w:rsidTr="00647975">
        <w:trPr>
          <w:cnfStyle w:val="000000010000" w:firstRow="0" w:lastRow="0" w:firstColumn="0" w:lastColumn="0" w:oddVBand="0" w:evenVBand="0" w:oddHBand="0" w:evenHBand="1"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2552" w:type="dxa"/>
          </w:tcPr>
          <w:p w14:paraId="7037DE1E" w14:textId="77777777" w:rsidR="00A364F1" w:rsidRPr="00B703F0" w:rsidRDefault="00A364F1" w:rsidP="00647975">
            <w:pPr>
              <w:rPr>
                <w:b w:val="0"/>
              </w:rPr>
            </w:pPr>
            <w:r w:rsidRPr="00B703F0">
              <w:rPr>
                <w:b w:val="0"/>
              </w:rPr>
              <w:t>Foreign Vessel</w:t>
            </w:r>
          </w:p>
        </w:tc>
        <w:tc>
          <w:tcPr>
            <w:tcW w:w="1559" w:type="dxa"/>
          </w:tcPr>
          <w:p w14:paraId="2A510C00" w14:textId="77777777" w:rsidR="00A364F1" w:rsidRPr="00B703F0" w:rsidRDefault="00A364F1" w:rsidP="00647975">
            <w:pPr>
              <w:cnfStyle w:val="000000010000" w:firstRow="0" w:lastRow="0" w:firstColumn="0" w:lastColumn="0" w:oddVBand="0" w:evenVBand="0" w:oddHBand="0" w:evenHBand="1" w:firstRowFirstColumn="0" w:firstRowLastColumn="0" w:lastRowFirstColumn="0" w:lastRowLastColumn="0"/>
            </w:pPr>
          </w:p>
        </w:tc>
        <w:tc>
          <w:tcPr>
            <w:tcW w:w="5670" w:type="dxa"/>
          </w:tcPr>
          <w:p w14:paraId="02463372" w14:textId="097FD494" w:rsidR="00A364F1" w:rsidRPr="00B703F0" w:rsidRDefault="004F0705" w:rsidP="00647975">
            <w:pPr>
              <w:cnfStyle w:val="000000010000" w:firstRow="0" w:lastRow="0" w:firstColumn="0" w:lastColumn="0" w:oddVBand="0" w:evenVBand="0" w:oddHBand="0" w:evenHBand="1" w:firstRowFirstColumn="0" w:firstRowLastColumn="0" w:lastRowFirstColumn="0" w:lastRowLastColumn="0"/>
              <w:rPr>
                <w:rFonts w:cstheme="minorHAnsi"/>
              </w:rPr>
            </w:pPr>
            <w:r w:rsidRPr="00B703F0">
              <w:rPr>
                <w:rFonts w:cstheme="minorHAnsi"/>
              </w:rPr>
              <w:t>A v</w:t>
            </w:r>
            <w:r w:rsidR="00A364F1" w:rsidRPr="00B703F0">
              <w:rPr>
                <w:rFonts w:cstheme="minorHAnsi"/>
              </w:rPr>
              <w:t>essel that does not have Australian nationality and is not a recreational vessel.</w:t>
            </w:r>
          </w:p>
          <w:p w14:paraId="5A304EEA" w14:textId="6355D4B0" w:rsidR="00A364F1" w:rsidRPr="00B703F0" w:rsidRDefault="00A364F1">
            <w:pPr>
              <w:cnfStyle w:val="000000010000" w:firstRow="0" w:lastRow="0" w:firstColumn="0" w:lastColumn="0" w:oddVBand="0" w:evenVBand="0" w:oddHBand="0" w:evenHBand="1" w:firstRowFirstColumn="0" w:firstRowLastColumn="0" w:lastRowFirstColumn="0" w:lastRowLastColumn="0"/>
            </w:pPr>
            <w:r w:rsidRPr="00B703F0">
              <w:rPr>
                <w:rFonts w:cstheme="minorHAnsi"/>
              </w:rPr>
              <w:t xml:space="preserve">The </w:t>
            </w:r>
            <w:r w:rsidR="007E3BE9">
              <w:rPr>
                <w:rFonts w:cstheme="minorHAnsi"/>
              </w:rPr>
              <w:t xml:space="preserve">full </w:t>
            </w:r>
            <w:r w:rsidRPr="00B703F0">
              <w:rPr>
                <w:rFonts w:cstheme="minorHAnsi"/>
              </w:rPr>
              <w:t xml:space="preserve">definition is </w:t>
            </w:r>
            <w:r w:rsidR="00467900">
              <w:rPr>
                <w:rFonts w:cstheme="minorHAnsi"/>
              </w:rPr>
              <w:t>provided</w:t>
            </w:r>
            <w:r w:rsidR="00467900" w:rsidRPr="00B703F0">
              <w:rPr>
                <w:rFonts w:cstheme="minorHAnsi"/>
              </w:rPr>
              <w:t xml:space="preserve"> </w:t>
            </w:r>
            <w:r w:rsidRPr="00B703F0">
              <w:rPr>
                <w:rFonts w:cstheme="minorHAnsi"/>
              </w:rPr>
              <w:t xml:space="preserve">in s14 of the </w:t>
            </w:r>
            <w:r w:rsidRPr="00B703F0">
              <w:rPr>
                <w:rFonts w:cstheme="minorHAnsi"/>
                <w:i/>
              </w:rPr>
              <w:t>Navigation Act 2012</w:t>
            </w:r>
            <w:r w:rsidRPr="00B703F0">
              <w:rPr>
                <w:rFonts w:cstheme="minorHAnsi"/>
              </w:rPr>
              <w:t xml:space="preserve">. </w:t>
            </w:r>
          </w:p>
        </w:tc>
      </w:tr>
      <w:tr w:rsidR="0064427A" w:rsidRPr="00B703F0" w14:paraId="3D1F3C1E" w14:textId="77777777" w:rsidTr="00674869">
        <w:trPr>
          <w:trHeight w:val="422"/>
        </w:trPr>
        <w:tc>
          <w:tcPr>
            <w:cnfStyle w:val="001000000000" w:firstRow="0" w:lastRow="0" w:firstColumn="1" w:lastColumn="0" w:oddVBand="0" w:evenVBand="0" w:oddHBand="0" w:evenHBand="0" w:firstRowFirstColumn="0" w:firstRowLastColumn="0" w:lastRowFirstColumn="0" w:lastRowLastColumn="0"/>
            <w:tcW w:w="2552" w:type="dxa"/>
          </w:tcPr>
          <w:p w14:paraId="3BFDD351" w14:textId="15F76867" w:rsidR="0064427A" w:rsidRPr="00B703F0" w:rsidRDefault="001A52D5" w:rsidP="0064427A">
            <w:pPr>
              <w:rPr>
                <w:b w:val="0"/>
              </w:rPr>
            </w:pPr>
            <w:r w:rsidRPr="00B703F0">
              <w:rPr>
                <w:b w:val="0"/>
              </w:rPr>
              <w:t>Gross t</w:t>
            </w:r>
            <w:r w:rsidR="0064427A" w:rsidRPr="00B703F0">
              <w:rPr>
                <w:b w:val="0"/>
              </w:rPr>
              <w:t>onnage</w:t>
            </w:r>
          </w:p>
        </w:tc>
        <w:tc>
          <w:tcPr>
            <w:tcW w:w="1559" w:type="dxa"/>
          </w:tcPr>
          <w:p w14:paraId="13A0A577" w14:textId="353912B5" w:rsidR="0064427A" w:rsidRPr="00B703F0" w:rsidRDefault="0064427A" w:rsidP="0064427A">
            <w:pPr>
              <w:cnfStyle w:val="000000000000" w:firstRow="0" w:lastRow="0" w:firstColumn="0" w:lastColumn="0" w:oddVBand="0" w:evenVBand="0" w:oddHBand="0" w:evenHBand="0" w:firstRowFirstColumn="0" w:firstRowLastColumn="0" w:lastRowFirstColumn="0" w:lastRowLastColumn="0"/>
              <w:rPr>
                <w:b/>
              </w:rPr>
            </w:pPr>
            <w:r w:rsidRPr="00B703F0">
              <w:t>GT</w:t>
            </w:r>
          </w:p>
        </w:tc>
        <w:tc>
          <w:tcPr>
            <w:tcW w:w="5670" w:type="dxa"/>
          </w:tcPr>
          <w:p w14:paraId="14F8944F" w14:textId="0F249CEA" w:rsidR="0064427A" w:rsidRPr="00B703F0" w:rsidRDefault="00674869" w:rsidP="0064427A">
            <w:pPr>
              <w:cnfStyle w:val="000000000000" w:firstRow="0" w:lastRow="0" w:firstColumn="0" w:lastColumn="0" w:oddVBand="0" w:evenVBand="0" w:oddHBand="0" w:evenHBand="0" w:firstRowFirstColumn="0" w:firstRowLastColumn="0" w:lastRowFirstColumn="0" w:lastRowLastColumn="0"/>
              <w:rPr>
                <w:b/>
              </w:rPr>
            </w:pPr>
            <w:r w:rsidRPr="00B703F0">
              <w:rPr>
                <w:rFonts w:cstheme="minorHAnsi"/>
              </w:rPr>
              <w:t>Gross tonnage is based on the moulded volume of all enclosed spaces of the ship.</w:t>
            </w:r>
          </w:p>
        </w:tc>
      </w:tr>
      <w:tr w:rsidR="007B2FED" w:rsidRPr="00B703F0" w14:paraId="39130BD5" w14:textId="77777777" w:rsidTr="00674869">
        <w:trPr>
          <w:cnfStyle w:val="000000010000" w:firstRow="0" w:lastRow="0" w:firstColumn="0" w:lastColumn="0" w:oddVBand="0" w:evenVBand="0" w:oddHBand="0" w:evenHBand="1"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2552" w:type="dxa"/>
          </w:tcPr>
          <w:p w14:paraId="71C80035" w14:textId="5F55AD64" w:rsidR="007B2FED" w:rsidRPr="00B703F0" w:rsidRDefault="007B2FED" w:rsidP="0064427A">
            <w:pPr>
              <w:rPr>
                <w:b w:val="0"/>
              </w:rPr>
            </w:pPr>
            <w:r w:rsidRPr="00B703F0">
              <w:rPr>
                <w:b w:val="0"/>
              </w:rPr>
              <w:t>Internal waters</w:t>
            </w:r>
          </w:p>
        </w:tc>
        <w:tc>
          <w:tcPr>
            <w:tcW w:w="1559" w:type="dxa"/>
          </w:tcPr>
          <w:p w14:paraId="20BCE432" w14:textId="77777777" w:rsidR="007B2FED" w:rsidRPr="00B703F0" w:rsidRDefault="007B2FED" w:rsidP="0064427A">
            <w:pPr>
              <w:cnfStyle w:val="000000010000" w:firstRow="0" w:lastRow="0" w:firstColumn="0" w:lastColumn="0" w:oddVBand="0" w:evenVBand="0" w:oddHBand="0" w:evenHBand="1" w:firstRowFirstColumn="0" w:firstRowLastColumn="0" w:lastRowFirstColumn="0" w:lastRowLastColumn="0"/>
            </w:pPr>
          </w:p>
        </w:tc>
        <w:tc>
          <w:tcPr>
            <w:tcW w:w="5670" w:type="dxa"/>
          </w:tcPr>
          <w:p w14:paraId="098B1E38" w14:textId="633EF519" w:rsidR="007B2FED" w:rsidRPr="00B703F0" w:rsidRDefault="00572A37" w:rsidP="00572A37">
            <w:pPr>
              <w:cnfStyle w:val="000000010000" w:firstRow="0" w:lastRow="0" w:firstColumn="0" w:lastColumn="0" w:oddVBand="0" w:evenVBand="0" w:oddHBand="0" w:evenHBand="1" w:firstRowFirstColumn="0" w:firstRowLastColumn="0" w:lastRowFirstColumn="0" w:lastRowLastColumn="0"/>
              <w:rPr>
                <w:rFonts w:cstheme="minorHAnsi"/>
              </w:rPr>
            </w:pPr>
            <w:r w:rsidRPr="00B703F0">
              <w:rPr>
                <w:sz w:val="19"/>
                <w:szCs w:val="19"/>
              </w:rPr>
              <w:t>Waters within the limits of a state or territory</w:t>
            </w:r>
            <w:r w:rsidR="00467900">
              <w:rPr>
                <w:sz w:val="19"/>
                <w:szCs w:val="19"/>
              </w:rPr>
              <w:t>, including rivers and lakes</w:t>
            </w:r>
            <w:r w:rsidRPr="00B703F0">
              <w:rPr>
                <w:sz w:val="19"/>
                <w:szCs w:val="19"/>
              </w:rPr>
              <w:t>.</w:t>
            </w:r>
          </w:p>
        </w:tc>
      </w:tr>
      <w:tr w:rsidR="00A364F1" w:rsidRPr="00B703F0" w14:paraId="17F0C78F" w14:textId="77777777" w:rsidTr="00647975">
        <w:trPr>
          <w:trHeight w:val="422"/>
        </w:trPr>
        <w:tc>
          <w:tcPr>
            <w:cnfStyle w:val="001000000000" w:firstRow="0" w:lastRow="0" w:firstColumn="1" w:lastColumn="0" w:oddVBand="0" w:evenVBand="0" w:oddHBand="0" w:evenHBand="0" w:firstRowFirstColumn="0" w:firstRowLastColumn="0" w:lastRowFirstColumn="0" w:lastRowLastColumn="0"/>
            <w:tcW w:w="2552" w:type="dxa"/>
          </w:tcPr>
          <w:p w14:paraId="6FB021CD" w14:textId="5BDE8C52" w:rsidR="00A364F1" w:rsidRPr="00B703F0" w:rsidRDefault="00A364F1" w:rsidP="00936DCC">
            <w:pPr>
              <w:rPr>
                <w:b w:val="0"/>
                <w:i/>
                <w:lang w:eastAsia="en-AU"/>
              </w:rPr>
            </w:pPr>
            <w:r w:rsidRPr="00B703F0">
              <w:rPr>
                <w:b w:val="0"/>
              </w:rPr>
              <w:t xml:space="preserve">The International Group Protection and Indemnity </w:t>
            </w:r>
            <w:r w:rsidR="00936DCC" w:rsidRPr="00B703F0">
              <w:rPr>
                <w:b w:val="0"/>
              </w:rPr>
              <w:t>Clubs</w:t>
            </w:r>
          </w:p>
        </w:tc>
        <w:tc>
          <w:tcPr>
            <w:tcW w:w="1559" w:type="dxa"/>
          </w:tcPr>
          <w:p w14:paraId="530DB0CE" w14:textId="77777777" w:rsidR="00A364F1" w:rsidRPr="00B703F0" w:rsidRDefault="00A364F1" w:rsidP="00647975">
            <w:pPr>
              <w:cnfStyle w:val="000000000000" w:firstRow="0" w:lastRow="0" w:firstColumn="0" w:lastColumn="0" w:oddVBand="0" w:evenVBand="0" w:oddHBand="0" w:evenHBand="0" w:firstRowFirstColumn="0" w:firstRowLastColumn="0" w:lastRowFirstColumn="0" w:lastRowLastColumn="0"/>
            </w:pPr>
            <w:r w:rsidRPr="00B703F0">
              <w:t>P&amp;I Clubs</w:t>
            </w:r>
          </w:p>
        </w:tc>
        <w:tc>
          <w:tcPr>
            <w:tcW w:w="5670" w:type="dxa"/>
          </w:tcPr>
          <w:p w14:paraId="4F44A813" w14:textId="463B3D01" w:rsidR="00A364F1" w:rsidRPr="00B703F0" w:rsidRDefault="00A364F1" w:rsidP="00933271">
            <w:pPr>
              <w:cnfStyle w:val="000000000000" w:firstRow="0" w:lastRow="0" w:firstColumn="0" w:lastColumn="0" w:oddVBand="0" w:evenVBand="0" w:oddHBand="0" w:evenHBand="0" w:firstRowFirstColumn="0" w:firstRowLastColumn="0" w:lastRowFirstColumn="0" w:lastRowLastColumn="0"/>
            </w:pPr>
            <w:r w:rsidRPr="00B703F0">
              <w:t xml:space="preserve">The International Group of </w:t>
            </w:r>
            <w:r w:rsidR="004F0705" w:rsidRPr="00B703F0">
              <w:t>Protection and Indemnity</w:t>
            </w:r>
            <w:r w:rsidR="004F0705" w:rsidRPr="00B703F0">
              <w:rPr>
                <w:b/>
              </w:rPr>
              <w:t xml:space="preserve"> </w:t>
            </w:r>
            <w:r w:rsidRPr="00B703F0">
              <w:t>Clubs comprises 13 clubs that provide marine liability cover for approximately 90 per cent of global ocean</w:t>
            </w:r>
            <w:r w:rsidR="00467900">
              <w:noBreakHyphen/>
            </w:r>
            <w:r w:rsidRPr="00B703F0">
              <w:t>going tonnage. The clubs cover a wide range of liabilities, including wreck removal. Individual clubs are generally ‘mutuals’</w:t>
            </w:r>
            <w:r w:rsidR="00467900">
              <w:t xml:space="preserve"> – </w:t>
            </w:r>
            <w:r w:rsidRPr="00B703F0">
              <w:t>owned</w:t>
            </w:r>
            <w:r w:rsidR="00467900">
              <w:t xml:space="preserve"> </w:t>
            </w:r>
            <w:r w:rsidRPr="00B703F0">
              <w:t>and operated by their respective ship owners.</w:t>
            </w:r>
          </w:p>
        </w:tc>
      </w:tr>
      <w:tr w:rsidR="00A364F1" w:rsidRPr="00B703F0" w14:paraId="18974464" w14:textId="77777777" w:rsidTr="00647975">
        <w:trPr>
          <w:cnfStyle w:val="000000010000" w:firstRow="0" w:lastRow="0" w:firstColumn="0" w:lastColumn="0" w:oddVBand="0" w:evenVBand="0" w:oddHBand="0" w:evenHBand="1"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2552" w:type="dxa"/>
          </w:tcPr>
          <w:p w14:paraId="76E58272" w14:textId="77777777" w:rsidR="00A364F1" w:rsidRPr="00B703F0" w:rsidRDefault="00A364F1" w:rsidP="00647975">
            <w:pPr>
              <w:rPr>
                <w:b w:val="0"/>
              </w:rPr>
            </w:pPr>
            <w:r w:rsidRPr="00B703F0">
              <w:rPr>
                <w:b w:val="0"/>
                <w:i/>
              </w:rPr>
              <w:t>Marine Safety (Domestic Commercial Vessel) National Law Act 2012</w:t>
            </w:r>
          </w:p>
        </w:tc>
        <w:tc>
          <w:tcPr>
            <w:tcW w:w="1559" w:type="dxa"/>
          </w:tcPr>
          <w:p w14:paraId="5DCA42E1" w14:textId="77777777" w:rsidR="00A364F1" w:rsidRPr="00B703F0" w:rsidRDefault="00A364F1" w:rsidP="00647975">
            <w:pPr>
              <w:cnfStyle w:val="000000010000" w:firstRow="0" w:lastRow="0" w:firstColumn="0" w:lastColumn="0" w:oddVBand="0" w:evenVBand="0" w:oddHBand="0" w:evenHBand="1" w:firstRowFirstColumn="0" w:firstRowLastColumn="0" w:lastRowFirstColumn="0" w:lastRowLastColumn="0"/>
            </w:pPr>
            <w:r w:rsidRPr="00B703F0">
              <w:t>The National Law</w:t>
            </w:r>
          </w:p>
        </w:tc>
        <w:tc>
          <w:tcPr>
            <w:tcW w:w="5670" w:type="dxa"/>
          </w:tcPr>
          <w:p w14:paraId="33748822" w14:textId="08EC5691" w:rsidR="00A364F1" w:rsidRPr="00B703F0" w:rsidRDefault="00A364F1" w:rsidP="008C22C0">
            <w:pPr>
              <w:cnfStyle w:val="000000010000" w:firstRow="0" w:lastRow="0" w:firstColumn="0" w:lastColumn="0" w:oddVBand="0" w:evenVBand="0" w:oddHBand="0" w:evenHBand="1" w:firstRowFirstColumn="0" w:firstRowLastColumn="0" w:lastRowFirstColumn="0" w:lastRowLastColumn="0"/>
            </w:pPr>
            <w:r w:rsidRPr="00B703F0">
              <w:t xml:space="preserve">An Act </w:t>
            </w:r>
            <w:r w:rsidR="00936DCC" w:rsidRPr="00B703F0">
              <w:t xml:space="preserve">to provide for a national law </w:t>
            </w:r>
            <w:r w:rsidR="00CD460B" w:rsidRPr="00B703F0">
              <w:t>on</w:t>
            </w:r>
            <w:r w:rsidR="00936DCC" w:rsidRPr="00B703F0">
              <w:t xml:space="preserve"> marine safety, including </w:t>
            </w:r>
            <w:r w:rsidRPr="00B703F0">
              <w:t>the certification, construction, equipment, design and operation of domestic commercial vessels inside Australia’s exclusive economic zone.</w:t>
            </w:r>
            <w:r w:rsidR="00936DCC" w:rsidRPr="00B703F0">
              <w:t xml:space="preserve"> </w:t>
            </w:r>
            <w:r w:rsidR="006E75BB">
              <w:t xml:space="preserve">The National Law does not cover </w:t>
            </w:r>
            <w:r w:rsidR="008C22C0">
              <w:t>wreck incidents</w:t>
            </w:r>
            <w:r w:rsidR="006E75BB">
              <w:t xml:space="preserve">. </w:t>
            </w:r>
          </w:p>
        </w:tc>
      </w:tr>
      <w:tr w:rsidR="0064427A" w:rsidRPr="00B703F0" w14:paraId="647153F3" w14:textId="77777777" w:rsidTr="00674869">
        <w:trPr>
          <w:trHeight w:val="422"/>
        </w:trPr>
        <w:tc>
          <w:tcPr>
            <w:cnfStyle w:val="001000000000" w:firstRow="0" w:lastRow="0" w:firstColumn="1" w:lastColumn="0" w:oddVBand="0" w:evenVBand="0" w:oddHBand="0" w:evenHBand="0" w:firstRowFirstColumn="0" w:firstRowLastColumn="0" w:lastRowFirstColumn="0" w:lastRowLastColumn="0"/>
            <w:tcW w:w="2552" w:type="dxa"/>
          </w:tcPr>
          <w:p w14:paraId="5D7BCD9C" w14:textId="6AAE8EB4" w:rsidR="0064427A" w:rsidRPr="00B703F0" w:rsidRDefault="0064427A" w:rsidP="0064427A">
            <w:pPr>
              <w:rPr>
                <w:b w:val="0"/>
              </w:rPr>
            </w:pPr>
            <w:r w:rsidRPr="00B703F0">
              <w:rPr>
                <w:b w:val="0"/>
                <w:i/>
              </w:rPr>
              <w:lastRenderedPageBreak/>
              <w:t>Nairobi International Convention on the Removal of Wrecks 2007</w:t>
            </w:r>
          </w:p>
        </w:tc>
        <w:tc>
          <w:tcPr>
            <w:tcW w:w="1559" w:type="dxa"/>
          </w:tcPr>
          <w:p w14:paraId="718BBCF3" w14:textId="45A59224" w:rsidR="0064427A" w:rsidRPr="00B703F0" w:rsidRDefault="0064427A" w:rsidP="0064427A">
            <w:pPr>
              <w:cnfStyle w:val="000000000000" w:firstRow="0" w:lastRow="0" w:firstColumn="0" w:lastColumn="0" w:oddVBand="0" w:evenVBand="0" w:oddHBand="0" w:evenHBand="0" w:firstRowFirstColumn="0" w:firstRowLastColumn="0" w:lastRowFirstColumn="0" w:lastRowLastColumn="0"/>
            </w:pPr>
            <w:r w:rsidRPr="00B703F0">
              <w:t>Nairobi Convention</w:t>
            </w:r>
          </w:p>
        </w:tc>
        <w:tc>
          <w:tcPr>
            <w:tcW w:w="5670" w:type="dxa"/>
          </w:tcPr>
          <w:p w14:paraId="18DCA9F8" w14:textId="713C9854" w:rsidR="0064427A" w:rsidRPr="00B703F0" w:rsidRDefault="001A52D5" w:rsidP="00404A95">
            <w:pPr>
              <w:cnfStyle w:val="000000000000" w:firstRow="0" w:lastRow="0" w:firstColumn="0" w:lastColumn="0" w:oddVBand="0" w:evenVBand="0" w:oddHBand="0" w:evenHBand="0" w:firstRowFirstColumn="0" w:firstRowLastColumn="0" w:lastRowFirstColumn="0" w:lastRowLastColumn="0"/>
            </w:pPr>
            <w:r w:rsidRPr="00B703F0">
              <w:t>A</w:t>
            </w:r>
            <w:r w:rsidR="0064427A" w:rsidRPr="00B703F0">
              <w:t xml:space="preserve"> Convention </w:t>
            </w:r>
            <w:r w:rsidRPr="00B703F0">
              <w:t>providing</w:t>
            </w:r>
            <w:r w:rsidR="0064427A" w:rsidRPr="00B703F0">
              <w:t xml:space="preserve"> the legal basis for State Parties to </w:t>
            </w:r>
            <w:r w:rsidR="00B377F7" w:rsidRPr="00B703F0">
              <w:t xml:space="preserve">locate, mark and </w:t>
            </w:r>
            <w:r w:rsidR="0064427A" w:rsidRPr="00B703F0">
              <w:t xml:space="preserve">remove, or have removed, shipwrecks that </w:t>
            </w:r>
            <w:r w:rsidR="00B377F7" w:rsidRPr="00B703F0">
              <w:t xml:space="preserve">pose a danger to navigation or have the potential to result in harmful consequences to the marine environment, or to damage the coastline. </w:t>
            </w:r>
          </w:p>
        </w:tc>
      </w:tr>
      <w:tr w:rsidR="00AB30AE" w:rsidRPr="00B703F0" w14:paraId="5BC2B496" w14:textId="77777777" w:rsidTr="00674869">
        <w:trPr>
          <w:cnfStyle w:val="000000010000" w:firstRow="0" w:lastRow="0" w:firstColumn="0" w:lastColumn="0" w:oddVBand="0" w:evenVBand="0" w:oddHBand="0" w:evenHBand="1"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2552" w:type="dxa"/>
          </w:tcPr>
          <w:p w14:paraId="26670BFC" w14:textId="6AF65E9F" w:rsidR="00AB30AE" w:rsidRPr="00B703F0" w:rsidRDefault="00AB30AE" w:rsidP="0064427A">
            <w:pPr>
              <w:rPr>
                <w:b w:val="0"/>
              </w:rPr>
            </w:pPr>
            <w:r w:rsidRPr="00B703F0">
              <w:rPr>
                <w:b w:val="0"/>
              </w:rPr>
              <w:t>Nautical mile</w:t>
            </w:r>
          </w:p>
        </w:tc>
        <w:tc>
          <w:tcPr>
            <w:tcW w:w="1559" w:type="dxa"/>
          </w:tcPr>
          <w:p w14:paraId="5A439BB6" w14:textId="458D5CA0" w:rsidR="00AB30AE" w:rsidRPr="00B703F0" w:rsidRDefault="00933271" w:rsidP="0064427A">
            <w:pPr>
              <w:cnfStyle w:val="000000010000" w:firstRow="0" w:lastRow="0" w:firstColumn="0" w:lastColumn="0" w:oddVBand="0" w:evenVBand="0" w:oddHBand="0" w:evenHBand="1" w:firstRowFirstColumn="0" w:firstRowLastColumn="0" w:lastRowFirstColumn="0" w:lastRowLastColumn="0"/>
            </w:pPr>
            <w:r>
              <w:t>nm</w:t>
            </w:r>
          </w:p>
        </w:tc>
        <w:tc>
          <w:tcPr>
            <w:tcW w:w="5670" w:type="dxa"/>
          </w:tcPr>
          <w:p w14:paraId="6EB974CC" w14:textId="7700FEE4" w:rsidR="00AB30AE" w:rsidRPr="00B703F0" w:rsidRDefault="00AB30AE">
            <w:pPr>
              <w:cnfStyle w:val="000000010000" w:firstRow="0" w:lastRow="0" w:firstColumn="0" w:lastColumn="0" w:oddVBand="0" w:evenVBand="0" w:oddHBand="0" w:evenHBand="1" w:firstRowFirstColumn="0" w:firstRowLastColumn="0" w:lastRowFirstColumn="0" w:lastRowLastColumn="0"/>
            </w:pPr>
            <w:r w:rsidRPr="00B703F0">
              <w:t>A unit of distance equal to 1,852 metres. This value was adopted by the International Hydrographic Conference in 1929 and has subsequently been adopted by the International Bureau of Weights and Measures.</w:t>
            </w:r>
          </w:p>
        </w:tc>
      </w:tr>
      <w:tr w:rsidR="0064427A" w:rsidRPr="00B703F0" w14:paraId="3D1AAC84" w14:textId="77777777" w:rsidTr="00674869">
        <w:trPr>
          <w:trHeight w:val="422"/>
        </w:trPr>
        <w:tc>
          <w:tcPr>
            <w:cnfStyle w:val="001000000000" w:firstRow="0" w:lastRow="0" w:firstColumn="1" w:lastColumn="0" w:oddVBand="0" w:evenVBand="0" w:oddHBand="0" w:evenHBand="0" w:firstRowFirstColumn="0" w:firstRowLastColumn="0" w:lastRowFirstColumn="0" w:lastRowLastColumn="0"/>
            <w:tcW w:w="2552" w:type="dxa"/>
          </w:tcPr>
          <w:p w14:paraId="2A43B161" w14:textId="43591BB2" w:rsidR="0064427A" w:rsidRPr="00B703F0" w:rsidRDefault="0064427A" w:rsidP="0064427A">
            <w:pPr>
              <w:rPr>
                <w:b w:val="0"/>
                <w:i/>
              </w:rPr>
            </w:pPr>
            <w:r w:rsidRPr="00B703F0">
              <w:rPr>
                <w:b w:val="0"/>
                <w:i/>
              </w:rPr>
              <w:t>Navigation Act 2012</w:t>
            </w:r>
          </w:p>
        </w:tc>
        <w:tc>
          <w:tcPr>
            <w:tcW w:w="1559" w:type="dxa"/>
          </w:tcPr>
          <w:p w14:paraId="01F8AD62" w14:textId="4C884A0A" w:rsidR="0064427A" w:rsidRPr="00B703F0" w:rsidRDefault="0064427A" w:rsidP="0064427A">
            <w:pPr>
              <w:cnfStyle w:val="000000000000" w:firstRow="0" w:lastRow="0" w:firstColumn="0" w:lastColumn="0" w:oddVBand="0" w:evenVBand="0" w:oddHBand="0" w:evenHBand="0" w:firstRowFirstColumn="0" w:firstRowLastColumn="0" w:lastRowFirstColumn="0" w:lastRowLastColumn="0"/>
            </w:pPr>
            <w:r w:rsidRPr="00B703F0">
              <w:t>Navigation Act</w:t>
            </w:r>
          </w:p>
        </w:tc>
        <w:tc>
          <w:tcPr>
            <w:tcW w:w="5670" w:type="dxa"/>
          </w:tcPr>
          <w:p w14:paraId="3C204598" w14:textId="751CE23B" w:rsidR="0064427A" w:rsidRPr="00B703F0" w:rsidRDefault="0064427A">
            <w:pPr>
              <w:cnfStyle w:val="000000000000" w:firstRow="0" w:lastRow="0" w:firstColumn="0" w:lastColumn="0" w:oddVBand="0" w:evenVBand="0" w:oddHBand="0" w:evenHBand="0" w:firstRowFirstColumn="0" w:firstRowLastColumn="0" w:lastRowFirstColumn="0" w:lastRowLastColumn="0"/>
            </w:pPr>
            <w:r w:rsidRPr="00B703F0">
              <w:t>A</w:t>
            </w:r>
            <w:r w:rsidR="009D43CC">
              <w:t>n</w:t>
            </w:r>
            <w:r w:rsidR="00620336" w:rsidRPr="00B703F0">
              <w:t xml:space="preserve"> </w:t>
            </w:r>
            <w:r w:rsidRPr="00B703F0">
              <w:t>Act relating to maritime safety</w:t>
            </w:r>
            <w:r w:rsidR="009D43CC">
              <w:t>,</w:t>
            </w:r>
            <w:r w:rsidRPr="00B703F0">
              <w:t xml:space="preserve"> the prevention of pollution of the marine environment, and related purposes</w:t>
            </w:r>
            <w:r w:rsidR="00620336" w:rsidRPr="00B703F0">
              <w:t xml:space="preserve"> inside and beyond Australia’s Exclusive Economic Zone.</w:t>
            </w:r>
          </w:p>
        </w:tc>
      </w:tr>
      <w:tr w:rsidR="004B7344" w:rsidRPr="00B703F0" w14:paraId="6E648C02" w14:textId="77777777" w:rsidTr="00674869">
        <w:trPr>
          <w:cnfStyle w:val="000000010000" w:firstRow="0" w:lastRow="0" w:firstColumn="0" w:lastColumn="0" w:oddVBand="0" w:evenVBand="0" w:oddHBand="0" w:evenHBand="1"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2552" w:type="dxa"/>
          </w:tcPr>
          <w:p w14:paraId="53F5CF28" w14:textId="4225A565" w:rsidR="004B7344" w:rsidRPr="008C22C0" w:rsidRDefault="00E34B9B" w:rsidP="00E34B9B">
            <w:pPr>
              <w:rPr>
                <w:b w:val="0"/>
                <w:i/>
              </w:rPr>
            </w:pPr>
            <w:r w:rsidRPr="008C22C0">
              <w:rPr>
                <w:b w:val="0"/>
                <w:i/>
              </w:rPr>
              <w:t>Protection of the Sea (Civil Liability) Act 1981</w:t>
            </w:r>
            <w:r>
              <w:rPr>
                <w:b w:val="0"/>
                <w:i/>
              </w:rPr>
              <w:t xml:space="preserve"> </w:t>
            </w:r>
          </w:p>
        </w:tc>
        <w:tc>
          <w:tcPr>
            <w:tcW w:w="1559" w:type="dxa"/>
          </w:tcPr>
          <w:p w14:paraId="18190B00" w14:textId="77777777" w:rsidR="004B7344" w:rsidRPr="00B703F0" w:rsidRDefault="004B7344" w:rsidP="0064427A">
            <w:pPr>
              <w:cnfStyle w:val="000000010000" w:firstRow="0" w:lastRow="0" w:firstColumn="0" w:lastColumn="0" w:oddVBand="0" w:evenVBand="0" w:oddHBand="0" w:evenHBand="1" w:firstRowFirstColumn="0" w:firstRowLastColumn="0" w:lastRowFirstColumn="0" w:lastRowLastColumn="0"/>
            </w:pPr>
          </w:p>
        </w:tc>
        <w:tc>
          <w:tcPr>
            <w:tcW w:w="5670" w:type="dxa"/>
          </w:tcPr>
          <w:p w14:paraId="13C7ADD5" w14:textId="149628FA" w:rsidR="004B7344" w:rsidRPr="00B703F0" w:rsidRDefault="008852EA" w:rsidP="00404A95">
            <w:pPr>
              <w:cnfStyle w:val="000000010000" w:firstRow="0" w:lastRow="0" w:firstColumn="0" w:lastColumn="0" w:oddVBand="0" w:evenVBand="0" w:oddHBand="0" w:evenHBand="1" w:firstRowFirstColumn="0" w:firstRowLastColumn="0" w:lastRowFirstColumn="0" w:lastRowLastColumn="0"/>
            </w:pPr>
            <w:r w:rsidRPr="004B7344">
              <w:t xml:space="preserve">An Act relating to civil liability for </w:t>
            </w:r>
            <w:r>
              <w:t xml:space="preserve">oil </w:t>
            </w:r>
            <w:r w:rsidRPr="004B7344">
              <w:t>pollution damage</w:t>
            </w:r>
            <w:r>
              <w:t xml:space="preserve"> and for related purposes.</w:t>
            </w:r>
          </w:p>
        </w:tc>
      </w:tr>
      <w:tr w:rsidR="004B7344" w:rsidRPr="00B703F0" w14:paraId="1ABE577E" w14:textId="77777777" w:rsidTr="00674869">
        <w:trPr>
          <w:trHeight w:val="422"/>
        </w:trPr>
        <w:tc>
          <w:tcPr>
            <w:cnfStyle w:val="001000000000" w:firstRow="0" w:lastRow="0" w:firstColumn="1" w:lastColumn="0" w:oddVBand="0" w:evenVBand="0" w:oddHBand="0" w:evenHBand="0" w:firstRowFirstColumn="0" w:firstRowLastColumn="0" w:lastRowFirstColumn="0" w:lastRowLastColumn="0"/>
            <w:tcW w:w="2552" w:type="dxa"/>
          </w:tcPr>
          <w:p w14:paraId="1289171B" w14:textId="2DC07FA3" w:rsidR="004B7344" w:rsidRPr="008C22C0" w:rsidRDefault="00E34B9B" w:rsidP="004B7344">
            <w:pPr>
              <w:rPr>
                <w:b w:val="0"/>
                <w:i/>
              </w:rPr>
            </w:pPr>
            <w:r w:rsidRPr="008C22C0">
              <w:rPr>
                <w:b w:val="0"/>
                <w:i/>
              </w:rPr>
              <w:t xml:space="preserve"> Protection of the Sea (Powers of Intervention) Act 1981</w:t>
            </w:r>
          </w:p>
        </w:tc>
        <w:tc>
          <w:tcPr>
            <w:tcW w:w="1559" w:type="dxa"/>
          </w:tcPr>
          <w:p w14:paraId="3048224E" w14:textId="77777777" w:rsidR="004B7344" w:rsidRPr="00B703F0" w:rsidRDefault="004B7344" w:rsidP="0064427A">
            <w:pPr>
              <w:cnfStyle w:val="000000000000" w:firstRow="0" w:lastRow="0" w:firstColumn="0" w:lastColumn="0" w:oddVBand="0" w:evenVBand="0" w:oddHBand="0" w:evenHBand="0" w:firstRowFirstColumn="0" w:firstRowLastColumn="0" w:lastRowFirstColumn="0" w:lastRowLastColumn="0"/>
            </w:pPr>
          </w:p>
        </w:tc>
        <w:tc>
          <w:tcPr>
            <w:tcW w:w="5670" w:type="dxa"/>
          </w:tcPr>
          <w:p w14:paraId="5A58C65A" w14:textId="44D23775" w:rsidR="004B7344" w:rsidRPr="00B703F0" w:rsidRDefault="004B7344">
            <w:pPr>
              <w:cnfStyle w:val="000000000000" w:firstRow="0" w:lastRow="0" w:firstColumn="0" w:lastColumn="0" w:oddVBand="0" w:evenVBand="0" w:oddHBand="0" w:evenHBand="0" w:firstRowFirstColumn="0" w:firstRowLastColumn="0" w:lastRowFirstColumn="0" w:lastRowLastColumn="0"/>
            </w:pPr>
            <w:r>
              <w:t>An Act authoris</w:t>
            </w:r>
            <w:r w:rsidRPr="004B7344">
              <w:t xml:space="preserve">ing the </w:t>
            </w:r>
            <w:r>
              <w:t>Australian Government</w:t>
            </w:r>
            <w:r w:rsidRPr="004B7344">
              <w:t xml:space="preserve"> to take measures for the purpose of protecting the sea from pollution by oil and other noxious substances discharged from ships, and for related purposes</w:t>
            </w:r>
            <w:r>
              <w:t>.</w:t>
            </w:r>
          </w:p>
        </w:tc>
      </w:tr>
      <w:tr w:rsidR="00D51D9F" w:rsidRPr="00B703F0" w14:paraId="4E031747" w14:textId="77777777" w:rsidTr="00674869">
        <w:trPr>
          <w:cnfStyle w:val="000000010000" w:firstRow="0" w:lastRow="0" w:firstColumn="0" w:lastColumn="0" w:oddVBand="0" w:evenVBand="0" w:oddHBand="0" w:evenHBand="1"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2552" w:type="dxa"/>
          </w:tcPr>
          <w:p w14:paraId="55BB23A2" w14:textId="50F1C8E3" w:rsidR="00D51D9F" w:rsidRPr="00B703F0" w:rsidRDefault="00B85C39" w:rsidP="0064427A">
            <w:pPr>
              <w:rPr>
                <w:b w:val="0"/>
              </w:rPr>
            </w:pPr>
            <w:r w:rsidRPr="00B703F0">
              <w:rPr>
                <w:b w:val="0"/>
              </w:rPr>
              <w:t>Protection of the Sea Levy</w:t>
            </w:r>
          </w:p>
        </w:tc>
        <w:tc>
          <w:tcPr>
            <w:tcW w:w="1559" w:type="dxa"/>
          </w:tcPr>
          <w:p w14:paraId="0752E9E7" w14:textId="77777777" w:rsidR="00D51D9F" w:rsidRPr="00B703F0" w:rsidRDefault="00D51D9F" w:rsidP="0064427A">
            <w:pPr>
              <w:cnfStyle w:val="000000010000" w:firstRow="0" w:lastRow="0" w:firstColumn="0" w:lastColumn="0" w:oddVBand="0" w:evenVBand="0" w:oddHBand="0" w:evenHBand="1" w:firstRowFirstColumn="0" w:firstRowLastColumn="0" w:lastRowFirstColumn="0" w:lastRowLastColumn="0"/>
            </w:pPr>
          </w:p>
        </w:tc>
        <w:tc>
          <w:tcPr>
            <w:tcW w:w="5670" w:type="dxa"/>
          </w:tcPr>
          <w:p w14:paraId="28291C06" w14:textId="031CE527" w:rsidR="00E940D8" w:rsidRPr="00B703F0" w:rsidRDefault="009D43CC" w:rsidP="00404A95">
            <w:pPr>
              <w:cnfStyle w:val="000000010000" w:firstRow="0" w:lastRow="0" w:firstColumn="0" w:lastColumn="0" w:oddVBand="0" w:evenVBand="0" w:oddHBand="0" w:evenHBand="1" w:firstRowFirstColumn="0" w:firstRowLastColumn="0" w:lastRowFirstColumn="0" w:lastRowLastColumn="0"/>
            </w:pPr>
            <w:r>
              <w:t>A</w:t>
            </w:r>
            <w:r w:rsidR="00FF588E" w:rsidRPr="00B703F0">
              <w:t xml:space="preserve"> charge against ships who have the potential to become polluters of the marine environment.</w:t>
            </w:r>
            <w:r w:rsidR="00E940D8" w:rsidRPr="00B703F0">
              <w:t xml:space="preserve"> The levy is paid by commercial shipping</w:t>
            </w:r>
            <w:r w:rsidR="000A3372">
              <w:t>,</w:t>
            </w:r>
            <w:r w:rsidR="00E940D8" w:rsidRPr="00B703F0">
              <w:t xml:space="preserve"> where the </w:t>
            </w:r>
            <w:r w:rsidR="00271F4E">
              <w:t>ship</w:t>
            </w:r>
            <w:r w:rsidR="00E940D8" w:rsidRPr="00B703F0">
              <w:t xml:space="preserve"> is longer than 24 metres, or any other </w:t>
            </w:r>
            <w:r w:rsidR="00271F4E">
              <w:t>ship</w:t>
            </w:r>
            <w:r w:rsidR="00E940D8" w:rsidRPr="00B703F0">
              <w:t xml:space="preserve"> of that length carrying 10 tonnes or more of oil on board at any time during a calendar quarter.</w:t>
            </w:r>
          </w:p>
          <w:p w14:paraId="12E3F38D" w14:textId="533FFF1F" w:rsidR="00FF588E" w:rsidRPr="00B703F0" w:rsidRDefault="00E940D8">
            <w:pPr>
              <w:cnfStyle w:val="000000010000" w:firstRow="0" w:lastRow="0" w:firstColumn="0" w:lastColumn="0" w:oddVBand="0" w:evenVBand="0" w:oddHBand="0" w:evenHBand="1" w:firstRowFirstColumn="0" w:firstRowLastColumn="0" w:lastRowFirstColumn="0" w:lastRowLastColumn="0"/>
            </w:pPr>
            <w:r w:rsidRPr="00B703F0">
              <w:t xml:space="preserve">The </w:t>
            </w:r>
            <w:r w:rsidR="0089332D">
              <w:t xml:space="preserve">Protection of the Sea </w:t>
            </w:r>
            <w:r w:rsidRPr="00B703F0">
              <w:t>L</w:t>
            </w:r>
            <w:r w:rsidR="00FF588E" w:rsidRPr="00B703F0">
              <w:t>evy funds the National Plan for Maritime Environmental Emergencies</w:t>
            </w:r>
            <w:r w:rsidRPr="00B703F0">
              <w:t xml:space="preserve"> and clean</w:t>
            </w:r>
            <w:r w:rsidR="0089332D">
              <w:t>-</w:t>
            </w:r>
            <w:r w:rsidRPr="00B703F0">
              <w:t xml:space="preserve">up costs. </w:t>
            </w:r>
            <w:r w:rsidR="0089332D">
              <w:t>It</w:t>
            </w:r>
            <w:r w:rsidRPr="00B703F0">
              <w:t xml:space="preserve"> is </w:t>
            </w:r>
            <w:r w:rsidR="008C22C0">
              <w:t xml:space="preserve">currently </w:t>
            </w:r>
            <w:r w:rsidRPr="00B703F0">
              <w:t>calculated at 11.25 cents per net ton per quarter, with a minimum of $10 per quarter</w:t>
            </w:r>
            <w:r w:rsidR="0089332D">
              <w:t xml:space="preserve"> and is</w:t>
            </w:r>
            <w:r w:rsidRPr="00B703F0">
              <w:t xml:space="preserve"> reviewed annually.</w:t>
            </w:r>
          </w:p>
        </w:tc>
      </w:tr>
      <w:tr w:rsidR="00203585" w:rsidRPr="00B703F0" w14:paraId="6B37B51F" w14:textId="77777777" w:rsidTr="00674869">
        <w:trPr>
          <w:trHeight w:val="422"/>
        </w:trPr>
        <w:tc>
          <w:tcPr>
            <w:cnfStyle w:val="001000000000" w:firstRow="0" w:lastRow="0" w:firstColumn="1" w:lastColumn="0" w:oddVBand="0" w:evenVBand="0" w:oddHBand="0" w:evenHBand="0" w:firstRowFirstColumn="0" w:firstRowLastColumn="0" w:lastRowFirstColumn="0" w:lastRowLastColumn="0"/>
            <w:tcW w:w="2552" w:type="dxa"/>
          </w:tcPr>
          <w:p w14:paraId="416BBA10" w14:textId="0ED89431" w:rsidR="00203585" w:rsidRPr="00203585" w:rsidRDefault="00203585" w:rsidP="0064427A">
            <w:pPr>
              <w:rPr>
                <w:b w:val="0"/>
              </w:rPr>
            </w:pPr>
            <w:r w:rsidRPr="00203585">
              <w:rPr>
                <w:b w:val="0"/>
              </w:rPr>
              <w:t>Recreational vessels</w:t>
            </w:r>
          </w:p>
        </w:tc>
        <w:tc>
          <w:tcPr>
            <w:tcW w:w="1559" w:type="dxa"/>
          </w:tcPr>
          <w:p w14:paraId="5CCDDBD7" w14:textId="77777777" w:rsidR="00203585" w:rsidRPr="00B703F0" w:rsidRDefault="00203585" w:rsidP="0064427A">
            <w:pPr>
              <w:cnfStyle w:val="000000000000" w:firstRow="0" w:lastRow="0" w:firstColumn="0" w:lastColumn="0" w:oddVBand="0" w:evenVBand="0" w:oddHBand="0" w:evenHBand="0" w:firstRowFirstColumn="0" w:firstRowLastColumn="0" w:lastRowFirstColumn="0" w:lastRowLastColumn="0"/>
            </w:pPr>
          </w:p>
        </w:tc>
        <w:tc>
          <w:tcPr>
            <w:tcW w:w="5670" w:type="dxa"/>
          </w:tcPr>
          <w:p w14:paraId="6A4F226F" w14:textId="7BBE3372" w:rsidR="008852EA" w:rsidRDefault="008852EA" w:rsidP="00404A95">
            <w:pPr>
              <w:cnfStyle w:val="000000000000" w:firstRow="0" w:lastRow="0" w:firstColumn="0" w:lastColumn="0" w:oddVBand="0" w:evenVBand="0" w:oddHBand="0" w:evenHBand="0" w:firstRowFirstColumn="0" w:firstRowLastColumn="0" w:lastRowFirstColumn="0" w:lastRowLastColumn="0"/>
            </w:pPr>
            <w:r>
              <w:t xml:space="preserve">Section 14 of the </w:t>
            </w:r>
            <w:r w:rsidRPr="008852EA">
              <w:rPr>
                <w:i/>
              </w:rPr>
              <w:t>Navigation Act 2012</w:t>
            </w:r>
            <w:r>
              <w:t xml:space="preserve"> defines a ‘recreational vessel’ as </w:t>
            </w:r>
            <w:r w:rsidRPr="008852EA">
              <w:t>a vessel that is not for use in connection with a commercial, governmental or research activity.</w:t>
            </w:r>
          </w:p>
          <w:p w14:paraId="6077B3C0" w14:textId="4C93386D" w:rsidR="00203585" w:rsidRDefault="008852EA" w:rsidP="008852EA">
            <w:pPr>
              <w:cnfStyle w:val="000000000000" w:firstRow="0" w:lastRow="0" w:firstColumn="0" w:lastColumn="0" w:oddVBand="0" w:evenVBand="0" w:oddHBand="0" w:evenHBand="0" w:firstRowFirstColumn="0" w:firstRowLastColumn="0" w:lastRowFirstColumn="0" w:lastRowLastColumn="0"/>
            </w:pPr>
            <w:r>
              <w:t>This would include p</w:t>
            </w:r>
            <w:r w:rsidR="00203585" w:rsidRPr="00203585">
              <w:t>leasure crafts and other small vessels, including power and sailboats.</w:t>
            </w:r>
          </w:p>
        </w:tc>
      </w:tr>
      <w:tr w:rsidR="0064427A" w:rsidRPr="00B703F0" w14:paraId="67E4C2B9" w14:textId="77777777" w:rsidTr="00674869">
        <w:trPr>
          <w:cnfStyle w:val="000000010000" w:firstRow="0" w:lastRow="0" w:firstColumn="0" w:lastColumn="0" w:oddVBand="0" w:evenVBand="0" w:oddHBand="0" w:evenHBand="1"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2552" w:type="dxa"/>
          </w:tcPr>
          <w:p w14:paraId="6FF0BC9D" w14:textId="6AEC35A5" w:rsidR="0064427A" w:rsidRPr="00B703F0" w:rsidRDefault="00EC5357" w:rsidP="0064427A">
            <w:pPr>
              <w:rPr>
                <w:b w:val="0"/>
                <w:i/>
              </w:rPr>
            </w:pPr>
            <w:r w:rsidRPr="00B703F0">
              <w:rPr>
                <w:b w:val="0"/>
              </w:rPr>
              <w:t>R</w:t>
            </w:r>
            <w:r w:rsidR="0064427A" w:rsidRPr="00B703F0">
              <w:rPr>
                <w:b w:val="0"/>
              </w:rPr>
              <w:t>egulated Australian vessels</w:t>
            </w:r>
          </w:p>
        </w:tc>
        <w:tc>
          <w:tcPr>
            <w:tcW w:w="1559" w:type="dxa"/>
          </w:tcPr>
          <w:p w14:paraId="0180C41B" w14:textId="37B87A61" w:rsidR="0064427A" w:rsidRPr="00B703F0" w:rsidRDefault="0064427A" w:rsidP="0064427A">
            <w:pPr>
              <w:cnfStyle w:val="000000010000" w:firstRow="0" w:lastRow="0" w:firstColumn="0" w:lastColumn="0" w:oddVBand="0" w:evenVBand="0" w:oddHBand="0" w:evenHBand="1" w:firstRowFirstColumn="0" w:firstRowLastColumn="0" w:lastRowFirstColumn="0" w:lastRowLastColumn="0"/>
            </w:pPr>
            <w:r w:rsidRPr="00B703F0">
              <w:t>RAVs</w:t>
            </w:r>
          </w:p>
        </w:tc>
        <w:tc>
          <w:tcPr>
            <w:tcW w:w="5670" w:type="dxa"/>
          </w:tcPr>
          <w:p w14:paraId="74F04F8C" w14:textId="3E8102AA" w:rsidR="00674869" w:rsidRPr="00B703F0" w:rsidRDefault="00674869" w:rsidP="00674869">
            <w:pPr>
              <w:cnfStyle w:val="000000010000" w:firstRow="0" w:lastRow="0" w:firstColumn="0" w:lastColumn="0" w:oddVBand="0" w:evenVBand="0" w:oddHBand="0" w:evenHBand="1" w:firstRowFirstColumn="0" w:firstRowLastColumn="0" w:lastRowFirstColumn="0" w:lastRowLastColumn="0"/>
            </w:pPr>
            <w:r w:rsidRPr="00B703F0">
              <w:t xml:space="preserve">A </w:t>
            </w:r>
            <w:r w:rsidR="00271F4E">
              <w:t>ship</w:t>
            </w:r>
            <w:r w:rsidRPr="00B703F0">
              <w:t xml:space="preserve"> is a regulated Australian vessel if:</w:t>
            </w:r>
          </w:p>
          <w:p w14:paraId="422899FC" w14:textId="1B1AB38A" w:rsidR="00674869" w:rsidRPr="00B703F0" w:rsidRDefault="00674869" w:rsidP="00674869">
            <w:pPr>
              <w:pStyle w:val="Bullet1"/>
              <w:cnfStyle w:val="000000010000" w:firstRow="0" w:lastRow="0" w:firstColumn="0" w:lastColumn="0" w:oddVBand="0" w:evenVBand="0" w:oddHBand="0" w:evenHBand="1" w:firstRowFirstColumn="0" w:firstRowLastColumn="0" w:lastRowFirstColumn="0" w:lastRowLastColumn="0"/>
              <w:rPr>
                <w:lang w:val="en-AU"/>
              </w:rPr>
            </w:pPr>
            <w:r w:rsidRPr="00B703F0">
              <w:rPr>
                <w:lang w:val="en-AU"/>
              </w:rPr>
              <w:t>under the </w:t>
            </w:r>
            <w:r w:rsidRPr="00B703F0">
              <w:rPr>
                <w:i/>
                <w:lang w:val="en-AU"/>
              </w:rPr>
              <w:t>Shipping Registration Act 1981</w:t>
            </w:r>
            <w:r w:rsidRPr="00B703F0">
              <w:rPr>
                <w:lang w:val="en-AU"/>
              </w:rPr>
              <w:t>, the vessel is registered, required to be reg</w:t>
            </w:r>
            <w:r w:rsidR="000330B6" w:rsidRPr="00B703F0">
              <w:rPr>
                <w:lang w:val="en-AU"/>
              </w:rPr>
              <w:t>istered or exempt under s</w:t>
            </w:r>
            <w:r w:rsidRPr="00B703F0">
              <w:rPr>
                <w:lang w:val="en-AU"/>
              </w:rPr>
              <w:t>13 of that Act from that requirement</w:t>
            </w:r>
          </w:p>
          <w:p w14:paraId="2AA82726" w14:textId="1889CAD0" w:rsidR="00674869" w:rsidRPr="00B703F0" w:rsidRDefault="00674869" w:rsidP="00674869">
            <w:pPr>
              <w:pStyle w:val="Bullet1"/>
              <w:cnfStyle w:val="000000010000" w:firstRow="0" w:lastRow="0" w:firstColumn="0" w:lastColumn="0" w:oddVBand="0" w:evenVBand="0" w:oddHBand="0" w:evenHBand="1" w:firstRowFirstColumn="0" w:firstRowLastColumn="0" w:lastRowFirstColumn="0" w:lastRowLastColumn="0"/>
              <w:rPr>
                <w:lang w:val="en-AU"/>
              </w:rPr>
            </w:pPr>
            <w:r w:rsidRPr="00B703F0">
              <w:rPr>
                <w:lang w:val="en-AU"/>
              </w:rPr>
              <w:t>the vessel is not a recreational vessel</w:t>
            </w:r>
          </w:p>
          <w:p w14:paraId="0FF2A50A" w14:textId="1AC9488C" w:rsidR="00674869" w:rsidRPr="00B703F0" w:rsidRDefault="00674869" w:rsidP="00674869">
            <w:pPr>
              <w:pStyle w:val="Bullet1"/>
              <w:cnfStyle w:val="000000010000" w:firstRow="0" w:lastRow="0" w:firstColumn="0" w:lastColumn="0" w:oddVBand="0" w:evenVBand="0" w:oddHBand="0" w:evenHBand="1" w:firstRowFirstColumn="0" w:firstRowLastColumn="0" w:lastRowFirstColumn="0" w:lastRowLastColumn="0"/>
              <w:rPr>
                <w:lang w:val="en-AU"/>
              </w:rPr>
            </w:pPr>
            <w:r w:rsidRPr="00B703F0">
              <w:rPr>
                <w:lang w:val="en-AU"/>
              </w:rPr>
              <w:t>any of the following apply:</w:t>
            </w:r>
          </w:p>
          <w:p w14:paraId="6AB22801" w14:textId="60A34166" w:rsidR="00674869" w:rsidRPr="00B703F0" w:rsidRDefault="00674869" w:rsidP="00616E40">
            <w:pPr>
              <w:pStyle w:val="Bullet1"/>
              <w:numPr>
                <w:ilvl w:val="0"/>
                <w:numId w:val="10"/>
              </w:numPr>
              <w:ind w:left="600"/>
              <w:cnfStyle w:val="000000010000" w:firstRow="0" w:lastRow="0" w:firstColumn="0" w:lastColumn="0" w:oddVBand="0" w:evenVBand="0" w:oddHBand="0" w:evenHBand="1" w:firstRowFirstColumn="0" w:firstRowLastColumn="0" w:lastRowFirstColumn="0" w:lastRowLastColumn="0"/>
              <w:rPr>
                <w:lang w:val="en-AU"/>
              </w:rPr>
            </w:pPr>
            <w:r w:rsidRPr="00B703F0">
              <w:rPr>
                <w:lang w:val="en-AU"/>
              </w:rPr>
              <w:t>the vessel is proceeding on an overseas voyage or i</w:t>
            </w:r>
            <w:r w:rsidR="0090679F" w:rsidRPr="00B703F0">
              <w:rPr>
                <w:lang w:val="en-AU"/>
              </w:rPr>
              <w:t>s for use on an overseas voyage.</w:t>
            </w:r>
          </w:p>
          <w:p w14:paraId="4FB5911E" w14:textId="46E892C0" w:rsidR="00674869" w:rsidRPr="00B703F0" w:rsidRDefault="00674869" w:rsidP="00616E40">
            <w:pPr>
              <w:pStyle w:val="Bullet1"/>
              <w:numPr>
                <w:ilvl w:val="0"/>
                <w:numId w:val="10"/>
              </w:numPr>
              <w:ind w:left="600"/>
              <w:cnfStyle w:val="000000010000" w:firstRow="0" w:lastRow="0" w:firstColumn="0" w:lastColumn="0" w:oddVBand="0" w:evenVBand="0" w:oddHBand="0" w:evenHBand="1" w:firstRowFirstColumn="0" w:firstRowLastColumn="0" w:lastRowFirstColumn="0" w:lastRowLastColumn="0"/>
              <w:rPr>
                <w:lang w:val="en-AU"/>
              </w:rPr>
            </w:pPr>
            <w:r w:rsidRPr="00B703F0">
              <w:rPr>
                <w:lang w:val="en-AU"/>
              </w:rPr>
              <w:t xml:space="preserve">a certificate issued under </w:t>
            </w:r>
            <w:r w:rsidR="008852EA">
              <w:rPr>
                <w:lang w:val="en-AU"/>
              </w:rPr>
              <w:t xml:space="preserve">the </w:t>
            </w:r>
            <w:r w:rsidR="008852EA" w:rsidRPr="008852EA">
              <w:rPr>
                <w:i/>
                <w:lang w:val="en-AU"/>
              </w:rPr>
              <w:t xml:space="preserve">Navigation </w:t>
            </w:r>
            <w:r w:rsidRPr="008852EA">
              <w:rPr>
                <w:i/>
                <w:lang w:val="en-AU"/>
              </w:rPr>
              <w:t>Act</w:t>
            </w:r>
            <w:r w:rsidR="008852EA" w:rsidRPr="008852EA">
              <w:rPr>
                <w:i/>
                <w:lang w:val="en-AU"/>
              </w:rPr>
              <w:t xml:space="preserve"> 2012</w:t>
            </w:r>
            <w:r w:rsidRPr="00B703F0">
              <w:rPr>
                <w:lang w:val="en-AU"/>
              </w:rPr>
              <w:t>, other than a non</w:t>
            </w:r>
            <w:r w:rsidRPr="00B703F0">
              <w:rPr>
                <w:lang w:val="en-AU"/>
              </w:rPr>
              <w:noBreakHyphen/>
              <w:t>Convention tonnage certificate or a certificate prescribed by the regulations, is in force for the vessel.</w:t>
            </w:r>
          </w:p>
          <w:p w14:paraId="43EFF708" w14:textId="13F8539C" w:rsidR="0064427A" w:rsidRPr="00B703F0" w:rsidRDefault="00674869" w:rsidP="00674869">
            <w:pPr>
              <w:cnfStyle w:val="000000010000" w:firstRow="0" w:lastRow="0" w:firstColumn="0" w:lastColumn="0" w:oddVBand="0" w:evenVBand="0" w:oddHBand="0" w:evenHBand="1" w:firstRowFirstColumn="0" w:firstRowLastColumn="0" w:lastRowFirstColumn="0" w:lastRowLastColumn="0"/>
            </w:pPr>
            <w:r w:rsidRPr="00B703F0">
              <w:t xml:space="preserve">The full definition is </w:t>
            </w:r>
            <w:r w:rsidR="00162616">
              <w:t xml:space="preserve">provided </w:t>
            </w:r>
            <w:r w:rsidRPr="00B703F0">
              <w:t xml:space="preserve">in </w:t>
            </w:r>
            <w:r w:rsidR="00620336" w:rsidRPr="00B703F0">
              <w:t>s</w:t>
            </w:r>
            <w:r w:rsidRPr="00B703F0">
              <w:t xml:space="preserve">15 of the </w:t>
            </w:r>
            <w:r w:rsidRPr="00B703F0">
              <w:rPr>
                <w:i/>
              </w:rPr>
              <w:t>Navigation Act 2012</w:t>
            </w:r>
            <w:r w:rsidRPr="00B703F0">
              <w:t xml:space="preserve">. </w:t>
            </w:r>
          </w:p>
        </w:tc>
      </w:tr>
      <w:tr w:rsidR="0064427A" w:rsidRPr="00B703F0" w14:paraId="57E11827" w14:textId="77777777" w:rsidTr="00674869">
        <w:trPr>
          <w:trHeight w:val="422"/>
        </w:trPr>
        <w:tc>
          <w:tcPr>
            <w:cnfStyle w:val="001000000000" w:firstRow="0" w:lastRow="0" w:firstColumn="1" w:lastColumn="0" w:oddVBand="0" w:evenVBand="0" w:oddHBand="0" w:evenHBand="0" w:firstRowFirstColumn="0" w:firstRowLastColumn="0" w:lastRowFirstColumn="0" w:lastRowLastColumn="0"/>
            <w:tcW w:w="2552" w:type="dxa"/>
          </w:tcPr>
          <w:p w14:paraId="3C606C3C" w14:textId="5EB43581" w:rsidR="0064427A" w:rsidRPr="00B703F0" w:rsidRDefault="00EC5357" w:rsidP="0064427A">
            <w:pPr>
              <w:rPr>
                <w:b w:val="0"/>
              </w:rPr>
            </w:pPr>
            <w:r w:rsidRPr="00B703F0">
              <w:rPr>
                <w:rFonts w:cstheme="minorHAnsi"/>
                <w:b w:val="0"/>
              </w:rPr>
              <w:t>Regulation impact s</w:t>
            </w:r>
            <w:r w:rsidR="0064427A" w:rsidRPr="00B703F0">
              <w:rPr>
                <w:rFonts w:cstheme="minorHAnsi"/>
                <w:b w:val="0"/>
              </w:rPr>
              <w:t>tatement</w:t>
            </w:r>
          </w:p>
        </w:tc>
        <w:tc>
          <w:tcPr>
            <w:tcW w:w="1559" w:type="dxa"/>
          </w:tcPr>
          <w:p w14:paraId="5A2516DB" w14:textId="4E6418A3" w:rsidR="0064427A" w:rsidRPr="00B703F0" w:rsidRDefault="0064427A" w:rsidP="0064427A">
            <w:pPr>
              <w:cnfStyle w:val="000000000000" w:firstRow="0" w:lastRow="0" w:firstColumn="0" w:lastColumn="0" w:oddVBand="0" w:evenVBand="0" w:oddHBand="0" w:evenHBand="0" w:firstRowFirstColumn="0" w:firstRowLastColumn="0" w:lastRowFirstColumn="0" w:lastRowLastColumn="0"/>
            </w:pPr>
            <w:r w:rsidRPr="00B703F0">
              <w:t>RIS</w:t>
            </w:r>
          </w:p>
        </w:tc>
        <w:tc>
          <w:tcPr>
            <w:tcW w:w="5670" w:type="dxa"/>
          </w:tcPr>
          <w:p w14:paraId="5BEAC053" w14:textId="24DC2A72" w:rsidR="00CE1806" w:rsidRPr="00B703F0" w:rsidRDefault="00E10C21">
            <w:pPr>
              <w:cnfStyle w:val="000000000000" w:firstRow="0" w:lastRow="0" w:firstColumn="0" w:lastColumn="0" w:oddVBand="0" w:evenVBand="0" w:oddHBand="0" w:evenHBand="0" w:firstRowFirstColumn="0" w:firstRowLastColumn="0" w:lastRowFirstColumn="0" w:lastRowLastColumn="0"/>
            </w:pPr>
            <w:r w:rsidRPr="00B703F0">
              <w:rPr>
                <w:rFonts w:cstheme="minorHAnsi"/>
              </w:rPr>
              <w:t xml:space="preserve">An assessment seeking to assist </w:t>
            </w:r>
            <w:r w:rsidR="00162616">
              <w:rPr>
                <w:rFonts w:cstheme="minorHAnsi"/>
              </w:rPr>
              <w:t>Australian G</w:t>
            </w:r>
            <w:r w:rsidRPr="00B703F0">
              <w:rPr>
                <w:rFonts w:cstheme="minorHAnsi"/>
              </w:rPr>
              <w:t>overnment officials to move towards ‘best practice’ regulatory design and implementation.</w:t>
            </w:r>
            <w:r w:rsidR="00944343" w:rsidRPr="00B703F0">
              <w:rPr>
                <w:rFonts w:cstheme="minorHAnsi"/>
              </w:rPr>
              <w:t xml:space="preserve"> It is generally undertaken </w:t>
            </w:r>
            <w:r w:rsidR="005278F0" w:rsidRPr="00B703F0">
              <w:rPr>
                <w:rFonts w:eastAsia="Times New Roman" w:cs="TimesNewRoman"/>
                <w:color w:val="000000"/>
                <w:kern w:val="0"/>
              </w:rPr>
              <w:t xml:space="preserve">when a decision is likely </w:t>
            </w:r>
            <w:r w:rsidR="005278F0" w:rsidRPr="00B703F0">
              <w:rPr>
                <w:rFonts w:eastAsia="Times New Roman" w:cs="TimesNewRoman"/>
                <w:color w:val="000000"/>
                <w:kern w:val="0"/>
              </w:rPr>
              <w:lastRenderedPageBreak/>
              <w:t>to have a regulatory impact on business, community organisations or individuals.</w:t>
            </w:r>
          </w:p>
        </w:tc>
      </w:tr>
      <w:tr w:rsidR="0064427A" w:rsidRPr="00B703F0" w14:paraId="1D112AD7" w14:textId="77777777" w:rsidTr="00674869">
        <w:trPr>
          <w:cnfStyle w:val="000000010000" w:firstRow="0" w:lastRow="0" w:firstColumn="0" w:lastColumn="0" w:oddVBand="0" w:evenVBand="0" w:oddHBand="0" w:evenHBand="1"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2552" w:type="dxa"/>
          </w:tcPr>
          <w:p w14:paraId="02DC8E3B" w14:textId="36A54C3A" w:rsidR="0064427A" w:rsidRPr="00B703F0" w:rsidRDefault="0064427A" w:rsidP="0064427A">
            <w:pPr>
              <w:rPr>
                <w:rFonts w:cstheme="minorHAnsi"/>
                <w:b w:val="0"/>
              </w:rPr>
            </w:pPr>
            <w:r w:rsidRPr="00B703F0">
              <w:rPr>
                <w:b w:val="0"/>
              </w:rPr>
              <w:lastRenderedPageBreak/>
              <w:t>State Party</w:t>
            </w:r>
          </w:p>
        </w:tc>
        <w:tc>
          <w:tcPr>
            <w:tcW w:w="1559" w:type="dxa"/>
          </w:tcPr>
          <w:p w14:paraId="62492B2C" w14:textId="77777777" w:rsidR="0064427A" w:rsidRPr="00B703F0" w:rsidRDefault="0064427A" w:rsidP="0064427A">
            <w:pPr>
              <w:cnfStyle w:val="000000010000" w:firstRow="0" w:lastRow="0" w:firstColumn="0" w:lastColumn="0" w:oddVBand="0" w:evenVBand="0" w:oddHBand="0" w:evenHBand="1" w:firstRowFirstColumn="0" w:firstRowLastColumn="0" w:lastRowFirstColumn="0" w:lastRowLastColumn="0"/>
            </w:pPr>
          </w:p>
        </w:tc>
        <w:tc>
          <w:tcPr>
            <w:tcW w:w="5670" w:type="dxa"/>
          </w:tcPr>
          <w:p w14:paraId="2C0A2A9A" w14:textId="30EDDE53" w:rsidR="0064427A" w:rsidRPr="00B703F0" w:rsidRDefault="005278F0" w:rsidP="00933271">
            <w:pPr>
              <w:cnfStyle w:val="000000010000" w:firstRow="0" w:lastRow="0" w:firstColumn="0" w:lastColumn="0" w:oddVBand="0" w:evenVBand="0" w:oddHBand="0" w:evenHBand="1" w:firstRowFirstColumn="0" w:firstRowLastColumn="0" w:lastRowFirstColumn="0" w:lastRowLastColumn="0"/>
              <w:rPr>
                <w:rFonts w:cstheme="minorHAnsi"/>
              </w:rPr>
            </w:pPr>
            <w:r w:rsidRPr="00B703F0">
              <w:rPr>
                <w:rFonts w:cstheme="minorHAnsi"/>
              </w:rPr>
              <w:t xml:space="preserve">A country that has ratified or acceded to that particular treaty, and is therefore legally bound by </w:t>
            </w:r>
            <w:r w:rsidR="00933271">
              <w:rPr>
                <w:rFonts w:cstheme="minorHAnsi"/>
              </w:rPr>
              <w:t>its</w:t>
            </w:r>
            <w:r w:rsidR="00933271" w:rsidRPr="00B703F0">
              <w:rPr>
                <w:rFonts w:cstheme="minorHAnsi"/>
              </w:rPr>
              <w:t xml:space="preserve"> </w:t>
            </w:r>
            <w:r w:rsidRPr="00B703F0">
              <w:rPr>
                <w:rFonts w:cstheme="minorHAnsi"/>
              </w:rPr>
              <w:t>provisions.</w:t>
            </w:r>
          </w:p>
        </w:tc>
      </w:tr>
      <w:tr w:rsidR="0064427A" w:rsidRPr="00B703F0" w14:paraId="0B66D042" w14:textId="77777777" w:rsidTr="00E34B9B">
        <w:trPr>
          <w:trHeight w:val="422"/>
        </w:trPr>
        <w:tc>
          <w:tcPr>
            <w:cnfStyle w:val="001000000000" w:firstRow="0" w:lastRow="0" w:firstColumn="1" w:lastColumn="0" w:oddVBand="0" w:evenVBand="0" w:oddHBand="0" w:evenHBand="0" w:firstRowFirstColumn="0" w:firstRowLastColumn="0" w:lastRowFirstColumn="0" w:lastRowLastColumn="0"/>
            <w:tcW w:w="2552" w:type="dxa"/>
          </w:tcPr>
          <w:p w14:paraId="19F44C77" w14:textId="49DF0CFB" w:rsidR="0064427A" w:rsidRPr="00B703F0" w:rsidRDefault="00635073" w:rsidP="0064427A">
            <w:pPr>
              <w:rPr>
                <w:b w:val="0"/>
              </w:rPr>
            </w:pPr>
            <w:r w:rsidRPr="00B703F0">
              <w:rPr>
                <w:b w:val="0"/>
              </w:rPr>
              <w:t>Territorial sea</w:t>
            </w:r>
          </w:p>
        </w:tc>
        <w:tc>
          <w:tcPr>
            <w:tcW w:w="1559" w:type="dxa"/>
          </w:tcPr>
          <w:p w14:paraId="4C262B60" w14:textId="77777777" w:rsidR="0064427A" w:rsidRPr="00B703F0" w:rsidRDefault="0064427A" w:rsidP="0064427A">
            <w:pPr>
              <w:cnfStyle w:val="000000000000" w:firstRow="0" w:lastRow="0" w:firstColumn="0" w:lastColumn="0" w:oddVBand="0" w:evenVBand="0" w:oddHBand="0" w:evenHBand="0" w:firstRowFirstColumn="0" w:firstRowLastColumn="0" w:lastRowFirstColumn="0" w:lastRowLastColumn="0"/>
              <w:rPr>
                <w:b/>
              </w:rPr>
            </w:pPr>
          </w:p>
        </w:tc>
        <w:tc>
          <w:tcPr>
            <w:tcW w:w="5670" w:type="dxa"/>
          </w:tcPr>
          <w:p w14:paraId="6F5AD9EA" w14:textId="7ABD31B0" w:rsidR="0064427A" w:rsidRPr="00B703F0" w:rsidRDefault="00162616">
            <w:pPr>
              <w:cnfStyle w:val="000000000000" w:firstRow="0" w:lastRow="0" w:firstColumn="0" w:lastColumn="0" w:oddVBand="0" w:evenVBand="0" w:oddHBand="0" w:evenHBand="0" w:firstRowFirstColumn="0" w:firstRowLastColumn="0" w:lastRowFirstColumn="0" w:lastRowLastColumn="0"/>
              <w:rPr>
                <w:rFonts w:eastAsia="Times New Roman" w:cs="TimesNewRoman"/>
                <w:color w:val="000000"/>
                <w:kern w:val="0"/>
              </w:rPr>
            </w:pPr>
            <w:r>
              <w:t>As</w:t>
            </w:r>
            <w:r w:rsidR="00CB5010" w:rsidRPr="00B703F0">
              <w:t xml:space="preserve"> defined in the </w:t>
            </w:r>
            <w:r w:rsidR="00CB5010" w:rsidRPr="00B703F0">
              <w:rPr>
                <w:i/>
              </w:rPr>
              <w:t>United Nations Convention on the Law of the Sea</w:t>
            </w:r>
            <w:r>
              <w:rPr>
                <w:i/>
              </w:rPr>
              <w:t>,</w:t>
            </w:r>
            <w:r w:rsidR="0064427A" w:rsidRPr="00B703F0">
              <w:t xml:space="preserve"> the area 12 nautical miles outward from the </w:t>
            </w:r>
            <w:r w:rsidR="00635073" w:rsidRPr="00B703F0">
              <w:t>territorial sea</w:t>
            </w:r>
            <w:r w:rsidR="0064427A" w:rsidRPr="00B703F0">
              <w:t xml:space="preserve"> baseline</w:t>
            </w:r>
            <w:r w:rsidR="00154F10" w:rsidRPr="00B703F0">
              <w:t>.</w:t>
            </w:r>
          </w:p>
        </w:tc>
      </w:tr>
      <w:tr w:rsidR="007B2FED" w:rsidRPr="00B703F0" w14:paraId="6BBD8E46" w14:textId="77777777" w:rsidTr="009405B2">
        <w:trPr>
          <w:cnfStyle w:val="000000010000" w:firstRow="0" w:lastRow="0" w:firstColumn="0" w:lastColumn="0" w:oddVBand="0" w:evenVBand="0" w:oddHBand="0" w:evenHBand="1"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2552" w:type="dxa"/>
          </w:tcPr>
          <w:p w14:paraId="02F1B652" w14:textId="7D231F93" w:rsidR="007B2FED" w:rsidRPr="00B703F0" w:rsidRDefault="00635073" w:rsidP="0064427A">
            <w:pPr>
              <w:rPr>
                <w:b w:val="0"/>
              </w:rPr>
            </w:pPr>
            <w:r w:rsidRPr="00B703F0">
              <w:rPr>
                <w:b w:val="0"/>
              </w:rPr>
              <w:t>Territorial sea</w:t>
            </w:r>
            <w:r w:rsidR="007B2FED" w:rsidRPr="00B703F0">
              <w:rPr>
                <w:b w:val="0"/>
              </w:rPr>
              <w:t xml:space="preserve"> baseline</w:t>
            </w:r>
          </w:p>
        </w:tc>
        <w:tc>
          <w:tcPr>
            <w:tcW w:w="1559" w:type="dxa"/>
          </w:tcPr>
          <w:p w14:paraId="0DEC0D8E" w14:textId="77777777" w:rsidR="007B2FED" w:rsidRPr="00B703F0" w:rsidRDefault="007B2FED" w:rsidP="0064427A">
            <w:pPr>
              <w:cnfStyle w:val="000000010000" w:firstRow="0" w:lastRow="0" w:firstColumn="0" w:lastColumn="0" w:oddVBand="0" w:evenVBand="0" w:oddHBand="0" w:evenHBand="1" w:firstRowFirstColumn="0" w:firstRowLastColumn="0" w:lastRowFirstColumn="0" w:lastRowLastColumn="0"/>
              <w:rPr>
                <w:b/>
              </w:rPr>
            </w:pPr>
          </w:p>
        </w:tc>
        <w:tc>
          <w:tcPr>
            <w:tcW w:w="5670" w:type="dxa"/>
          </w:tcPr>
          <w:p w14:paraId="33D0C90C" w14:textId="7067FF38" w:rsidR="007B2FED" w:rsidRPr="00B703F0" w:rsidRDefault="00CB5010">
            <w:pPr>
              <w:cnfStyle w:val="000000010000" w:firstRow="0" w:lastRow="0" w:firstColumn="0" w:lastColumn="0" w:oddVBand="0" w:evenVBand="0" w:oddHBand="0" w:evenHBand="1" w:firstRowFirstColumn="0" w:firstRowLastColumn="0" w:lastRowFirstColumn="0" w:lastRowLastColumn="0"/>
            </w:pPr>
            <w:r w:rsidRPr="00B703F0">
              <w:t xml:space="preserve">The </w:t>
            </w:r>
            <w:r w:rsidR="007B2FED" w:rsidRPr="00B703F0">
              <w:t>line from which the</w:t>
            </w:r>
            <w:r w:rsidR="00572A37" w:rsidRPr="00B703F0">
              <w:t xml:space="preserve"> seaward limits of Australia's maritime z</w:t>
            </w:r>
            <w:r w:rsidR="007B2FED" w:rsidRPr="00B703F0">
              <w:t xml:space="preserve">ones are measured. </w:t>
            </w:r>
            <w:r w:rsidR="005278F0" w:rsidRPr="00B703F0">
              <w:t xml:space="preserve">It generally aligns with the low water mark unless special considerations apply. </w:t>
            </w:r>
          </w:p>
        </w:tc>
      </w:tr>
      <w:tr w:rsidR="00FA7C28" w:rsidRPr="00B703F0" w14:paraId="40EF1D82" w14:textId="77777777" w:rsidTr="009405B2">
        <w:trPr>
          <w:trHeight w:val="422"/>
        </w:trPr>
        <w:tc>
          <w:tcPr>
            <w:cnfStyle w:val="001000000000" w:firstRow="0" w:lastRow="0" w:firstColumn="1" w:lastColumn="0" w:oddVBand="0" w:evenVBand="0" w:oddHBand="0" w:evenHBand="0" w:firstRowFirstColumn="0" w:firstRowLastColumn="0" w:lastRowFirstColumn="0" w:lastRowLastColumn="0"/>
            <w:tcW w:w="2552" w:type="dxa"/>
          </w:tcPr>
          <w:p w14:paraId="6C26E972" w14:textId="34BCD0E8" w:rsidR="00FA7C28" w:rsidRPr="00B703F0" w:rsidRDefault="00FA7C28" w:rsidP="00E25344">
            <w:pPr>
              <w:rPr>
                <w:b w:val="0"/>
              </w:rPr>
            </w:pPr>
            <w:r w:rsidRPr="00B703F0">
              <w:rPr>
                <w:b w:val="0"/>
              </w:rPr>
              <w:t>Twe</w:t>
            </w:r>
            <w:r w:rsidR="00E25344" w:rsidRPr="00B703F0">
              <w:rPr>
                <w:b w:val="0"/>
              </w:rPr>
              <w:t xml:space="preserve">nty-foot equivalents units </w:t>
            </w:r>
          </w:p>
        </w:tc>
        <w:tc>
          <w:tcPr>
            <w:tcW w:w="1559" w:type="dxa"/>
          </w:tcPr>
          <w:p w14:paraId="2BD6A9AF" w14:textId="03ECFF24" w:rsidR="00FA7C28" w:rsidRPr="00B703F0" w:rsidRDefault="00E25344" w:rsidP="0064427A">
            <w:pPr>
              <w:cnfStyle w:val="000000000000" w:firstRow="0" w:lastRow="0" w:firstColumn="0" w:lastColumn="0" w:oddVBand="0" w:evenVBand="0" w:oddHBand="0" w:evenHBand="0" w:firstRowFirstColumn="0" w:firstRowLastColumn="0" w:lastRowFirstColumn="0" w:lastRowLastColumn="0"/>
            </w:pPr>
            <w:r w:rsidRPr="00B703F0">
              <w:t>TEU</w:t>
            </w:r>
            <w:r w:rsidR="00C025E8">
              <w:t>s</w:t>
            </w:r>
          </w:p>
        </w:tc>
        <w:tc>
          <w:tcPr>
            <w:tcW w:w="5670" w:type="dxa"/>
          </w:tcPr>
          <w:p w14:paraId="65386E5F" w14:textId="03AC2693" w:rsidR="00FA7C28" w:rsidRPr="00B703F0" w:rsidRDefault="00162616" w:rsidP="00572A37">
            <w:pPr>
              <w:cnfStyle w:val="000000000000" w:firstRow="0" w:lastRow="0" w:firstColumn="0" w:lastColumn="0" w:oddVBand="0" w:evenVBand="0" w:oddHBand="0" w:evenHBand="0" w:firstRowFirstColumn="0" w:firstRowLastColumn="0" w:lastRowFirstColumn="0" w:lastRowLastColumn="0"/>
            </w:pPr>
            <w:r>
              <w:t>The</w:t>
            </w:r>
            <w:r w:rsidR="00FA7C28" w:rsidRPr="00B703F0">
              <w:t xml:space="preserve"> measure of volume in units of twenty-foot long (6.1 meters) containers.</w:t>
            </w:r>
          </w:p>
        </w:tc>
      </w:tr>
      <w:tr w:rsidR="005278F0" w:rsidRPr="00B703F0" w14:paraId="4D4542A1" w14:textId="77777777" w:rsidTr="00F7361D">
        <w:trPr>
          <w:cnfStyle w:val="010000000000" w:firstRow="0" w:lastRow="1" w:firstColumn="0" w:lastColumn="0" w:oddVBand="0" w:evenVBand="0" w:oddHBand="0"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2552" w:type="dxa"/>
            <w:shd w:val="clear" w:color="auto" w:fill="FFFFFF" w:themeFill="background1"/>
          </w:tcPr>
          <w:p w14:paraId="3D9B1FFB" w14:textId="4932933C" w:rsidR="005278F0" w:rsidRPr="00B703F0" w:rsidRDefault="009B67B7" w:rsidP="0064427A">
            <w:pPr>
              <w:rPr>
                <w:b w:val="0"/>
              </w:rPr>
            </w:pPr>
            <w:r w:rsidRPr="00B703F0">
              <w:rPr>
                <w:b w:val="0"/>
              </w:rPr>
              <w:t xml:space="preserve">Discussion Paper: Australia's accession to the </w:t>
            </w:r>
            <w:r w:rsidRPr="00B703F0">
              <w:rPr>
                <w:b w:val="0"/>
                <w:i/>
              </w:rPr>
              <w:t>Nairobi International Convention on the Removal of Wrecks 2007</w:t>
            </w:r>
          </w:p>
        </w:tc>
        <w:tc>
          <w:tcPr>
            <w:tcW w:w="1559" w:type="dxa"/>
            <w:shd w:val="clear" w:color="auto" w:fill="FFFFFF" w:themeFill="background1"/>
          </w:tcPr>
          <w:p w14:paraId="0326B275" w14:textId="05EB1B75" w:rsidR="005278F0" w:rsidRPr="00B703F0" w:rsidRDefault="009B67B7" w:rsidP="0064427A">
            <w:pPr>
              <w:cnfStyle w:val="010000000000" w:firstRow="0" w:lastRow="1" w:firstColumn="0" w:lastColumn="0" w:oddVBand="0" w:evenVBand="0" w:oddHBand="0" w:evenHBand="0" w:firstRowFirstColumn="0" w:firstRowLastColumn="0" w:lastRowFirstColumn="0" w:lastRowLastColumn="0"/>
              <w:rPr>
                <w:b w:val="0"/>
              </w:rPr>
            </w:pPr>
            <w:r w:rsidRPr="00B703F0">
              <w:rPr>
                <w:b w:val="0"/>
              </w:rPr>
              <w:t>2020 Discussion Paper</w:t>
            </w:r>
          </w:p>
        </w:tc>
        <w:tc>
          <w:tcPr>
            <w:tcW w:w="5670" w:type="dxa"/>
            <w:shd w:val="clear" w:color="auto" w:fill="FFFFFF" w:themeFill="background1"/>
          </w:tcPr>
          <w:p w14:paraId="7E98F6E9" w14:textId="2D651A81" w:rsidR="005278F0" w:rsidRPr="00B703F0" w:rsidRDefault="00322476" w:rsidP="002D51B1">
            <w:pPr>
              <w:cnfStyle w:val="010000000000" w:firstRow="0" w:lastRow="1" w:firstColumn="0" w:lastColumn="0" w:oddVBand="0" w:evenVBand="0" w:oddHBand="0" w:evenHBand="0" w:firstRowFirstColumn="0" w:firstRowLastColumn="0" w:lastRowFirstColumn="0" w:lastRowLastColumn="0"/>
              <w:rPr>
                <w:b w:val="0"/>
              </w:rPr>
            </w:pPr>
            <w:r w:rsidRPr="00B703F0">
              <w:rPr>
                <w:b w:val="0"/>
              </w:rPr>
              <w:t xml:space="preserve">In August 2020, the Department of Infrastructure, </w:t>
            </w:r>
            <w:r w:rsidR="002D51B1">
              <w:rPr>
                <w:b w:val="0"/>
              </w:rPr>
              <w:t xml:space="preserve">Transport, Regional Development, </w:t>
            </w:r>
            <w:r w:rsidRPr="00B703F0">
              <w:rPr>
                <w:b w:val="0"/>
              </w:rPr>
              <w:t>Communications</w:t>
            </w:r>
            <w:r w:rsidR="002D51B1">
              <w:rPr>
                <w:b w:val="0"/>
              </w:rPr>
              <w:t xml:space="preserve"> and the Arts</w:t>
            </w:r>
            <w:r w:rsidRPr="00B703F0">
              <w:rPr>
                <w:b w:val="0"/>
              </w:rPr>
              <w:t xml:space="preserve"> released a discussion paper to inform an examination </w:t>
            </w:r>
            <w:r w:rsidR="008852EA">
              <w:rPr>
                <w:b w:val="0"/>
              </w:rPr>
              <w:t xml:space="preserve">of </w:t>
            </w:r>
            <w:r w:rsidRPr="00B703F0">
              <w:rPr>
                <w:b w:val="0"/>
              </w:rPr>
              <w:t xml:space="preserve">whether accession to the </w:t>
            </w:r>
            <w:r w:rsidR="00AE36EB" w:rsidRPr="00B703F0">
              <w:rPr>
                <w:b w:val="0"/>
                <w:i/>
              </w:rPr>
              <w:t>Nairobi International Convention on the Removal of Wrecks 2007</w:t>
            </w:r>
            <w:r w:rsidRPr="00B703F0">
              <w:rPr>
                <w:b w:val="0"/>
              </w:rPr>
              <w:t xml:space="preserve"> would benefit Australia.</w:t>
            </w:r>
            <w:r w:rsidR="0031264C" w:rsidRPr="00B703F0">
              <w:rPr>
                <w:b w:val="0"/>
              </w:rPr>
              <w:t xml:space="preserve"> Further details including non</w:t>
            </w:r>
            <w:r w:rsidR="0031264C" w:rsidRPr="00B703F0">
              <w:rPr>
                <w:b w:val="0"/>
              </w:rPr>
              <w:noBreakHyphen/>
              <w:t>confidential submissions are available on the Department’s</w:t>
            </w:r>
            <w:r w:rsidR="00283E8B" w:rsidRPr="00B703F0">
              <w:rPr>
                <w:b w:val="0"/>
              </w:rPr>
              <w:t xml:space="preserve"> </w:t>
            </w:r>
            <w:r w:rsidR="00283E8B" w:rsidRPr="00FF2BB0">
              <w:rPr>
                <w:b w:val="0"/>
              </w:rPr>
              <w:t>website</w:t>
            </w:r>
            <w:r w:rsidR="00283E8B" w:rsidRPr="00B703F0">
              <w:rPr>
                <w:b w:val="0"/>
              </w:rPr>
              <w:t xml:space="preserve">. </w:t>
            </w:r>
          </w:p>
        </w:tc>
      </w:tr>
    </w:tbl>
    <w:p w14:paraId="439D975B" w14:textId="5B98B1C8" w:rsidR="00D40A69" w:rsidRPr="00B703F0" w:rsidRDefault="00D40A69" w:rsidP="003D3B1D">
      <w:pPr>
        <w:rPr>
          <w:sz w:val="2"/>
        </w:rPr>
      </w:pPr>
    </w:p>
    <w:p w14:paraId="0261833A" w14:textId="77777777" w:rsidR="0064427A" w:rsidRPr="00B703F0" w:rsidRDefault="0064427A" w:rsidP="003D3B1D">
      <w:pPr>
        <w:rPr>
          <w:sz w:val="2"/>
        </w:rPr>
        <w:sectPr w:rsidR="0064427A" w:rsidRPr="00B703F0" w:rsidSect="00D87AD8">
          <w:headerReference w:type="even" r:id="rId20"/>
          <w:headerReference w:type="default" r:id="rId21"/>
          <w:headerReference w:type="first" r:id="rId22"/>
          <w:pgSz w:w="11906" w:h="16838" w:code="9"/>
          <w:pgMar w:top="1021" w:right="1021" w:bottom="1021" w:left="1021" w:header="510" w:footer="567" w:gutter="0"/>
          <w:cols w:space="708"/>
          <w:docGrid w:linePitch="360"/>
        </w:sectPr>
      </w:pPr>
    </w:p>
    <w:p w14:paraId="5B85793B" w14:textId="232DEB61" w:rsidR="00395128" w:rsidRDefault="00395128" w:rsidP="00927A4F">
      <w:pPr>
        <w:pStyle w:val="Heading1Numbered"/>
      </w:pPr>
      <w:bookmarkStart w:id="3" w:name="_Toc96354453"/>
      <w:bookmarkStart w:id="4" w:name="_Toc105060767"/>
      <w:r>
        <w:lastRenderedPageBreak/>
        <w:t>Executive summary</w:t>
      </w:r>
      <w:bookmarkEnd w:id="3"/>
      <w:bookmarkEnd w:id="4"/>
      <w:r>
        <w:t xml:space="preserve"> </w:t>
      </w:r>
    </w:p>
    <w:p w14:paraId="3C1D2738" w14:textId="647D64B6" w:rsidR="00CA1133" w:rsidRDefault="009462C7" w:rsidP="00CA1133">
      <w:r>
        <w:t>Australia’s economy and standard of living is dependent on efficient and effective international maritime trade.</w:t>
      </w:r>
      <w:r w:rsidR="00CA1133">
        <w:t xml:space="preserve"> </w:t>
      </w:r>
      <w:r>
        <w:t>Ships are our primary mode of transport for the import and export of goods and</w:t>
      </w:r>
      <w:r w:rsidR="00CA1133">
        <w:t xml:space="preserve"> as demand grows so do their movements through Australian waters, including sensitive marine areas. When something goes wrong, </w:t>
      </w:r>
      <w:r w:rsidR="00FA23E8">
        <w:t xml:space="preserve">ship and cargo </w:t>
      </w:r>
      <w:r w:rsidR="00CA1133">
        <w:t>wrecks have the</w:t>
      </w:r>
      <w:r w:rsidR="00CA1133" w:rsidRPr="00B703F0">
        <w:t xml:space="preserve"> potential to interrupt trade, threaten </w:t>
      </w:r>
      <w:r w:rsidR="00443897">
        <w:t xml:space="preserve">the safety of </w:t>
      </w:r>
      <w:r w:rsidR="00CA1133" w:rsidRPr="00B703F0">
        <w:t xml:space="preserve">other </w:t>
      </w:r>
      <w:r w:rsidR="00271F4E">
        <w:t>ships</w:t>
      </w:r>
      <w:r w:rsidR="00CA1133" w:rsidRPr="00B703F0">
        <w:t xml:space="preserve">, incur significant loss of life and property, and damage the marine environment. </w:t>
      </w:r>
    </w:p>
    <w:p w14:paraId="735C06D5" w14:textId="511C9E03" w:rsidR="00CA1133" w:rsidRPr="00B703F0" w:rsidRDefault="00CA1133" w:rsidP="00CA1133">
      <w:r>
        <w:t>Wreck</w:t>
      </w:r>
      <w:r w:rsidRPr="00B703F0">
        <w:t xml:space="preserve"> </w:t>
      </w:r>
      <w:r>
        <w:t>clean-up and its associated costs often</w:t>
      </w:r>
      <w:r w:rsidRPr="00B703F0">
        <w:t xml:space="preserve"> fall on </w:t>
      </w:r>
      <w:r>
        <w:t>the Australian</w:t>
      </w:r>
      <w:r w:rsidR="001978F5">
        <w:t>, state or territory governments</w:t>
      </w:r>
      <w:r>
        <w:t xml:space="preserve">, </w:t>
      </w:r>
      <w:r w:rsidR="00296721">
        <w:t xml:space="preserve">which </w:t>
      </w:r>
      <w:r w:rsidR="00942F79">
        <w:t>ha</w:t>
      </w:r>
      <w:r w:rsidR="00B82192">
        <w:t>ve</w:t>
      </w:r>
      <w:r w:rsidR="00942F79">
        <w:t xml:space="preserve"> difficulty </w:t>
      </w:r>
      <w:r>
        <w:t>recover</w:t>
      </w:r>
      <w:r w:rsidR="00B4531F">
        <w:t>ing</w:t>
      </w:r>
      <w:r>
        <w:t xml:space="preserve"> costs: </w:t>
      </w:r>
    </w:p>
    <w:p w14:paraId="2C7F1097" w14:textId="2AB6F004" w:rsidR="00CA1133" w:rsidRPr="00B703F0" w:rsidRDefault="00CA1133" w:rsidP="00CA1133">
      <w:pPr>
        <w:pStyle w:val="Bullet1"/>
        <w:numPr>
          <w:ilvl w:val="0"/>
          <w:numId w:val="0"/>
        </w:numPr>
        <w:ind w:left="284" w:hanging="284"/>
        <w:rPr>
          <w:lang w:val="en-AU"/>
        </w:rPr>
      </w:pPr>
      <w:r w:rsidRPr="00B703F0">
        <w:rPr>
          <w:lang w:val="en-AU"/>
        </w:rPr>
        <w:t>•</w:t>
      </w:r>
      <w:r w:rsidRPr="00B703F0">
        <w:rPr>
          <w:lang w:val="en-AU"/>
        </w:rPr>
        <w:tab/>
      </w:r>
      <w:r w:rsidR="00A1111E">
        <w:rPr>
          <w:lang w:val="en-AU"/>
        </w:rPr>
        <w:t xml:space="preserve">where </w:t>
      </w:r>
      <w:r w:rsidRPr="00B703F0">
        <w:rPr>
          <w:lang w:val="en-AU"/>
        </w:rPr>
        <w:t xml:space="preserve">a foreign vessel creates a wreck within Australia’s </w:t>
      </w:r>
      <w:r w:rsidR="00930592">
        <w:t xml:space="preserve">Exclusive Economic Zone (EEZ) </w:t>
      </w:r>
      <w:r>
        <w:rPr>
          <w:lang w:val="en-AU"/>
        </w:rPr>
        <w:t xml:space="preserve">due to </w:t>
      </w:r>
      <w:r w:rsidR="00BB0FA5">
        <w:rPr>
          <w:lang w:val="en-AU"/>
        </w:rPr>
        <w:t xml:space="preserve">freedoms enshrined </w:t>
      </w:r>
      <w:r>
        <w:rPr>
          <w:lang w:val="en-AU"/>
        </w:rPr>
        <w:t>under international law</w:t>
      </w:r>
      <w:r w:rsidRPr="00B703F0">
        <w:rPr>
          <w:lang w:val="en-AU"/>
        </w:rPr>
        <w:t xml:space="preserve">. </w:t>
      </w:r>
    </w:p>
    <w:p w14:paraId="21AC4A66" w14:textId="716F3794" w:rsidR="00CA1133" w:rsidRDefault="00CA1133" w:rsidP="00CA1133">
      <w:pPr>
        <w:pStyle w:val="Bullet1"/>
        <w:numPr>
          <w:ilvl w:val="0"/>
          <w:numId w:val="0"/>
        </w:numPr>
        <w:ind w:left="284" w:hanging="284"/>
        <w:rPr>
          <w:lang w:val="en-AU"/>
        </w:rPr>
      </w:pPr>
      <w:r w:rsidRPr="00B703F0">
        <w:rPr>
          <w:lang w:val="en-AU"/>
        </w:rPr>
        <w:t>•</w:t>
      </w:r>
      <w:r w:rsidRPr="00B703F0">
        <w:rPr>
          <w:lang w:val="en-AU"/>
        </w:rPr>
        <w:tab/>
      </w:r>
      <w:r w:rsidR="00A1111E">
        <w:rPr>
          <w:lang w:val="en-AU"/>
        </w:rPr>
        <w:t xml:space="preserve">where </w:t>
      </w:r>
      <w:r w:rsidRPr="00B703F0">
        <w:rPr>
          <w:lang w:val="en-AU"/>
        </w:rPr>
        <w:t>any object from a foreign</w:t>
      </w:r>
      <w:r>
        <w:rPr>
          <w:lang w:val="en-AU"/>
        </w:rPr>
        <w:t xml:space="preserve"> vessel</w:t>
      </w:r>
      <w:r w:rsidRPr="00B703F0">
        <w:rPr>
          <w:lang w:val="en-AU"/>
        </w:rPr>
        <w:t xml:space="preserve"> or </w:t>
      </w:r>
      <w:r w:rsidR="00271F4E">
        <w:t>Regulated Australian Vessel</w:t>
      </w:r>
      <w:r w:rsidR="00271F4E">
        <w:rPr>
          <w:lang w:val="en-US"/>
        </w:rPr>
        <w:t xml:space="preserve"> (RAV)</w:t>
      </w:r>
      <w:r w:rsidR="00942F79">
        <w:rPr>
          <w:lang w:val="en-AU"/>
        </w:rPr>
        <w:t xml:space="preserve"> </w:t>
      </w:r>
      <w:r>
        <w:rPr>
          <w:lang w:val="en-AU"/>
        </w:rPr>
        <w:t>has</w:t>
      </w:r>
      <w:r w:rsidRPr="00B703F0">
        <w:rPr>
          <w:lang w:val="en-AU"/>
        </w:rPr>
        <w:t xml:space="preserve"> sunk, </w:t>
      </w:r>
      <w:r>
        <w:rPr>
          <w:lang w:val="en-AU"/>
        </w:rPr>
        <w:t xml:space="preserve">become </w:t>
      </w:r>
      <w:r w:rsidRPr="00B703F0">
        <w:rPr>
          <w:lang w:val="en-AU"/>
        </w:rPr>
        <w:t xml:space="preserve">stranded or </w:t>
      </w:r>
      <w:r>
        <w:rPr>
          <w:lang w:val="en-AU"/>
        </w:rPr>
        <w:t xml:space="preserve">is </w:t>
      </w:r>
      <w:r w:rsidRPr="00B703F0">
        <w:rPr>
          <w:lang w:val="en-AU"/>
        </w:rPr>
        <w:t xml:space="preserve">adrift at sea from a </w:t>
      </w:r>
      <w:r w:rsidR="00271F4E">
        <w:rPr>
          <w:lang w:val="en-AU"/>
        </w:rPr>
        <w:t>ship</w:t>
      </w:r>
      <w:r w:rsidRPr="00B703F0">
        <w:rPr>
          <w:lang w:val="en-AU"/>
        </w:rPr>
        <w:t xml:space="preserve"> that is not itself wrecked or in distress,</w:t>
      </w:r>
      <w:r>
        <w:rPr>
          <w:lang w:val="en-AU"/>
        </w:rPr>
        <w:t xml:space="preserve"> including </w:t>
      </w:r>
      <w:r w:rsidR="00B82192">
        <w:rPr>
          <w:lang w:val="en-AU"/>
        </w:rPr>
        <w:t xml:space="preserve">shipping </w:t>
      </w:r>
      <w:r>
        <w:rPr>
          <w:lang w:val="en-AU"/>
        </w:rPr>
        <w:t>containers</w:t>
      </w:r>
      <w:r w:rsidRPr="00B703F0">
        <w:rPr>
          <w:lang w:val="en-AU"/>
        </w:rPr>
        <w:t xml:space="preserve">. </w:t>
      </w:r>
    </w:p>
    <w:p w14:paraId="414A759D" w14:textId="1BE69510" w:rsidR="00A1111E" w:rsidRPr="00A1111E" w:rsidRDefault="00A1111E" w:rsidP="00A1111E">
      <w:pPr>
        <w:pStyle w:val="Bullet1"/>
      </w:pPr>
      <w:r>
        <w:rPr>
          <w:lang w:val="en-AU"/>
        </w:rPr>
        <w:t>i</w:t>
      </w:r>
      <w:r w:rsidRPr="00A1111E">
        <w:t>n</w:t>
      </w:r>
      <w:r w:rsidR="00825C3A">
        <w:rPr>
          <w:lang w:val="en-AU"/>
        </w:rPr>
        <w:t xml:space="preserve"> most states and territories</w:t>
      </w:r>
      <w:r w:rsidRPr="00A1111E">
        <w:t xml:space="preserve"> where legislation does not apply to </w:t>
      </w:r>
      <w:r w:rsidRPr="00A1111E">
        <w:rPr>
          <w:lang w:val="en-AU"/>
        </w:rPr>
        <w:t xml:space="preserve">Domestic Commercial Vessel (DCV) </w:t>
      </w:r>
      <w:r w:rsidRPr="00A1111E">
        <w:t>or recreational vesse</w:t>
      </w:r>
      <w:r>
        <w:t>l wrecks beyond coastal waters.</w:t>
      </w:r>
    </w:p>
    <w:p w14:paraId="15E087F0" w14:textId="00FC0505" w:rsidR="007122F8" w:rsidRDefault="00BB0FA5" w:rsidP="00395128">
      <w:r>
        <w:t>To mitigate the</w:t>
      </w:r>
      <w:r w:rsidR="00BD6646">
        <w:t xml:space="preserve">se </w:t>
      </w:r>
      <w:r w:rsidR="00825C3A">
        <w:t>issues</w:t>
      </w:r>
      <w:r w:rsidR="00BD6646">
        <w:t>, Australia could</w:t>
      </w:r>
      <w:r>
        <w:t xml:space="preserve"> </w:t>
      </w:r>
      <w:r w:rsidR="00CB620E">
        <w:t>either</w:t>
      </w:r>
      <w:r>
        <w:t xml:space="preserve"> strengthen the relevant </w:t>
      </w:r>
      <w:r w:rsidR="007122F8">
        <w:t xml:space="preserve">current </w:t>
      </w:r>
      <w:r>
        <w:t>domestic legi</w:t>
      </w:r>
      <w:r w:rsidR="007122F8">
        <w:t>slation or utilise an internationally agreed liability framework</w:t>
      </w:r>
      <w:r w:rsidR="00947E6F">
        <w:t xml:space="preserve"> </w:t>
      </w:r>
      <w:r w:rsidR="008E1F04">
        <w:t xml:space="preserve">– </w:t>
      </w:r>
      <w:r w:rsidR="00947E6F">
        <w:t>the</w:t>
      </w:r>
      <w:r w:rsidR="008E1F04">
        <w:t xml:space="preserve"> </w:t>
      </w:r>
      <w:r w:rsidR="00947E6F" w:rsidRPr="00930592">
        <w:rPr>
          <w:i/>
        </w:rPr>
        <w:t>Nairobi International Convention on the Removal of Wrecks 2007</w:t>
      </w:r>
      <w:r w:rsidR="00947E6F">
        <w:t xml:space="preserve"> (Nairobi Convention)</w:t>
      </w:r>
      <w:r w:rsidR="007122F8">
        <w:t xml:space="preserve">. </w:t>
      </w:r>
      <w:r>
        <w:t xml:space="preserve"> </w:t>
      </w:r>
    </w:p>
    <w:p w14:paraId="213CD645" w14:textId="77777777" w:rsidR="00361C03" w:rsidRDefault="00C31E23" w:rsidP="00DD77E6">
      <w:r>
        <w:t>All S</w:t>
      </w:r>
      <w:r w:rsidR="00634EA4">
        <w:t>tates</w:t>
      </w:r>
      <w:r w:rsidR="00855F77">
        <w:t xml:space="preserve"> are provided with freedom</w:t>
      </w:r>
      <w:r w:rsidR="00825C3A">
        <w:t>s</w:t>
      </w:r>
      <w:r w:rsidR="00361C03">
        <w:t xml:space="preserve"> on</w:t>
      </w:r>
      <w:r w:rsidR="00855F77">
        <w:t xml:space="preserve"> the high seas under the </w:t>
      </w:r>
      <w:r w:rsidR="00855F77" w:rsidRPr="00855F77">
        <w:rPr>
          <w:i/>
        </w:rPr>
        <w:t>United Nationals Convention on the Law of the Sea</w:t>
      </w:r>
      <w:r w:rsidR="00855F77">
        <w:rPr>
          <w:rStyle w:val="FootnoteReference"/>
          <w:i/>
        </w:rPr>
        <w:footnoteReference w:id="1"/>
      </w:r>
      <w:r w:rsidR="00855F77">
        <w:t>, i</w:t>
      </w:r>
      <w:r w:rsidR="00EB4B55">
        <w:t>ncluding freedom of navigation</w:t>
      </w:r>
      <w:r w:rsidR="004575EA">
        <w:t xml:space="preserve">. </w:t>
      </w:r>
      <w:r w:rsidR="00361C03">
        <w:t xml:space="preserve">These freedoms operate to prevent States from taking legal action against ships in the EEZ. </w:t>
      </w:r>
    </w:p>
    <w:p w14:paraId="0DCEC5C7" w14:textId="71F6141C" w:rsidR="00EB4B55" w:rsidRPr="00C7523F" w:rsidRDefault="00361C03" w:rsidP="00DD77E6">
      <w:r>
        <w:t xml:space="preserve">Some international agreements, including the Nairobi Convention, act as limits on those freedoms. </w:t>
      </w:r>
      <w:r w:rsidR="00CA1133">
        <w:t xml:space="preserve">The </w:t>
      </w:r>
      <w:r w:rsidR="00DA2553">
        <w:t xml:space="preserve">Nairobi </w:t>
      </w:r>
      <w:r w:rsidR="00DA2553" w:rsidRPr="00C7523F">
        <w:t xml:space="preserve">Convention provides </w:t>
      </w:r>
      <w:r w:rsidR="00942F79" w:rsidRPr="00C7523F">
        <w:t xml:space="preserve">the legal basis for State Parties </w:t>
      </w:r>
      <w:r w:rsidR="00DA2553" w:rsidRPr="00C7523F">
        <w:t xml:space="preserve">to remove, or have removed, wrecks </w:t>
      </w:r>
      <w:r w:rsidR="00942F79" w:rsidRPr="00C7523F">
        <w:t xml:space="preserve">in the EEZ </w:t>
      </w:r>
      <w:r w:rsidR="00DA2553" w:rsidRPr="00C7523F">
        <w:t xml:space="preserve">that have the potential to adversely </w:t>
      </w:r>
      <w:r w:rsidR="00B4531F" w:rsidRPr="00C7523F">
        <w:t xml:space="preserve">affect </w:t>
      </w:r>
      <w:r w:rsidR="00DA2553" w:rsidRPr="00C7523F">
        <w:t>the safety of lives, goods and property at sea, as well as the marine environment</w:t>
      </w:r>
      <w:r w:rsidR="00942F79" w:rsidRPr="00C7523F">
        <w:t xml:space="preserve">. </w:t>
      </w:r>
      <w:r w:rsidR="00EB4B55" w:rsidRPr="00C7523F">
        <w:t xml:space="preserve">The right to freedom of navigation would otherwise prevent a State from taking action against a foreign wreck in the EEZ. </w:t>
      </w:r>
    </w:p>
    <w:p w14:paraId="1AFE0A84" w14:textId="0C704449" w:rsidR="00DD77E6" w:rsidRDefault="00EB4B55" w:rsidP="00DD77E6">
      <w:r w:rsidRPr="00C7523F">
        <w:t xml:space="preserve">The Nairobi Convention </w:t>
      </w:r>
      <w:r w:rsidR="00EE3596" w:rsidRPr="00C7523F">
        <w:t xml:space="preserve">applies </w:t>
      </w:r>
      <w:r w:rsidR="00256D30" w:rsidRPr="00C7523F">
        <w:t>to wrecks</w:t>
      </w:r>
      <w:r w:rsidR="00DD77E6" w:rsidRPr="00C7523F">
        <w:t xml:space="preserve"> originat</w:t>
      </w:r>
      <w:r w:rsidR="00EE3596" w:rsidRPr="00C7523F">
        <w:t>ing</w:t>
      </w:r>
      <w:r w:rsidR="00DD77E6" w:rsidRPr="00C7523F">
        <w:t xml:space="preserve"> from ships, defined broadly to include, in the Australian context, foreign vessels, RAVs, DCVs and recreational vessels. The Nairobi Convention also makes ship owners financially liable, requiring them to take out insurance to cover the costs of wreck removal and provides State</w:t>
      </w:r>
      <w:r w:rsidR="00C3298C" w:rsidRPr="00C7523F">
        <w:t xml:space="preserve"> Parties</w:t>
      </w:r>
      <w:r w:rsidR="00DD77E6" w:rsidRPr="00C7523F">
        <w:t xml:space="preserve"> with a right of direct action against insurers. These provisions can be extended to apply within the territorial sea, providing an alternative framework to any domestic legislation that currently operates.</w:t>
      </w:r>
      <w:r w:rsidR="00DD77E6">
        <w:t xml:space="preserve"> </w:t>
      </w:r>
    </w:p>
    <w:p w14:paraId="29B54095" w14:textId="51ABD8AE" w:rsidR="00CA1133" w:rsidRDefault="00942F79" w:rsidP="00817B82">
      <w:r>
        <w:t xml:space="preserve">The Nairobi Convention came into force in 2015 and currently </w:t>
      </w:r>
      <w:r w:rsidR="001F1831">
        <w:rPr>
          <w:rFonts w:cstheme="minorHAnsi"/>
        </w:rPr>
        <w:t>7</w:t>
      </w:r>
      <w:r w:rsidR="00216D6B">
        <w:rPr>
          <w:rFonts w:cstheme="minorHAnsi"/>
        </w:rPr>
        <w:t>9</w:t>
      </w:r>
      <w:r w:rsidR="00285185">
        <w:rPr>
          <w:rFonts w:cstheme="minorHAnsi"/>
        </w:rPr>
        <w:t>.</w:t>
      </w:r>
      <w:r w:rsidR="00216D6B">
        <w:rPr>
          <w:rFonts w:cstheme="minorHAnsi"/>
        </w:rPr>
        <w:t>52</w:t>
      </w:r>
      <w:r w:rsidRPr="00B703F0">
        <w:rPr>
          <w:rFonts w:cstheme="minorHAnsi"/>
        </w:rPr>
        <w:t xml:space="preserve"> per cent of global shipping tonnage is flagged in countries that are a State Party to the </w:t>
      </w:r>
      <w:r w:rsidRPr="00B703F0">
        <w:t>Nairobi Convention</w:t>
      </w:r>
      <w:r w:rsidRPr="00B703F0">
        <w:rPr>
          <w:rFonts w:cstheme="minorHAnsi"/>
        </w:rPr>
        <w:t xml:space="preserve">, </w:t>
      </w:r>
      <w:r w:rsidR="00817B82">
        <w:rPr>
          <w:rFonts w:cstheme="minorHAnsi"/>
        </w:rPr>
        <w:t xml:space="preserve">which is approximately 89.9 per cent of all ships coming to Australia based on ships that paid the </w:t>
      </w:r>
      <w:r w:rsidR="00817B82" w:rsidRPr="00B703F0">
        <w:t>Protection of the Sea Levy</w:t>
      </w:r>
      <w:r w:rsidR="00817B82">
        <w:t>.</w:t>
      </w:r>
      <w:r w:rsidR="00817B82">
        <w:rPr>
          <w:rStyle w:val="FootnoteReference"/>
        </w:rPr>
        <w:footnoteReference w:id="2"/>
      </w:r>
      <w:r w:rsidRPr="00B703F0">
        <w:t xml:space="preserve"> </w:t>
      </w:r>
      <w:r w:rsidRPr="00B703F0">
        <w:rPr>
          <w:rFonts w:cstheme="minorHAnsi"/>
        </w:rPr>
        <w:t xml:space="preserve">The full list of State Parties can be found in </w:t>
      </w:r>
      <w:r w:rsidRPr="00B703F0">
        <w:rPr>
          <w:rFonts w:cstheme="minorHAnsi"/>
          <w:b/>
          <w:u w:val="single"/>
        </w:rPr>
        <w:t>Appendix</w:t>
      </w:r>
      <w:r w:rsidR="00817B82">
        <w:rPr>
          <w:rFonts w:cstheme="minorHAnsi"/>
          <w:b/>
          <w:u w:val="single"/>
        </w:rPr>
        <w:t> </w:t>
      </w:r>
      <w:r w:rsidRPr="00B703F0">
        <w:rPr>
          <w:rFonts w:cstheme="minorHAnsi"/>
          <w:b/>
          <w:u w:val="single"/>
        </w:rPr>
        <w:t>A</w:t>
      </w:r>
      <w:r w:rsidRPr="00B703F0">
        <w:rPr>
          <w:rFonts w:cstheme="minorHAnsi"/>
        </w:rPr>
        <w:t>.</w:t>
      </w:r>
    </w:p>
    <w:p w14:paraId="7BA0FFF6" w14:textId="2619E4A8" w:rsidR="00CA1133" w:rsidRPr="00942F79" w:rsidRDefault="00714510" w:rsidP="00942F79">
      <w:r>
        <w:t xml:space="preserve">This Regulatory Impact Statement (RIS) assesses options for Australia to address the cost recovery issues outlined above, including accession to the Nairobi Convention. </w:t>
      </w:r>
      <w:r w:rsidR="00942F79">
        <w:t xml:space="preserve">If Australia were to accede to the Nairobi Convention, the Australian Government would have clear </w:t>
      </w:r>
      <w:r>
        <w:t xml:space="preserve">internationally recognised </w:t>
      </w:r>
      <w:r w:rsidR="00942F79">
        <w:t xml:space="preserve">powers allowing it cost recovery </w:t>
      </w:r>
      <w:r w:rsidR="00C57B9C">
        <w:t xml:space="preserve">from </w:t>
      </w:r>
      <w:r w:rsidR="00942F79">
        <w:t>a gre</w:t>
      </w:r>
      <w:r w:rsidR="00B4531F">
        <w:t>ater number of incidents</w:t>
      </w:r>
      <w:r w:rsidR="00814E40">
        <w:t>, should the need arise</w:t>
      </w:r>
      <w:r w:rsidR="00B4531F">
        <w:t>. This</w:t>
      </w:r>
      <w:r w:rsidR="00942F79">
        <w:t xml:space="preserve"> </w:t>
      </w:r>
      <w:r w:rsidR="00942F79" w:rsidRPr="009A77C8">
        <w:t>analysis provide</w:t>
      </w:r>
      <w:r>
        <w:t>s</w:t>
      </w:r>
      <w:r w:rsidR="00942F79" w:rsidRPr="009A77C8">
        <w:t xml:space="preserve"> a sound basis on which to assess the financial and regulatory impacts</w:t>
      </w:r>
      <w:r>
        <w:t>, on key stakeholders and the Government</w:t>
      </w:r>
      <w:r w:rsidR="00942F79" w:rsidRPr="009A77C8">
        <w:t xml:space="preserve"> of </w:t>
      </w:r>
      <w:r w:rsidR="00BD6646">
        <w:t>each</w:t>
      </w:r>
      <w:r w:rsidR="00942F79" w:rsidRPr="009A77C8">
        <w:t xml:space="preserve"> policy option for implementation of the </w:t>
      </w:r>
      <w:r w:rsidR="00825A61">
        <w:t xml:space="preserve">Nairobi </w:t>
      </w:r>
      <w:r w:rsidR="00942F79" w:rsidRPr="009A77C8">
        <w:t>Convention</w:t>
      </w:r>
      <w:r w:rsidR="00BD6646">
        <w:t xml:space="preserve"> or for </w:t>
      </w:r>
      <w:r w:rsidR="00942F79" w:rsidRPr="009A77C8">
        <w:t>non-accession</w:t>
      </w:r>
      <w:r>
        <w:t xml:space="preserve"> alternatives</w:t>
      </w:r>
      <w:r w:rsidR="00942F79" w:rsidRPr="009A77C8">
        <w:t xml:space="preserve">. </w:t>
      </w:r>
    </w:p>
    <w:p w14:paraId="0C42FDBE" w14:textId="730055F3" w:rsidR="00CB620E" w:rsidRDefault="00404CB6" w:rsidP="001F7CB5">
      <w:pPr>
        <w:pStyle w:val="ListNumbered1"/>
        <w:numPr>
          <w:ilvl w:val="0"/>
          <w:numId w:val="0"/>
        </w:numPr>
        <w:ind w:left="284" w:hanging="284"/>
      </w:pPr>
      <w:r>
        <w:t xml:space="preserve">The RIS </w:t>
      </w:r>
      <w:r w:rsidR="00916BAB">
        <w:rPr>
          <w:lang w:val="en-US"/>
        </w:rPr>
        <w:t>considers</w:t>
      </w:r>
      <w:r>
        <w:t xml:space="preserve"> </w:t>
      </w:r>
      <w:r w:rsidR="00362B44">
        <w:rPr>
          <w:lang w:val="en-AU"/>
        </w:rPr>
        <w:t>4</w:t>
      </w:r>
      <w:r>
        <w:t xml:space="preserve"> options: </w:t>
      </w:r>
    </w:p>
    <w:p w14:paraId="66502C62" w14:textId="2CA5A99C" w:rsidR="00404CB6" w:rsidRDefault="00404CB6" w:rsidP="003527A2">
      <w:pPr>
        <w:pStyle w:val="Bullet1"/>
        <w:numPr>
          <w:ilvl w:val="0"/>
          <w:numId w:val="11"/>
        </w:numPr>
      </w:pPr>
      <w:r>
        <w:rPr>
          <w:lang w:val="en-US"/>
        </w:rPr>
        <w:t xml:space="preserve">maintain the status </w:t>
      </w:r>
      <w:r w:rsidRPr="001F7CB5">
        <w:t>quo</w:t>
      </w:r>
      <w:r w:rsidR="00C966AC">
        <w:rPr>
          <w:lang w:val="en-US"/>
        </w:rPr>
        <w:t>.</w:t>
      </w:r>
    </w:p>
    <w:p w14:paraId="0435E9FA" w14:textId="78ED2E31" w:rsidR="00942F79" w:rsidRPr="00B703F0" w:rsidRDefault="00942F79" w:rsidP="00A87D16">
      <w:pPr>
        <w:pStyle w:val="Bullet1"/>
        <w:numPr>
          <w:ilvl w:val="0"/>
          <w:numId w:val="11"/>
        </w:numPr>
      </w:pPr>
      <w:r w:rsidRPr="00B703F0">
        <w:t xml:space="preserve">amend the </w:t>
      </w:r>
      <w:r w:rsidR="007574D5" w:rsidRPr="00454441">
        <w:rPr>
          <w:i/>
        </w:rPr>
        <w:t>Navigation Act</w:t>
      </w:r>
      <w:r w:rsidR="007574D5" w:rsidRPr="00454441">
        <w:rPr>
          <w:i/>
          <w:lang w:val="en-US"/>
        </w:rPr>
        <w:t xml:space="preserve"> 2012</w:t>
      </w:r>
      <w:r w:rsidR="007574D5">
        <w:rPr>
          <w:lang w:val="en-US"/>
        </w:rPr>
        <w:t xml:space="preserve"> (Navigation Act) </w:t>
      </w:r>
      <w:r w:rsidRPr="00B703F0">
        <w:t xml:space="preserve">consistent with the Nairobi Convention </w:t>
      </w:r>
      <w:r w:rsidR="00916BAB">
        <w:rPr>
          <w:lang w:val="en-US"/>
        </w:rPr>
        <w:t xml:space="preserve">provisions </w:t>
      </w:r>
      <w:r w:rsidRPr="00B703F0">
        <w:t xml:space="preserve">but without accession. </w:t>
      </w:r>
    </w:p>
    <w:p w14:paraId="235DBD3E" w14:textId="7BB3B8F4" w:rsidR="00942F79" w:rsidRPr="00B703F0" w:rsidRDefault="00942F79" w:rsidP="00A87D16">
      <w:pPr>
        <w:pStyle w:val="Bullet1"/>
        <w:numPr>
          <w:ilvl w:val="0"/>
          <w:numId w:val="11"/>
        </w:numPr>
      </w:pPr>
      <w:r w:rsidRPr="00B703F0">
        <w:lastRenderedPageBreak/>
        <w:t>Australia accedes to the Nairobi Convention</w:t>
      </w:r>
      <w:r w:rsidR="0085070B">
        <w:rPr>
          <w:lang w:val="en-AU"/>
        </w:rPr>
        <w:t xml:space="preserve"> and applies it to all ships in the EEZ.</w:t>
      </w:r>
    </w:p>
    <w:p w14:paraId="21C22738" w14:textId="75EC97CD" w:rsidR="00942F79" w:rsidRPr="00B703F0" w:rsidRDefault="00942F79" w:rsidP="00A87D16">
      <w:pPr>
        <w:pStyle w:val="Bullet1"/>
        <w:numPr>
          <w:ilvl w:val="0"/>
          <w:numId w:val="11"/>
        </w:numPr>
      </w:pPr>
      <w:r w:rsidRPr="00B703F0">
        <w:t xml:space="preserve">Australia accedes to the Nairobi Convention and applies it </w:t>
      </w:r>
      <w:r w:rsidR="0085070B">
        <w:rPr>
          <w:lang w:val="en-AU"/>
        </w:rPr>
        <w:t xml:space="preserve">to all ships in the EEZ </w:t>
      </w:r>
      <w:r w:rsidR="0085070B" w:rsidRPr="00231EDE">
        <w:rPr>
          <w:u w:val="single"/>
          <w:lang w:val="en-AU"/>
        </w:rPr>
        <w:t>and</w:t>
      </w:r>
      <w:r w:rsidR="0085070B">
        <w:rPr>
          <w:lang w:val="en-AU"/>
        </w:rPr>
        <w:t xml:space="preserve"> territorial sea</w:t>
      </w:r>
      <w:r w:rsidRPr="00B703F0">
        <w:t xml:space="preserve">. </w:t>
      </w:r>
    </w:p>
    <w:p w14:paraId="1D743206" w14:textId="2037D0E9" w:rsidR="00C67AAE" w:rsidRDefault="00B4531F" w:rsidP="00395128">
      <w:r w:rsidRPr="00F2158F">
        <w:t>Overall, this</w:t>
      </w:r>
      <w:r w:rsidR="00E96909" w:rsidRPr="00F2158F">
        <w:t xml:space="preserve"> </w:t>
      </w:r>
      <w:r w:rsidR="00EC722E" w:rsidRPr="00F2158F">
        <w:t xml:space="preserve">RIS </w:t>
      </w:r>
      <w:r w:rsidR="00E96909" w:rsidRPr="00F2158F">
        <w:t xml:space="preserve">found </w:t>
      </w:r>
      <w:r w:rsidR="00C31EC2" w:rsidRPr="00F2158F">
        <w:t>O</w:t>
      </w:r>
      <w:r w:rsidR="00E96909" w:rsidRPr="00F2158F">
        <w:t xml:space="preserve">ption </w:t>
      </w:r>
      <w:r w:rsidR="00C31EC2" w:rsidRPr="00F2158F">
        <w:t>3</w:t>
      </w:r>
      <w:r w:rsidR="001F35D3" w:rsidRPr="00F2158F">
        <w:t xml:space="preserve"> </w:t>
      </w:r>
      <w:r w:rsidR="00C025E8" w:rsidRPr="00F2158F">
        <w:t>(</w:t>
      </w:r>
      <w:r w:rsidR="00413FA9" w:rsidRPr="00F2158F">
        <w:t>Australia acceding to the Nairobi Convention and applying it</w:t>
      </w:r>
      <w:r w:rsidR="001F35D3" w:rsidRPr="00F2158F">
        <w:t xml:space="preserve"> to all ships</w:t>
      </w:r>
      <w:r w:rsidR="00413FA9" w:rsidRPr="00F2158F">
        <w:t xml:space="preserve"> in the EEZ</w:t>
      </w:r>
      <w:r w:rsidR="00C025E8" w:rsidRPr="00F2158F">
        <w:t>)</w:t>
      </w:r>
      <w:r w:rsidR="00413FA9" w:rsidRPr="00F2158F">
        <w:t xml:space="preserve"> would provide </w:t>
      </w:r>
      <w:r w:rsidR="00C025E8" w:rsidRPr="00F2158F">
        <w:t>the greatest</w:t>
      </w:r>
      <w:r w:rsidR="00413FA9" w:rsidRPr="00F2158F">
        <w:t xml:space="preserve"> net benefit </w:t>
      </w:r>
      <w:r w:rsidR="00E24660" w:rsidRPr="00F2158F">
        <w:t xml:space="preserve">when </w:t>
      </w:r>
      <w:r w:rsidR="00413FA9" w:rsidRPr="00F2158F">
        <w:t xml:space="preserve">compared to the other options. </w:t>
      </w:r>
      <w:r w:rsidR="004B7ECA" w:rsidRPr="00F2158F">
        <w:t xml:space="preserve">This option </w:t>
      </w:r>
      <w:r w:rsidR="00C966AC">
        <w:t>i</w:t>
      </w:r>
      <w:r w:rsidR="00C966AC" w:rsidRPr="00F2158F">
        <w:t xml:space="preserve">s </w:t>
      </w:r>
      <w:r w:rsidR="00C67AAE" w:rsidRPr="00F2158F">
        <w:t>found to:</w:t>
      </w:r>
    </w:p>
    <w:p w14:paraId="7E6DB124" w14:textId="4446EA37" w:rsidR="004B7ECA" w:rsidRDefault="00C966AC" w:rsidP="00AC6E21">
      <w:pPr>
        <w:pStyle w:val="Bullet1"/>
      </w:pPr>
      <w:r>
        <w:rPr>
          <w:lang w:val="en-US"/>
        </w:rPr>
        <w:t xml:space="preserve">have </w:t>
      </w:r>
      <w:r w:rsidR="004B7ECA">
        <w:t xml:space="preserve">high </w:t>
      </w:r>
      <w:r w:rsidR="004B7ECA" w:rsidRPr="00AC6E21">
        <w:rPr>
          <w:lang w:val="en-AU"/>
        </w:rPr>
        <w:t>benefit</w:t>
      </w:r>
      <w:r w:rsidR="00C67AAE" w:rsidRPr="00AC6E21">
        <w:rPr>
          <w:lang w:val="en-AU"/>
        </w:rPr>
        <w:t>s</w:t>
      </w:r>
      <w:r w:rsidR="004B7ECA">
        <w:t xml:space="preserve"> for Australia, including broad</w:t>
      </w:r>
      <w:r w:rsidR="004B7ECA" w:rsidRPr="001D7737">
        <w:t xml:space="preserve"> economic benefits in all circumstances as it avoids disputes over responsibility for wreck incidents and so lowers legal and financial security-related costs.</w:t>
      </w:r>
    </w:p>
    <w:p w14:paraId="3879F748" w14:textId="38E147E7" w:rsidR="00413FA9" w:rsidRDefault="00413FA9" w:rsidP="00AC6E21">
      <w:pPr>
        <w:pStyle w:val="Bullet1"/>
      </w:pPr>
      <w:r w:rsidRPr="00C025E8">
        <w:t>enhance</w:t>
      </w:r>
      <w:r w:rsidR="00E24660" w:rsidRPr="00C025E8">
        <w:t xml:space="preserve"> and simplif</w:t>
      </w:r>
      <w:r w:rsidR="00C67AAE">
        <w:t>y</w:t>
      </w:r>
      <w:r w:rsidRPr="00C025E8">
        <w:t xml:space="preserve"> the ability for the Australian Government to recover wreck-</w:t>
      </w:r>
      <w:r w:rsidR="00E24660" w:rsidRPr="00C025E8">
        <w:t xml:space="preserve">related costs, while ensuring we adopt international best practice and have flexibility to apply to the framework to emerging industries. </w:t>
      </w:r>
    </w:p>
    <w:p w14:paraId="0994AC3E" w14:textId="185639A9" w:rsidR="00916BAB" w:rsidRDefault="00C966AC" w:rsidP="00AC6E21">
      <w:pPr>
        <w:pStyle w:val="Bullet1"/>
      </w:pPr>
      <w:r>
        <w:rPr>
          <w:lang w:val="en-US"/>
        </w:rPr>
        <w:t>p</w:t>
      </w:r>
      <w:r w:rsidR="00916BAB">
        <w:rPr>
          <w:lang w:val="en-US"/>
        </w:rPr>
        <w:t>rovides certainty and greater clarity on obligations in the event of a wreck in Australian waters for ship owners that is consistent with and recognised internationally.</w:t>
      </w:r>
    </w:p>
    <w:p w14:paraId="3581BFE4" w14:textId="77777777" w:rsidR="00AC6E21" w:rsidRPr="0029427D" w:rsidRDefault="00AC6E21" w:rsidP="00AC6E21">
      <w:pPr>
        <w:pStyle w:val="Bullet1"/>
        <w:rPr>
          <w:lang w:val="en-AU"/>
        </w:rPr>
      </w:pPr>
      <w:r w:rsidRPr="0029427D">
        <w:rPr>
          <w:lang w:val="en-AU"/>
        </w:rPr>
        <w:t xml:space="preserve">provide the Australian Government with </w:t>
      </w:r>
      <w:r>
        <w:rPr>
          <w:lang w:val="en-AU"/>
        </w:rPr>
        <w:t>expanded criteria against which</w:t>
      </w:r>
      <w:r w:rsidRPr="0029427D">
        <w:rPr>
          <w:lang w:val="en-AU"/>
        </w:rPr>
        <w:t xml:space="preserve"> to determine a wreck has created a ‘hazard’ and </w:t>
      </w:r>
      <w:r>
        <w:rPr>
          <w:lang w:val="en-AU"/>
        </w:rPr>
        <w:t xml:space="preserve">to require </w:t>
      </w:r>
      <w:r w:rsidRPr="0029427D">
        <w:rPr>
          <w:lang w:val="en-AU"/>
        </w:rPr>
        <w:t>remov</w:t>
      </w:r>
      <w:r>
        <w:rPr>
          <w:lang w:val="en-AU"/>
        </w:rPr>
        <w:t>al</w:t>
      </w:r>
      <w:r w:rsidRPr="0029427D">
        <w:rPr>
          <w:lang w:val="en-AU"/>
        </w:rPr>
        <w:t xml:space="preserve"> at the ship owner’s cost, including economic, environmental and health impacts.</w:t>
      </w:r>
    </w:p>
    <w:p w14:paraId="4DAB5802" w14:textId="77777777" w:rsidR="00AC6E21" w:rsidRPr="0029427D" w:rsidRDefault="00AC6E21" w:rsidP="00AC6E21">
      <w:pPr>
        <w:pStyle w:val="Bullet1"/>
        <w:rPr>
          <w:lang w:val="en-AU"/>
        </w:rPr>
      </w:pPr>
      <w:r w:rsidRPr="0029427D">
        <w:rPr>
          <w:lang w:val="en-AU"/>
        </w:rPr>
        <w:t>broaden the types of actions for which the Australian Government may seek wreck</w:t>
      </w:r>
      <w:r w:rsidRPr="0029427D">
        <w:rPr>
          <w:lang w:val="en-AU"/>
        </w:rPr>
        <w:noBreakHyphen/>
        <w:t>related costs from the ship owner to include any form of prevention, mitigation or elimination of the hazard created by the wreck.</w:t>
      </w:r>
    </w:p>
    <w:p w14:paraId="415C17D3" w14:textId="14D3DF36" w:rsidR="00AC6E21" w:rsidRDefault="00AC6E21" w:rsidP="00AC6E21">
      <w:pPr>
        <w:pStyle w:val="Bullet1"/>
        <w:rPr>
          <w:lang w:val="en-AU"/>
        </w:rPr>
      </w:pPr>
      <w:r w:rsidRPr="0029427D">
        <w:rPr>
          <w:lang w:val="en-AU"/>
        </w:rPr>
        <w:t xml:space="preserve">capture DCV and recreational vessel wrecks in the EEZ that would otherwise have fallen through a legislative gap. </w:t>
      </w:r>
    </w:p>
    <w:p w14:paraId="5BFD5F53" w14:textId="77777777" w:rsidR="00C31E23" w:rsidRDefault="00C31E23" w:rsidP="00C31E23">
      <w:r>
        <w:t xml:space="preserve">Option 4 did offer slightly higher economic benefits, however, Option 3 is considered the better option as: </w:t>
      </w:r>
    </w:p>
    <w:p w14:paraId="223EE139" w14:textId="6C332C4F" w:rsidR="00C31E23" w:rsidRDefault="00C31E23" w:rsidP="00C31E23">
      <w:pPr>
        <w:pStyle w:val="Bullet1"/>
      </w:pPr>
      <w:r>
        <w:t xml:space="preserve">Option 4 would require application of the Nairobi Convention in the territorial sea and coastal waters, creating overlapping Commonwealth and state/territory wreck removal laws that would need to be resolved through complex and lengthy negotiations. </w:t>
      </w:r>
    </w:p>
    <w:p w14:paraId="61531B07" w14:textId="0FD2BD35" w:rsidR="00C31E23" w:rsidRDefault="00C31E23" w:rsidP="00C31E23">
      <w:pPr>
        <w:pStyle w:val="Bullet1"/>
      </w:pPr>
      <w:r>
        <w:t>Option 3 has minimal impact on DCVs and recreational vessels, which will remain largely regulated by state and territory government unless in the EEZ.</w:t>
      </w:r>
    </w:p>
    <w:p w14:paraId="5D6F6EC8" w14:textId="0185D73D" w:rsidR="00C31E23" w:rsidRPr="00231EDE" w:rsidRDefault="00C31E23" w:rsidP="00231EDE">
      <w:pPr>
        <w:pStyle w:val="Bullet1"/>
        <w:numPr>
          <w:ilvl w:val="0"/>
          <w:numId w:val="0"/>
        </w:numPr>
        <w:rPr>
          <w:lang w:val="en-US"/>
        </w:rPr>
      </w:pPr>
      <w:r>
        <w:t xml:space="preserve">RAVs and foreign vessels can still be subject to a consistent wreck removal regulation wherever they are located in Australia by combining Option 3 with </w:t>
      </w:r>
      <w:r>
        <w:rPr>
          <w:lang w:val="en-AU"/>
        </w:rPr>
        <w:t xml:space="preserve">additional </w:t>
      </w:r>
      <w:r>
        <w:t>changes to the Navigation Act.</w:t>
      </w:r>
      <w:r w:rsidR="00916BAB">
        <w:rPr>
          <w:lang w:val="en-US"/>
        </w:rPr>
        <w:t xml:space="preserve"> </w:t>
      </w:r>
      <w:r w:rsidR="0003227C">
        <w:rPr>
          <w:lang w:val="en-US"/>
        </w:rPr>
        <w:t>For the benefit of providing a consistent regulatory framework whilst in Australian waters for ships on international voyages, t</w:t>
      </w:r>
      <w:r w:rsidR="00916BAB">
        <w:rPr>
          <w:lang w:val="en-US"/>
        </w:rPr>
        <w:t xml:space="preserve">he Department </w:t>
      </w:r>
      <w:r w:rsidR="0003227C">
        <w:rPr>
          <w:lang w:val="en-US"/>
        </w:rPr>
        <w:t xml:space="preserve">proposes that implementation of Option 3 is accompanied by reflection of the relevant Nairobi Convention provisions in the Navigation Act. </w:t>
      </w:r>
    </w:p>
    <w:p w14:paraId="31E9262B" w14:textId="77777777" w:rsidR="00E45A58" w:rsidRPr="00C025E8" w:rsidRDefault="00E45A58" w:rsidP="00E45A58">
      <w:pPr>
        <w:pStyle w:val="Bullet1"/>
        <w:numPr>
          <w:ilvl w:val="0"/>
          <w:numId w:val="0"/>
        </w:numPr>
      </w:pPr>
      <w:bookmarkStart w:id="5" w:name="_Toc96354454"/>
      <w:r w:rsidRPr="00C025E8">
        <w:t>The Department consulted with stakeholders on the potential options for accession to the Nairobi Convention</w:t>
      </w:r>
      <w:r>
        <w:t>,</w:t>
      </w:r>
      <w:r w:rsidRPr="00C025E8">
        <w:t xml:space="preserve"> to understand the costs and benefits of those options</w:t>
      </w:r>
      <w:r>
        <w:t>,</w:t>
      </w:r>
      <w:r w:rsidRPr="00C025E8">
        <w:t xml:space="preserve"> and on the draft RIS and </w:t>
      </w:r>
      <w:r>
        <w:t>recommended option</w:t>
      </w:r>
      <w:r w:rsidRPr="00C025E8">
        <w:t>. The Department sought written submissions as well as meeting with stakeholders who had questions or concerns. Stakeholders generally favoured acceding to the Nairobi Convention</w:t>
      </w:r>
      <w:r>
        <w:t>.</w:t>
      </w:r>
    </w:p>
    <w:p w14:paraId="08CD3D1E" w14:textId="68BDFC50" w:rsidR="00927A4F" w:rsidRPr="00B703F0" w:rsidRDefault="000107AE" w:rsidP="00927A4F">
      <w:pPr>
        <w:pStyle w:val="Heading1Numbered"/>
      </w:pPr>
      <w:bookmarkStart w:id="6" w:name="_Toc105060768"/>
      <w:r w:rsidRPr="00B703F0">
        <w:t>Introduction</w:t>
      </w:r>
      <w:bookmarkEnd w:id="5"/>
      <w:bookmarkEnd w:id="6"/>
    </w:p>
    <w:p w14:paraId="07D96CBB" w14:textId="541CB52B" w:rsidR="00EC4D5E" w:rsidRDefault="00061893" w:rsidP="00EC4D5E">
      <w:r w:rsidRPr="00BE0CDC">
        <w:t>Australia depends on access to competitive and effective shipping, as over 9</w:t>
      </w:r>
      <w:r w:rsidR="005424CE">
        <w:t>9</w:t>
      </w:r>
      <w:r w:rsidRPr="00BE0CDC">
        <w:t xml:space="preserve"> per cent (by </w:t>
      </w:r>
      <w:r w:rsidR="000A3372">
        <w:t>weight</w:t>
      </w:r>
      <w:r w:rsidRPr="00BE0CDC">
        <w:t>) of our international trade is transported by sea.</w:t>
      </w:r>
      <w:r w:rsidRPr="00BE0CDC">
        <w:rPr>
          <w:rStyle w:val="FootnoteReference"/>
        </w:rPr>
        <w:footnoteReference w:id="3"/>
      </w:r>
      <w:r w:rsidRPr="00BE0CDC">
        <w:t xml:space="preserve"> </w:t>
      </w:r>
      <w:r w:rsidR="00EC4D5E">
        <w:rPr>
          <w:rFonts w:ascii="Calibri" w:hAnsi="Calibri" w:cs="Calibri"/>
        </w:rPr>
        <w:t>T</w:t>
      </w:r>
      <w:r w:rsidR="00EC4D5E" w:rsidRPr="00B703F0">
        <w:t xml:space="preserve">he dollar value of Australia’s international sea freight </w:t>
      </w:r>
      <w:r w:rsidR="00EC4D5E">
        <w:t>continues to</w:t>
      </w:r>
      <w:r w:rsidR="00D970A5">
        <w:t xml:space="preserve"> grow</w:t>
      </w:r>
      <w:r w:rsidR="000A3372" w:rsidRPr="000A3372">
        <w:t xml:space="preserve"> </w:t>
      </w:r>
      <w:r w:rsidR="000A3372">
        <w:t>steadily</w:t>
      </w:r>
      <w:r w:rsidR="00EC4D5E" w:rsidRPr="00B703F0">
        <w:t xml:space="preserve">. </w:t>
      </w:r>
      <w:r w:rsidR="00EC4D5E">
        <w:t>F</w:t>
      </w:r>
      <w:r w:rsidR="00EC4D5E" w:rsidRPr="00B703F0">
        <w:t xml:space="preserve">igure </w:t>
      </w:r>
      <w:r w:rsidR="00EC4D5E">
        <w:t>1</w:t>
      </w:r>
      <w:r w:rsidR="00EC4D5E" w:rsidRPr="00B703F0">
        <w:t xml:space="preserve"> </w:t>
      </w:r>
      <w:r w:rsidR="00EC4D5E">
        <w:t>illustrates</w:t>
      </w:r>
      <w:r w:rsidR="00EC4D5E" w:rsidRPr="00B703F0">
        <w:t xml:space="preserve"> </w:t>
      </w:r>
      <w:r w:rsidR="00D970A5">
        <w:t xml:space="preserve">how </w:t>
      </w:r>
      <w:r w:rsidR="00EC4D5E" w:rsidRPr="00B703F0">
        <w:t xml:space="preserve">the value of </w:t>
      </w:r>
      <w:r w:rsidR="00E007DF">
        <w:t xml:space="preserve">sea freight </w:t>
      </w:r>
      <w:r w:rsidR="00EC4D5E" w:rsidRPr="00B703F0">
        <w:t>exports has grown from $190.9 billion dollars from 20</w:t>
      </w:r>
      <w:r w:rsidR="002E398F">
        <w:t>07</w:t>
      </w:r>
      <w:r w:rsidR="00C025E8">
        <w:t>-</w:t>
      </w:r>
      <w:r w:rsidR="002E398F">
        <w:t>20</w:t>
      </w:r>
      <w:r w:rsidR="00214998">
        <w:t>08 to $252.1 billion in 2016</w:t>
      </w:r>
      <w:r w:rsidR="00C025E8">
        <w:noBreakHyphen/>
      </w:r>
      <w:r w:rsidR="002E398F">
        <w:t>20</w:t>
      </w:r>
      <w:r w:rsidR="00EC4D5E" w:rsidRPr="00B703F0">
        <w:t>17</w:t>
      </w:r>
      <w:r w:rsidR="00EC4D5E" w:rsidRPr="00F2158F">
        <w:t>. The value of imports has also increased, valued at $191.0 billion in 20</w:t>
      </w:r>
      <w:r w:rsidR="002E398F" w:rsidRPr="00F2158F">
        <w:t>07</w:t>
      </w:r>
      <w:r w:rsidR="00C025E8" w:rsidRPr="00F2158F">
        <w:t>-</w:t>
      </w:r>
      <w:r w:rsidR="002E398F" w:rsidRPr="00F2158F">
        <w:t>20</w:t>
      </w:r>
      <w:r w:rsidR="00214998" w:rsidRPr="00F2158F">
        <w:t>08 to $193.1 billion in 2016</w:t>
      </w:r>
      <w:r w:rsidR="00C025E8" w:rsidRPr="00F2158F">
        <w:noBreakHyphen/>
      </w:r>
      <w:r w:rsidR="002E398F" w:rsidRPr="00F2158F">
        <w:t>20</w:t>
      </w:r>
      <w:r w:rsidR="00EC4D5E" w:rsidRPr="00F2158F">
        <w:t>17.</w:t>
      </w:r>
      <w:r w:rsidR="00EC4D5E" w:rsidRPr="00F2158F">
        <w:rPr>
          <w:rStyle w:val="FootnoteReference"/>
        </w:rPr>
        <w:footnoteReference w:id="4"/>
      </w:r>
      <w:r w:rsidR="00EC4D5E" w:rsidRPr="00F2158F">
        <w:t xml:space="preserve"> </w:t>
      </w:r>
      <w:r w:rsidR="007E7737" w:rsidRPr="00F2158F">
        <w:t>B</w:t>
      </w:r>
      <w:r w:rsidR="00E007DF" w:rsidRPr="00F2158F">
        <w:t>y comparison</w:t>
      </w:r>
      <w:r w:rsidR="00EC4D5E" w:rsidRPr="00F2158F">
        <w:t>, Australia’s total exports in 2008 were worth $244.1 billion</w:t>
      </w:r>
      <w:r w:rsidR="002E398F" w:rsidRPr="00F2158F">
        <w:t>, increasing in value to $300.5 </w:t>
      </w:r>
      <w:r w:rsidR="00EC4D5E" w:rsidRPr="00F2158F">
        <w:t>billion in 2017. Total imports in 2008 were worth $261.9 billion and rose to $298.3 billion in 2017.</w:t>
      </w:r>
      <w:r w:rsidR="00EC4D5E" w:rsidRPr="00F2158F">
        <w:rPr>
          <w:rStyle w:val="FootnoteReference"/>
        </w:rPr>
        <w:t xml:space="preserve"> </w:t>
      </w:r>
      <w:r w:rsidR="00EC4D5E" w:rsidRPr="00F2158F">
        <w:rPr>
          <w:rStyle w:val="FootnoteReference"/>
        </w:rPr>
        <w:footnoteReference w:id="5"/>
      </w:r>
    </w:p>
    <w:p w14:paraId="0578F100" w14:textId="3AA28CB4" w:rsidR="00EC4D5E" w:rsidRPr="00B703F0" w:rsidRDefault="00EC4D5E" w:rsidP="00EC4D5E">
      <w:pPr>
        <w:keepNext/>
        <w:jc w:val="center"/>
      </w:pPr>
      <w:r w:rsidRPr="00B703F0">
        <w:rPr>
          <w:noProof/>
          <w:lang w:eastAsia="en-AU"/>
        </w:rPr>
        <w:lastRenderedPageBreak/>
        <w:drawing>
          <wp:inline distT="0" distB="0" distL="0" distR="0" wp14:anchorId="64B61BCF" wp14:editId="42214C7F">
            <wp:extent cx="5955665" cy="2371061"/>
            <wp:effectExtent l="0" t="0" r="6985" b="1079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39B37BD" w14:textId="3B925142" w:rsidR="00EC4D5E" w:rsidRPr="00B703F0" w:rsidRDefault="00EC4D5E" w:rsidP="00E45A58">
      <w:pPr>
        <w:pStyle w:val="Caption"/>
        <w:jc w:val="center"/>
      </w:pPr>
      <w:bookmarkStart w:id="7" w:name="_Toc96343136"/>
      <w:bookmarkStart w:id="8" w:name="_Toc105060755"/>
      <w:r w:rsidRPr="00B703F0">
        <w:t xml:space="preserve">Figure </w:t>
      </w:r>
      <w:r w:rsidR="006A20A6">
        <w:rPr>
          <w:noProof/>
        </w:rPr>
        <w:t>1</w:t>
      </w:r>
      <w:r w:rsidRPr="00E04079">
        <w:t xml:space="preserve">: Dollar </w:t>
      </w:r>
      <w:r w:rsidR="00E007DF">
        <w:t>v</w:t>
      </w:r>
      <w:r w:rsidRPr="00E04079">
        <w:t xml:space="preserve">alue of </w:t>
      </w:r>
      <w:r w:rsidR="00E007DF">
        <w:t>s</w:t>
      </w:r>
      <w:r w:rsidRPr="00E04079">
        <w:t xml:space="preserve">ea </w:t>
      </w:r>
      <w:r w:rsidR="00E007DF">
        <w:t>c</w:t>
      </w:r>
      <w:r w:rsidRPr="00E04079">
        <w:t>argo</w:t>
      </w:r>
      <w:r w:rsidR="0094111C">
        <w:rPr>
          <w:rStyle w:val="FootnoteReference"/>
        </w:rPr>
        <w:footnoteReference w:id="6"/>
      </w:r>
      <w:bookmarkEnd w:id="7"/>
      <w:bookmarkEnd w:id="8"/>
    </w:p>
    <w:p w14:paraId="0957F5BF" w14:textId="176CB1F2" w:rsidR="009F2069" w:rsidRDefault="00643DEB" w:rsidP="009F2069">
      <w:pPr>
        <w:rPr>
          <w:rFonts w:ascii="GillSans" w:eastAsia="Times New Roman" w:hAnsi="GillSans" w:cs="GillSans"/>
          <w:color w:val="414042"/>
          <w:kern w:val="0"/>
          <w:sz w:val="21"/>
          <w:szCs w:val="24"/>
        </w:rPr>
      </w:pPr>
      <w:r>
        <w:t>Australia</w:t>
      </w:r>
      <w:r w:rsidR="00E029C5" w:rsidRPr="00176F96">
        <w:t xml:space="preserve"> </w:t>
      </w:r>
      <w:r w:rsidR="005F0E54">
        <w:rPr>
          <w:color w:val="auto"/>
        </w:rPr>
        <w:t>is</w:t>
      </w:r>
      <w:r w:rsidR="00E029C5" w:rsidRPr="00176F96">
        <w:rPr>
          <w:color w:val="auto"/>
        </w:rPr>
        <w:t xml:space="preserve"> the fifth largest user</w:t>
      </w:r>
      <w:r w:rsidR="00F60D89">
        <w:rPr>
          <w:color w:val="auto"/>
        </w:rPr>
        <w:t xml:space="preserve"> </w:t>
      </w:r>
      <w:r w:rsidR="007042E4">
        <w:rPr>
          <w:color w:val="auto"/>
        </w:rPr>
        <w:t>of shipping services</w:t>
      </w:r>
      <w:r w:rsidR="00D50CDE">
        <w:rPr>
          <w:color w:val="auto"/>
        </w:rPr>
        <w:t>,</w:t>
      </w:r>
      <w:r w:rsidR="004B5B4B">
        <w:rPr>
          <w:rStyle w:val="FootnoteReference"/>
          <w:color w:val="auto"/>
        </w:rPr>
        <w:footnoteReference w:id="7"/>
      </w:r>
      <w:r w:rsidR="007042E4">
        <w:rPr>
          <w:color w:val="auto"/>
        </w:rPr>
        <w:t xml:space="preserve"> </w:t>
      </w:r>
      <w:r w:rsidR="005F0E54">
        <w:rPr>
          <w:color w:val="auto"/>
        </w:rPr>
        <w:t xml:space="preserve">receiving </w:t>
      </w:r>
      <w:r w:rsidR="0000762C">
        <w:rPr>
          <w:color w:val="auto"/>
        </w:rPr>
        <w:t xml:space="preserve">over </w:t>
      </w:r>
      <w:r w:rsidR="00D50CDE">
        <w:rPr>
          <w:color w:val="auto"/>
        </w:rPr>
        <w:t>32,000 port calls</w:t>
      </w:r>
      <w:r w:rsidR="00214998">
        <w:rPr>
          <w:color w:val="auto"/>
        </w:rPr>
        <w:t xml:space="preserve"> in 2016</w:t>
      </w:r>
      <w:r w:rsidR="00C025E8">
        <w:rPr>
          <w:color w:val="auto"/>
        </w:rPr>
        <w:t>-</w:t>
      </w:r>
      <w:r w:rsidR="002E398F">
        <w:rPr>
          <w:color w:val="auto"/>
        </w:rPr>
        <w:t>20</w:t>
      </w:r>
      <w:r w:rsidR="006A2629">
        <w:rPr>
          <w:color w:val="auto"/>
        </w:rPr>
        <w:t>17</w:t>
      </w:r>
      <w:r w:rsidR="00A46623">
        <w:rPr>
          <w:color w:val="auto"/>
        </w:rPr>
        <w:t>,</w:t>
      </w:r>
      <w:r w:rsidR="006A2629">
        <w:rPr>
          <w:color w:val="auto"/>
        </w:rPr>
        <w:t xml:space="preserve"> </w:t>
      </w:r>
      <w:r w:rsidR="00A46623">
        <w:rPr>
          <w:color w:val="auto"/>
        </w:rPr>
        <w:t xml:space="preserve">with ports </w:t>
      </w:r>
      <w:r w:rsidR="00A46623" w:rsidRPr="00A81DF1">
        <w:rPr>
          <w:color w:val="auto"/>
        </w:rPr>
        <w:t xml:space="preserve">handling </w:t>
      </w:r>
      <w:r w:rsidR="00E029C5" w:rsidRPr="00A81DF1">
        <w:rPr>
          <w:color w:val="auto"/>
        </w:rPr>
        <w:t xml:space="preserve">over 1.6 billion tonnes of cargo on an annual basis. </w:t>
      </w:r>
      <w:r w:rsidR="009F2069" w:rsidRPr="00B703F0">
        <w:rPr>
          <w:color w:val="auto"/>
        </w:rPr>
        <w:t xml:space="preserve">As illustrated in Figure </w:t>
      </w:r>
      <w:r w:rsidR="001774CB">
        <w:rPr>
          <w:color w:val="auto"/>
        </w:rPr>
        <w:t>2</w:t>
      </w:r>
      <w:r w:rsidR="009F2069" w:rsidRPr="00B703F0">
        <w:rPr>
          <w:color w:val="auto"/>
        </w:rPr>
        <w:t>, 5,845 uniquely identified cargo ships made a total of 32</w:t>
      </w:r>
      <w:r w:rsidR="009F2069">
        <w:rPr>
          <w:color w:val="auto"/>
        </w:rPr>
        <w:t>,</w:t>
      </w:r>
      <w:r w:rsidR="009F2069" w:rsidRPr="00B703F0">
        <w:rPr>
          <w:color w:val="auto"/>
        </w:rPr>
        <w:t>801 calls at Australian ports</w:t>
      </w:r>
      <w:r w:rsidR="009F2069">
        <w:rPr>
          <w:color w:val="auto"/>
        </w:rPr>
        <w:t xml:space="preserve"> </w:t>
      </w:r>
      <w:r w:rsidR="00214998">
        <w:rPr>
          <w:color w:val="auto"/>
        </w:rPr>
        <w:t>from 2016</w:t>
      </w:r>
      <w:r w:rsidR="00C025E8">
        <w:rPr>
          <w:color w:val="auto"/>
        </w:rPr>
        <w:t>-</w:t>
      </w:r>
      <w:r w:rsidR="00697477" w:rsidRPr="00B703F0">
        <w:rPr>
          <w:color w:val="auto"/>
        </w:rPr>
        <w:t xml:space="preserve">2017 </w:t>
      </w:r>
      <w:r w:rsidR="009F2069">
        <w:rPr>
          <w:color w:val="auto"/>
        </w:rPr>
        <w:t>and</w:t>
      </w:r>
      <w:r w:rsidR="000338FE">
        <w:rPr>
          <w:color w:val="auto"/>
        </w:rPr>
        <w:t>,</w:t>
      </w:r>
      <w:r w:rsidR="009F2069">
        <w:rPr>
          <w:color w:val="auto"/>
        </w:rPr>
        <w:t xml:space="preserve"> </w:t>
      </w:r>
      <w:r w:rsidR="000338FE">
        <w:rPr>
          <w:color w:val="auto"/>
        </w:rPr>
        <w:t xml:space="preserve">due to the small size of Australia’s fleet, </w:t>
      </w:r>
      <w:r w:rsidR="009F2069" w:rsidRPr="00B703F0">
        <w:rPr>
          <w:color w:val="auto"/>
        </w:rPr>
        <w:t>5,743</w:t>
      </w:r>
      <w:r w:rsidR="00C10705">
        <w:rPr>
          <w:color w:val="auto"/>
        </w:rPr>
        <w:t> </w:t>
      </w:r>
      <w:r w:rsidR="009F2069">
        <w:rPr>
          <w:color w:val="auto"/>
        </w:rPr>
        <w:t xml:space="preserve">were </w:t>
      </w:r>
      <w:r w:rsidR="00271F4E">
        <w:rPr>
          <w:color w:val="auto"/>
        </w:rPr>
        <w:t>ships</w:t>
      </w:r>
      <w:r w:rsidR="009F2069">
        <w:rPr>
          <w:color w:val="auto"/>
        </w:rPr>
        <w:t xml:space="preserve"> coming from overseas</w:t>
      </w:r>
      <w:r w:rsidR="00E71399">
        <w:rPr>
          <w:color w:val="auto"/>
        </w:rPr>
        <w:t xml:space="preserve"> and are likely foreign flagged</w:t>
      </w:r>
      <w:r w:rsidR="009F2069" w:rsidRPr="00B703F0">
        <w:rPr>
          <w:color w:val="auto"/>
        </w:rPr>
        <w:t xml:space="preserve">. </w:t>
      </w:r>
      <w:r w:rsidR="009F2069">
        <w:rPr>
          <w:color w:val="auto"/>
        </w:rPr>
        <w:t xml:space="preserve">This was an increase in </w:t>
      </w:r>
      <w:r w:rsidR="009F2069" w:rsidRPr="00B703F0">
        <w:rPr>
          <w:color w:val="auto"/>
        </w:rPr>
        <w:t xml:space="preserve">calls by cargo ships </w:t>
      </w:r>
      <w:r w:rsidR="009F2069">
        <w:rPr>
          <w:color w:val="auto"/>
        </w:rPr>
        <w:t xml:space="preserve">of 4.1 per cent from the previous year and an increase of </w:t>
      </w:r>
      <w:r w:rsidR="009F2069" w:rsidRPr="00B703F0">
        <w:rPr>
          <w:color w:val="auto"/>
        </w:rPr>
        <w:t xml:space="preserve">cargo ships from overseas </w:t>
      </w:r>
      <w:r w:rsidR="009F2069">
        <w:rPr>
          <w:color w:val="auto"/>
        </w:rPr>
        <w:t>of</w:t>
      </w:r>
      <w:r w:rsidR="009F2069" w:rsidRPr="00B703F0">
        <w:rPr>
          <w:color w:val="auto"/>
        </w:rPr>
        <w:t xml:space="preserve"> 3.3</w:t>
      </w:r>
      <w:r w:rsidR="009F2069">
        <w:rPr>
          <w:color w:val="auto"/>
        </w:rPr>
        <w:t> </w:t>
      </w:r>
      <w:r w:rsidR="009F2069" w:rsidRPr="00B703F0">
        <w:rPr>
          <w:color w:val="auto"/>
        </w:rPr>
        <w:t>per</w:t>
      </w:r>
      <w:r w:rsidR="009F2069">
        <w:rPr>
          <w:color w:val="auto"/>
        </w:rPr>
        <w:t> </w:t>
      </w:r>
      <w:r w:rsidR="009F2069" w:rsidRPr="00B703F0">
        <w:rPr>
          <w:color w:val="auto"/>
        </w:rPr>
        <w:t>cent.</w:t>
      </w:r>
      <w:r w:rsidR="009F2069" w:rsidRPr="00B703F0">
        <w:rPr>
          <w:rStyle w:val="FootnoteReference"/>
          <w:color w:val="auto"/>
        </w:rPr>
        <w:footnoteReference w:id="8"/>
      </w:r>
      <w:r w:rsidR="009F2069" w:rsidRPr="00B703F0">
        <w:rPr>
          <w:rFonts w:ascii="GillSans" w:eastAsia="Times New Roman" w:hAnsi="GillSans" w:cs="GillSans"/>
          <w:color w:val="414042"/>
          <w:kern w:val="0"/>
          <w:sz w:val="21"/>
          <w:szCs w:val="24"/>
        </w:rPr>
        <w:t xml:space="preserve"> </w:t>
      </w:r>
    </w:p>
    <w:p w14:paraId="5CA4DCA0" w14:textId="3D8888AB" w:rsidR="00CC66CF" w:rsidRDefault="00CC66CF" w:rsidP="004B045B">
      <w:pPr>
        <w:jc w:val="center"/>
        <w:rPr>
          <w:rFonts w:ascii="GillSans" w:eastAsia="Times New Roman" w:hAnsi="GillSans" w:cs="GillSans"/>
          <w:color w:val="414042"/>
          <w:kern w:val="0"/>
          <w:sz w:val="21"/>
          <w:szCs w:val="24"/>
        </w:rPr>
      </w:pPr>
      <w:r w:rsidRPr="00B703F0">
        <w:rPr>
          <w:noProof/>
          <w:lang w:eastAsia="en-AU"/>
        </w:rPr>
        <w:drawing>
          <wp:inline distT="0" distB="0" distL="0" distR="0" wp14:anchorId="1DC61E07" wp14:editId="4A51C6AE">
            <wp:extent cx="4828235" cy="256471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828235" cy="2564713"/>
                    </a:xfrm>
                    <a:prstGeom prst="rect">
                      <a:avLst/>
                    </a:prstGeom>
                  </pic:spPr>
                </pic:pic>
              </a:graphicData>
            </a:graphic>
          </wp:inline>
        </w:drawing>
      </w:r>
    </w:p>
    <w:p w14:paraId="11C80F15" w14:textId="0130E317" w:rsidR="00CC66CF" w:rsidRPr="00B703F0" w:rsidRDefault="00CC66CF" w:rsidP="00CC66CF">
      <w:pPr>
        <w:pStyle w:val="Caption"/>
        <w:jc w:val="center"/>
      </w:pPr>
      <w:bookmarkStart w:id="9" w:name="_Toc96343137"/>
      <w:bookmarkStart w:id="10" w:name="_Toc105060756"/>
      <w:r w:rsidRPr="00B703F0">
        <w:t xml:space="preserve">Figure </w:t>
      </w:r>
      <w:r w:rsidR="006A20A6">
        <w:rPr>
          <w:noProof/>
        </w:rPr>
        <w:t>2</w:t>
      </w:r>
      <w:r w:rsidRPr="00B703F0">
        <w:t xml:space="preserve">: Total </w:t>
      </w:r>
      <w:r w:rsidR="00E007DF">
        <w:t>n</w:t>
      </w:r>
      <w:r w:rsidRPr="00B703F0">
        <w:t xml:space="preserve">umber of </w:t>
      </w:r>
      <w:r w:rsidR="00E007DF">
        <w:t>c</w:t>
      </w:r>
      <w:r w:rsidRPr="00B703F0">
        <w:t xml:space="preserve">argo </w:t>
      </w:r>
      <w:r w:rsidR="00E007DF">
        <w:t>s</w:t>
      </w:r>
      <w:r w:rsidRPr="00B703F0">
        <w:t xml:space="preserve">hips that </w:t>
      </w:r>
      <w:r w:rsidR="00E007DF">
        <w:t>c</w:t>
      </w:r>
      <w:r w:rsidRPr="00B703F0">
        <w:t xml:space="preserve">alled at Australian </w:t>
      </w:r>
      <w:r w:rsidR="00E007DF">
        <w:t>p</w:t>
      </w:r>
      <w:r w:rsidRPr="00B703F0">
        <w:t>orts</w:t>
      </w:r>
      <w:r w:rsidR="0094111C">
        <w:rPr>
          <w:rStyle w:val="FootnoteReference"/>
        </w:rPr>
        <w:footnoteReference w:id="9"/>
      </w:r>
      <w:bookmarkEnd w:id="9"/>
      <w:bookmarkEnd w:id="10"/>
    </w:p>
    <w:p w14:paraId="2FAB389A" w14:textId="546FBDFA" w:rsidR="00591B9B" w:rsidRDefault="00591B9B" w:rsidP="00591B9B">
      <w:pPr>
        <w:keepNext/>
        <w:rPr>
          <w:rFonts w:ascii="Calibri" w:hAnsi="Calibri" w:cs="Calibri"/>
        </w:rPr>
      </w:pPr>
      <w:r>
        <w:rPr>
          <w:rFonts w:ascii="Calibri" w:hAnsi="Calibri" w:cs="Calibri"/>
        </w:rPr>
        <w:t xml:space="preserve">In 2020, the </w:t>
      </w:r>
      <w:r w:rsidR="00C84505">
        <w:rPr>
          <w:rFonts w:ascii="Calibri" w:hAnsi="Calibri" w:cs="Calibri"/>
        </w:rPr>
        <w:t xml:space="preserve">type of ships arriving </w:t>
      </w:r>
      <w:r>
        <w:rPr>
          <w:rFonts w:ascii="Calibri" w:hAnsi="Calibri" w:cs="Calibri"/>
        </w:rPr>
        <w:t xml:space="preserve">most frequently </w:t>
      </w:r>
      <w:r w:rsidR="00C84505">
        <w:rPr>
          <w:rFonts w:ascii="Calibri" w:hAnsi="Calibri" w:cs="Calibri"/>
        </w:rPr>
        <w:t>at</w:t>
      </w:r>
      <w:r>
        <w:rPr>
          <w:rFonts w:ascii="Calibri" w:hAnsi="Calibri" w:cs="Calibri"/>
        </w:rPr>
        <w:t xml:space="preserve"> Australian port</w:t>
      </w:r>
      <w:r w:rsidR="00C84505">
        <w:rPr>
          <w:rFonts w:ascii="Calibri" w:hAnsi="Calibri" w:cs="Calibri"/>
        </w:rPr>
        <w:t>s</w:t>
      </w:r>
      <w:r>
        <w:rPr>
          <w:rFonts w:ascii="Calibri" w:hAnsi="Calibri" w:cs="Calibri"/>
        </w:rPr>
        <w:t xml:space="preserve"> were bulk carriers and container ships.</w:t>
      </w:r>
      <w:r>
        <w:rPr>
          <w:rStyle w:val="FootnoteReference"/>
          <w:rFonts w:ascii="Calibri" w:hAnsi="Calibri" w:cs="Calibri"/>
        </w:rPr>
        <w:footnoteReference w:id="10"/>
      </w:r>
      <w:r>
        <w:rPr>
          <w:rFonts w:ascii="Calibri" w:hAnsi="Calibri" w:cs="Calibri"/>
        </w:rPr>
        <w:t xml:space="preserve"> C</w:t>
      </w:r>
      <w:r>
        <w:rPr>
          <w:color w:val="auto"/>
        </w:rPr>
        <w:t xml:space="preserve">ontainers </w:t>
      </w:r>
      <w:r w:rsidRPr="001A3ED6">
        <w:rPr>
          <w:color w:val="auto"/>
        </w:rPr>
        <w:t>account for 5</w:t>
      </w:r>
      <w:r>
        <w:rPr>
          <w:color w:val="auto"/>
        </w:rPr>
        <w:t>2 per c</w:t>
      </w:r>
      <w:r w:rsidR="005C011D">
        <w:rPr>
          <w:color w:val="auto"/>
        </w:rPr>
        <w:t>ent of the world maritime trade</w:t>
      </w:r>
      <w:r>
        <w:rPr>
          <w:color w:val="auto"/>
        </w:rPr>
        <w:t xml:space="preserve"> and a</w:t>
      </w:r>
      <w:r w:rsidRPr="001A3ED6">
        <w:rPr>
          <w:color w:val="auto"/>
        </w:rPr>
        <w:t xml:space="preserve">ccording to </w:t>
      </w:r>
      <w:r>
        <w:rPr>
          <w:color w:val="auto"/>
        </w:rPr>
        <w:t>the World Shipping Council (WSC)</w:t>
      </w:r>
      <w:r w:rsidRPr="001A3ED6">
        <w:rPr>
          <w:color w:val="auto"/>
        </w:rPr>
        <w:t xml:space="preserve"> more than 194</w:t>
      </w:r>
      <w:r w:rsidR="0094111C">
        <w:rPr>
          <w:color w:val="auto"/>
        </w:rPr>
        <w:t> </w:t>
      </w:r>
      <w:r w:rsidRPr="00C27668">
        <w:rPr>
          <w:color w:val="auto"/>
        </w:rPr>
        <w:t xml:space="preserve">million </w:t>
      </w:r>
      <w:r>
        <w:t>t</w:t>
      </w:r>
      <w:r w:rsidRPr="00C27668">
        <w:t>we</w:t>
      </w:r>
      <w:r>
        <w:t>nty</w:t>
      </w:r>
      <w:r>
        <w:noBreakHyphen/>
        <w:t>foot equivalent</w:t>
      </w:r>
      <w:r w:rsidRPr="00C27668">
        <w:t xml:space="preserve"> units (</w:t>
      </w:r>
      <w:r w:rsidRPr="00C27668">
        <w:rPr>
          <w:color w:val="auto"/>
        </w:rPr>
        <w:t>TEUs</w:t>
      </w:r>
      <w:r>
        <w:rPr>
          <w:color w:val="auto"/>
        </w:rPr>
        <w:t>)</w:t>
      </w:r>
      <w:r w:rsidRPr="001A3ED6">
        <w:rPr>
          <w:color w:val="auto"/>
        </w:rPr>
        <w:t xml:space="preserve"> were shipped </w:t>
      </w:r>
      <w:r>
        <w:rPr>
          <w:color w:val="auto"/>
        </w:rPr>
        <w:t xml:space="preserve">globally </w:t>
      </w:r>
      <w:r w:rsidRPr="001A3ED6">
        <w:rPr>
          <w:color w:val="auto"/>
        </w:rPr>
        <w:t>in 2016</w:t>
      </w:r>
      <w:r>
        <w:rPr>
          <w:color w:val="auto"/>
        </w:rPr>
        <w:t>.</w:t>
      </w:r>
      <w:r>
        <w:rPr>
          <w:rStyle w:val="FootnoteReference"/>
          <w:color w:val="auto"/>
        </w:rPr>
        <w:footnoteReference w:id="11"/>
      </w:r>
      <w:r>
        <w:rPr>
          <w:rFonts w:ascii="Calibri" w:hAnsi="Calibri" w:cs="Calibri"/>
        </w:rPr>
        <w:t xml:space="preserve"> </w:t>
      </w:r>
      <w:r w:rsidRPr="00B703F0">
        <w:rPr>
          <w:rFonts w:ascii="Calibri" w:hAnsi="Calibri" w:cs="Calibri"/>
        </w:rPr>
        <w:t xml:space="preserve">Containerised trade has increased on a global scale and </w:t>
      </w:r>
      <w:r>
        <w:rPr>
          <w:rFonts w:ascii="Calibri" w:hAnsi="Calibri" w:cs="Calibri"/>
        </w:rPr>
        <w:t xml:space="preserve">WSC data suggests this trend </w:t>
      </w:r>
      <w:r w:rsidRPr="00B703F0">
        <w:rPr>
          <w:rFonts w:ascii="Calibri" w:hAnsi="Calibri" w:cs="Calibri"/>
        </w:rPr>
        <w:t xml:space="preserve">will continue </w:t>
      </w:r>
      <w:r>
        <w:rPr>
          <w:rFonts w:ascii="Calibri" w:hAnsi="Calibri" w:cs="Calibri"/>
        </w:rPr>
        <w:t xml:space="preserve">to </w:t>
      </w:r>
      <w:r w:rsidRPr="00B703F0">
        <w:rPr>
          <w:rFonts w:ascii="Calibri" w:hAnsi="Calibri" w:cs="Calibri"/>
        </w:rPr>
        <w:t xml:space="preserve">grow in the coming years. According to the United Nations Conference on Trade and Development’s Review of Maritime Transport 2019, the expected annual growth in </w:t>
      </w:r>
      <w:r>
        <w:rPr>
          <w:rFonts w:ascii="Calibri" w:hAnsi="Calibri" w:cs="Calibri"/>
        </w:rPr>
        <w:t>containeris</w:t>
      </w:r>
      <w:r w:rsidR="004B0CB4">
        <w:rPr>
          <w:rFonts w:ascii="Calibri" w:hAnsi="Calibri" w:cs="Calibri"/>
        </w:rPr>
        <w:t>ed trade for the period 2019</w:t>
      </w:r>
      <w:r w:rsidR="00227A7C">
        <w:rPr>
          <w:rFonts w:ascii="Calibri" w:hAnsi="Calibri" w:cs="Calibri"/>
        </w:rPr>
        <w:t>-</w:t>
      </w:r>
      <w:r w:rsidRPr="00B703F0">
        <w:rPr>
          <w:rFonts w:ascii="Calibri" w:hAnsi="Calibri" w:cs="Calibri"/>
        </w:rPr>
        <w:t>2024 is 4.5</w:t>
      </w:r>
      <w:r>
        <w:t xml:space="preserve"> per cent with demand </w:t>
      </w:r>
      <w:r w:rsidRPr="00F8572F">
        <w:rPr>
          <w:rFonts w:ascii="Calibri" w:hAnsi="Calibri" w:cs="Calibri"/>
        </w:rPr>
        <w:t>for container ships of large capacity (above</w:t>
      </w:r>
      <w:r>
        <w:rPr>
          <w:rFonts w:ascii="Calibri" w:hAnsi="Calibri" w:cs="Calibri"/>
        </w:rPr>
        <w:t xml:space="preserve"> </w:t>
      </w:r>
      <w:r w:rsidRPr="00F8572F">
        <w:rPr>
          <w:rFonts w:ascii="Calibri" w:hAnsi="Calibri" w:cs="Calibri"/>
        </w:rPr>
        <w:lastRenderedPageBreak/>
        <w:t xml:space="preserve">15,000 TEUs), </w:t>
      </w:r>
      <w:r>
        <w:rPr>
          <w:rFonts w:ascii="Calibri" w:hAnsi="Calibri" w:cs="Calibri"/>
        </w:rPr>
        <w:t>growing</w:t>
      </w:r>
      <w:r w:rsidRPr="00F8572F">
        <w:rPr>
          <w:rFonts w:ascii="Calibri" w:hAnsi="Calibri" w:cs="Calibri"/>
        </w:rPr>
        <w:t xml:space="preserve"> by 33</w:t>
      </w:r>
      <w:r>
        <w:rPr>
          <w:rFonts w:ascii="Calibri" w:hAnsi="Calibri" w:cs="Calibri"/>
        </w:rPr>
        <w:t> </w:t>
      </w:r>
      <w:r w:rsidRPr="00F8572F">
        <w:rPr>
          <w:rFonts w:ascii="Calibri" w:hAnsi="Calibri" w:cs="Calibri"/>
        </w:rPr>
        <w:t>per</w:t>
      </w:r>
      <w:r>
        <w:rPr>
          <w:rFonts w:ascii="Calibri" w:hAnsi="Calibri" w:cs="Calibri"/>
        </w:rPr>
        <w:t> c</w:t>
      </w:r>
      <w:r w:rsidRPr="00F8572F">
        <w:rPr>
          <w:rFonts w:ascii="Calibri" w:hAnsi="Calibri" w:cs="Calibri"/>
        </w:rPr>
        <w:t>ent in 2018</w:t>
      </w:r>
      <w:r w:rsidRPr="00B703F0">
        <w:rPr>
          <w:rFonts w:ascii="Calibri" w:hAnsi="Calibri" w:cs="Calibri"/>
        </w:rPr>
        <w:t>.</w:t>
      </w:r>
      <w:r w:rsidRPr="00B703F0">
        <w:rPr>
          <w:rStyle w:val="FootnoteReference"/>
          <w:rFonts w:ascii="Calibri" w:hAnsi="Calibri" w:cs="Calibri"/>
        </w:rPr>
        <w:footnoteReference w:id="12"/>
      </w:r>
      <w:r w:rsidRPr="00B703F0">
        <w:rPr>
          <w:rFonts w:ascii="Calibri" w:hAnsi="Calibri" w:cs="Calibri"/>
        </w:rPr>
        <w:t xml:space="preserve"> </w:t>
      </w:r>
      <w:r w:rsidRPr="00B703F0">
        <w:t xml:space="preserve">The </w:t>
      </w:r>
      <w:r w:rsidRPr="00B703F0">
        <w:rPr>
          <w:rFonts w:cstheme="minorHAnsi"/>
        </w:rPr>
        <w:t>Bureau of Infrastructure, Transport and Regional Economics</w:t>
      </w:r>
      <w:r w:rsidR="004B0CB4">
        <w:rPr>
          <w:rFonts w:cstheme="minorHAnsi"/>
        </w:rPr>
        <w:t xml:space="preserve"> (BITRE) estimates that by 2029</w:t>
      </w:r>
      <w:r w:rsidR="00227A7C">
        <w:rPr>
          <w:rFonts w:cstheme="minorHAnsi"/>
        </w:rPr>
        <w:t>-</w:t>
      </w:r>
      <w:r w:rsidR="004B0CB4">
        <w:rPr>
          <w:rFonts w:cstheme="minorHAnsi"/>
        </w:rPr>
        <w:t>20</w:t>
      </w:r>
      <w:r w:rsidRPr="00B703F0">
        <w:rPr>
          <w:rFonts w:cstheme="minorHAnsi"/>
        </w:rPr>
        <w:t>30 the number of containerised imports will double while the number of containerised exports will triple</w:t>
      </w:r>
      <w:r w:rsidR="002A570B" w:rsidRPr="002A570B">
        <w:rPr>
          <w:rFonts w:cstheme="minorHAnsi"/>
        </w:rPr>
        <w:t xml:space="preserve"> </w:t>
      </w:r>
      <w:r w:rsidR="002A570B">
        <w:rPr>
          <w:rFonts w:cstheme="minorHAnsi"/>
        </w:rPr>
        <w:t>in Australia</w:t>
      </w:r>
      <w:r w:rsidRPr="00B703F0">
        <w:rPr>
          <w:rFonts w:cstheme="minorHAnsi"/>
        </w:rPr>
        <w:t>.</w:t>
      </w:r>
    </w:p>
    <w:p w14:paraId="61F910CE" w14:textId="3EEED905" w:rsidR="00817B82" w:rsidRDefault="00591B9B" w:rsidP="00591B9B">
      <w:r>
        <w:t xml:space="preserve">The </w:t>
      </w:r>
      <w:r w:rsidR="006A565E">
        <w:t xml:space="preserve">major routes used by </w:t>
      </w:r>
      <w:r>
        <w:t xml:space="preserve">ships </w:t>
      </w:r>
      <w:r w:rsidRPr="00B703F0">
        <w:t xml:space="preserve">visiting Australia are </w:t>
      </w:r>
      <w:r w:rsidR="006A565E">
        <w:t>through</w:t>
      </w:r>
      <w:r w:rsidRPr="00B703F0">
        <w:t xml:space="preserve"> an environment that is home to some of the world’s most ecologically sensitive sea areas</w:t>
      </w:r>
      <w:r w:rsidR="006A565E">
        <w:t xml:space="preserve">, </w:t>
      </w:r>
      <w:r w:rsidRPr="00B703F0">
        <w:rPr>
          <w:rFonts w:ascii="OpenSans" w:eastAsia="Times New Roman" w:hAnsi="OpenSans" w:cs="OpenSans"/>
          <w:color w:val="000000"/>
          <w:kern w:val="0"/>
          <w:szCs w:val="24"/>
        </w:rPr>
        <w:t xml:space="preserve">and groundings by </w:t>
      </w:r>
      <w:r w:rsidR="00DB2DF0">
        <w:rPr>
          <w:rFonts w:ascii="OpenSans" w:eastAsia="Times New Roman" w:hAnsi="OpenSans" w:cs="OpenSans"/>
          <w:color w:val="000000"/>
          <w:kern w:val="0"/>
          <w:szCs w:val="24"/>
        </w:rPr>
        <w:t>ships</w:t>
      </w:r>
      <w:r w:rsidR="00DB2DF0" w:rsidRPr="00B703F0">
        <w:rPr>
          <w:rFonts w:ascii="OpenSans" w:eastAsia="Times New Roman" w:hAnsi="OpenSans" w:cs="OpenSans"/>
          <w:color w:val="000000"/>
          <w:kern w:val="0"/>
          <w:szCs w:val="24"/>
        </w:rPr>
        <w:t xml:space="preserve"> </w:t>
      </w:r>
      <w:r w:rsidR="00DB2DF0">
        <w:rPr>
          <w:rFonts w:ascii="OpenSans" w:eastAsia="Times New Roman" w:hAnsi="OpenSans" w:cs="OpenSans"/>
          <w:color w:val="000000"/>
          <w:kern w:val="0"/>
          <w:szCs w:val="24"/>
        </w:rPr>
        <w:t>or</w:t>
      </w:r>
      <w:r w:rsidR="00DB2DF0" w:rsidRPr="00B703F0">
        <w:rPr>
          <w:rFonts w:ascii="OpenSans" w:eastAsia="Times New Roman" w:hAnsi="OpenSans" w:cs="OpenSans"/>
          <w:color w:val="000000"/>
          <w:kern w:val="0"/>
          <w:szCs w:val="24"/>
        </w:rPr>
        <w:t xml:space="preserve"> </w:t>
      </w:r>
      <w:r w:rsidRPr="00B703F0">
        <w:rPr>
          <w:rFonts w:ascii="OpenSans" w:eastAsia="Times New Roman" w:hAnsi="OpenSans" w:cs="OpenSans"/>
          <w:color w:val="000000"/>
          <w:kern w:val="0"/>
          <w:szCs w:val="24"/>
        </w:rPr>
        <w:t xml:space="preserve">accidents at sea in </w:t>
      </w:r>
      <w:r w:rsidR="006A565E">
        <w:rPr>
          <w:rFonts w:ascii="OpenSans" w:eastAsia="Times New Roman" w:hAnsi="OpenSans" w:cs="OpenSans"/>
          <w:color w:val="000000"/>
          <w:kern w:val="0"/>
          <w:szCs w:val="24"/>
        </w:rPr>
        <w:t>these</w:t>
      </w:r>
      <w:r w:rsidRPr="00B703F0">
        <w:rPr>
          <w:rFonts w:ascii="OpenSans" w:eastAsia="Times New Roman" w:hAnsi="OpenSans" w:cs="OpenSans"/>
          <w:color w:val="000000"/>
          <w:kern w:val="0"/>
          <w:szCs w:val="24"/>
        </w:rPr>
        <w:t xml:space="preserve"> areas </w:t>
      </w:r>
      <w:r w:rsidR="006A565E">
        <w:rPr>
          <w:rFonts w:ascii="OpenSans" w:eastAsia="Times New Roman" w:hAnsi="OpenSans" w:cs="OpenSans"/>
          <w:color w:val="000000"/>
          <w:kern w:val="0"/>
          <w:szCs w:val="24"/>
        </w:rPr>
        <w:t>would put extreme</w:t>
      </w:r>
      <w:r w:rsidR="006A565E" w:rsidRPr="00B703F0">
        <w:rPr>
          <w:rFonts w:ascii="OpenSans" w:eastAsia="Times New Roman" w:hAnsi="OpenSans" w:cs="OpenSans"/>
          <w:color w:val="000000"/>
          <w:kern w:val="0"/>
          <w:szCs w:val="24"/>
        </w:rPr>
        <w:t xml:space="preserve"> </w:t>
      </w:r>
      <w:r w:rsidRPr="00B703F0">
        <w:rPr>
          <w:rFonts w:ascii="OpenSans" w:eastAsia="Times New Roman" w:hAnsi="OpenSans" w:cs="OpenSans"/>
          <w:color w:val="000000"/>
          <w:kern w:val="0"/>
          <w:szCs w:val="24"/>
        </w:rPr>
        <w:t xml:space="preserve">pressure on </w:t>
      </w:r>
      <w:r w:rsidR="008C22C0">
        <w:rPr>
          <w:rFonts w:ascii="OpenSans" w:eastAsia="Times New Roman" w:hAnsi="OpenSans" w:cs="OpenSans"/>
          <w:color w:val="000000"/>
          <w:kern w:val="0"/>
          <w:szCs w:val="24"/>
        </w:rPr>
        <w:t>our</w:t>
      </w:r>
      <w:r w:rsidRPr="00B703F0">
        <w:rPr>
          <w:rFonts w:ascii="OpenSans" w:eastAsia="Times New Roman" w:hAnsi="OpenSans" w:cs="OpenSans"/>
          <w:color w:val="000000"/>
          <w:kern w:val="0"/>
          <w:szCs w:val="24"/>
        </w:rPr>
        <w:t xml:space="preserve"> marine environment. </w:t>
      </w:r>
      <w:r w:rsidRPr="00B703F0">
        <w:t>Australian species and our natural marine treasures—such as the Great Barrier Reef, Lord Howe Island, the Great Australian Bight and Ningaloo Reef—</w:t>
      </w:r>
      <w:r w:rsidR="008C22C0">
        <w:t xml:space="preserve">are </w:t>
      </w:r>
      <w:r w:rsidRPr="00B703F0">
        <w:t>icons of our national identity support</w:t>
      </w:r>
      <w:r w:rsidR="002A570B">
        <w:t>ing</w:t>
      </w:r>
      <w:r w:rsidRPr="00B703F0">
        <w:t xml:space="preserve"> important revenue from marine tourism. Importantly, the oceans and coasts provide a further $25 billion worth of essential ecosystem services, such as carbon dioxide absorption, nutrient cycling and coastal protection.</w:t>
      </w:r>
      <w:r w:rsidRPr="00B703F0">
        <w:rPr>
          <w:rFonts w:ascii="OpenSans" w:eastAsia="Times New Roman" w:hAnsi="OpenSans" w:cs="OpenSans"/>
          <w:color w:val="000000"/>
          <w:kern w:val="0"/>
          <w:szCs w:val="24"/>
        </w:rPr>
        <w:t xml:space="preserve"> </w:t>
      </w:r>
      <w:r w:rsidRPr="00B703F0">
        <w:t>Australia’s ocean species also directly and indirectly support commercial fisheries and aquacult</w:t>
      </w:r>
      <w:r w:rsidR="004B0CB4">
        <w:t>ure, worth $2.5 billion in 2013</w:t>
      </w:r>
      <w:r w:rsidR="00227A7C">
        <w:t>-</w:t>
      </w:r>
      <w:r w:rsidR="004B0CB4">
        <w:t>20</w:t>
      </w:r>
      <w:r w:rsidRPr="00B703F0">
        <w:t>14, this is expec</w:t>
      </w:r>
      <w:r w:rsidR="004B0CB4">
        <w:t>ted to more than double by 2029</w:t>
      </w:r>
      <w:r w:rsidR="00227A7C">
        <w:t>-</w:t>
      </w:r>
      <w:r w:rsidR="004B0CB4">
        <w:t>20</w:t>
      </w:r>
      <w:r w:rsidRPr="00B703F0">
        <w:t>30. By 2025, maritime industries are expected to contribute around $100</w:t>
      </w:r>
      <w:r w:rsidR="00E05EBD">
        <w:t> </w:t>
      </w:r>
      <w:r w:rsidRPr="00B703F0">
        <w:t>billion each year to Australia’s overall economy.</w:t>
      </w:r>
      <w:r w:rsidRPr="00B703F0">
        <w:rPr>
          <w:rStyle w:val="FootnoteReference"/>
        </w:rPr>
        <w:footnoteReference w:id="13"/>
      </w:r>
      <w:r w:rsidRPr="00B703F0">
        <w:t xml:space="preserve"> </w:t>
      </w:r>
      <w:r w:rsidR="004048FD">
        <w:t xml:space="preserve">This is on top of the day-to-day enjoyment experienced by Australians in beach or water-related activities. </w:t>
      </w:r>
    </w:p>
    <w:p w14:paraId="5168D5E5" w14:textId="0409DCED" w:rsidR="00256807" w:rsidRPr="00B703F0" w:rsidRDefault="00256807" w:rsidP="00256807">
      <w:pPr>
        <w:pStyle w:val="Heading2Numbered"/>
      </w:pPr>
      <w:bookmarkStart w:id="11" w:name="_Toc76119074"/>
      <w:bookmarkStart w:id="12" w:name="_Toc96354455"/>
      <w:bookmarkStart w:id="13" w:name="_Toc105060769"/>
      <w:bookmarkEnd w:id="11"/>
      <w:r w:rsidRPr="00B703F0">
        <w:t>Problem</w:t>
      </w:r>
      <w:bookmarkEnd w:id="12"/>
      <w:bookmarkEnd w:id="13"/>
    </w:p>
    <w:p w14:paraId="60609DDD" w14:textId="376AD529" w:rsidR="00C2028A" w:rsidRDefault="00C2028A" w:rsidP="00C2028A">
      <w:r w:rsidRPr="00A81DF1">
        <w:t>The reliability</w:t>
      </w:r>
      <w:r w:rsidRPr="00176F96">
        <w:t xml:space="preserve"> and efficiency of </w:t>
      </w:r>
      <w:r>
        <w:t>shipping</w:t>
      </w:r>
      <w:r w:rsidRPr="00176F96">
        <w:t xml:space="preserve"> </w:t>
      </w:r>
      <w:r w:rsidRPr="00D43F58">
        <w:rPr>
          <w:color w:val="auto"/>
        </w:rPr>
        <w:t xml:space="preserve">directly </w:t>
      </w:r>
      <w:r w:rsidR="005515AA" w:rsidRPr="00D43F58">
        <w:rPr>
          <w:color w:val="auto"/>
        </w:rPr>
        <w:t>affects</w:t>
      </w:r>
      <w:r w:rsidRPr="00D43F58">
        <w:rPr>
          <w:color w:val="auto"/>
        </w:rPr>
        <w:t xml:space="preserve"> Australia’s </w:t>
      </w:r>
      <w:r>
        <w:rPr>
          <w:color w:val="auto"/>
        </w:rPr>
        <w:t>trade</w:t>
      </w:r>
      <w:r w:rsidRPr="00D43F58">
        <w:rPr>
          <w:color w:val="auto"/>
        </w:rPr>
        <w:t xml:space="preserve"> and by extension the Australian economy and standard of living. Any disruptions</w:t>
      </w:r>
      <w:r w:rsidRPr="00722BF1">
        <w:rPr>
          <w:color w:val="auto"/>
        </w:rPr>
        <w:t xml:space="preserve"> to maritime trade </w:t>
      </w:r>
      <w:r>
        <w:rPr>
          <w:color w:val="auto"/>
        </w:rPr>
        <w:t>can be costly for industry and governments</w:t>
      </w:r>
      <w:r w:rsidR="00E361E1" w:rsidRPr="00E361E1">
        <w:rPr>
          <w:color w:val="auto"/>
        </w:rPr>
        <w:t xml:space="preserve"> </w:t>
      </w:r>
      <w:r w:rsidR="00E361E1">
        <w:rPr>
          <w:color w:val="auto"/>
        </w:rPr>
        <w:t>and</w:t>
      </w:r>
      <w:r w:rsidR="008C22C0">
        <w:rPr>
          <w:color w:val="auto"/>
        </w:rPr>
        <w:t>, as</w:t>
      </w:r>
      <w:r w:rsidR="002A570B">
        <w:rPr>
          <w:color w:val="auto"/>
        </w:rPr>
        <w:t xml:space="preserve"> described in </w:t>
      </w:r>
      <w:r w:rsidR="008C22C0">
        <w:rPr>
          <w:color w:val="auto"/>
        </w:rPr>
        <w:t xml:space="preserve">Chapter </w:t>
      </w:r>
      <w:r w:rsidR="00E361E1">
        <w:rPr>
          <w:color w:val="auto"/>
        </w:rPr>
        <w:t xml:space="preserve">2, the scale of maritime trade and Australia’s dependence on it is growing significantly and therefore increasing </w:t>
      </w:r>
      <w:r w:rsidR="00F21209">
        <w:rPr>
          <w:color w:val="auto"/>
        </w:rPr>
        <w:t>our</w:t>
      </w:r>
      <w:r w:rsidR="00E361E1">
        <w:rPr>
          <w:color w:val="auto"/>
        </w:rPr>
        <w:t xml:space="preserve"> risk exposure</w:t>
      </w:r>
      <w:r>
        <w:rPr>
          <w:color w:val="auto"/>
        </w:rPr>
        <w:t xml:space="preserve">. </w:t>
      </w:r>
      <w:r w:rsidRPr="00B703F0">
        <w:t>Wreck</w:t>
      </w:r>
      <w:r>
        <w:t xml:space="preserve">s </w:t>
      </w:r>
      <w:r>
        <w:rPr>
          <w:color w:val="auto"/>
        </w:rPr>
        <w:t>of ships or objects lost from a ship (e.g. a container)</w:t>
      </w:r>
      <w:r w:rsidRPr="00B703F0">
        <w:t xml:space="preserve"> have the potential to interrupt trade, threaten other </w:t>
      </w:r>
      <w:r w:rsidR="00271F4E">
        <w:t>ships</w:t>
      </w:r>
      <w:r w:rsidRPr="00B703F0">
        <w:t xml:space="preserve">, incur significant loss of life and property, and damage the marine environment. The consequences and costs of shipping incidents frequently fall on </w:t>
      </w:r>
      <w:r w:rsidR="0073375F">
        <w:t>g</w:t>
      </w:r>
      <w:r w:rsidR="001A1B0B">
        <w:t xml:space="preserve">overnment </w:t>
      </w:r>
      <w:r w:rsidR="00814E40">
        <w:t xml:space="preserve">when they cannot </w:t>
      </w:r>
      <w:r w:rsidR="001A1B0B">
        <w:t>be resolved with ship insurance companies.</w:t>
      </w:r>
    </w:p>
    <w:p w14:paraId="0F052F08" w14:textId="52E8B722" w:rsidR="00F21209" w:rsidRDefault="00F21209" w:rsidP="00E46EA5">
      <w:pPr>
        <w:pStyle w:val="Heading4Numbered"/>
        <w:numPr>
          <w:ilvl w:val="0"/>
          <w:numId w:val="0"/>
        </w:numPr>
        <w:ind w:left="1134" w:hanging="1134"/>
        <w:jc w:val="both"/>
      </w:pPr>
      <w:bookmarkStart w:id="14" w:name="_Toc89938393"/>
      <w:bookmarkStart w:id="15" w:name="_Toc96354456"/>
      <w:r>
        <w:t>Jurisdictional boundaries</w:t>
      </w:r>
      <w:bookmarkEnd w:id="14"/>
      <w:bookmarkEnd w:id="15"/>
    </w:p>
    <w:p w14:paraId="60897D29" w14:textId="020C2E15" w:rsidR="000D3823" w:rsidRDefault="00C2028A" w:rsidP="00811BE1">
      <w:r>
        <w:t xml:space="preserve">As illustrated in Figure 3, Australian waters are divided into different maritime zones based on the </w:t>
      </w:r>
      <w:r w:rsidRPr="00892E52">
        <w:rPr>
          <w:i/>
        </w:rPr>
        <w:t>United Nations Convention on the Law of the Sea</w:t>
      </w:r>
      <w:r>
        <w:t xml:space="preserve">. The </w:t>
      </w:r>
      <w:r w:rsidR="00362B44">
        <w:t xml:space="preserve">2 </w:t>
      </w:r>
      <w:r>
        <w:t>key zones are the territorial sea and the EEZ. The territorial sea is a body of water surrounding Australia that reaches out to 12 nautical miles</w:t>
      </w:r>
      <w:r w:rsidR="00737922">
        <w:t xml:space="preserve"> (</w:t>
      </w:r>
      <w:r w:rsidR="00656874">
        <w:t>nm) (</w:t>
      </w:r>
      <w:r>
        <w:t xml:space="preserve">22.2 kilometres) </w:t>
      </w:r>
      <w:r w:rsidR="0020386B">
        <w:t xml:space="preserve">in which </w:t>
      </w:r>
      <w:r>
        <w:t>Australia has exclusive sovereignty</w:t>
      </w:r>
      <w:r w:rsidRPr="00590F91">
        <w:t>. The EEZ is the water beyond the territorial sea extend</w:t>
      </w:r>
      <w:r w:rsidR="00675710">
        <w:t>ing</w:t>
      </w:r>
      <w:r w:rsidRPr="00590F91">
        <w:t xml:space="preserve"> </w:t>
      </w:r>
      <w:r w:rsidR="00814E40">
        <w:t xml:space="preserve">to </w:t>
      </w:r>
      <w:r w:rsidRPr="00590F91">
        <w:t>200</w:t>
      </w:r>
      <w:r w:rsidR="00737922">
        <w:t>nm</w:t>
      </w:r>
      <w:r w:rsidRPr="00590F91">
        <w:t xml:space="preserve"> </w:t>
      </w:r>
      <w:r>
        <w:t xml:space="preserve">(370 kilometres) and while Australia does not own or have sovereignty over the entire EEZ, there are some rights in regards to natural resources, artificial structures, scientific research and the marine environment. </w:t>
      </w:r>
    </w:p>
    <w:p w14:paraId="6829C1B9" w14:textId="18806581" w:rsidR="00615613" w:rsidRDefault="00737922" w:rsidP="00811BE1">
      <w:r>
        <w:t xml:space="preserve">In Australia the territorial sea is divided into two areas: coastal waters (reaching out </w:t>
      </w:r>
      <w:r w:rsidR="00EE3596">
        <w:t>to</w:t>
      </w:r>
      <w:r>
        <w:t xml:space="preserve"> 3nm from the territorial sea baseline) and the</w:t>
      </w:r>
      <w:r w:rsidR="00814E40" w:rsidRPr="00814E40">
        <w:t xml:space="preserve"> </w:t>
      </w:r>
      <w:r w:rsidR="00814E40">
        <w:t>remainder of the</w:t>
      </w:r>
      <w:r>
        <w:t xml:space="preserve"> territorial sea (from 3nm to 12nm). </w:t>
      </w:r>
      <w:r w:rsidR="00615613">
        <w:t>Under the</w:t>
      </w:r>
      <w:r>
        <w:t xml:space="preserve"> Offshore Constitutional settlement</w:t>
      </w:r>
      <w:r w:rsidR="00EE3596">
        <w:t>,</w:t>
      </w:r>
      <w:r>
        <w:t xml:space="preserve"> </w:t>
      </w:r>
      <w:r w:rsidR="00615613">
        <w:t xml:space="preserve">jurisdiction over the water column and the subjacent seabed </w:t>
      </w:r>
      <w:r w:rsidR="00814E40">
        <w:t xml:space="preserve">in coastal waters </w:t>
      </w:r>
      <w:r w:rsidR="00615613">
        <w:t>is vested in the adjacent State or Territory. The Commonwealth’s</w:t>
      </w:r>
      <w:r w:rsidR="00615613" w:rsidRPr="00615613">
        <w:t xml:space="preserve"> sovereignty extends to the territorial sea, its seabed and subsoil, and to the air space above it.</w:t>
      </w:r>
      <w:r w:rsidR="00615613">
        <w:t xml:space="preserve"> When the Nairobi Convention </w:t>
      </w:r>
      <w:r w:rsidR="00814E40">
        <w:t xml:space="preserve">allows for </w:t>
      </w:r>
      <w:r w:rsidR="00615613">
        <w:t>extension to</w:t>
      </w:r>
      <w:r w:rsidR="00814E40">
        <w:t xml:space="preserve"> cover</w:t>
      </w:r>
      <w:r w:rsidR="00615613">
        <w:t xml:space="preserve"> the territorial sea, in the Australian context that would include the territorial sea and coastal waters.</w:t>
      </w:r>
    </w:p>
    <w:p w14:paraId="5229AEFA" w14:textId="532AD827" w:rsidR="000D3823" w:rsidRPr="00B703F0" w:rsidRDefault="000D3823" w:rsidP="000D3823">
      <w:pPr>
        <w:jc w:val="center"/>
      </w:pPr>
      <w:r w:rsidRPr="00B703F0">
        <w:rPr>
          <w:noProof/>
          <w:lang w:eastAsia="en-AU"/>
        </w:rPr>
        <w:lastRenderedPageBreak/>
        <w:drawing>
          <wp:inline distT="0" distB="0" distL="0" distR="0" wp14:anchorId="16BBAF73" wp14:editId="61557265">
            <wp:extent cx="3918934" cy="2170034"/>
            <wp:effectExtent l="0" t="0" r="5715"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927649" cy="2174860"/>
                    </a:xfrm>
                    <a:prstGeom prst="rect">
                      <a:avLst/>
                    </a:prstGeom>
                  </pic:spPr>
                </pic:pic>
              </a:graphicData>
            </a:graphic>
          </wp:inline>
        </w:drawing>
      </w:r>
    </w:p>
    <w:p w14:paraId="0FD5C38D" w14:textId="256EDB18" w:rsidR="000D3823" w:rsidRPr="00B703F0" w:rsidRDefault="000D3823" w:rsidP="000D3823">
      <w:pPr>
        <w:pStyle w:val="Caption"/>
        <w:jc w:val="center"/>
      </w:pPr>
      <w:bookmarkStart w:id="16" w:name="_Toc96343138"/>
      <w:bookmarkStart w:id="17" w:name="_Toc105060757"/>
      <w:r w:rsidRPr="00B703F0">
        <w:t xml:space="preserve">Figure </w:t>
      </w:r>
      <w:r w:rsidR="006A20A6">
        <w:rPr>
          <w:noProof/>
        </w:rPr>
        <w:t>3</w:t>
      </w:r>
      <w:r w:rsidRPr="00B703F0">
        <w:t>: Australia's Maritime Zones</w:t>
      </w:r>
      <w:r w:rsidR="00CA53CF">
        <w:rPr>
          <w:rStyle w:val="FootnoteReference"/>
        </w:rPr>
        <w:footnoteReference w:id="14"/>
      </w:r>
      <w:bookmarkEnd w:id="16"/>
      <w:bookmarkEnd w:id="17"/>
    </w:p>
    <w:p w14:paraId="44ABFDEC" w14:textId="77777777" w:rsidR="00A971D2" w:rsidRDefault="00C2028A" w:rsidP="00C2028A">
      <w:r>
        <w:rPr>
          <w:lang w:val="en-US"/>
        </w:rPr>
        <w:t xml:space="preserve">Presently, when a </w:t>
      </w:r>
      <w:r w:rsidR="00271F4E">
        <w:rPr>
          <w:lang w:val="en-US"/>
        </w:rPr>
        <w:t>ship</w:t>
      </w:r>
      <w:r>
        <w:rPr>
          <w:lang w:val="en-US"/>
        </w:rPr>
        <w:t xml:space="preserve"> </w:t>
      </w:r>
      <w:r w:rsidR="003B172C">
        <w:rPr>
          <w:lang w:val="en-US"/>
        </w:rPr>
        <w:t>wrecks</w:t>
      </w:r>
      <w:r>
        <w:rPr>
          <w:lang w:val="en-US"/>
        </w:rPr>
        <w:t xml:space="preserve"> or spills its contents overboard in Australia’s </w:t>
      </w:r>
      <w:r w:rsidR="00D66599">
        <w:rPr>
          <w:lang w:val="en-US"/>
        </w:rPr>
        <w:t>EEZ</w:t>
      </w:r>
      <w:r>
        <w:rPr>
          <w:lang w:val="en-US"/>
        </w:rPr>
        <w:t xml:space="preserve"> and territorial sea, the Australian Government</w:t>
      </w:r>
      <w:r w:rsidR="00814E40">
        <w:rPr>
          <w:lang w:val="en-US"/>
        </w:rPr>
        <w:t xml:space="preserve"> can</w:t>
      </w:r>
      <w:r>
        <w:rPr>
          <w:lang w:val="en-US"/>
        </w:rPr>
        <w:t xml:space="preserve"> use the </w:t>
      </w:r>
      <w:r w:rsidRPr="00CD0E0B">
        <w:t xml:space="preserve">the </w:t>
      </w:r>
      <w:r>
        <w:rPr>
          <w:lang w:val="en-US"/>
        </w:rPr>
        <w:t>Navigation Ac</w:t>
      </w:r>
      <w:r w:rsidR="007574D5">
        <w:rPr>
          <w:lang w:val="en-US"/>
        </w:rPr>
        <w:t>t</w:t>
      </w:r>
      <w:r>
        <w:rPr>
          <w:lang w:val="en-US"/>
        </w:rPr>
        <w:t xml:space="preserve"> to</w:t>
      </w:r>
      <w:r w:rsidR="00814E40" w:rsidRPr="00814E40">
        <w:rPr>
          <w:lang w:val="en-US"/>
        </w:rPr>
        <w:t xml:space="preserve"> </w:t>
      </w:r>
      <w:r w:rsidR="00814E40">
        <w:rPr>
          <w:lang w:val="en-US"/>
        </w:rPr>
        <w:t>require the owner to</w:t>
      </w:r>
      <w:r>
        <w:rPr>
          <w:lang w:val="en-US"/>
        </w:rPr>
        <w:t xml:space="preserve"> locate, remove, sink or destroy the wreck, and recover costs from liable parties</w:t>
      </w:r>
      <w:r w:rsidR="00814E40" w:rsidRPr="00814E40">
        <w:rPr>
          <w:lang w:val="en-US"/>
        </w:rPr>
        <w:t xml:space="preserve"> </w:t>
      </w:r>
      <w:r w:rsidR="00814E40">
        <w:rPr>
          <w:lang w:val="en-US"/>
        </w:rPr>
        <w:t>if they do not do so</w:t>
      </w:r>
      <w:r>
        <w:rPr>
          <w:lang w:val="en-US"/>
        </w:rPr>
        <w:t xml:space="preserve">. </w:t>
      </w:r>
      <w:r>
        <w:t xml:space="preserve">Under the </w:t>
      </w:r>
      <w:r w:rsidRPr="00B703F0">
        <w:t xml:space="preserve">Navigation </w:t>
      </w:r>
      <w:r w:rsidR="005515AA" w:rsidRPr="00B703F0">
        <w:t>Act,</w:t>
      </w:r>
      <w:r w:rsidRPr="00B703F0">
        <w:t xml:space="preserve"> </w:t>
      </w:r>
      <w:r>
        <w:t>the Australian Government</w:t>
      </w:r>
      <w:r w:rsidR="005515AA">
        <w:t xml:space="preserve"> – </w:t>
      </w:r>
      <w:r>
        <w:t>through</w:t>
      </w:r>
      <w:r w:rsidR="005515AA">
        <w:t xml:space="preserve"> </w:t>
      </w:r>
      <w:r>
        <w:t>the Australian Maritime Safety Authority (AMSA)</w:t>
      </w:r>
      <w:r w:rsidR="005515AA">
        <w:t xml:space="preserve"> </w:t>
      </w:r>
      <w:r w:rsidR="000C52E1">
        <w:t>– responds</w:t>
      </w:r>
      <w:r>
        <w:t xml:space="preserve"> to wrecks </w:t>
      </w:r>
      <w:r w:rsidR="00814E40">
        <w:t>of</w:t>
      </w:r>
      <w:r w:rsidR="00A971D2">
        <w:t>:</w:t>
      </w:r>
    </w:p>
    <w:p w14:paraId="2427311D" w14:textId="766D75A3" w:rsidR="00A971D2" w:rsidRDefault="009046DD" w:rsidP="00E36127">
      <w:pPr>
        <w:pStyle w:val="Bullet1"/>
      </w:pPr>
      <w:r>
        <w:rPr>
          <w:lang w:val="en-US"/>
        </w:rPr>
        <w:t>RAVs</w:t>
      </w:r>
      <w:r w:rsidR="00C2028A">
        <w:t xml:space="preserve"> </w:t>
      </w:r>
      <w:r w:rsidR="002F6FE0">
        <w:t>where</w:t>
      </w:r>
      <w:r w:rsidR="002F6FE0" w:rsidRPr="002F6FE0">
        <w:t>ver it is situated</w:t>
      </w:r>
      <w:r w:rsidR="00A971D2">
        <w:t xml:space="preserve">, due to </w:t>
      </w:r>
      <w:r w:rsidR="00A971D2">
        <w:rPr>
          <w:lang w:val="en-US"/>
        </w:rPr>
        <w:t xml:space="preserve">Australia’s responsibilities as a Flag State. </w:t>
      </w:r>
    </w:p>
    <w:p w14:paraId="4928F581" w14:textId="6046F3E3" w:rsidR="00737922" w:rsidRPr="00FB1BAD" w:rsidRDefault="00C2028A" w:rsidP="00E36127">
      <w:pPr>
        <w:pStyle w:val="Bullet1"/>
      </w:pPr>
      <w:r w:rsidRPr="00FB1BAD">
        <w:t>foreign vessels</w:t>
      </w:r>
      <w:r w:rsidR="007B3532">
        <w:rPr>
          <w:lang w:val="en-US"/>
        </w:rPr>
        <w:t xml:space="preserve"> only</w:t>
      </w:r>
      <w:r w:rsidRPr="00FB1BAD">
        <w:t xml:space="preserve"> in the territorial sea</w:t>
      </w:r>
      <w:r w:rsidR="00A971D2">
        <w:t xml:space="preserve"> due to their right to freedom of navigation in the EEZ and high seas</w:t>
      </w:r>
      <w:r w:rsidRPr="00FB1BAD">
        <w:t>.</w:t>
      </w:r>
      <w:r w:rsidRPr="00FB1BAD">
        <w:rPr>
          <w:rStyle w:val="FootnoteReference"/>
        </w:rPr>
        <w:footnoteReference w:id="15"/>
      </w:r>
      <w:r w:rsidRPr="00FB1BAD">
        <w:t xml:space="preserve"> </w:t>
      </w:r>
    </w:p>
    <w:p w14:paraId="6398CC4F" w14:textId="3673EFE8" w:rsidR="004048FD" w:rsidRDefault="008D3AB9" w:rsidP="00C2028A">
      <w:pPr>
        <w:rPr>
          <w:lang w:val="en-US"/>
        </w:rPr>
      </w:pPr>
      <w:r w:rsidRPr="00FB1BAD">
        <w:rPr>
          <w:lang w:val="en-US"/>
        </w:rPr>
        <w:t xml:space="preserve">When DCVs </w:t>
      </w:r>
      <w:r w:rsidR="000C52E1" w:rsidRPr="00FB1BAD">
        <w:rPr>
          <w:lang w:val="en-US"/>
        </w:rPr>
        <w:t xml:space="preserve">or recreational vessels </w:t>
      </w:r>
      <w:r w:rsidRPr="00FB1BAD">
        <w:rPr>
          <w:lang w:val="en-US"/>
        </w:rPr>
        <w:t>create a wreck</w:t>
      </w:r>
      <w:r w:rsidR="00331851" w:rsidRPr="00FB1BAD">
        <w:rPr>
          <w:lang w:val="en-US"/>
        </w:rPr>
        <w:t xml:space="preserve"> in the </w:t>
      </w:r>
      <w:r w:rsidR="00203585" w:rsidRPr="00FB1BAD">
        <w:rPr>
          <w:lang w:val="en-US"/>
        </w:rPr>
        <w:t>coastal waters</w:t>
      </w:r>
      <w:r w:rsidRPr="00FB1BAD">
        <w:rPr>
          <w:lang w:val="en-US"/>
        </w:rPr>
        <w:t xml:space="preserve">, </w:t>
      </w:r>
      <w:r w:rsidR="0073375F" w:rsidRPr="00FB1BAD">
        <w:rPr>
          <w:lang w:val="en-US"/>
        </w:rPr>
        <w:t xml:space="preserve">removal </w:t>
      </w:r>
      <w:r w:rsidRPr="00FB1BAD">
        <w:rPr>
          <w:lang w:val="en-US"/>
        </w:rPr>
        <w:t>is the responsibility of the relevant state or territory government</w:t>
      </w:r>
      <w:r w:rsidR="004A2BB3">
        <w:rPr>
          <w:lang w:val="en-US"/>
        </w:rPr>
        <w:t xml:space="preserve"> under subsection </w:t>
      </w:r>
      <w:r w:rsidR="004A2BB3" w:rsidRPr="00B703F0">
        <w:t>6(2)(viii</w:t>
      </w:r>
      <w:r w:rsidR="004A2BB3">
        <w:t xml:space="preserve">) of the </w:t>
      </w:r>
      <w:r w:rsidR="004A2BB3" w:rsidRPr="00B703F0">
        <w:rPr>
          <w:i/>
        </w:rPr>
        <w:t>Marine Safety (Domestic Commercial Vessel) National Law Act 2012</w:t>
      </w:r>
      <w:r w:rsidR="004A2BB3" w:rsidRPr="00B703F0">
        <w:t xml:space="preserve"> (the National Law)</w:t>
      </w:r>
      <w:r w:rsidR="004A2BB3">
        <w:t>.</w:t>
      </w:r>
      <w:r w:rsidR="00FB1BAD" w:rsidRPr="00FB1BAD">
        <w:rPr>
          <w:lang w:val="en-US"/>
        </w:rPr>
        <w:t xml:space="preserve"> Some jurisdiction</w:t>
      </w:r>
      <w:r w:rsidR="004A2BB3">
        <w:rPr>
          <w:lang w:val="en-US"/>
        </w:rPr>
        <w:t>s</w:t>
      </w:r>
      <w:r w:rsidR="00FB1BAD" w:rsidRPr="00FB1BAD">
        <w:rPr>
          <w:lang w:val="en-US"/>
        </w:rPr>
        <w:t xml:space="preserve"> also </w:t>
      </w:r>
      <w:r w:rsidR="00656874" w:rsidRPr="00FB1BAD">
        <w:rPr>
          <w:lang w:val="en-US"/>
        </w:rPr>
        <w:t>cover</w:t>
      </w:r>
      <w:r w:rsidR="00FB1BAD" w:rsidRPr="00FB1BAD">
        <w:rPr>
          <w:lang w:val="en-US"/>
        </w:rPr>
        <w:t xml:space="preserve"> these vessels in the territorial sea and EEZ</w:t>
      </w:r>
      <w:r w:rsidR="00E848B8">
        <w:rPr>
          <w:lang w:val="en-US"/>
        </w:rPr>
        <w:t xml:space="preserve"> (e.g. New South Wales)</w:t>
      </w:r>
      <w:r w:rsidR="00FB1BAD" w:rsidRPr="00FB1BAD">
        <w:rPr>
          <w:lang w:val="en-US"/>
        </w:rPr>
        <w:t xml:space="preserve">. </w:t>
      </w:r>
      <w:r w:rsidR="002F6FE0" w:rsidRPr="00FB1BAD">
        <w:rPr>
          <w:lang w:val="en-US"/>
        </w:rPr>
        <w:t xml:space="preserve">These </w:t>
      </w:r>
      <w:r w:rsidR="00E36127">
        <w:rPr>
          <w:lang w:val="en-US"/>
        </w:rPr>
        <w:t xml:space="preserve">wreck </w:t>
      </w:r>
      <w:r w:rsidR="002F6FE0" w:rsidRPr="00FB1BAD">
        <w:rPr>
          <w:lang w:val="en-US"/>
        </w:rPr>
        <w:t>incidents are not captured by the Navigation Act</w:t>
      </w:r>
      <w:r w:rsidR="00E71399">
        <w:rPr>
          <w:lang w:val="en-US"/>
        </w:rPr>
        <w:t xml:space="preserve"> as </w:t>
      </w:r>
      <w:r w:rsidR="00325442">
        <w:rPr>
          <w:lang w:val="en-US"/>
        </w:rPr>
        <w:t>it does not apply to DCVs</w:t>
      </w:r>
      <w:r w:rsidR="002F6FE0" w:rsidRPr="00FB1BAD">
        <w:rPr>
          <w:lang w:val="en-US"/>
        </w:rPr>
        <w:t>.</w:t>
      </w:r>
      <w:r w:rsidR="002F6FE0" w:rsidRPr="002F6FE0">
        <w:rPr>
          <w:lang w:val="en-US"/>
        </w:rPr>
        <w:t xml:space="preserve">  </w:t>
      </w:r>
    </w:p>
    <w:p w14:paraId="74DFAADC" w14:textId="75D0E33A" w:rsidR="00C2028A" w:rsidRPr="00B703F0" w:rsidRDefault="00C2028A" w:rsidP="00C2028A">
      <w:r>
        <w:rPr>
          <w:lang w:val="en-US"/>
        </w:rPr>
        <w:t xml:space="preserve">There are </w:t>
      </w:r>
      <w:r w:rsidR="008535EB">
        <w:rPr>
          <w:lang w:val="en-US"/>
        </w:rPr>
        <w:t xml:space="preserve">several </w:t>
      </w:r>
      <w:r>
        <w:rPr>
          <w:lang w:val="en-US"/>
        </w:rPr>
        <w:t>scenarios where the Australian</w:t>
      </w:r>
      <w:r w:rsidR="008535EB">
        <w:rPr>
          <w:lang w:val="en-US"/>
        </w:rPr>
        <w:t xml:space="preserve">, state and territory governments have difficulty </w:t>
      </w:r>
      <w:r>
        <w:rPr>
          <w:lang w:val="en-US"/>
        </w:rPr>
        <w:t>recover</w:t>
      </w:r>
      <w:r w:rsidR="008535EB">
        <w:rPr>
          <w:lang w:val="en-US"/>
        </w:rPr>
        <w:t>ing</w:t>
      </w:r>
      <w:r>
        <w:rPr>
          <w:lang w:val="en-US"/>
        </w:rPr>
        <w:t xml:space="preserve"> cost</w:t>
      </w:r>
      <w:r w:rsidR="008535EB">
        <w:rPr>
          <w:lang w:val="en-US"/>
        </w:rPr>
        <w:t>s,</w:t>
      </w:r>
      <w:r>
        <w:rPr>
          <w:lang w:val="en-US"/>
        </w:rPr>
        <w:t xml:space="preserve"> </w:t>
      </w:r>
      <w:r w:rsidR="002F6FE0">
        <w:rPr>
          <w:lang w:val="en-US"/>
        </w:rPr>
        <w:t>including</w:t>
      </w:r>
      <w:r w:rsidRPr="00B703F0">
        <w:t>:</w:t>
      </w:r>
    </w:p>
    <w:p w14:paraId="43AABACC" w14:textId="3FD1F875" w:rsidR="00C2028A" w:rsidRPr="00B703F0" w:rsidRDefault="00C2028A" w:rsidP="00C2028A">
      <w:pPr>
        <w:pStyle w:val="Bullet1"/>
        <w:numPr>
          <w:ilvl w:val="0"/>
          <w:numId w:val="0"/>
        </w:numPr>
        <w:ind w:left="284" w:hanging="284"/>
        <w:rPr>
          <w:lang w:val="en-AU"/>
        </w:rPr>
      </w:pPr>
      <w:r w:rsidRPr="00B703F0">
        <w:rPr>
          <w:lang w:val="en-AU"/>
        </w:rPr>
        <w:t>•</w:t>
      </w:r>
      <w:r w:rsidRPr="00B703F0">
        <w:rPr>
          <w:lang w:val="en-AU"/>
        </w:rPr>
        <w:tab/>
      </w:r>
      <w:r w:rsidR="00A1111E">
        <w:rPr>
          <w:lang w:val="en-AU"/>
        </w:rPr>
        <w:t xml:space="preserve">where </w:t>
      </w:r>
      <w:r w:rsidRPr="00B703F0">
        <w:rPr>
          <w:lang w:val="en-AU"/>
        </w:rPr>
        <w:t xml:space="preserve">a foreign vessel creates a wreck within Australia’s EEZ. </w:t>
      </w:r>
    </w:p>
    <w:p w14:paraId="07CD0E23" w14:textId="70B49641" w:rsidR="00C2028A" w:rsidRDefault="00C2028A" w:rsidP="00C2028A">
      <w:pPr>
        <w:pStyle w:val="Bullet1"/>
        <w:numPr>
          <w:ilvl w:val="0"/>
          <w:numId w:val="0"/>
        </w:numPr>
        <w:ind w:left="284" w:hanging="284"/>
        <w:rPr>
          <w:lang w:val="en-AU"/>
        </w:rPr>
      </w:pPr>
      <w:r w:rsidRPr="00B703F0">
        <w:rPr>
          <w:lang w:val="en-AU"/>
        </w:rPr>
        <w:t>•</w:t>
      </w:r>
      <w:r w:rsidRPr="00B703F0">
        <w:rPr>
          <w:lang w:val="en-AU"/>
        </w:rPr>
        <w:tab/>
      </w:r>
      <w:r w:rsidR="00A1111E">
        <w:rPr>
          <w:lang w:val="en-AU"/>
        </w:rPr>
        <w:t xml:space="preserve">where </w:t>
      </w:r>
      <w:r w:rsidRPr="00B703F0">
        <w:rPr>
          <w:lang w:val="en-AU"/>
        </w:rPr>
        <w:t>any object from a foreign</w:t>
      </w:r>
      <w:r>
        <w:rPr>
          <w:lang w:val="en-AU"/>
        </w:rPr>
        <w:t xml:space="preserve"> vessel</w:t>
      </w:r>
      <w:r w:rsidRPr="00B703F0">
        <w:rPr>
          <w:lang w:val="en-AU"/>
        </w:rPr>
        <w:t xml:space="preserve"> or </w:t>
      </w:r>
      <w:r>
        <w:rPr>
          <w:lang w:val="en-AU"/>
        </w:rPr>
        <w:t>RAV</w:t>
      </w:r>
      <w:r w:rsidRPr="00B703F0">
        <w:rPr>
          <w:lang w:val="en-AU"/>
        </w:rPr>
        <w:t xml:space="preserve"> </w:t>
      </w:r>
      <w:r>
        <w:rPr>
          <w:lang w:val="en-AU"/>
        </w:rPr>
        <w:t>has</w:t>
      </w:r>
      <w:r w:rsidRPr="00B703F0">
        <w:rPr>
          <w:lang w:val="en-AU"/>
        </w:rPr>
        <w:t xml:space="preserve"> sunk, </w:t>
      </w:r>
      <w:r>
        <w:rPr>
          <w:lang w:val="en-AU"/>
        </w:rPr>
        <w:t xml:space="preserve">become </w:t>
      </w:r>
      <w:r w:rsidRPr="00B703F0">
        <w:rPr>
          <w:lang w:val="en-AU"/>
        </w:rPr>
        <w:t xml:space="preserve">stranded or </w:t>
      </w:r>
      <w:r>
        <w:rPr>
          <w:lang w:val="en-AU"/>
        </w:rPr>
        <w:t xml:space="preserve">is </w:t>
      </w:r>
      <w:r w:rsidRPr="00B703F0">
        <w:rPr>
          <w:lang w:val="en-AU"/>
        </w:rPr>
        <w:t xml:space="preserve">adrift at sea from a </w:t>
      </w:r>
      <w:r w:rsidR="00271F4E">
        <w:rPr>
          <w:lang w:val="en-AU"/>
        </w:rPr>
        <w:t>ship</w:t>
      </w:r>
      <w:r w:rsidRPr="00B703F0">
        <w:rPr>
          <w:lang w:val="en-AU"/>
        </w:rPr>
        <w:t xml:space="preserve"> that is not itself wrecked or in distress,</w:t>
      </w:r>
      <w:r>
        <w:rPr>
          <w:lang w:val="en-AU"/>
        </w:rPr>
        <w:t xml:space="preserve"> including containers</w:t>
      </w:r>
      <w:r w:rsidRPr="00B703F0">
        <w:rPr>
          <w:lang w:val="en-AU"/>
        </w:rPr>
        <w:t xml:space="preserve">. </w:t>
      </w:r>
    </w:p>
    <w:p w14:paraId="5A5513BE" w14:textId="32E76AFE" w:rsidR="00A1111E" w:rsidRPr="00A1111E" w:rsidRDefault="00A1111E" w:rsidP="00A1111E">
      <w:pPr>
        <w:pStyle w:val="Bullet1"/>
      </w:pPr>
      <w:r>
        <w:rPr>
          <w:lang w:val="en-AU"/>
        </w:rPr>
        <w:t>i</w:t>
      </w:r>
      <w:r w:rsidRPr="00A1111E">
        <w:t xml:space="preserve">n </w:t>
      </w:r>
      <w:r w:rsidRPr="00A1111E">
        <w:rPr>
          <w:lang w:val="en-AU"/>
        </w:rPr>
        <w:t>jurisdictions</w:t>
      </w:r>
      <w:r w:rsidRPr="00A1111E">
        <w:t xml:space="preserve"> where</w:t>
      </w:r>
      <w:r w:rsidR="00E36127">
        <w:rPr>
          <w:lang w:val="en-US"/>
        </w:rPr>
        <w:t xml:space="preserve"> wreck</w:t>
      </w:r>
      <w:r w:rsidRPr="00A1111E">
        <w:t xml:space="preserve"> legislation does not apply to </w:t>
      </w:r>
      <w:r w:rsidRPr="00A1111E">
        <w:rPr>
          <w:lang w:val="en-AU"/>
        </w:rPr>
        <w:t xml:space="preserve">DCV </w:t>
      </w:r>
      <w:r w:rsidRPr="00A1111E">
        <w:t>or recreational vesse</w:t>
      </w:r>
      <w:r>
        <w:t>l wrecks beyond coastal waters.</w:t>
      </w:r>
    </w:p>
    <w:p w14:paraId="7C8DEA94" w14:textId="7A979401" w:rsidR="009046DD" w:rsidRPr="008C22C0" w:rsidRDefault="009046DD" w:rsidP="00E46EA5">
      <w:pPr>
        <w:pStyle w:val="Heading4Numbered"/>
        <w:numPr>
          <w:ilvl w:val="0"/>
          <w:numId w:val="0"/>
        </w:numPr>
        <w:ind w:left="1134" w:hanging="1134"/>
        <w:jc w:val="both"/>
      </w:pPr>
      <w:bookmarkStart w:id="18" w:name="_Toc89938394"/>
      <w:bookmarkStart w:id="19" w:name="_Toc96354457"/>
      <w:r w:rsidRPr="008C22C0">
        <w:t>Containers lost at sea</w:t>
      </w:r>
      <w:bookmarkEnd w:id="18"/>
      <w:bookmarkEnd w:id="19"/>
    </w:p>
    <w:p w14:paraId="724FCA99" w14:textId="783DDE7B" w:rsidR="00F65D6D" w:rsidRDefault="00C2028A" w:rsidP="00C2028A">
      <w:pPr>
        <w:rPr>
          <w:rFonts w:ascii="Calibri" w:hAnsi="Calibri" w:cs="Calibri"/>
        </w:rPr>
      </w:pPr>
      <w:r w:rsidRPr="007E1664">
        <w:rPr>
          <w:rFonts w:eastAsia="Times New Roman"/>
        </w:rPr>
        <w:t>Lost containers, which can weigh up to 30,000 kilograms, can become major navigation hazards</w:t>
      </w:r>
      <w:r w:rsidR="0086348F">
        <w:rPr>
          <w:rFonts w:eastAsia="Times New Roman"/>
        </w:rPr>
        <w:t>, as s</w:t>
      </w:r>
      <w:r w:rsidRPr="007E1664">
        <w:rPr>
          <w:rFonts w:eastAsia="Times New Roman"/>
        </w:rPr>
        <w:t xml:space="preserve">ome containers float for several days or weeks. In this case, they are difficult to detect and likely to damage a ship in the event of a collision. Even after sinking, containers </w:t>
      </w:r>
      <w:r w:rsidR="003A73E8">
        <w:rPr>
          <w:rFonts w:eastAsia="Times New Roman"/>
        </w:rPr>
        <w:t>may pose a risk</w:t>
      </w:r>
      <w:r w:rsidRPr="007E1664">
        <w:rPr>
          <w:rFonts w:eastAsia="Times New Roman"/>
        </w:rPr>
        <w:t>, p</w:t>
      </w:r>
      <w:r>
        <w:rPr>
          <w:rFonts w:eastAsia="Times New Roman"/>
        </w:rPr>
        <w:t xml:space="preserve">articularly in case of </w:t>
      </w:r>
      <w:r w:rsidR="00A851A4">
        <w:rPr>
          <w:rFonts w:eastAsia="Times New Roman"/>
        </w:rPr>
        <w:t>snagging</w:t>
      </w:r>
      <w:r w:rsidR="00A851A4" w:rsidRPr="007E1664">
        <w:rPr>
          <w:rFonts w:eastAsia="Times New Roman"/>
        </w:rPr>
        <w:t xml:space="preserve"> </w:t>
      </w:r>
      <w:r w:rsidRPr="007E1664">
        <w:rPr>
          <w:rFonts w:eastAsia="Times New Roman"/>
        </w:rPr>
        <w:t xml:space="preserve">fishing </w:t>
      </w:r>
      <w:r w:rsidR="00A851A4">
        <w:rPr>
          <w:rFonts w:eastAsia="Times New Roman"/>
        </w:rPr>
        <w:t>nets</w:t>
      </w:r>
      <w:r w:rsidRPr="007E1664">
        <w:rPr>
          <w:rFonts w:eastAsia="Times New Roman"/>
        </w:rPr>
        <w:t xml:space="preserve">, which can lead to loss of stability or capsizing for </w:t>
      </w:r>
      <w:r w:rsidR="003A73E8">
        <w:rPr>
          <w:rFonts w:eastAsia="Times New Roman"/>
        </w:rPr>
        <w:t>surrounding</w:t>
      </w:r>
      <w:r w:rsidR="003A73E8" w:rsidRPr="007E1664">
        <w:rPr>
          <w:rFonts w:eastAsia="Times New Roman"/>
        </w:rPr>
        <w:t xml:space="preserve"> </w:t>
      </w:r>
      <w:r w:rsidR="00271F4E">
        <w:rPr>
          <w:rFonts w:eastAsia="Times New Roman"/>
        </w:rPr>
        <w:t>ships</w:t>
      </w:r>
      <w:r w:rsidRPr="007E1664">
        <w:rPr>
          <w:rFonts w:eastAsia="Times New Roman"/>
        </w:rPr>
        <w:t>.</w:t>
      </w:r>
      <w:r>
        <w:rPr>
          <w:rFonts w:eastAsia="Times New Roman"/>
        </w:rPr>
        <w:t xml:space="preserve"> </w:t>
      </w:r>
      <w:r w:rsidRPr="00B703F0">
        <w:rPr>
          <w:rFonts w:ascii="Calibri" w:hAnsi="Calibri" w:cs="Calibri"/>
        </w:rPr>
        <w:t xml:space="preserve">Containers lost at sea may </w:t>
      </w:r>
      <w:r>
        <w:rPr>
          <w:rFonts w:ascii="Calibri" w:hAnsi="Calibri" w:cs="Calibri"/>
        </w:rPr>
        <w:t xml:space="preserve">also </w:t>
      </w:r>
      <w:r w:rsidRPr="00B703F0">
        <w:rPr>
          <w:rFonts w:ascii="Calibri" w:hAnsi="Calibri" w:cs="Calibri"/>
        </w:rPr>
        <w:t>have severe imp</w:t>
      </w:r>
      <w:r>
        <w:rPr>
          <w:rFonts w:ascii="Calibri" w:hAnsi="Calibri" w:cs="Calibri"/>
        </w:rPr>
        <w:t xml:space="preserve">acts on the marine environment, as </w:t>
      </w:r>
      <w:r w:rsidRPr="00B703F0">
        <w:rPr>
          <w:rFonts w:ascii="Calibri" w:hAnsi="Calibri" w:cs="Calibri"/>
        </w:rPr>
        <w:t>container</w:t>
      </w:r>
      <w:r>
        <w:rPr>
          <w:rFonts w:ascii="Calibri" w:hAnsi="Calibri" w:cs="Calibri"/>
        </w:rPr>
        <w:t>s</w:t>
      </w:r>
      <w:r w:rsidRPr="00B703F0">
        <w:rPr>
          <w:rFonts w:ascii="Calibri" w:hAnsi="Calibri" w:cs="Calibri"/>
        </w:rPr>
        <w:t xml:space="preserve"> fallen overboard contribute to marine litter</w:t>
      </w:r>
      <w:r w:rsidR="00A851A4" w:rsidRPr="00A851A4">
        <w:rPr>
          <w:rFonts w:ascii="Calibri" w:hAnsi="Calibri" w:cs="Calibri"/>
        </w:rPr>
        <w:t xml:space="preserve"> </w:t>
      </w:r>
      <w:r w:rsidR="00A851A4">
        <w:rPr>
          <w:rFonts w:ascii="Calibri" w:hAnsi="Calibri" w:cs="Calibri"/>
        </w:rPr>
        <w:t>as they break up and release their contents</w:t>
      </w:r>
      <w:r w:rsidRPr="00B703F0">
        <w:rPr>
          <w:rFonts w:ascii="Calibri" w:hAnsi="Calibri" w:cs="Calibri"/>
        </w:rPr>
        <w:t xml:space="preserve">. The goods transported often contain plastics, contributing the proliferation of micro plastics. Some containers </w:t>
      </w:r>
      <w:r w:rsidR="003A73E8">
        <w:rPr>
          <w:rFonts w:ascii="Calibri" w:hAnsi="Calibri" w:cs="Calibri"/>
        </w:rPr>
        <w:t>hold</w:t>
      </w:r>
      <w:r w:rsidR="003A73E8" w:rsidRPr="00B703F0">
        <w:rPr>
          <w:rFonts w:ascii="Calibri" w:hAnsi="Calibri" w:cs="Calibri"/>
        </w:rPr>
        <w:t xml:space="preserve"> </w:t>
      </w:r>
      <w:r w:rsidRPr="00B703F0">
        <w:rPr>
          <w:rFonts w:ascii="Calibri" w:hAnsi="Calibri" w:cs="Calibri"/>
        </w:rPr>
        <w:t xml:space="preserve">hazardous materials, such as flammable, explosive, toxic and infectious substances, as well as radioactive material. The spread of the contents of the container can take years depending on the degree of degradation of the container. The harmful effects of such a </w:t>
      </w:r>
      <w:r w:rsidR="009545BB">
        <w:rPr>
          <w:rFonts w:ascii="Calibri" w:hAnsi="Calibri" w:cs="Calibri"/>
        </w:rPr>
        <w:t>pollution can therefore be long</w:t>
      </w:r>
      <w:r w:rsidR="009545BB">
        <w:rPr>
          <w:rFonts w:ascii="Calibri" w:hAnsi="Calibri" w:cs="Calibri"/>
        </w:rPr>
        <w:noBreakHyphen/>
      </w:r>
      <w:r w:rsidRPr="00F2158F">
        <w:rPr>
          <w:rFonts w:ascii="Calibri" w:hAnsi="Calibri" w:cs="Calibri"/>
        </w:rPr>
        <w:t>lasting.</w:t>
      </w:r>
      <w:r w:rsidRPr="00F2158F">
        <w:rPr>
          <w:rFonts w:eastAsia="Times New Roman"/>
        </w:rPr>
        <w:t xml:space="preserve"> </w:t>
      </w:r>
      <w:r w:rsidR="007574D5" w:rsidRPr="00F2158F">
        <w:rPr>
          <w:rFonts w:ascii="Calibri" w:hAnsi="Calibri" w:cs="Calibri"/>
        </w:rPr>
        <w:t xml:space="preserve">Over the period 2008 to </w:t>
      </w:r>
      <w:r w:rsidRPr="00F2158F">
        <w:rPr>
          <w:rFonts w:ascii="Calibri" w:hAnsi="Calibri" w:cs="Calibri"/>
        </w:rPr>
        <w:t>2016, the WSC estimate that on average 1,582</w:t>
      </w:r>
      <w:r w:rsidR="00227A7C" w:rsidRPr="00F2158F">
        <w:rPr>
          <w:rFonts w:ascii="Calibri" w:hAnsi="Calibri" w:cs="Calibri"/>
        </w:rPr>
        <w:t> </w:t>
      </w:r>
      <w:r w:rsidRPr="00F2158F">
        <w:rPr>
          <w:rFonts w:ascii="Calibri" w:hAnsi="Calibri" w:cs="Calibri"/>
        </w:rPr>
        <w:t xml:space="preserve">containers </w:t>
      </w:r>
      <w:r w:rsidR="007939B9" w:rsidRPr="00F2158F">
        <w:rPr>
          <w:rFonts w:ascii="Calibri" w:hAnsi="Calibri" w:cs="Calibri"/>
        </w:rPr>
        <w:t>were</w:t>
      </w:r>
      <w:r w:rsidRPr="00F2158F">
        <w:rPr>
          <w:rFonts w:ascii="Calibri" w:hAnsi="Calibri" w:cs="Calibri"/>
        </w:rPr>
        <w:t xml:space="preserve"> lost per year</w:t>
      </w:r>
      <w:r w:rsidR="000733AB" w:rsidRPr="00F2158F">
        <w:rPr>
          <w:rFonts w:ascii="Calibri" w:hAnsi="Calibri" w:cs="Calibri"/>
        </w:rPr>
        <w:t>, across the world</w:t>
      </w:r>
      <w:r w:rsidRPr="00F2158F">
        <w:rPr>
          <w:rFonts w:ascii="Calibri" w:hAnsi="Calibri" w:cs="Calibri"/>
        </w:rPr>
        <w:t>.</w:t>
      </w:r>
      <w:r w:rsidRPr="00F2158F">
        <w:rPr>
          <w:rStyle w:val="FootnoteReference"/>
          <w:rFonts w:ascii="Calibri" w:hAnsi="Calibri" w:cs="Calibri"/>
        </w:rPr>
        <w:footnoteReference w:id="16"/>
      </w:r>
      <w:r w:rsidR="00743AE2" w:rsidRPr="00F2158F">
        <w:rPr>
          <w:rFonts w:ascii="Calibri" w:hAnsi="Calibri" w:cs="Calibri"/>
        </w:rPr>
        <w:t xml:space="preserve"> </w:t>
      </w:r>
      <w:r w:rsidR="00213EC7" w:rsidRPr="00F2158F">
        <w:rPr>
          <w:rFonts w:ascii="Calibri" w:hAnsi="Calibri" w:cs="Calibri"/>
        </w:rPr>
        <w:t xml:space="preserve">The contents of lost containers can also wash up on shore </w:t>
      </w:r>
      <w:r w:rsidR="006E0CE0" w:rsidRPr="00F2158F">
        <w:rPr>
          <w:rFonts w:ascii="Calibri" w:hAnsi="Calibri" w:cs="Calibri"/>
        </w:rPr>
        <w:t xml:space="preserve">resulting in state, territory and local governments </w:t>
      </w:r>
      <w:r w:rsidR="00F65D6D" w:rsidRPr="00F2158F">
        <w:rPr>
          <w:rFonts w:ascii="Calibri" w:hAnsi="Calibri" w:cs="Calibri"/>
        </w:rPr>
        <w:t>launching significant</w:t>
      </w:r>
      <w:r w:rsidR="00F65D6D">
        <w:rPr>
          <w:rFonts w:ascii="Calibri" w:hAnsi="Calibri" w:cs="Calibri"/>
        </w:rPr>
        <w:t xml:space="preserve"> clean up actions to remove hazards to marine operators (e.g. tourism companies and fisherpersons)</w:t>
      </w:r>
      <w:r w:rsidR="005451FC">
        <w:rPr>
          <w:rFonts w:ascii="Calibri" w:hAnsi="Calibri" w:cs="Calibri"/>
        </w:rPr>
        <w:t xml:space="preserve"> and other recreational water and beach goers. </w:t>
      </w:r>
    </w:p>
    <w:p w14:paraId="7F4CC9EC" w14:textId="1D012D8E" w:rsidR="00A851A4" w:rsidRDefault="00A851A4" w:rsidP="00E46EA5">
      <w:pPr>
        <w:pStyle w:val="Heading4Numbered"/>
        <w:numPr>
          <w:ilvl w:val="0"/>
          <w:numId w:val="0"/>
        </w:numPr>
        <w:ind w:left="1134" w:hanging="1134"/>
        <w:jc w:val="both"/>
      </w:pPr>
      <w:bookmarkStart w:id="20" w:name="_Toc89938395"/>
      <w:bookmarkStart w:id="21" w:name="_Toc96354458"/>
      <w:r>
        <w:lastRenderedPageBreak/>
        <w:t>Recent incidents</w:t>
      </w:r>
      <w:bookmarkEnd w:id="20"/>
      <w:bookmarkEnd w:id="21"/>
    </w:p>
    <w:p w14:paraId="72269800" w14:textId="246FD4E9" w:rsidR="007321F2" w:rsidRDefault="00C2028A" w:rsidP="00785D9C">
      <w:r w:rsidRPr="00B703F0">
        <w:t xml:space="preserve">Since 2018 there have been </w:t>
      </w:r>
      <w:r w:rsidR="00362B44">
        <w:t>3</w:t>
      </w:r>
      <w:r w:rsidR="00362B44" w:rsidRPr="00B703F0">
        <w:t xml:space="preserve"> </w:t>
      </w:r>
      <w:r w:rsidRPr="00B703F0">
        <w:t>wreck incidents involving international shipping in Australia, all of which have occurred in the EEZ and involved lost containers from foreign vessels</w:t>
      </w:r>
      <w:r w:rsidR="007321F2">
        <w:t xml:space="preserve"> – the </w:t>
      </w:r>
      <w:r w:rsidR="007321F2" w:rsidRPr="007321F2">
        <w:rPr>
          <w:i/>
        </w:rPr>
        <w:t>YM Efficiency</w:t>
      </w:r>
      <w:r w:rsidR="007321F2">
        <w:t xml:space="preserve">, </w:t>
      </w:r>
      <w:r w:rsidR="007321F2" w:rsidRPr="007321F2">
        <w:rPr>
          <w:i/>
        </w:rPr>
        <w:t>APL England</w:t>
      </w:r>
      <w:r w:rsidR="007321F2">
        <w:t xml:space="preserve"> and </w:t>
      </w:r>
      <w:r w:rsidR="007321F2" w:rsidRPr="007321F2">
        <w:rPr>
          <w:i/>
        </w:rPr>
        <w:t>Navios Unite</w:t>
      </w:r>
      <w:r w:rsidRPr="00B703F0">
        <w:t>.</w:t>
      </w:r>
      <w:r>
        <w:t xml:space="preserve"> </w:t>
      </w:r>
    </w:p>
    <w:p w14:paraId="6CC7C25D" w14:textId="56A03C21" w:rsidR="00785D9C" w:rsidRDefault="007321F2" w:rsidP="00F874FA">
      <w:pPr>
        <w:pStyle w:val="Bullet1"/>
      </w:pPr>
      <w:r>
        <w:t>The</w:t>
      </w:r>
      <w:r w:rsidR="00C2028A">
        <w:t xml:space="preserve"> </w:t>
      </w:r>
      <w:r w:rsidR="00C2028A" w:rsidRPr="00595443">
        <w:rPr>
          <w:i/>
        </w:rPr>
        <w:t>YM Efficiency</w:t>
      </w:r>
      <w:r w:rsidR="00C2028A">
        <w:t xml:space="preserve"> </w:t>
      </w:r>
      <w:r>
        <w:t xml:space="preserve">lost 81 shipping containers </w:t>
      </w:r>
      <w:r w:rsidR="00C2028A" w:rsidRPr="00B703F0">
        <w:t>southeast of Newcastle in 2018</w:t>
      </w:r>
      <w:r w:rsidR="00743AE2">
        <w:t>.</w:t>
      </w:r>
      <w:r w:rsidR="00C2028A" w:rsidRPr="00B703F0">
        <w:t xml:space="preserve"> </w:t>
      </w:r>
      <w:r w:rsidR="00743AE2">
        <w:t>T</w:t>
      </w:r>
      <w:r w:rsidR="00C2028A" w:rsidRPr="00B703F0">
        <w:t xml:space="preserve">he location </w:t>
      </w:r>
      <w:r w:rsidR="005922EE">
        <w:t>of the</w:t>
      </w:r>
      <w:r w:rsidR="00595443" w:rsidRPr="00595443">
        <w:rPr>
          <w:lang w:val="en-AU"/>
        </w:rPr>
        <w:t xml:space="preserve"> containers over the seabed in both </w:t>
      </w:r>
      <w:r w:rsidR="00362B44">
        <w:t xml:space="preserve">the territorial sea and EEZ </w:t>
      </w:r>
      <w:r w:rsidR="00C2028A" w:rsidRPr="00B703F0">
        <w:t xml:space="preserve">and ensuing community impact, clean-up, and engagement with the </w:t>
      </w:r>
      <w:r w:rsidR="00271F4E">
        <w:t>ship</w:t>
      </w:r>
      <w:r w:rsidR="00C2028A" w:rsidRPr="00B703F0">
        <w:t xml:space="preserve"> owner highlighted the complexity and uncertainty of recovering costs to clean up shipping containers under </w:t>
      </w:r>
      <w:r w:rsidR="00BD1A97">
        <w:t>the Navigation Act</w:t>
      </w:r>
      <w:r w:rsidR="00C2028A" w:rsidRPr="00B703F0">
        <w:t xml:space="preserve">. </w:t>
      </w:r>
      <w:r w:rsidR="00E60C2E">
        <w:rPr>
          <w:lang w:val="en-AU"/>
        </w:rPr>
        <w:t xml:space="preserve">The recovery operation cost the federal government around $17 million. </w:t>
      </w:r>
      <w:r w:rsidR="00C2028A" w:rsidRPr="00B703F0">
        <w:t>The ship’s owner, Taiwanese shipping company Yang Min</w:t>
      </w:r>
      <w:r w:rsidR="009545BB">
        <w:t>g, has refused to pay the clean</w:t>
      </w:r>
      <w:r w:rsidR="009545BB">
        <w:noBreakHyphen/>
      </w:r>
      <w:r w:rsidR="00C2028A" w:rsidRPr="00B703F0">
        <w:t>up and salvage costs</w:t>
      </w:r>
      <w:r w:rsidR="00C2028A">
        <w:t xml:space="preserve">. AMSA </w:t>
      </w:r>
      <w:r w:rsidR="003B172C">
        <w:t xml:space="preserve">could not seek to recover these costs </w:t>
      </w:r>
      <w:r w:rsidR="00C2028A">
        <w:t xml:space="preserve">under the Navigation Act and so </w:t>
      </w:r>
      <w:r w:rsidR="00C2028A" w:rsidRPr="00B703F0">
        <w:t>commenced legal proceedings in the Federal Court</w:t>
      </w:r>
      <w:r w:rsidR="00A851A4">
        <w:t xml:space="preserve"> of Australia</w:t>
      </w:r>
      <w:r w:rsidR="00C2028A" w:rsidRPr="00B703F0">
        <w:t xml:space="preserve"> </w:t>
      </w:r>
      <w:r w:rsidR="00C2028A">
        <w:t>under</w:t>
      </w:r>
      <w:r w:rsidR="00BD1A97">
        <w:t xml:space="preserve"> the </w:t>
      </w:r>
      <w:r w:rsidR="00BD1A97" w:rsidRPr="00595443">
        <w:rPr>
          <w:i/>
        </w:rPr>
        <w:t>Protection of the Sea (Civil Liability) Act 1982</w:t>
      </w:r>
      <w:r w:rsidR="002002E3" w:rsidRPr="00595443">
        <w:rPr>
          <w:i/>
        </w:rPr>
        <w:t xml:space="preserve">, </w:t>
      </w:r>
      <w:r w:rsidR="002002E3" w:rsidRPr="006A2E76">
        <w:t>which</w:t>
      </w:r>
      <w:r w:rsidR="002002E3" w:rsidRPr="00595443">
        <w:rPr>
          <w:i/>
        </w:rPr>
        <w:t xml:space="preserve"> </w:t>
      </w:r>
      <w:r w:rsidR="003B172C">
        <w:t xml:space="preserve">has now been settled. </w:t>
      </w:r>
      <w:r w:rsidR="007357DC">
        <w:t xml:space="preserve">Further information on this alternative </w:t>
      </w:r>
      <w:r w:rsidR="00BD6646">
        <w:t>cost recovery</w:t>
      </w:r>
      <w:r w:rsidR="00584B22">
        <w:t xml:space="preserve"> </w:t>
      </w:r>
      <w:r w:rsidR="007357DC">
        <w:t xml:space="preserve">framework is included in Option </w:t>
      </w:r>
      <w:r w:rsidR="007325C6">
        <w:t>1</w:t>
      </w:r>
      <w:r w:rsidR="007357DC">
        <w:t xml:space="preserve">. </w:t>
      </w:r>
    </w:p>
    <w:p w14:paraId="08F75D28" w14:textId="6C085960" w:rsidR="00B465F8" w:rsidRDefault="007321F2" w:rsidP="00B465F8">
      <w:pPr>
        <w:pStyle w:val="Bullet1"/>
      </w:pPr>
      <w:r w:rsidRPr="00114FF4">
        <w:t xml:space="preserve">While travelling to Melbourne from Ningbo, China, the Singapore-flagged containership </w:t>
      </w:r>
      <w:r w:rsidRPr="00C13174">
        <w:rPr>
          <w:i/>
        </w:rPr>
        <w:t>APL England</w:t>
      </w:r>
      <w:r w:rsidRPr="00114FF4">
        <w:t xml:space="preserve"> lost about 50 containers </w:t>
      </w:r>
      <w:r>
        <w:t xml:space="preserve">overboard </w:t>
      </w:r>
      <w:r w:rsidRPr="00114FF4">
        <w:t>during heavy seas southeast of Sydney on 24 May 2020.</w:t>
      </w:r>
      <w:r w:rsidR="00C13174">
        <w:t xml:space="preserve"> </w:t>
      </w:r>
      <w:r w:rsidR="00C13174" w:rsidRPr="00C13174">
        <w:t xml:space="preserve"> To date 15 of the 50 containers lost overboard </w:t>
      </w:r>
      <w:r w:rsidR="00C13174" w:rsidRPr="00B465F8">
        <w:t>have</w:t>
      </w:r>
      <w:r w:rsidR="00C13174" w:rsidRPr="00C13174">
        <w:t xml:space="preserve"> been </w:t>
      </w:r>
      <w:r w:rsidR="00C13174" w:rsidRPr="00B465F8">
        <w:t>recovered</w:t>
      </w:r>
      <w:r w:rsidR="00C13174" w:rsidRPr="00C13174">
        <w:t>.</w:t>
      </w:r>
      <w:r w:rsidR="00D4277F">
        <w:rPr>
          <w:lang w:val="en-AU"/>
        </w:rPr>
        <w:t xml:space="preserve">  APL England’s insurers, Steamship Mutual, reimbursed AMSA’s recovery costs of $22.5 million.</w:t>
      </w:r>
      <w:r w:rsidR="00C13174" w:rsidRPr="00C13174">
        <w:t xml:space="preserve"> The last sighting of a container confirmed to have come from the APL England was on the 31st of May 2020.</w:t>
      </w:r>
      <w:r w:rsidR="00C13174">
        <w:t xml:space="preserve"> The incident is still under investigation by the Australian Transport Safety Bureau and the Master faces charges of </w:t>
      </w:r>
      <w:r w:rsidR="00C13174" w:rsidRPr="00C13174">
        <w:t xml:space="preserve">operating a ship in such a manner to cause pollution or environmental damage and operating an unseaworthy ship. </w:t>
      </w:r>
      <w:r w:rsidR="00C13174">
        <w:t xml:space="preserve">This was the second incident for the </w:t>
      </w:r>
      <w:r w:rsidR="00C13174" w:rsidRPr="00C13174">
        <w:rPr>
          <w:i/>
        </w:rPr>
        <w:t>APL England</w:t>
      </w:r>
      <w:r w:rsidR="00C13174">
        <w:t xml:space="preserve">, in 2016 it lost 37 containers in the Great Australian Bight. </w:t>
      </w:r>
    </w:p>
    <w:p w14:paraId="63CEB8AE" w14:textId="728D14EA" w:rsidR="00C13174" w:rsidRDefault="00C13174" w:rsidP="00B465F8">
      <w:pPr>
        <w:pStyle w:val="Bullet1"/>
      </w:pPr>
      <w:r w:rsidRPr="00D81244">
        <w:t xml:space="preserve">On 25 June 2020, while travelling from Fremantle to Adelaide, the Liberian-flagged container ship </w:t>
      </w:r>
      <w:r w:rsidRPr="00D81244">
        <w:rPr>
          <w:i/>
        </w:rPr>
        <w:t>Navios Unite</w:t>
      </w:r>
      <w:r w:rsidRPr="00D81244">
        <w:t xml:space="preserve"> lost </w:t>
      </w:r>
      <w:r>
        <w:t>3</w:t>
      </w:r>
      <w:r w:rsidR="00055A54">
        <w:t> </w:t>
      </w:r>
      <w:r w:rsidRPr="00D81244">
        <w:t>containers during rough seas about 33 kilometres south-west of Cape Leeuwin.</w:t>
      </w:r>
      <w:r w:rsidR="001E6FF4">
        <w:t xml:space="preserve"> The containers </w:t>
      </w:r>
      <w:r w:rsidR="005C6E8F">
        <w:rPr>
          <w:lang w:val="en-AU"/>
        </w:rPr>
        <w:t>immediately sank without any potential impacts</w:t>
      </w:r>
      <w:r w:rsidR="00D4277F">
        <w:rPr>
          <w:lang w:val="en-AU"/>
        </w:rPr>
        <w:t>, therefore there are no indicative recovery costs to date</w:t>
      </w:r>
      <w:r w:rsidR="001E6FF4">
        <w:t xml:space="preserve">. </w:t>
      </w:r>
    </w:p>
    <w:p w14:paraId="3B05F14C" w14:textId="3371F577" w:rsidR="0073375F" w:rsidRDefault="0073375F" w:rsidP="00785D9C">
      <w:pPr>
        <w:rPr>
          <w:rFonts w:eastAsia="Times New Roman"/>
        </w:rPr>
      </w:pPr>
      <w:r>
        <w:t>B</w:t>
      </w:r>
      <w:r w:rsidRPr="00B703F0">
        <w:t xml:space="preserve">etween </w:t>
      </w:r>
      <w:r>
        <w:rPr>
          <w:rFonts w:eastAsia="Times New Roman"/>
        </w:rPr>
        <w:t>1 July 2018 and 24 </w:t>
      </w:r>
      <w:r w:rsidRPr="00B703F0">
        <w:rPr>
          <w:rFonts w:eastAsia="Times New Roman"/>
        </w:rPr>
        <w:t>March 2021</w:t>
      </w:r>
      <w:r>
        <w:rPr>
          <w:rFonts w:eastAsia="Times New Roman"/>
        </w:rPr>
        <w:t>,</w:t>
      </w:r>
      <w:r w:rsidRPr="00B703F0">
        <w:rPr>
          <w:rFonts w:eastAsia="Times New Roman"/>
        </w:rPr>
        <w:t xml:space="preserve"> </w:t>
      </w:r>
      <w:r w:rsidRPr="00B703F0">
        <w:t>Maritime Safety Queensland</w:t>
      </w:r>
      <w:r>
        <w:t>’s</w:t>
      </w:r>
      <w:r w:rsidRPr="00B703F0">
        <w:t xml:space="preserve"> </w:t>
      </w:r>
      <w:r>
        <w:t xml:space="preserve">War on Wrecks campaign </w:t>
      </w:r>
      <w:r w:rsidR="00227A7C">
        <w:rPr>
          <w:rFonts w:eastAsia="Times New Roman"/>
        </w:rPr>
        <w:t>removed a total of 592 </w:t>
      </w:r>
      <w:r w:rsidRPr="00B703F0">
        <w:rPr>
          <w:rFonts w:eastAsia="Times New Roman"/>
        </w:rPr>
        <w:t xml:space="preserve">wrecks, the vast majority </w:t>
      </w:r>
      <w:r>
        <w:rPr>
          <w:rFonts w:eastAsia="Times New Roman"/>
        </w:rPr>
        <w:t>being</w:t>
      </w:r>
      <w:r w:rsidRPr="00B703F0">
        <w:rPr>
          <w:rFonts w:eastAsia="Times New Roman"/>
        </w:rPr>
        <w:t xml:space="preserve"> recreational vessels.</w:t>
      </w:r>
      <w:r w:rsidR="00595443">
        <w:rPr>
          <w:rFonts w:eastAsia="Times New Roman"/>
        </w:rPr>
        <w:t xml:space="preserve"> It is not known how many of these wrecks would fall within the definition in the Nairobi Convention</w:t>
      </w:r>
      <w:r w:rsidR="00DB1462">
        <w:rPr>
          <w:rFonts w:eastAsia="Times New Roman"/>
        </w:rPr>
        <w:t xml:space="preserve">. </w:t>
      </w:r>
    </w:p>
    <w:p w14:paraId="56950F68" w14:textId="5BD40365" w:rsidR="007357DC" w:rsidRDefault="007357DC" w:rsidP="00E46EA5">
      <w:pPr>
        <w:pStyle w:val="Heading4Numbered"/>
        <w:numPr>
          <w:ilvl w:val="0"/>
          <w:numId w:val="0"/>
        </w:numPr>
        <w:ind w:left="1134" w:hanging="1134"/>
        <w:jc w:val="both"/>
      </w:pPr>
      <w:bookmarkStart w:id="22" w:name="_Toc89938396"/>
      <w:bookmarkStart w:id="23" w:name="_Toc96354459"/>
      <w:r>
        <w:t>Increasing risk</w:t>
      </w:r>
      <w:bookmarkEnd w:id="22"/>
      <w:bookmarkEnd w:id="23"/>
    </w:p>
    <w:p w14:paraId="5B056D75" w14:textId="1759996F" w:rsidR="00591E71" w:rsidRDefault="00CD3188" w:rsidP="00414E37">
      <w:r>
        <w:t>The growth in containerised freight, combined with the COVID-19 pandemic and the surge in demand for e</w:t>
      </w:r>
      <w:r>
        <w:noBreakHyphen/>
        <w:t xml:space="preserve">commerce </w:t>
      </w:r>
      <w:r w:rsidR="00227A7C">
        <w:t>h</w:t>
      </w:r>
      <w:r>
        <w:t xml:space="preserve">as placed supply </w:t>
      </w:r>
      <w:r w:rsidRPr="00B703F0">
        <w:t>chains under increasing pressure. This is driving the demand for bigger containerships carrying containers to a greater height, travelling at full capacity and facing pressures to load/unload ships as quickly as possible.</w:t>
      </w:r>
      <w:r w:rsidRPr="00B703F0">
        <w:rPr>
          <w:rStyle w:val="FootnoteReference"/>
          <w:rFonts w:cstheme="minorHAnsi"/>
        </w:rPr>
        <w:footnoteReference w:id="17"/>
      </w:r>
      <w:r w:rsidRPr="00B703F0">
        <w:t xml:space="preserve"> </w:t>
      </w:r>
      <w:r>
        <w:rPr>
          <w:rFonts w:cstheme="minorHAnsi"/>
        </w:rPr>
        <w:t>BITRE estimates that by 2029</w:t>
      </w:r>
      <w:r w:rsidR="00227A7C">
        <w:rPr>
          <w:rFonts w:cstheme="minorHAnsi"/>
        </w:rPr>
        <w:t>-</w:t>
      </w:r>
      <w:r>
        <w:rPr>
          <w:rFonts w:cstheme="minorHAnsi"/>
        </w:rPr>
        <w:t>20</w:t>
      </w:r>
      <w:r w:rsidRPr="00B703F0">
        <w:rPr>
          <w:rFonts w:cstheme="minorHAnsi"/>
        </w:rPr>
        <w:t>30 the number of containerised imports will double while the number of containerised exports will triple</w:t>
      </w:r>
      <w:r w:rsidRPr="003A40FA">
        <w:rPr>
          <w:rFonts w:cstheme="minorHAnsi"/>
        </w:rPr>
        <w:t xml:space="preserve"> </w:t>
      </w:r>
      <w:r>
        <w:rPr>
          <w:rFonts w:cstheme="minorHAnsi"/>
        </w:rPr>
        <w:t>in Australia</w:t>
      </w:r>
      <w:r w:rsidRPr="00B703F0">
        <w:rPr>
          <w:rFonts w:cstheme="minorHAnsi"/>
        </w:rPr>
        <w:t>. Movements of containers between Australian ports are also estimated to at least double.</w:t>
      </w:r>
      <w:r w:rsidRPr="00B703F0">
        <w:rPr>
          <w:rStyle w:val="FootnoteReference"/>
        </w:rPr>
        <w:footnoteReference w:id="18"/>
      </w:r>
      <w:r>
        <w:rPr>
          <w:rFonts w:cstheme="minorHAnsi"/>
        </w:rPr>
        <w:t xml:space="preserve"> </w:t>
      </w:r>
      <w:r w:rsidR="00414E37" w:rsidRPr="00D43F58">
        <w:t xml:space="preserve">Increasing </w:t>
      </w:r>
      <w:r w:rsidR="00271F4E">
        <w:t>ship</w:t>
      </w:r>
      <w:r w:rsidR="00414E37" w:rsidRPr="00D43F58">
        <w:t xml:space="preserve"> size has been a trend experienced by the shipping industry since the introduction of containerisation. Improving economies of scale through the use of larger </w:t>
      </w:r>
      <w:r w:rsidR="00271F4E">
        <w:t>ships</w:t>
      </w:r>
      <w:r w:rsidR="00414E37" w:rsidRPr="00D43F58">
        <w:t xml:space="preserve"> has contributed to new, large-</w:t>
      </w:r>
      <w:r w:rsidR="00271F4E">
        <w:t>ship</w:t>
      </w:r>
      <w:r w:rsidR="00414E37" w:rsidRPr="00D43F58">
        <w:t xml:space="preserve"> ship building programs in recent years.</w:t>
      </w:r>
      <w:r w:rsidR="00414E37">
        <w:t xml:space="preserve"> </w:t>
      </w:r>
      <w:r w:rsidR="00414E37" w:rsidRPr="00B703F0">
        <w:t xml:space="preserve">The largest container ships </w:t>
      </w:r>
      <w:r w:rsidR="00414E37">
        <w:t xml:space="preserve">currently used </w:t>
      </w:r>
      <w:r w:rsidR="00414E37" w:rsidRPr="00B703F0">
        <w:t xml:space="preserve">have a capacity of more than 20,000 TEUs, with ships </w:t>
      </w:r>
      <w:r w:rsidR="00414E37">
        <w:t>with a capacity to carry</w:t>
      </w:r>
      <w:r w:rsidR="00414E37" w:rsidRPr="00B703F0">
        <w:t xml:space="preserve"> 30,000 TEU’s </w:t>
      </w:r>
      <w:r w:rsidR="00414E37">
        <w:t>under construction</w:t>
      </w:r>
      <w:r w:rsidR="00414E37" w:rsidRPr="00B703F0">
        <w:t>.</w:t>
      </w:r>
      <w:r w:rsidR="00414E37">
        <w:rPr>
          <w:rStyle w:val="FootnoteReference"/>
        </w:rPr>
        <w:footnoteReference w:id="19"/>
      </w:r>
      <w:r w:rsidR="00414E37" w:rsidRPr="00B703F0">
        <w:t xml:space="preserve"> </w:t>
      </w:r>
      <w:r w:rsidR="00985284">
        <w:t xml:space="preserve">Australia </w:t>
      </w:r>
      <w:r w:rsidR="00A9798E">
        <w:t>can</w:t>
      </w:r>
      <w:r w:rsidR="00985284">
        <w:t xml:space="preserve"> </w:t>
      </w:r>
      <w:r w:rsidR="00C3156C">
        <w:t xml:space="preserve">currently </w:t>
      </w:r>
      <w:r w:rsidR="00985284">
        <w:t>accommodat</w:t>
      </w:r>
      <w:r w:rsidR="00A9798E">
        <w:t>e</w:t>
      </w:r>
      <w:r w:rsidR="00985284">
        <w:t xml:space="preserve"> container ships up to a maximum of approximately 8,000 TEU to 10,000 TEU at the Port of Melbourne</w:t>
      </w:r>
      <w:r w:rsidR="005728E8">
        <w:t>, Port of Brisbane</w:t>
      </w:r>
      <w:r w:rsidR="00985284">
        <w:t xml:space="preserve"> and Port Botany</w:t>
      </w:r>
      <w:r w:rsidR="00C3156C">
        <w:t xml:space="preserve"> with a number of other ports looking to expand their operations</w:t>
      </w:r>
      <w:r w:rsidR="005728E8">
        <w:t>.</w:t>
      </w:r>
      <w:r w:rsidR="00327626">
        <w:rPr>
          <w:rStyle w:val="FootnoteReference"/>
        </w:rPr>
        <w:footnoteReference w:id="20"/>
      </w:r>
      <w:r w:rsidR="005728E8">
        <w:t xml:space="preserve"> </w:t>
      </w:r>
      <w:r w:rsidR="00591E71">
        <w:t>However, the larger container ships would still transit through Australia’s EEZ and territorial sea</w:t>
      </w:r>
      <w:r w:rsidR="00D4277F">
        <w:t>,</w:t>
      </w:r>
      <w:r w:rsidR="00591E71">
        <w:t xml:space="preserve"> potentially </w:t>
      </w:r>
      <w:r w:rsidR="00D4277F">
        <w:t xml:space="preserve">increasing the </w:t>
      </w:r>
      <w:r w:rsidR="00591E71">
        <w:t xml:space="preserve"> risk</w:t>
      </w:r>
      <w:r w:rsidR="00D4277F">
        <w:t xml:space="preserve"> of </w:t>
      </w:r>
      <w:r w:rsidR="00574CC3">
        <w:t xml:space="preserve">larger </w:t>
      </w:r>
      <w:r w:rsidR="00D4277F">
        <w:t>container losses and the need for wreck recovery missions</w:t>
      </w:r>
      <w:r w:rsidR="00591E71">
        <w:t xml:space="preserve">. </w:t>
      </w:r>
    </w:p>
    <w:p w14:paraId="5251CF7B" w14:textId="3DF466F3" w:rsidR="00414E37" w:rsidRDefault="00414E37" w:rsidP="00414E37">
      <w:r w:rsidRPr="00B703F0">
        <w:t xml:space="preserve">Climate change is increasing the severity and variability of weather, particularly in </w:t>
      </w:r>
      <w:r w:rsidR="000F33FF">
        <w:t xml:space="preserve">the </w:t>
      </w:r>
      <w:r w:rsidRPr="00B703F0">
        <w:t>Pacific Ocean</w:t>
      </w:r>
      <w:r w:rsidR="001C7C1A">
        <w:t xml:space="preserve"> and is </w:t>
      </w:r>
      <w:r>
        <w:t xml:space="preserve">claimed to have contributed to </w:t>
      </w:r>
      <w:r w:rsidR="00362B44">
        <w:t>3</w:t>
      </w:r>
      <w:r w:rsidR="00F13995" w:rsidRPr="00B703F0">
        <w:t xml:space="preserve"> </w:t>
      </w:r>
      <w:r w:rsidRPr="00B703F0">
        <w:t xml:space="preserve">significant container loss events since November 2020 – the </w:t>
      </w:r>
      <w:r w:rsidRPr="00B703F0">
        <w:rPr>
          <w:i/>
        </w:rPr>
        <w:t>One Apus</w:t>
      </w:r>
      <w:r w:rsidRPr="00B703F0">
        <w:t xml:space="preserve"> lost 1,800 containers, the </w:t>
      </w:r>
      <w:r w:rsidRPr="00B703F0">
        <w:rPr>
          <w:i/>
        </w:rPr>
        <w:t>Maersk Essen</w:t>
      </w:r>
      <w:r w:rsidRPr="00B703F0">
        <w:t xml:space="preserve"> lost 750 containers, and </w:t>
      </w:r>
      <w:r w:rsidRPr="00B703F0">
        <w:rPr>
          <w:i/>
        </w:rPr>
        <w:t>Maersk Eindhoven</w:t>
      </w:r>
      <w:r w:rsidRPr="00B703F0">
        <w:t xml:space="preserve"> lost 260 containers.</w:t>
      </w:r>
      <w:r w:rsidRPr="00B703F0">
        <w:rPr>
          <w:rStyle w:val="FootnoteReference"/>
          <w:rFonts w:cstheme="minorHAnsi"/>
        </w:rPr>
        <w:footnoteReference w:id="21"/>
      </w:r>
      <w:r w:rsidRPr="00B703F0">
        <w:t xml:space="preserve"> </w:t>
      </w:r>
    </w:p>
    <w:p w14:paraId="2676555F" w14:textId="313E71C7" w:rsidR="00677E40" w:rsidRPr="00B703F0" w:rsidRDefault="00677E40" w:rsidP="00677E40">
      <w:r w:rsidRPr="00B703F0">
        <w:t xml:space="preserve">AMSA conducts regular </w:t>
      </w:r>
      <w:r w:rsidR="00DB1462">
        <w:t>P</w:t>
      </w:r>
      <w:r w:rsidRPr="00B703F0">
        <w:t xml:space="preserve">ort </w:t>
      </w:r>
      <w:r w:rsidR="00DB1462">
        <w:t>S</w:t>
      </w:r>
      <w:r w:rsidRPr="00B703F0">
        <w:t xml:space="preserve">tate </w:t>
      </w:r>
      <w:r w:rsidR="00DB1462">
        <w:t>C</w:t>
      </w:r>
      <w:r w:rsidRPr="00B703F0">
        <w:t xml:space="preserve">ontrol inspections of ships entering Australia and </w:t>
      </w:r>
      <w:r w:rsidR="00DB1462">
        <w:t xml:space="preserve">has undertaken </w:t>
      </w:r>
      <w:r w:rsidRPr="00B703F0">
        <w:t xml:space="preserve">focused inspection campaigns to minimise the risk of container loss. Despite these </w:t>
      </w:r>
      <w:r w:rsidR="00DB1462">
        <w:t>efforts</w:t>
      </w:r>
      <w:r>
        <w:t>,</w:t>
      </w:r>
      <w:r w:rsidRPr="00B703F0">
        <w:t xml:space="preserve"> AMSA continues to observe failures of fixed physical securing arrangements on board ships visiting Australia. A focused inspection campaign in 2010 found that 10 per cent of </w:t>
      </w:r>
      <w:r>
        <w:t>ships</w:t>
      </w:r>
      <w:r w:rsidRPr="00B703F0">
        <w:t xml:space="preserve"> inspected </w:t>
      </w:r>
      <w:r w:rsidR="00DB1462">
        <w:t>had</w:t>
      </w:r>
      <w:r w:rsidR="00DB1462" w:rsidRPr="00B703F0">
        <w:t xml:space="preserve"> </w:t>
      </w:r>
      <w:r w:rsidRPr="00B703F0">
        <w:t xml:space="preserve">containers </w:t>
      </w:r>
      <w:r w:rsidR="00DB1462">
        <w:t xml:space="preserve">that </w:t>
      </w:r>
      <w:r w:rsidRPr="00B703F0">
        <w:t xml:space="preserve">were not lashed in accordance with the </w:t>
      </w:r>
      <w:r>
        <w:t>ship’s</w:t>
      </w:r>
      <w:r w:rsidRPr="00B703F0">
        <w:t xml:space="preserve"> cargo securing manual. </w:t>
      </w:r>
      <w:r>
        <w:t>I</w:t>
      </w:r>
      <w:r w:rsidRPr="00B703F0">
        <w:t xml:space="preserve">n </w:t>
      </w:r>
      <w:r w:rsidR="00362B44">
        <w:t>8</w:t>
      </w:r>
      <w:r w:rsidR="00F13995" w:rsidRPr="00B703F0">
        <w:t xml:space="preserve"> </w:t>
      </w:r>
      <w:r w:rsidRPr="00B703F0">
        <w:lastRenderedPageBreak/>
        <w:t xml:space="preserve">per cent of the </w:t>
      </w:r>
      <w:r>
        <w:t>ships</w:t>
      </w:r>
      <w:r w:rsidRPr="00B703F0">
        <w:t xml:space="preserve"> inspected</w:t>
      </w:r>
      <w:r w:rsidR="002E5BBC">
        <w:t>,</w:t>
      </w:r>
      <w:r w:rsidRPr="00B703F0">
        <w:t xml:space="preserve"> the condition of the container lashings and fittings </w:t>
      </w:r>
      <w:r>
        <w:t>were</w:t>
      </w:r>
      <w:r w:rsidRPr="00B703F0">
        <w:t xml:space="preserve"> a cause of concern. The most recent </w:t>
      </w:r>
      <w:r w:rsidRPr="00B703F0">
        <w:rPr>
          <w:rFonts w:cstheme="minorHAnsi"/>
        </w:rPr>
        <w:t>focused</w:t>
      </w:r>
      <w:r w:rsidRPr="00B703F0">
        <w:t xml:space="preserve"> inspection campaign in 2020 on stowage and security of cargo containers found: </w:t>
      </w:r>
    </w:p>
    <w:p w14:paraId="24B5E79E" w14:textId="135AD39B" w:rsidR="00677E40" w:rsidRPr="00B703F0" w:rsidRDefault="00677E40" w:rsidP="00677E40">
      <w:pPr>
        <w:pStyle w:val="Bullet1"/>
        <w:rPr>
          <w:lang w:val="en-AU"/>
        </w:rPr>
      </w:pPr>
      <w:r w:rsidRPr="00B703F0">
        <w:rPr>
          <w:lang w:val="en-AU"/>
        </w:rPr>
        <w:t xml:space="preserve">in </w:t>
      </w:r>
      <w:r w:rsidR="00362B44">
        <w:rPr>
          <w:lang w:val="en-AU"/>
        </w:rPr>
        <w:t>6</w:t>
      </w:r>
      <w:r w:rsidRPr="00B703F0">
        <w:rPr>
          <w:lang w:val="en-AU"/>
        </w:rPr>
        <w:t xml:space="preserve"> per cent of inspections, container stacks exceeded the maximum permissible stack weight.</w:t>
      </w:r>
    </w:p>
    <w:p w14:paraId="71836486" w14:textId="7D598833" w:rsidR="00677E40" w:rsidRPr="00B703F0" w:rsidRDefault="00677E40" w:rsidP="00677E40">
      <w:pPr>
        <w:pStyle w:val="Bullet1"/>
        <w:rPr>
          <w:lang w:val="en-AU"/>
        </w:rPr>
      </w:pPr>
      <w:r w:rsidRPr="00B703F0">
        <w:rPr>
          <w:lang w:val="en-AU"/>
        </w:rPr>
        <w:t xml:space="preserve">in </w:t>
      </w:r>
      <w:r w:rsidR="00362B44">
        <w:rPr>
          <w:lang w:val="en-AU"/>
        </w:rPr>
        <w:t>4</w:t>
      </w:r>
      <w:r w:rsidRPr="00B703F0">
        <w:rPr>
          <w:lang w:val="en-AU"/>
        </w:rPr>
        <w:t xml:space="preserve"> per cent of inspections, cargo was not secured appropriately to prevent potential loss overboard.</w:t>
      </w:r>
    </w:p>
    <w:p w14:paraId="7491CA9E" w14:textId="6ECB0E13" w:rsidR="00677E40" w:rsidRPr="00677E40" w:rsidRDefault="00677E40" w:rsidP="006A2E76">
      <w:pPr>
        <w:pStyle w:val="Bullet1"/>
      </w:pPr>
      <w:r w:rsidRPr="00B703F0">
        <w:rPr>
          <w:lang w:val="en-AU"/>
        </w:rPr>
        <w:t xml:space="preserve">significant deficiencies in </w:t>
      </w:r>
      <w:r w:rsidR="00362B44">
        <w:rPr>
          <w:lang w:val="en-AU"/>
        </w:rPr>
        <w:t>2</w:t>
      </w:r>
      <w:r w:rsidR="00362B44" w:rsidRPr="00B703F0">
        <w:rPr>
          <w:lang w:val="en-AU"/>
        </w:rPr>
        <w:t xml:space="preserve"> </w:t>
      </w:r>
      <w:r w:rsidRPr="00B703F0">
        <w:rPr>
          <w:lang w:val="en-AU"/>
        </w:rPr>
        <w:t>ships which lead to their detention due to the incorrect use of portable lashing equipment and defective cargo securing pins.</w:t>
      </w:r>
      <w:r w:rsidRPr="00B703F0">
        <w:rPr>
          <w:rStyle w:val="FootnoteReference"/>
          <w:lang w:val="en-AU"/>
        </w:rPr>
        <w:footnoteReference w:id="22"/>
      </w:r>
    </w:p>
    <w:p w14:paraId="546C3502" w14:textId="75A25113" w:rsidR="003B172C" w:rsidRDefault="00C2028A" w:rsidP="003B172C">
      <w:pPr>
        <w:rPr>
          <w:rFonts w:eastAsia="Times New Roman"/>
        </w:rPr>
      </w:pPr>
      <w:r>
        <w:t xml:space="preserve">With Australia’s increasing ship movements, including container ships, through our unique and </w:t>
      </w:r>
      <w:r w:rsidR="000F33FF">
        <w:t xml:space="preserve">highly valued </w:t>
      </w:r>
      <w:r>
        <w:rPr>
          <w:rFonts w:eastAsia="Times New Roman"/>
        </w:rPr>
        <w:t xml:space="preserve">marine environment it is important to have strong wreck-related laws for when incidents occur. The public will expect </w:t>
      </w:r>
      <w:r w:rsidR="000F33FF">
        <w:rPr>
          <w:rFonts w:eastAsia="Times New Roman"/>
        </w:rPr>
        <w:t xml:space="preserve">the shipping company to pay for the costs to clean up and </w:t>
      </w:r>
      <w:r w:rsidR="00EF1BBD">
        <w:rPr>
          <w:rFonts w:eastAsia="Times New Roman"/>
        </w:rPr>
        <w:t>wreck removal</w:t>
      </w:r>
      <w:r w:rsidR="000F33FF">
        <w:rPr>
          <w:rFonts w:eastAsia="Times New Roman"/>
        </w:rPr>
        <w:t xml:space="preserve"> rather than the Australian</w:t>
      </w:r>
      <w:r w:rsidR="00213EC7">
        <w:rPr>
          <w:rFonts w:eastAsia="Times New Roman"/>
        </w:rPr>
        <w:t>, state or local</w:t>
      </w:r>
      <w:r w:rsidR="000F33FF">
        <w:rPr>
          <w:rFonts w:eastAsia="Times New Roman"/>
        </w:rPr>
        <w:t xml:space="preserve"> </w:t>
      </w:r>
      <w:r w:rsidR="00213EC7">
        <w:rPr>
          <w:rFonts w:eastAsia="Times New Roman"/>
        </w:rPr>
        <w:t>g</w:t>
      </w:r>
      <w:r w:rsidR="000F33FF">
        <w:rPr>
          <w:rFonts w:eastAsia="Times New Roman"/>
        </w:rPr>
        <w:t>overnment</w:t>
      </w:r>
      <w:r w:rsidR="007C710C">
        <w:rPr>
          <w:rFonts w:eastAsia="Times New Roman"/>
        </w:rPr>
        <w:t>s</w:t>
      </w:r>
      <w:r w:rsidR="000F33FF">
        <w:rPr>
          <w:rFonts w:eastAsia="Times New Roman"/>
        </w:rPr>
        <w:t xml:space="preserve">. </w:t>
      </w:r>
    </w:p>
    <w:p w14:paraId="7FCE40FF" w14:textId="5A3EEBBC" w:rsidR="001E6FF4" w:rsidRPr="00556F67" w:rsidRDefault="001E6FF4" w:rsidP="00556F67">
      <w:pPr>
        <w:pStyle w:val="Heading4Numbered"/>
        <w:numPr>
          <w:ilvl w:val="0"/>
          <w:numId w:val="0"/>
        </w:numPr>
        <w:ind w:left="1134" w:hanging="1134"/>
        <w:jc w:val="both"/>
      </w:pPr>
      <w:r>
        <w:t>Gaps in existing legislation</w:t>
      </w:r>
    </w:p>
    <w:p w14:paraId="276B3C15" w14:textId="755079C1" w:rsidR="001E6FF4" w:rsidRDefault="007B36E0" w:rsidP="003B172C">
      <w:pPr>
        <w:rPr>
          <w:rFonts w:eastAsia="Times New Roman"/>
        </w:rPr>
      </w:pPr>
      <w:r>
        <w:rPr>
          <w:rFonts w:eastAsia="Times New Roman"/>
        </w:rPr>
        <w:t xml:space="preserve">There are </w:t>
      </w:r>
      <w:r w:rsidR="00055A54">
        <w:rPr>
          <w:rFonts w:eastAsia="Times New Roman"/>
        </w:rPr>
        <w:t>3</w:t>
      </w:r>
      <w:r>
        <w:rPr>
          <w:rFonts w:eastAsia="Times New Roman"/>
        </w:rPr>
        <w:t xml:space="preserve"> legislative gaps where the wreck clean-up and its costs fall on the </w:t>
      </w:r>
      <w:r>
        <w:t>Australian, state or territory governments:</w:t>
      </w:r>
    </w:p>
    <w:p w14:paraId="134B72AD" w14:textId="15B69C9F" w:rsidR="002D79B4" w:rsidRPr="00556F67" w:rsidRDefault="007B36E0" w:rsidP="00556F67">
      <w:pPr>
        <w:pStyle w:val="ListLegal1"/>
      </w:pPr>
      <w:r>
        <w:rPr>
          <w:lang w:val="en-AU"/>
        </w:rPr>
        <w:t>A</w:t>
      </w:r>
      <w:r w:rsidRPr="00B703F0">
        <w:rPr>
          <w:lang w:val="en-AU"/>
        </w:rPr>
        <w:t xml:space="preserve"> foreign vessel creates a wreck within Australia’s </w:t>
      </w:r>
      <w:r>
        <w:t>Exclusive Economic Zone (EEZ)</w:t>
      </w:r>
      <w:r>
        <w:rPr>
          <w:lang w:val="en-AU"/>
        </w:rPr>
        <w:t xml:space="preserve">: </w:t>
      </w:r>
      <w:r w:rsidR="00055A54">
        <w:rPr>
          <w:lang w:val="en-AU"/>
        </w:rPr>
        <w:t xml:space="preserve">Under the Navigation Act </w:t>
      </w:r>
      <w:r w:rsidRPr="00B703F0">
        <w:rPr>
          <w:lang w:val="en-AU"/>
        </w:rPr>
        <w:t xml:space="preserve">AMSA only has powers over wrecks </w:t>
      </w:r>
      <w:r>
        <w:rPr>
          <w:lang w:val="en-AU"/>
        </w:rPr>
        <w:t xml:space="preserve">of foreign vessels when they are </w:t>
      </w:r>
      <w:r w:rsidRPr="00B703F0">
        <w:rPr>
          <w:lang w:val="en-AU"/>
        </w:rPr>
        <w:t>located in Australia’s territorial sea</w:t>
      </w:r>
      <w:r>
        <w:rPr>
          <w:lang w:val="en-AU"/>
        </w:rPr>
        <w:t xml:space="preserve"> due to the freedom of navigation principles enshrined in international law. </w:t>
      </w:r>
    </w:p>
    <w:p w14:paraId="2DB1CC1D" w14:textId="716398F9" w:rsidR="007B36E0" w:rsidRPr="00556F67" w:rsidRDefault="00097B7A" w:rsidP="00556F67">
      <w:pPr>
        <w:pStyle w:val="ListLegal1"/>
      </w:pPr>
      <w:r>
        <w:rPr>
          <w:lang w:val="en-AU"/>
        </w:rPr>
        <w:t xml:space="preserve">An </w:t>
      </w:r>
      <w:r w:rsidRPr="00B703F0">
        <w:rPr>
          <w:lang w:val="en-AU"/>
        </w:rPr>
        <w:t xml:space="preserve">object </w:t>
      </w:r>
      <w:r>
        <w:rPr>
          <w:lang w:val="en-AU"/>
        </w:rPr>
        <w:t xml:space="preserve">(including shipping containers) </w:t>
      </w:r>
      <w:r w:rsidRPr="00B703F0">
        <w:rPr>
          <w:lang w:val="en-AU"/>
        </w:rPr>
        <w:t>from a foreign</w:t>
      </w:r>
      <w:r>
        <w:rPr>
          <w:lang w:val="en-AU"/>
        </w:rPr>
        <w:t xml:space="preserve"> vessel</w:t>
      </w:r>
      <w:r w:rsidRPr="00B703F0">
        <w:rPr>
          <w:lang w:val="en-AU"/>
        </w:rPr>
        <w:t xml:space="preserve"> or </w:t>
      </w:r>
      <w:r>
        <w:t>Regulated Australian Vessel</w:t>
      </w:r>
      <w:r>
        <w:rPr>
          <w:lang w:val="en-US"/>
        </w:rPr>
        <w:t xml:space="preserve"> (RAV)</w:t>
      </w:r>
      <w:r>
        <w:rPr>
          <w:lang w:val="en-AU"/>
        </w:rPr>
        <w:t xml:space="preserve"> is wrecked. </w:t>
      </w:r>
      <w:r w:rsidRPr="00B703F0">
        <w:t>Under the Navigation Act, the definition ‘wreck’ does not cover goods or cargo fallen overboard from a ship that is not itself wrecked, derelict, stranded, sunk, abandoned, foundered or in distress.</w:t>
      </w:r>
      <w:r>
        <w:rPr>
          <w:lang w:val="en-AU"/>
        </w:rPr>
        <w:t xml:space="preserve"> </w:t>
      </w:r>
    </w:p>
    <w:p w14:paraId="0FBDCC31" w14:textId="4A123E39" w:rsidR="00097B7A" w:rsidRPr="00B703F0" w:rsidRDefault="00097B7A" w:rsidP="00556F67">
      <w:pPr>
        <w:ind w:left="284"/>
      </w:pPr>
      <w:r>
        <w:t xml:space="preserve">These are significant gaps that have a real impact on the Australian Government’s ability to recover costs. </w:t>
      </w:r>
      <w:r w:rsidRPr="00B703F0">
        <w:t xml:space="preserve">AMSA have advised that half of the wrecks in the last </w:t>
      </w:r>
      <w:r>
        <w:t>5</w:t>
      </w:r>
      <w:r w:rsidRPr="00B703F0">
        <w:t xml:space="preserve"> years have occurred in the EEZ and involved foreign container ships.</w:t>
      </w:r>
      <w:r w:rsidR="00055A54">
        <w:t xml:space="preserve"> While there is other l</w:t>
      </w:r>
      <w:r w:rsidRPr="00B703F0">
        <w:t xml:space="preserve">egislation that </w:t>
      </w:r>
      <w:r>
        <w:t>can</w:t>
      </w:r>
      <w:r w:rsidRPr="00B703F0">
        <w:t xml:space="preserve"> assist AMSA in responding to a wreck and seeking</w:t>
      </w:r>
      <w:r w:rsidR="00055A54">
        <w:t xml:space="preserve"> to recover wreck-related costs, they are not </w:t>
      </w:r>
      <w:r w:rsidRPr="00B703F0">
        <w:t xml:space="preserve">specifically designed to respond to </w:t>
      </w:r>
      <w:r w:rsidR="00055A54">
        <w:t xml:space="preserve">such an incident so </w:t>
      </w:r>
      <w:r w:rsidRPr="00B703F0">
        <w:t>their suitability is therefore limited</w:t>
      </w:r>
      <w:r>
        <w:t xml:space="preserve"> and</w:t>
      </w:r>
      <w:r w:rsidR="00055A54">
        <w:t xml:space="preserve"> untested </w:t>
      </w:r>
      <w:r>
        <w:t>in court:</w:t>
      </w:r>
    </w:p>
    <w:p w14:paraId="7F4F1A89" w14:textId="7A8E8025" w:rsidR="00097B7A" w:rsidRPr="00B703F0" w:rsidRDefault="00097B7A" w:rsidP="00097B7A">
      <w:pPr>
        <w:pStyle w:val="Bullet1"/>
        <w:ind w:left="567"/>
        <w:rPr>
          <w:lang w:val="en-AU"/>
        </w:rPr>
      </w:pPr>
      <w:r w:rsidRPr="00B703F0">
        <w:rPr>
          <w:lang w:val="en-AU"/>
        </w:rPr>
        <w:t xml:space="preserve">The </w:t>
      </w:r>
      <w:r w:rsidR="00F92EF5" w:rsidRPr="00B703F0">
        <w:rPr>
          <w:i/>
          <w:lang w:val="en-AU"/>
        </w:rPr>
        <w:t>Protection of the Sea (Powers of Intervention) Act 1981</w:t>
      </w:r>
      <w:r w:rsidR="00F92EF5" w:rsidRPr="00B703F0">
        <w:rPr>
          <w:lang w:val="en-AU"/>
        </w:rPr>
        <w:t xml:space="preserve"> </w:t>
      </w:r>
      <w:r w:rsidRPr="00B703F0">
        <w:rPr>
          <w:lang w:val="en-AU"/>
        </w:rPr>
        <w:t xml:space="preserve">provides AMSA with powers to take measures, where they are necessary, to prevent or reduce pollution where oil or a noxious substance is escaping, has escaped or is likely to escape from any ship in Australia’s jurisdiction (including in the EEZ). </w:t>
      </w:r>
    </w:p>
    <w:p w14:paraId="38139C30" w14:textId="6B166BEB" w:rsidR="002D79B4" w:rsidRPr="00097B7A" w:rsidRDefault="00097B7A" w:rsidP="00556F67">
      <w:pPr>
        <w:pStyle w:val="Bullet1"/>
        <w:ind w:left="567"/>
        <w:rPr>
          <w:lang w:val="en-AU"/>
        </w:rPr>
      </w:pPr>
      <w:r w:rsidRPr="00B703F0">
        <w:rPr>
          <w:lang w:val="en-AU"/>
        </w:rPr>
        <w:t xml:space="preserve">Under the </w:t>
      </w:r>
      <w:r w:rsidRPr="00B703F0">
        <w:rPr>
          <w:i/>
          <w:lang w:val="en-AU"/>
        </w:rPr>
        <w:t>Protection of the Sea (Civil Liability) Act 1981</w:t>
      </w:r>
      <w:r w:rsidRPr="00B703F0">
        <w:rPr>
          <w:lang w:val="en-AU"/>
        </w:rPr>
        <w:t xml:space="preserve">, AMSA can recover from an owner of a ship any expenses or liabilities incurred in carrying out the measures taken under the </w:t>
      </w:r>
      <w:r w:rsidRPr="00B703F0">
        <w:rPr>
          <w:i/>
          <w:lang w:val="en-AU"/>
        </w:rPr>
        <w:t>Protection of the Sea (Powers of Intervention) Act 1981</w:t>
      </w:r>
      <w:r w:rsidRPr="00B703F0">
        <w:rPr>
          <w:lang w:val="en-AU"/>
        </w:rPr>
        <w:t>. Alternatively, where AMSA suffers any loss, damage, costs or expenses in preventing or mitigating any pollution damage or threat of pollution in the marine environment, AMSA may recover t</w:t>
      </w:r>
      <w:r>
        <w:rPr>
          <w:lang w:val="en-AU"/>
        </w:rPr>
        <w:t>hose amounts from the owner or M</w:t>
      </w:r>
      <w:r w:rsidRPr="00B703F0">
        <w:rPr>
          <w:lang w:val="en-AU"/>
        </w:rPr>
        <w:t xml:space="preserve">aster. The pollution damage must be a result of a "discharge or disposal" from a ship and the amounts must be </w:t>
      </w:r>
      <w:r w:rsidRPr="002002E3">
        <w:rPr>
          <w:lang w:val="en-AU"/>
        </w:rPr>
        <w:t xml:space="preserve">incurred by AMSA in the performance of its function under s6(1)(a) </w:t>
      </w:r>
      <w:r w:rsidRPr="002002E3">
        <w:rPr>
          <w:i/>
          <w:lang w:val="en-AU"/>
        </w:rPr>
        <w:t>Australian Maritime Safety Authority Act 1990</w:t>
      </w:r>
      <w:r w:rsidRPr="002002E3">
        <w:rPr>
          <w:lang w:val="en-AU"/>
        </w:rPr>
        <w:t xml:space="preserve">. </w:t>
      </w:r>
    </w:p>
    <w:p w14:paraId="2DF7BB73" w14:textId="7300563B" w:rsidR="002D79B4" w:rsidRPr="00556F67" w:rsidRDefault="002D79B4" w:rsidP="00556F67">
      <w:pPr>
        <w:pStyle w:val="ListLegal1"/>
        <w:tabs>
          <w:tab w:val="left" w:pos="709"/>
        </w:tabs>
      </w:pPr>
      <w:r>
        <w:rPr>
          <w:lang w:val="en-AU"/>
        </w:rPr>
        <w:t>DCV or recreational ves</w:t>
      </w:r>
      <w:r w:rsidR="00097B7A">
        <w:rPr>
          <w:lang w:val="en-AU"/>
        </w:rPr>
        <w:t xml:space="preserve">sel creates a wreck in the EEZ:  AMSA does </w:t>
      </w:r>
      <w:r w:rsidR="005166BE">
        <w:rPr>
          <w:lang w:val="en-AU"/>
        </w:rPr>
        <w:t>not</w:t>
      </w:r>
      <w:r w:rsidR="00097B7A">
        <w:rPr>
          <w:lang w:val="en-AU"/>
        </w:rPr>
        <w:t xml:space="preserve"> </w:t>
      </w:r>
      <w:r w:rsidR="00F92EF5">
        <w:rPr>
          <w:lang w:val="en-AU"/>
        </w:rPr>
        <w:t xml:space="preserve">currently </w:t>
      </w:r>
      <w:r w:rsidR="00097B7A">
        <w:rPr>
          <w:lang w:val="en-AU"/>
        </w:rPr>
        <w:t xml:space="preserve">have authority over </w:t>
      </w:r>
      <w:r w:rsidR="005166BE">
        <w:rPr>
          <w:lang w:val="en-AU"/>
        </w:rPr>
        <w:t xml:space="preserve">DCV and recreational vessel </w:t>
      </w:r>
      <w:r w:rsidR="005166BE" w:rsidRPr="00CF1A58">
        <w:rPr>
          <w:i/>
          <w:lang w:val="en-AU"/>
        </w:rPr>
        <w:t>wrecks</w:t>
      </w:r>
      <w:r w:rsidR="00F92EF5">
        <w:rPr>
          <w:lang w:val="en-AU"/>
        </w:rPr>
        <w:t xml:space="preserve"> under the Navigation Act</w:t>
      </w:r>
      <w:r w:rsidR="005166BE">
        <w:rPr>
          <w:lang w:val="en-AU"/>
        </w:rPr>
        <w:t xml:space="preserve">. </w:t>
      </w:r>
      <w:r w:rsidR="005166BE" w:rsidRPr="002B1270">
        <w:rPr>
          <w:lang w:val="en-AU"/>
        </w:rPr>
        <w:t xml:space="preserve">State and territory governments do not </w:t>
      </w:r>
      <w:r w:rsidR="00B02AB0" w:rsidRPr="002B1270">
        <w:rPr>
          <w:lang w:val="en-AU"/>
        </w:rPr>
        <w:t>have authority for wrecks in the EEZ and territorial sea under the Offshore Constitutional Settlement.</w:t>
      </w:r>
    </w:p>
    <w:p w14:paraId="5705979E" w14:textId="1642B008" w:rsidR="00620CD5" w:rsidRPr="00B703F0" w:rsidRDefault="00EF1AEF" w:rsidP="00616E40">
      <w:pPr>
        <w:pStyle w:val="Heading2Numbered"/>
      </w:pPr>
      <w:bookmarkStart w:id="24" w:name="_Toc96354460"/>
      <w:bookmarkStart w:id="25" w:name="_Toc105060770"/>
      <w:r w:rsidRPr="00B703F0">
        <w:t>Case for Government Action</w:t>
      </w:r>
      <w:bookmarkEnd w:id="24"/>
      <w:bookmarkEnd w:id="25"/>
    </w:p>
    <w:p w14:paraId="41D7520F" w14:textId="144EE3A8" w:rsidR="00245B36" w:rsidRDefault="00245B36" w:rsidP="008C22C0">
      <w:r w:rsidRPr="00B703F0">
        <w:t xml:space="preserve">The Australian Government’s </w:t>
      </w:r>
      <w:r>
        <w:t>general approach</w:t>
      </w:r>
      <w:r w:rsidRPr="00B703F0">
        <w:t xml:space="preserve"> is </w:t>
      </w:r>
      <w:r>
        <w:t xml:space="preserve">that </w:t>
      </w:r>
      <w:r w:rsidRPr="00B703F0">
        <w:t xml:space="preserve">polluters should be held financially responsible when their actions threaten navigational safety, Australia’s unique marine environment or maritime industries. </w:t>
      </w:r>
      <w:r>
        <w:t>This is evidenced in many environmental regulatory regimes</w:t>
      </w:r>
      <w:r w:rsidR="00815D5C">
        <w:t xml:space="preserve">, which require a company to hold financial surety for environmental costs in order to be permitted to operate </w:t>
      </w:r>
      <w:r w:rsidR="000F33FF">
        <w:t>(e.g.</w:t>
      </w:r>
      <w:r>
        <w:t xml:space="preserve"> the </w:t>
      </w:r>
      <w:r w:rsidRPr="008C22C0">
        <w:rPr>
          <w:i/>
        </w:rPr>
        <w:t>Offshore Petroleum and Greenhouse Gas Storage Act 2006</w:t>
      </w:r>
      <w:r w:rsidR="000F33FF">
        <w:t>)</w:t>
      </w:r>
      <w:r w:rsidR="00815D5C">
        <w:t>.</w:t>
      </w:r>
      <w:r>
        <w:t xml:space="preserve"> </w:t>
      </w:r>
    </w:p>
    <w:p w14:paraId="2B41AE0A" w14:textId="450CE8C0" w:rsidR="00F6147F" w:rsidRPr="00B703F0" w:rsidRDefault="00F6147F" w:rsidP="00F6147F">
      <w:r w:rsidRPr="00B703F0">
        <w:t xml:space="preserve">The Australian Government is </w:t>
      </w:r>
      <w:r w:rsidR="00245B36">
        <w:t xml:space="preserve">the level of government </w:t>
      </w:r>
      <w:r w:rsidRPr="00B703F0">
        <w:t>best placed to address the problem described above given</w:t>
      </w:r>
      <w:r w:rsidR="00843F65" w:rsidRPr="00B703F0">
        <w:t>:</w:t>
      </w:r>
    </w:p>
    <w:p w14:paraId="11BE7360" w14:textId="6F0D43B4" w:rsidR="00F6147F" w:rsidRPr="00B703F0" w:rsidRDefault="00843F65" w:rsidP="00F6147F">
      <w:pPr>
        <w:pStyle w:val="Bullet1"/>
        <w:rPr>
          <w:lang w:val="en-AU"/>
        </w:rPr>
      </w:pPr>
      <w:r w:rsidRPr="00B703F0">
        <w:rPr>
          <w:lang w:val="en-AU"/>
        </w:rPr>
        <w:t>t</w:t>
      </w:r>
      <w:r w:rsidR="00F6147F" w:rsidRPr="00B703F0">
        <w:rPr>
          <w:lang w:val="en-AU"/>
        </w:rPr>
        <w:t>he Australian Government has constitutional responsibility for international and inters</w:t>
      </w:r>
      <w:r w:rsidRPr="00B703F0">
        <w:rPr>
          <w:lang w:val="en-AU"/>
        </w:rPr>
        <w:t>tate trade and the r</w:t>
      </w:r>
      <w:r w:rsidR="00F6147F" w:rsidRPr="00B703F0">
        <w:rPr>
          <w:lang w:val="en-AU"/>
        </w:rPr>
        <w:t xml:space="preserve">esponsibility </w:t>
      </w:r>
      <w:r w:rsidRPr="00B703F0">
        <w:rPr>
          <w:lang w:val="en-AU"/>
        </w:rPr>
        <w:t>to manage</w:t>
      </w:r>
      <w:r w:rsidR="00F6147F" w:rsidRPr="00B703F0">
        <w:rPr>
          <w:lang w:val="en-AU"/>
        </w:rPr>
        <w:t xml:space="preserve"> the </w:t>
      </w:r>
      <w:r w:rsidR="00635073" w:rsidRPr="00B703F0">
        <w:rPr>
          <w:lang w:val="en-AU"/>
        </w:rPr>
        <w:t>territorial sea</w:t>
      </w:r>
      <w:r w:rsidR="00F6147F" w:rsidRPr="00B703F0">
        <w:rPr>
          <w:lang w:val="en-AU"/>
        </w:rPr>
        <w:t xml:space="preserve"> </w:t>
      </w:r>
      <w:r w:rsidR="00005ECD">
        <w:rPr>
          <w:lang w:val="en-AU"/>
        </w:rPr>
        <w:t xml:space="preserve">(minus coastal waters) </w:t>
      </w:r>
      <w:r w:rsidR="00F6147F" w:rsidRPr="00B703F0">
        <w:rPr>
          <w:lang w:val="en-AU"/>
        </w:rPr>
        <w:t xml:space="preserve">and EEZ. </w:t>
      </w:r>
    </w:p>
    <w:p w14:paraId="525CF720" w14:textId="605D2A84" w:rsidR="00F6147F" w:rsidRPr="00B703F0" w:rsidRDefault="00F6147F" w:rsidP="00F6147F">
      <w:pPr>
        <w:pStyle w:val="Bullet1"/>
        <w:rPr>
          <w:lang w:val="en-AU"/>
        </w:rPr>
      </w:pPr>
      <w:r w:rsidRPr="00B703F0">
        <w:rPr>
          <w:lang w:val="en-AU"/>
        </w:rPr>
        <w:lastRenderedPageBreak/>
        <w:t xml:space="preserve">gaps in </w:t>
      </w:r>
      <w:r w:rsidR="00CF40D6" w:rsidRPr="00B703F0">
        <w:rPr>
          <w:lang w:val="en-AU"/>
        </w:rPr>
        <w:t xml:space="preserve">existing </w:t>
      </w:r>
      <w:r w:rsidRPr="00B703F0">
        <w:rPr>
          <w:lang w:val="en-AU"/>
        </w:rPr>
        <w:t>Commonwealth legislation</w:t>
      </w:r>
      <w:r w:rsidR="000F33FF">
        <w:rPr>
          <w:lang w:val="en-AU"/>
        </w:rPr>
        <w:t xml:space="preserve"> </w:t>
      </w:r>
      <w:r w:rsidRPr="00B703F0">
        <w:rPr>
          <w:lang w:val="en-AU"/>
        </w:rPr>
        <w:t xml:space="preserve">are hampering the Australian Government’s ability to recover </w:t>
      </w:r>
      <w:r w:rsidR="00007C97">
        <w:rPr>
          <w:lang w:val="en-AU"/>
        </w:rPr>
        <w:t>wreck</w:t>
      </w:r>
      <w:r w:rsidR="00007C97">
        <w:rPr>
          <w:lang w:val="en-AU"/>
        </w:rPr>
        <w:noBreakHyphen/>
        <w:t>related c</w:t>
      </w:r>
      <w:r w:rsidRPr="00B703F0">
        <w:rPr>
          <w:lang w:val="en-AU"/>
        </w:rPr>
        <w:t xml:space="preserve">osts. </w:t>
      </w:r>
    </w:p>
    <w:p w14:paraId="53816AE1" w14:textId="28474778" w:rsidR="00F6147F" w:rsidRPr="00B703F0" w:rsidRDefault="00CF40D6" w:rsidP="005B6237">
      <w:pPr>
        <w:pStyle w:val="Bullet1"/>
        <w:rPr>
          <w:lang w:val="en-AU"/>
        </w:rPr>
      </w:pPr>
      <w:r w:rsidRPr="00B703F0">
        <w:rPr>
          <w:lang w:val="en-AU"/>
        </w:rPr>
        <w:t>o</w:t>
      </w:r>
      <w:r w:rsidR="00F6147F" w:rsidRPr="00B703F0">
        <w:rPr>
          <w:lang w:val="en-AU"/>
        </w:rPr>
        <w:t xml:space="preserve">nly the Australian Government </w:t>
      </w:r>
      <w:r w:rsidRPr="00B703F0">
        <w:rPr>
          <w:lang w:val="en-AU"/>
        </w:rPr>
        <w:t xml:space="preserve">has the constitutional authority </w:t>
      </w:r>
      <w:r w:rsidR="00CF1506" w:rsidRPr="00B703F0">
        <w:rPr>
          <w:lang w:val="en-AU"/>
        </w:rPr>
        <w:t xml:space="preserve">to </w:t>
      </w:r>
      <w:r w:rsidR="00F6147F" w:rsidRPr="00B703F0">
        <w:rPr>
          <w:lang w:val="en-AU"/>
        </w:rPr>
        <w:t>a</w:t>
      </w:r>
      <w:r w:rsidR="00CF1506" w:rsidRPr="00B703F0">
        <w:rPr>
          <w:lang w:val="en-AU"/>
        </w:rPr>
        <w:t xml:space="preserve">ccede to </w:t>
      </w:r>
      <w:r w:rsidR="00245B36">
        <w:rPr>
          <w:lang w:val="en-AU"/>
        </w:rPr>
        <w:t>international conventions</w:t>
      </w:r>
      <w:r w:rsidR="005D2345">
        <w:rPr>
          <w:lang w:val="en-AU"/>
        </w:rPr>
        <w:t>,</w:t>
      </w:r>
      <w:r w:rsidR="00245B36">
        <w:rPr>
          <w:lang w:val="en-AU"/>
        </w:rPr>
        <w:t xml:space="preserve"> if that is</w:t>
      </w:r>
      <w:r w:rsidR="00F6147F" w:rsidRPr="00B703F0">
        <w:rPr>
          <w:lang w:val="en-AU"/>
        </w:rPr>
        <w:t xml:space="preserve"> </w:t>
      </w:r>
      <w:r w:rsidR="00D51D9F" w:rsidRPr="00B703F0">
        <w:rPr>
          <w:lang w:val="en-AU"/>
        </w:rPr>
        <w:t xml:space="preserve">the preferred solution </w:t>
      </w:r>
      <w:r w:rsidR="00F6147F" w:rsidRPr="00B703F0">
        <w:rPr>
          <w:lang w:val="en-AU"/>
        </w:rPr>
        <w:t xml:space="preserve">to the problem. </w:t>
      </w:r>
    </w:p>
    <w:p w14:paraId="712ABF1B" w14:textId="11867CCD" w:rsidR="00245B36" w:rsidRPr="00B703F0" w:rsidRDefault="00245B36">
      <w:pPr>
        <w:pStyle w:val="Bullet1"/>
        <w:rPr>
          <w:lang w:val="en-AU"/>
        </w:rPr>
      </w:pPr>
      <w:r w:rsidRPr="00B703F0">
        <w:rPr>
          <w:lang w:val="en-AU"/>
        </w:rPr>
        <w:t xml:space="preserve">where a </w:t>
      </w:r>
      <w:r w:rsidR="00A669A3">
        <w:rPr>
          <w:lang w:val="en-AU"/>
        </w:rPr>
        <w:t>shipping company</w:t>
      </w:r>
      <w:r w:rsidRPr="00B703F0">
        <w:rPr>
          <w:lang w:val="en-AU"/>
        </w:rPr>
        <w:t xml:space="preserve"> does not take responsibility for a wreck, the Australian Government </w:t>
      </w:r>
      <w:r>
        <w:rPr>
          <w:lang w:val="en-AU"/>
        </w:rPr>
        <w:t xml:space="preserve">may have some recourse to </w:t>
      </w:r>
      <w:r w:rsidR="006F4E03">
        <w:rPr>
          <w:lang w:val="en-AU"/>
        </w:rPr>
        <w:t xml:space="preserve">recover the costs of </w:t>
      </w:r>
      <w:r w:rsidR="006F4E03" w:rsidRPr="00B703F0">
        <w:rPr>
          <w:lang w:val="en-AU"/>
        </w:rPr>
        <w:t>locating, marking and removal of the wreck</w:t>
      </w:r>
      <w:r w:rsidR="006F4E03">
        <w:rPr>
          <w:lang w:val="en-AU"/>
        </w:rPr>
        <w:t xml:space="preserve"> under </w:t>
      </w:r>
      <w:r>
        <w:rPr>
          <w:lang w:val="en-AU"/>
        </w:rPr>
        <w:t>other Commonwealth legislation if it can be proved the wreck has, or could, create</w:t>
      </w:r>
      <w:r w:rsidRPr="00B703F0">
        <w:rPr>
          <w:lang w:val="en-AU"/>
        </w:rPr>
        <w:t xml:space="preserve"> marine pollution</w:t>
      </w:r>
      <w:r w:rsidR="006F4E03">
        <w:rPr>
          <w:lang w:val="en-AU"/>
        </w:rPr>
        <w:t xml:space="preserve"> (e.g. </w:t>
      </w:r>
      <w:r w:rsidR="006F4E03" w:rsidRPr="00B703F0">
        <w:rPr>
          <w:lang w:val="en-AU"/>
        </w:rPr>
        <w:t xml:space="preserve">the Protection of the Seas </w:t>
      </w:r>
      <w:r w:rsidR="006F4E03">
        <w:rPr>
          <w:lang w:val="en-AU"/>
        </w:rPr>
        <w:t xml:space="preserve">legislative framework). This will </w:t>
      </w:r>
      <w:r>
        <w:rPr>
          <w:lang w:val="en-AU"/>
        </w:rPr>
        <w:t xml:space="preserve">be discussed further in Option </w:t>
      </w:r>
      <w:r w:rsidR="007325C6">
        <w:rPr>
          <w:lang w:val="en-AU"/>
        </w:rPr>
        <w:t>1</w:t>
      </w:r>
      <w:r>
        <w:rPr>
          <w:lang w:val="en-AU"/>
        </w:rPr>
        <w:t>.</w:t>
      </w:r>
    </w:p>
    <w:p w14:paraId="16A5A41D" w14:textId="7F026C99" w:rsidR="00F6147F" w:rsidRPr="00B703F0" w:rsidRDefault="00F6147F" w:rsidP="00BB53A1">
      <w:pPr>
        <w:pStyle w:val="Bullet1"/>
        <w:numPr>
          <w:ilvl w:val="0"/>
          <w:numId w:val="0"/>
        </w:numPr>
        <w:rPr>
          <w:lang w:val="en-AU"/>
        </w:rPr>
      </w:pPr>
      <w:r w:rsidRPr="00B703F0">
        <w:rPr>
          <w:lang w:val="en-AU"/>
        </w:rPr>
        <w:t>The role of the Australian Government to r</w:t>
      </w:r>
      <w:r w:rsidR="00B703F0">
        <w:rPr>
          <w:lang w:val="en-AU"/>
        </w:rPr>
        <w:t>esolve this problem was recognis</w:t>
      </w:r>
      <w:r w:rsidRPr="00B703F0">
        <w:rPr>
          <w:lang w:val="en-AU"/>
        </w:rPr>
        <w:t xml:space="preserve">ed by the Senate Standing Committee on Rural and Regional Affairs and Transport. In the </w:t>
      </w:r>
      <w:r w:rsidR="002E4021" w:rsidRPr="002E4021">
        <w:rPr>
          <w:i/>
          <w:lang w:val="en-AU"/>
        </w:rPr>
        <w:t>R</w:t>
      </w:r>
      <w:r w:rsidRPr="002E4021">
        <w:rPr>
          <w:i/>
          <w:lang w:val="en-AU"/>
        </w:rPr>
        <w:t xml:space="preserve">eport on the </w:t>
      </w:r>
      <w:r w:rsidR="002E4021">
        <w:rPr>
          <w:i/>
          <w:lang w:val="en-AU"/>
        </w:rPr>
        <w:t>p</w:t>
      </w:r>
      <w:r w:rsidR="00D51D9F" w:rsidRPr="002E4021">
        <w:rPr>
          <w:i/>
          <w:lang w:val="en-AU"/>
        </w:rPr>
        <w:t>olicy</w:t>
      </w:r>
      <w:r w:rsidRPr="002E4021">
        <w:rPr>
          <w:i/>
          <w:lang w:val="en-AU"/>
        </w:rPr>
        <w:t>, regulatory, taxation, administrative and funding priorities for Australian shipping</w:t>
      </w:r>
      <w:r w:rsidRPr="002E4021">
        <w:rPr>
          <w:lang w:val="en-AU"/>
        </w:rPr>
        <w:t xml:space="preserve">, </w:t>
      </w:r>
      <w:r w:rsidR="00D73137" w:rsidRPr="00B703F0">
        <w:rPr>
          <w:lang w:val="en-AU"/>
        </w:rPr>
        <w:t xml:space="preserve">the Senate Standing Committee </w:t>
      </w:r>
      <w:r w:rsidRPr="00B703F0">
        <w:rPr>
          <w:lang w:val="en-AU"/>
        </w:rPr>
        <w:t xml:space="preserve">requested the Australian Government consider </w:t>
      </w:r>
      <w:r w:rsidR="003E27BE">
        <w:rPr>
          <w:lang w:val="en-AU"/>
        </w:rPr>
        <w:t>accession</w:t>
      </w:r>
      <w:r w:rsidRPr="00B703F0">
        <w:rPr>
          <w:lang w:val="en-AU"/>
        </w:rPr>
        <w:t xml:space="preserve"> to the Nairobi Convention and how it would improve the management of wreck identification and removal in Australia.</w:t>
      </w:r>
      <w:r w:rsidR="008C6DD5">
        <w:rPr>
          <w:rStyle w:val="FootnoteReference"/>
          <w:lang w:val="en-AU"/>
        </w:rPr>
        <w:footnoteReference w:id="23"/>
      </w:r>
      <w:r w:rsidRPr="00B703F0">
        <w:rPr>
          <w:lang w:val="en-AU"/>
        </w:rPr>
        <w:t xml:space="preserve"> </w:t>
      </w:r>
    </w:p>
    <w:p w14:paraId="6B95A21B" w14:textId="23584C50" w:rsidR="00F6147F" w:rsidRPr="00B703F0" w:rsidRDefault="00F6147F" w:rsidP="00F6147F">
      <w:r w:rsidRPr="002C317C">
        <w:t xml:space="preserve">While attempts could be made to encourage </w:t>
      </w:r>
      <w:r w:rsidR="002A1883" w:rsidRPr="002C317C">
        <w:t>shipping compan</w:t>
      </w:r>
      <w:r w:rsidR="00332F48" w:rsidRPr="002C317C">
        <w:t>ies</w:t>
      </w:r>
      <w:r w:rsidR="002A1883" w:rsidRPr="002C317C">
        <w:t xml:space="preserve">, </w:t>
      </w:r>
      <w:r w:rsidRPr="002C317C">
        <w:t>ship owners or charterers to take responsibility for</w:t>
      </w:r>
      <w:r w:rsidR="00BB53A1" w:rsidRPr="002C317C">
        <w:t xml:space="preserve"> locating, marking and removal of </w:t>
      </w:r>
      <w:r w:rsidRPr="002C317C">
        <w:t xml:space="preserve">the wrecks they create through a </w:t>
      </w:r>
      <w:r w:rsidR="001A0C33" w:rsidRPr="002C317C">
        <w:t xml:space="preserve">voluntary code of practice or similar </w:t>
      </w:r>
      <w:r w:rsidR="00D73137" w:rsidRPr="002C317C">
        <w:t xml:space="preserve">non-binding </w:t>
      </w:r>
      <w:r w:rsidR="001A0C33" w:rsidRPr="002C317C">
        <w:t>framework</w:t>
      </w:r>
      <w:r w:rsidRPr="002C317C">
        <w:t xml:space="preserve">, it is unlikely to </w:t>
      </w:r>
      <w:r w:rsidR="001A0C33" w:rsidRPr="002C317C">
        <w:t xml:space="preserve">result in </w:t>
      </w:r>
      <w:r w:rsidRPr="002C317C">
        <w:t>adequate cost recovery because:</w:t>
      </w:r>
      <w:r w:rsidRPr="00B703F0">
        <w:t xml:space="preserve"> </w:t>
      </w:r>
    </w:p>
    <w:p w14:paraId="07B6841C" w14:textId="052E9587" w:rsidR="00E23B34" w:rsidRDefault="001A0C33" w:rsidP="005B6237">
      <w:pPr>
        <w:pStyle w:val="Bullet1"/>
        <w:rPr>
          <w:lang w:val="en-AU"/>
        </w:rPr>
      </w:pPr>
      <w:r w:rsidRPr="00B703F0">
        <w:rPr>
          <w:lang w:val="en-AU"/>
        </w:rPr>
        <w:t>p</w:t>
      </w:r>
      <w:r w:rsidR="00F6147F" w:rsidRPr="00B703F0">
        <w:rPr>
          <w:lang w:val="en-AU"/>
        </w:rPr>
        <w:t xml:space="preserve">ast practice has indicated ship owners, and their insurers, have differing opinions </w:t>
      </w:r>
      <w:r w:rsidRPr="00B703F0">
        <w:rPr>
          <w:lang w:val="en-AU"/>
        </w:rPr>
        <w:t xml:space="preserve">from governments </w:t>
      </w:r>
      <w:r w:rsidR="00F6147F" w:rsidRPr="00B703F0">
        <w:rPr>
          <w:lang w:val="en-AU"/>
        </w:rPr>
        <w:t xml:space="preserve">on what wrecks need to be </w:t>
      </w:r>
      <w:r w:rsidR="006A3BA8">
        <w:rPr>
          <w:lang w:val="en-AU"/>
        </w:rPr>
        <w:t>removed</w:t>
      </w:r>
      <w:r w:rsidRPr="00B703F0">
        <w:rPr>
          <w:lang w:val="en-AU"/>
        </w:rPr>
        <w:t xml:space="preserve">, and will not contribute when they do not believe it is necessary. </w:t>
      </w:r>
      <w:r w:rsidR="00D35B6A">
        <w:rPr>
          <w:lang w:val="en-AU"/>
        </w:rPr>
        <w:t>For example,</w:t>
      </w:r>
      <w:r w:rsidR="006714F8">
        <w:rPr>
          <w:lang w:val="en-AU"/>
        </w:rPr>
        <w:t xml:space="preserve"> differing opinions whether a shipping container can safety be left undisturbed or it constitutes marine pollution and poses a risk to local fishers and the community.</w:t>
      </w:r>
    </w:p>
    <w:p w14:paraId="6D17D051" w14:textId="30735522" w:rsidR="00567478" w:rsidRDefault="00172F46" w:rsidP="005B6237">
      <w:pPr>
        <w:pStyle w:val="Bullet1"/>
        <w:rPr>
          <w:lang w:val="en-AU"/>
        </w:rPr>
      </w:pPr>
      <w:r w:rsidRPr="00B703F0">
        <w:rPr>
          <w:lang w:val="en-AU"/>
        </w:rPr>
        <w:t xml:space="preserve">it is unlikely ship owners or charters would be willing to make an </w:t>
      </w:r>
      <w:r w:rsidR="002C317C" w:rsidRPr="00B703F0">
        <w:rPr>
          <w:lang w:val="en-AU"/>
        </w:rPr>
        <w:t>open-ended</w:t>
      </w:r>
      <w:r w:rsidRPr="00B703F0">
        <w:rPr>
          <w:lang w:val="en-AU"/>
        </w:rPr>
        <w:t xml:space="preserve"> </w:t>
      </w:r>
      <w:r w:rsidR="00567478" w:rsidRPr="00B703F0">
        <w:rPr>
          <w:lang w:val="en-AU"/>
        </w:rPr>
        <w:t>commitment</w:t>
      </w:r>
      <w:r w:rsidRPr="00B703F0">
        <w:rPr>
          <w:lang w:val="en-AU"/>
        </w:rPr>
        <w:t xml:space="preserve"> of this nature given the </w:t>
      </w:r>
      <w:r w:rsidR="00884A57">
        <w:rPr>
          <w:lang w:val="en-AU"/>
        </w:rPr>
        <w:t xml:space="preserve">potential </w:t>
      </w:r>
      <w:r w:rsidRPr="00B703F0">
        <w:rPr>
          <w:lang w:val="en-AU"/>
        </w:rPr>
        <w:t xml:space="preserve">size of </w:t>
      </w:r>
      <w:r w:rsidR="00712BAF">
        <w:rPr>
          <w:lang w:val="en-AU"/>
        </w:rPr>
        <w:t>any</w:t>
      </w:r>
      <w:r w:rsidR="00712BAF" w:rsidRPr="00B703F0">
        <w:rPr>
          <w:lang w:val="en-AU"/>
        </w:rPr>
        <w:t xml:space="preserve"> </w:t>
      </w:r>
      <w:r w:rsidR="00567478" w:rsidRPr="00B703F0">
        <w:rPr>
          <w:lang w:val="en-AU"/>
        </w:rPr>
        <w:t xml:space="preserve">financial liability. </w:t>
      </w:r>
      <w:r w:rsidR="00F6147F" w:rsidRPr="00B703F0">
        <w:rPr>
          <w:lang w:val="en-AU"/>
        </w:rPr>
        <w:t xml:space="preserve">In the case of the </w:t>
      </w:r>
      <w:r w:rsidR="00F6147F" w:rsidRPr="00B703F0">
        <w:rPr>
          <w:i/>
          <w:lang w:val="en-AU"/>
        </w:rPr>
        <w:t>YM Efficiency</w:t>
      </w:r>
      <w:r w:rsidR="00F6147F" w:rsidRPr="00B703F0">
        <w:rPr>
          <w:lang w:val="en-AU"/>
        </w:rPr>
        <w:t>, the Australian Governme</w:t>
      </w:r>
      <w:r w:rsidR="00884A57">
        <w:rPr>
          <w:lang w:val="en-AU"/>
        </w:rPr>
        <w:t>nt</w:t>
      </w:r>
      <w:r w:rsidR="003B172C">
        <w:rPr>
          <w:lang w:val="en-AU"/>
        </w:rPr>
        <w:t xml:space="preserve"> </w:t>
      </w:r>
      <w:r w:rsidR="00C6568B">
        <w:rPr>
          <w:lang w:val="en-AU"/>
        </w:rPr>
        <w:t>sought</w:t>
      </w:r>
      <w:r w:rsidR="003B172C">
        <w:rPr>
          <w:lang w:val="en-AU"/>
        </w:rPr>
        <w:t xml:space="preserve"> to recover a debt of</w:t>
      </w:r>
      <w:r w:rsidR="00884A57">
        <w:rPr>
          <w:lang w:val="en-AU"/>
        </w:rPr>
        <w:t xml:space="preserve"> approximately $2</w:t>
      </w:r>
      <w:r w:rsidR="006C3E27">
        <w:rPr>
          <w:lang w:val="en-AU"/>
        </w:rPr>
        <w:t>0</w:t>
      </w:r>
      <w:r w:rsidR="00884A57">
        <w:rPr>
          <w:lang w:val="en-AU"/>
        </w:rPr>
        <w:t> </w:t>
      </w:r>
      <w:r w:rsidR="00F6147F" w:rsidRPr="00B703F0">
        <w:rPr>
          <w:lang w:val="en-AU"/>
        </w:rPr>
        <w:t>millio</w:t>
      </w:r>
      <w:r w:rsidR="003B172C">
        <w:rPr>
          <w:lang w:val="en-AU"/>
        </w:rPr>
        <w:t xml:space="preserve">n, including </w:t>
      </w:r>
      <w:r w:rsidR="000F33FF">
        <w:rPr>
          <w:lang w:val="en-AU"/>
        </w:rPr>
        <w:t>the removal and</w:t>
      </w:r>
      <w:r w:rsidR="00F6147F" w:rsidRPr="00B703F0">
        <w:rPr>
          <w:lang w:val="en-AU"/>
        </w:rPr>
        <w:t xml:space="preserve"> dispos</w:t>
      </w:r>
      <w:r w:rsidR="000F33FF">
        <w:rPr>
          <w:lang w:val="en-AU"/>
        </w:rPr>
        <w:t>al</w:t>
      </w:r>
      <w:r w:rsidR="00F6147F" w:rsidRPr="00B703F0">
        <w:rPr>
          <w:lang w:val="en-AU"/>
        </w:rPr>
        <w:t xml:space="preserve"> of the wreck. </w:t>
      </w:r>
      <w:r w:rsidR="00567478" w:rsidRPr="00B703F0">
        <w:rPr>
          <w:lang w:val="en-AU"/>
        </w:rPr>
        <w:t xml:space="preserve">The amount could be significantly more if the incident occurred in a sensitive </w:t>
      </w:r>
      <w:r w:rsidR="006714F8" w:rsidRPr="00B703F0">
        <w:rPr>
          <w:lang w:val="en-AU"/>
        </w:rPr>
        <w:t xml:space="preserve">marine </w:t>
      </w:r>
      <w:r w:rsidR="00567478" w:rsidRPr="00B703F0">
        <w:rPr>
          <w:lang w:val="en-AU"/>
        </w:rPr>
        <w:t>area like the Great Barrier Reef</w:t>
      </w:r>
      <w:r w:rsidR="00D35B6A">
        <w:rPr>
          <w:lang w:val="en-AU"/>
        </w:rPr>
        <w:t xml:space="preserve">, </w:t>
      </w:r>
      <w:r w:rsidR="00942AE4">
        <w:rPr>
          <w:lang w:val="en-AU"/>
        </w:rPr>
        <w:t xml:space="preserve">involved </w:t>
      </w:r>
      <w:r w:rsidR="00D35B6A">
        <w:rPr>
          <w:lang w:val="en-AU"/>
        </w:rPr>
        <w:t>a larger number of containers,</w:t>
      </w:r>
      <w:r w:rsidR="00567478" w:rsidRPr="00B703F0">
        <w:rPr>
          <w:lang w:val="en-AU"/>
        </w:rPr>
        <w:t xml:space="preserve"> or was of a particularly difficult nature to remove</w:t>
      </w:r>
      <w:r w:rsidR="00D35B6A">
        <w:rPr>
          <w:lang w:val="en-AU"/>
        </w:rPr>
        <w:t xml:space="preserve"> – </w:t>
      </w:r>
      <w:r w:rsidR="00567478" w:rsidRPr="00B703F0">
        <w:rPr>
          <w:lang w:val="en-AU"/>
        </w:rPr>
        <w:t>such as</w:t>
      </w:r>
      <w:r w:rsidR="00884A57">
        <w:rPr>
          <w:lang w:val="en-AU"/>
        </w:rPr>
        <w:t xml:space="preserve"> a</w:t>
      </w:r>
      <w:r w:rsidR="00944DD2">
        <w:rPr>
          <w:lang w:val="en-AU"/>
        </w:rPr>
        <w:t xml:space="preserve"> lost cargo of plastic pellets as occurred with the </w:t>
      </w:r>
      <w:r w:rsidR="00944DD2" w:rsidRPr="00944DD2">
        <w:rPr>
          <w:i/>
          <w:lang w:val="en-AU"/>
        </w:rPr>
        <w:t>MV X</w:t>
      </w:r>
      <w:r w:rsidR="003B172C">
        <w:rPr>
          <w:i/>
          <w:lang w:val="en-AU"/>
        </w:rPr>
        <w:noBreakHyphen/>
      </w:r>
      <w:r w:rsidR="00944DD2" w:rsidRPr="00944DD2">
        <w:rPr>
          <w:i/>
          <w:lang w:val="en-AU"/>
        </w:rPr>
        <w:t>Press Pearl</w:t>
      </w:r>
      <w:r w:rsidR="00944DD2">
        <w:rPr>
          <w:lang w:val="en-AU"/>
        </w:rPr>
        <w:t xml:space="preserve"> in Sri Lanka.</w:t>
      </w:r>
      <w:r w:rsidR="00944DD2">
        <w:rPr>
          <w:rStyle w:val="FootnoteReference"/>
          <w:lang w:val="en-AU"/>
        </w:rPr>
        <w:footnoteReference w:id="24"/>
      </w:r>
      <w:r w:rsidR="00944DD2">
        <w:rPr>
          <w:lang w:val="en-AU"/>
        </w:rPr>
        <w:t xml:space="preserve"> </w:t>
      </w:r>
    </w:p>
    <w:p w14:paraId="627535BD" w14:textId="42E9B2B1" w:rsidR="009C500A" w:rsidRPr="00B703F0" w:rsidRDefault="00A44C67" w:rsidP="00E224A4">
      <w:pPr>
        <w:pStyle w:val="Bullet1"/>
        <w:rPr>
          <w:lang w:val="en-AU"/>
        </w:rPr>
      </w:pPr>
      <w:r w:rsidRPr="00B703F0">
        <w:rPr>
          <w:lang w:val="en-AU"/>
        </w:rPr>
        <w:t>w</w:t>
      </w:r>
      <w:r w:rsidR="00F6147F" w:rsidRPr="00B703F0">
        <w:rPr>
          <w:lang w:val="en-AU"/>
        </w:rPr>
        <w:t xml:space="preserve">hile an incident may fall within the scope of the voluntary </w:t>
      </w:r>
      <w:r w:rsidRPr="00B703F0">
        <w:rPr>
          <w:lang w:val="en-AU"/>
        </w:rPr>
        <w:t>code of practice</w:t>
      </w:r>
      <w:r w:rsidR="00F6147F" w:rsidRPr="00B703F0">
        <w:rPr>
          <w:lang w:val="en-AU"/>
        </w:rPr>
        <w:t xml:space="preserve">, </w:t>
      </w:r>
      <w:r w:rsidR="00E224A4">
        <w:rPr>
          <w:lang w:val="en-AU"/>
        </w:rPr>
        <w:t>the situation may not be sufficient to trigger a payout under a ship owner’s wreck</w:t>
      </w:r>
      <w:r w:rsidR="00C94CD4">
        <w:rPr>
          <w:lang w:val="en-AU"/>
        </w:rPr>
        <w:t>-related</w:t>
      </w:r>
      <w:r w:rsidR="00E224A4">
        <w:rPr>
          <w:lang w:val="en-AU"/>
        </w:rPr>
        <w:t xml:space="preserve"> insurance policy. </w:t>
      </w:r>
      <w:r w:rsidR="00F6147F" w:rsidRPr="00B703F0">
        <w:rPr>
          <w:lang w:val="en-AU"/>
        </w:rPr>
        <w:t xml:space="preserve">This could result in the situation where a ship owner </w:t>
      </w:r>
      <w:r w:rsidRPr="00B703F0">
        <w:rPr>
          <w:lang w:val="en-AU"/>
        </w:rPr>
        <w:t xml:space="preserve">may </w:t>
      </w:r>
      <w:r w:rsidR="00F6147F" w:rsidRPr="00B703F0">
        <w:rPr>
          <w:lang w:val="en-AU"/>
        </w:rPr>
        <w:t xml:space="preserve">wish to pay for wreck removal but does not have the funds because the insurer </w:t>
      </w:r>
      <w:r w:rsidRPr="00B703F0">
        <w:rPr>
          <w:lang w:val="en-AU"/>
        </w:rPr>
        <w:t>has denied the claim</w:t>
      </w:r>
      <w:r w:rsidR="00F6147F" w:rsidRPr="00B703F0">
        <w:rPr>
          <w:lang w:val="en-AU"/>
        </w:rPr>
        <w:t xml:space="preserve">. </w:t>
      </w:r>
    </w:p>
    <w:p w14:paraId="30AEBB7D" w14:textId="675BC653" w:rsidR="00205596" w:rsidRPr="00B703F0" w:rsidRDefault="003E27BE" w:rsidP="00205596">
      <w:pPr>
        <w:pStyle w:val="Heading2Numbered"/>
      </w:pPr>
      <w:bookmarkStart w:id="26" w:name="_Toc96354461"/>
      <w:bookmarkStart w:id="27" w:name="_Toc105060771"/>
      <w:r>
        <w:t>Objectives of the R</w:t>
      </w:r>
      <w:r w:rsidR="00205596" w:rsidRPr="00B703F0">
        <w:t xml:space="preserve">egulatory </w:t>
      </w:r>
      <w:r>
        <w:t>Impact S</w:t>
      </w:r>
      <w:r w:rsidR="00205596" w:rsidRPr="00B703F0">
        <w:t>tatement</w:t>
      </w:r>
      <w:bookmarkEnd w:id="26"/>
      <w:bookmarkEnd w:id="27"/>
    </w:p>
    <w:p w14:paraId="270A7D48" w14:textId="4BB277DD" w:rsidR="00F47E89" w:rsidRPr="00B703F0" w:rsidRDefault="00794ECB" w:rsidP="00F47E89">
      <w:r w:rsidRPr="00B703F0">
        <w:t>Th</w:t>
      </w:r>
      <w:r w:rsidR="005B6237" w:rsidRPr="00B703F0">
        <w:t>is</w:t>
      </w:r>
      <w:r w:rsidRPr="00B703F0">
        <w:t xml:space="preserve"> RIS will assess the opt</w:t>
      </w:r>
      <w:r w:rsidR="003C5C98" w:rsidRPr="00B703F0">
        <w:t>ions to improve the Australian G</w:t>
      </w:r>
      <w:r w:rsidRPr="00B703F0">
        <w:t>overnment’</w:t>
      </w:r>
      <w:r w:rsidR="007E435D" w:rsidRPr="00B703F0">
        <w:t xml:space="preserve">s cost recovery measures </w:t>
      </w:r>
      <w:r w:rsidR="00F77629" w:rsidRPr="00B703F0">
        <w:t>following wrecks</w:t>
      </w:r>
      <w:r w:rsidR="00F26E9F" w:rsidRPr="00B703F0">
        <w:t xml:space="preserve"> </w:t>
      </w:r>
      <w:r w:rsidR="00AA7DC6">
        <w:t>through</w:t>
      </w:r>
      <w:r w:rsidR="0086666A">
        <w:t xml:space="preserve"> accession to the Nairobi Convention </w:t>
      </w:r>
      <w:r w:rsidR="007E435D" w:rsidRPr="00B703F0">
        <w:t>against the following objectives:</w:t>
      </w:r>
    </w:p>
    <w:p w14:paraId="542E9549" w14:textId="7A4225B3" w:rsidR="009228D6" w:rsidRPr="00B703F0" w:rsidRDefault="003C5C98" w:rsidP="00496C48">
      <w:pPr>
        <w:pStyle w:val="Bullet1"/>
        <w:rPr>
          <w:lang w:val="en-AU"/>
        </w:rPr>
      </w:pPr>
      <w:r w:rsidRPr="00B703F0">
        <w:rPr>
          <w:lang w:val="en-AU"/>
        </w:rPr>
        <w:t>e</w:t>
      </w:r>
      <w:r w:rsidR="0054024D" w:rsidRPr="00B703F0">
        <w:rPr>
          <w:lang w:val="en-AU"/>
        </w:rPr>
        <w:t>nhanc</w:t>
      </w:r>
      <w:r w:rsidR="005B6237" w:rsidRPr="00B703F0">
        <w:rPr>
          <w:lang w:val="en-AU"/>
        </w:rPr>
        <w:t>ing</w:t>
      </w:r>
      <w:r w:rsidRPr="00B703F0">
        <w:rPr>
          <w:lang w:val="en-AU"/>
        </w:rPr>
        <w:t xml:space="preserve"> the</w:t>
      </w:r>
      <w:r w:rsidR="0054024D" w:rsidRPr="00B703F0">
        <w:rPr>
          <w:lang w:val="en-AU"/>
        </w:rPr>
        <w:t xml:space="preserve"> ability to locate,</w:t>
      </w:r>
      <w:r w:rsidR="003428BB" w:rsidRPr="00B703F0">
        <w:rPr>
          <w:lang w:val="en-AU"/>
        </w:rPr>
        <w:t xml:space="preserve"> mark or remov</w:t>
      </w:r>
      <w:r w:rsidR="0054024D" w:rsidRPr="00B703F0">
        <w:rPr>
          <w:lang w:val="en-AU"/>
        </w:rPr>
        <w:t>e</w:t>
      </w:r>
      <w:r w:rsidR="003428BB" w:rsidRPr="00B703F0">
        <w:rPr>
          <w:lang w:val="en-AU"/>
        </w:rPr>
        <w:t xml:space="preserve"> </w:t>
      </w:r>
      <w:r w:rsidR="000C5302" w:rsidRPr="00B703F0">
        <w:rPr>
          <w:lang w:val="en-AU"/>
        </w:rPr>
        <w:t xml:space="preserve">wrecks as effectively as possible </w:t>
      </w:r>
      <w:r w:rsidR="003428BB" w:rsidRPr="00B703F0">
        <w:rPr>
          <w:lang w:val="en-AU"/>
        </w:rPr>
        <w:t xml:space="preserve">from the </w:t>
      </w:r>
      <w:r w:rsidR="00635073" w:rsidRPr="00B703F0">
        <w:rPr>
          <w:lang w:val="en-AU"/>
        </w:rPr>
        <w:t>territorial sea</w:t>
      </w:r>
      <w:r w:rsidR="003428BB" w:rsidRPr="00B703F0">
        <w:rPr>
          <w:lang w:val="en-AU"/>
        </w:rPr>
        <w:t xml:space="preserve"> and EEZ</w:t>
      </w:r>
      <w:r w:rsidR="009228D6" w:rsidRPr="00B703F0">
        <w:rPr>
          <w:lang w:val="en-AU"/>
        </w:rPr>
        <w:t xml:space="preserve">. </w:t>
      </w:r>
    </w:p>
    <w:p w14:paraId="66B6B798" w14:textId="5F5BC1FA" w:rsidR="00025612" w:rsidRPr="00B703F0" w:rsidRDefault="00247579" w:rsidP="00496C48">
      <w:pPr>
        <w:pStyle w:val="Bullet1"/>
        <w:rPr>
          <w:lang w:val="en-AU"/>
        </w:rPr>
      </w:pPr>
      <w:r w:rsidRPr="00B703F0">
        <w:rPr>
          <w:lang w:val="en-AU"/>
        </w:rPr>
        <w:t>establish</w:t>
      </w:r>
      <w:r w:rsidR="007E435D" w:rsidRPr="00B703F0">
        <w:rPr>
          <w:lang w:val="en-AU"/>
        </w:rPr>
        <w:t>ing a</w:t>
      </w:r>
      <w:r w:rsidRPr="00B703F0">
        <w:rPr>
          <w:lang w:val="en-AU"/>
        </w:rPr>
        <w:t xml:space="preserve"> clear and </w:t>
      </w:r>
      <w:r w:rsidR="005B6237" w:rsidRPr="00B703F0">
        <w:rPr>
          <w:lang w:val="en-AU"/>
        </w:rPr>
        <w:t xml:space="preserve">internationally </w:t>
      </w:r>
      <w:r w:rsidRPr="00B703F0">
        <w:rPr>
          <w:lang w:val="en-AU"/>
        </w:rPr>
        <w:t xml:space="preserve">consistent </w:t>
      </w:r>
      <w:r w:rsidR="007E435D" w:rsidRPr="00B703F0">
        <w:rPr>
          <w:lang w:val="en-AU"/>
        </w:rPr>
        <w:t>regulatory framework</w:t>
      </w:r>
      <w:r w:rsidRPr="00B703F0">
        <w:rPr>
          <w:lang w:val="en-AU"/>
        </w:rPr>
        <w:t xml:space="preserve"> for wreck removal</w:t>
      </w:r>
      <w:r w:rsidR="007E435D" w:rsidRPr="00B703F0">
        <w:rPr>
          <w:lang w:val="en-AU"/>
        </w:rPr>
        <w:t>.</w:t>
      </w:r>
    </w:p>
    <w:p w14:paraId="01DF0348" w14:textId="069B261F" w:rsidR="00247579" w:rsidRPr="00B703F0" w:rsidRDefault="00247579" w:rsidP="00496C48">
      <w:pPr>
        <w:pStyle w:val="Bullet1"/>
        <w:rPr>
          <w:lang w:val="en-AU"/>
        </w:rPr>
      </w:pPr>
      <w:r w:rsidRPr="00B703F0">
        <w:rPr>
          <w:lang w:val="en-AU"/>
        </w:rPr>
        <w:t>hold</w:t>
      </w:r>
      <w:r w:rsidR="007E435D" w:rsidRPr="00B703F0">
        <w:rPr>
          <w:lang w:val="en-AU"/>
        </w:rPr>
        <w:t>ing</w:t>
      </w:r>
      <w:r w:rsidRPr="00B703F0">
        <w:rPr>
          <w:lang w:val="en-AU"/>
        </w:rPr>
        <w:t xml:space="preserve"> ship owners accountable for</w:t>
      </w:r>
      <w:r w:rsidR="00C32482" w:rsidRPr="00B703F0">
        <w:rPr>
          <w:lang w:val="en-AU"/>
        </w:rPr>
        <w:t xml:space="preserve"> </w:t>
      </w:r>
      <w:r w:rsidRPr="00B703F0">
        <w:rPr>
          <w:lang w:val="en-AU"/>
        </w:rPr>
        <w:t>wrecks</w:t>
      </w:r>
      <w:r w:rsidR="00087F71" w:rsidRPr="00B703F0">
        <w:rPr>
          <w:lang w:val="en-AU"/>
        </w:rPr>
        <w:t>, including any object that has been on board the ship or is lost at sea from such a ship.</w:t>
      </w:r>
      <w:r w:rsidRPr="00B703F0">
        <w:rPr>
          <w:lang w:val="en-AU"/>
        </w:rPr>
        <w:t xml:space="preserve"> </w:t>
      </w:r>
    </w:p>
    <w:p w14:paraId="70D5FC1D" w14:textId="084BA262" w:rsidR="00247579" w:rsidRPr="00B703F0" w:rsidRDefault="00A02CF2" w:rsidP="00496C48">
      <w:pPr>
        <w:pStyle w:val="Bullet1"/>
        <w:rPr>
          <w:lang w:val="en-AU"/>
        </w:rPr>
      </w:pPr>
      <w:r w:rsidRPr="00B703F0">
        <w:rPr>
          <w:lang w:val="en-AU"/>
        </w:rPr>
        <w:t>recover</w:t>
      </w:r>
      <w:r w:rsidR="007E435D" w:rsidRPr="00B703F0">
        <w:rPr>
          <w:lang w:val="en-AU"/>
        </w:rPr>
        <w:t>ing</w:t>
      </w:r>
      <w:r w:rsidRPr="00B703F0">
        <w:rPr>
          <w:lang w:val="en-AU"/>
        </w:rPr>
        <w:t xml:space="preserve"> </w:t>
      </w:r>
      <w:r w:rsidR="00007C97">
        <w:rPr>
          <w:lang w:val="en-AU"/>
        </w:rPr>
        <w:t>wreck</w:t>
      </w:r>
      <w:r w:rsidR="00007C97">
        <w:rPr>
          <w:lang w:val="en-AU"/>
        </w:rPr>
        <w:noBreakHyphen/>
        <w:t xml:space="preserve">related </w:t>
      </w:r>
      <w:r w:rsidRPr="00B703F0">
        <w:rPr>
          <w:lang w:val="en-AU"/>
        </w:rPr>
        <w:t>costs from ship owners in a simple and time-effective manner</w:t>
      </w:r>
      <w:r w:rsidR="00D84B25" w:rsidRPr="00B703F0">
        <w:rPr>
          <w:lang w:val="en-AU"/>
        </w:rPr>
        <w:t>.</w:t>
      </w:r>
    </w:p>
    <w:p w14:paraId="7C22039A" w14:textId="25446648" w:rsidR="00496C48" w:rsidRPr="00B703F0" w:rsidRDefault="007E435D" w:rsidP="00496C48">
      <w:pPr>
        <w:pStyle w:val="Bullet1"/>
        <w:rPr>
          <w:lang w:val="en-AU"/>
        </w:rPr>
      </w:pPr>
      <w:r w:rsidRPr="00B703F0">
        <w:rPr>
          <w:lang w:val="en-AU"/>
        </w:rPr>
        <w:t xml:space="preserve">ensuring </w:t>
      </w:r>
      <w:r w:rsidR="00496C48" w:rsidRPr="00B703F0">
        <w:rPr>
          <w:lang w:val="en-AU"/>
        </w:rPr>
        <w:t>any financial impacts and regulatory burdens on industry are proportionate to the risk of wrecks occurring in Australia</w:t>
      </w:r>
      <w:r w:rsidR="002D594A" w:rsidRPr="00B703F0">
        <w:rPr>
          <w:lang w:val="en-AU"/>
        </w:rPr>
        <w:t>’s jurisdiction</w:t>
      </w:r>
      <w:r w:rsidR="00496C48" w:rsidRPr="00B703F0">
        <w:rPr>
          <w:lang w:val="en-AU"/>
        </w:rPr>
        <w:t xml:space="preserve">. </w:t>
      </w:r>
    </w:p>
    <w:p w14:paraId="4E090C76" w14:textId="78BE7984" w:rsidR="00134DB7" w:rsidRPr="00B703F0" w:rsidRDefault="007E435D" w:rsidP="007E435D">
      <w:pPr>
        <w:pStyle w:val="Bullet1"/>
        <w:rPr>
          <w:lang w:val="en-AU"/>
        </w:rPr>
      </w:pPr>
      <w:r w:rsidRPr="00B703F0">
        <w:rPr>
          <w:lang w:val="en-AU"/>
        </w:rPr>
        <w:t>ensuring</w:t>
      </w:r>
      <w:r w:rsidR="00496C48" w:rsidRPr="00B703F0">
        <w:rPr>
          <w:lang w:val="en-AU"/>
        </w:rPr>
        <w:t xml:space="preserve"> </w:t>
      </w:r>
      <w:r w:rsidRPr="00B703F0">
        <w:rPr>
          <w:lang w:val="en-AU"/>
        </w:rPr>
        <w:t>any changes do not prohibit n</w:t>
      </w:r>
      <w:r w:rsidR="00496C48" w:rsidRPr="00B703F0">
        <w:rPr>
          <w:lang w:val="en-AU"/>
        </w:rPr>
        <w:t xml:space="preserve">ew entrants to the market or disrupt maritime trade to Australia. </w:t>
      </w:r>
    </w:p>
    <w:p w14:paraId="3DE8592C" w14:textId="0F5082F6" w:rsidR="002D594A" w:rsidRPr="00B703F0" w:rsidRDefault="002D594A" w:rsidP="007E435D">
      <w:pPr>
        <w:pStyle w:val="Bullet1"/>
        <w:rPr>
          <w:lang w:val="en-AU"/>
        </w:rPr>
      </w:pPr>
      <w:r w:rsidRPr="00B703F0">
        <w:rPr>
          <w:lang w:val="en-AU"/>
        </w:rPr>
        <w:t>improving safety and environmental protection from</w:t>
      </w:r>
      <w:r w:rsidR="006714F8">
        <w:rPr>
          <w:lang w:val="en-AU"/>
        </w:rPr>
        <w:t xml:space="preserve"> hazardous</w:t>
      </w:r>
      <w:r w:rsidRPr="00B703F0">
        <w:rPr>
          <w:lang w:val="en-AU"/>
        </w:rPr>
        <w:t xml:space="preserve"> wrecks. </w:t>
      </w:r>
    </w:p>
    <w:p w14:paraId="1668769F" w14:textId="77777777" w:rsidR="00F6147F" w:rsidRPr="00B703F0" w:rsidRDefault="00F6147F" w:rsidP="00F6147F">
      <w:r w:rsidRPr="00B703F0">
        <w:t xml:space="preserve">Potential barriers to achieving these objectives are: </w:t>
      </w:r>
    </w:p>
    <w:p w14:paraId="409B6E14" w14:textId="6DAC22C7" w:rsidR="00F6147F" w:rsidRPr="00B703F0" w:rsidRDefault="00F6147F" w:rsidP="00F6147F">
      <w:pPr>
        <w:pStyle w:val="Bullet1"/>
        <w:rPr>
          <w:lang w:val="en-AU"/>
        </w:rPr>
      </w:pPr>
      <w:r w:rsidRPr="00B703F0">
        <w:rPr>
          <w:lang w:val="en-AU"/>
        </w:rPr>
        <w:lastRenderedPageBreak/>
        <w:t xml:space="preserve">the limitations of Australian Government actions in the EEZ due to the sovereign rights of both Coastal and Flag States under the </w:t>
      </w:r>
      <w:r w:rsidRPr="00EC1673">
        <w:rPr>
          <w:i/>
          <w:lang w:val="en-AU"/>
        </w:rPr>
        <w:t>United Nations Law of the Sea Convention</w:t>
      </w:r>
      <w:r w:rsidRPr="00B703F0">
        <w:rPr>
          <w:lang w:val="en-AU"/>
        </w:rPr>
        <w:t xml:space="preserve">. </w:t>
      </w:r>
    </w:p>
    <w:p w14:paraId="578CE1DE" w14:textId="0806033C" w:rsidR="00F6147F" w:rsidRPr="00B703F0" w:rsidRDefault="00092970" w:rsidP="00F6147F">
      <w:pPr>
        <w:pStyle w:val="Bullet1"/>
        <w:rPr>
          <w:lang w:val="en-AU"/>
        </w:rPr>
      </w:pPr>
      <w:r w:rsidRPr="00B703F0">
        <w:rPr>
          <w:lang w:val="en-AU"/>
        </w:rPr>
        <w:t>if accession is</w:t>
      </w:r>
      <w:r w:rsidR="009E54FF" w:rsidRPr="00B703F0">
        <w:rPr>
          <w:lang w:val="en-AU"/>
        </w:rPr>
        <w:t xml:space="preserve"> </w:t>
      </w:r>
      <w:r w:rsidRPr="00B703F0">
        <w:rPr>
          <w:lang w:val="en-AU"/>
        </w:rPr>
        <w:t>proposed,</w:t>
      </w:r>
      <w:r w:rsidR="00F6147F" w:rsidRPr="00B703F0">
        <w:rPr>
          <w:lang w:val="en-AU"/>
        </w:rPr>
        <w:t xml:space="preserve"> Parliament does not </w:t>
      </w:r>
      <w:r w:rsidRPr="00B703F0">
        <w:rPr>
          <w:lang w:val="en-AU"/>
        </w:rPr>
        <w:t>recognise</w:t>
      </w:r>
      <w:r w:rsidR="00F6147F" w:rsidRPr="00B703F0">
        <w:rPr>
          <w:lang w:val="en-AU"/>
        </w:rPr>
        <w:t xml:space="preserve"> the benefits of the Nairobi Convention and </w:t>
      </w:r>
      <w:r w:rsidRPr="00B703F0">
        <w:rPr>
          <w:lang w:val="en-AU"/>
        </w:rPr>
        <w:t xml:space="preserve">so </w:t>
      </w:r>
      <w:r w:rsidR="009E54FF" w:rsidRPr="00B703F0">
        <w:rPr>
          <w:lang w:val="en-AU"/>
        </w:rPr>
        <w:t xml:space="preserve">opposes </w:t>
      </w:r>
      <w:r w:rsidR="00F6147F" w:rsidRPr="00B703F0">
        <w:rPr>
          <w:lang w:val="en-AU"/>
        </w:rPr>
        <w:t>the recommendation for acce</w:t>
      </w:r>
      <w:r w:rsidR="009E54FF" w:rsidRPr="00B703F0">
        <w:rPr>
          <w:lang w:val="en-AU"/>
        </w:rPr>
        <w:t>ssion</w:t>
      </w:r>
      <w:r w:rsidR="00F6147F" w:rsidRPr="00B703F0">
        <w:rPr>
          <w:lang w:val="en-AU"/>
        </w:rPr>
        <w:t xml:space="preserve"> or the enact</w:t>
      </w:r>
      <w:r w:rsidR="001A6A6E">
        <w:rPr>
          <w:lang w:val="en-AU"/>
        </w:rPr>
        <w:t xml:space="preserve">ing legislation is not passed. </w:t>
      </w:r>
    </w:p>
    <w:p w14:paraId="3BAD1A0D" w14:textId="16FBE4AE" w:rsidR="00A74593" w:rsidRDefault="00F6147F" w:rsidP="0028590F">
      <w:pPr>
        <w:tabs>
          <w:tab w:val="left" w:pos="1440"/>
        </w:tabs>
      </w:pPr>
      <w:r w:rsidRPr="002C317C">
        <w:t>The last potential barrier can be managed through meaningful and thorough stakeholder engagement.</w:t>
      </w:r>
    </w:p>
    <w:p w14:paraId="310AC0F2" w14:textId="06210BDA" w:rsidR="00942295" w:rsidRPr="00B703F0" w:rsidRDefault="00942295" w:rsidP="00942295">
      <w:pPr>
        <w:pStyle w:val="Heading1Numbered"/>
      </w:pPr>
      <w:bookmarkStart w:id="28" w:name="_Toc96354462"/>
      <w:bookmarkStart w:id="29" w:name="_Toc105060772"/>
      <w:r w:rsidRPr="00B703F0">
        <w:t>Options</w:t>
      </w:r>
      <w:bookmarkEnd w:id="28"/>
      <w:bookmarkEnd w:id="29"/>
    </w:p>
    <w:p w14:paraId="7DB2CA86" w14:textId="134CA0B0" w:rsidR="009F023C" w:rsidRPr="00B703F0" w:rsidRDefault="009F023C" w:rsidP="00A21688">
      <w:pPr>
        <w:rPr>
          <w:szCs w:val="22"/>
        </w:rPr>
      </w:pPr>
      <w:r w:rsidRPr="00B703F0">
        <w:rPr>
          <w:szCs w:val="22"/>
        </w:rPr>
        <w:t>The Department</w:t>
      </w:r>
      <w:r w:rsidR="00E224A4">
        <w:rPr>
          <w:szCs w:val="22"/>
        </w:rPr>
        <w:t xml:space="preserve"> of Infrastructure, </w:t>
      </w:r>
      <w:r w:rsidR="002D51B1">
        <w:rPr>
          <w:szCs w:val="22"/>
        </w:rPr>
        <w:t xml:space="preserve">Transport, Regional Development, </w:t>
      </w:r>
      <w:r w:rsidR="00E224A4">
        <w:rPr>
          <w:szCs w:val="22"/>
        </w:rPr>
        <w:t>Communications</w:t>
      </w:r>
      <w:r w:rsidR="002D51B1">
        <w:rPr>
          <w:szCs w:val="22"/>
        </w:rPr>
        <w:t>, and the Arts</w:t>
      </w:r>
      <w:r w:rsidR="00D35B6A">
        <w:rPr>
          <w:szCs w:val="22"/>
        </w:rPr>
        <w:t xml:space="preserve"> (the Department)</w:t>
      </w:r>
      <w:r w:rsidRPr="00B703F0">
        <w:rPr>
          <w:szCs w:val="22"/>
        </w:rPr>
        <w:t xml:space="preserve"> has identified </w:t>
      </w:r>
      <w:r w:rsidR="00362B44">
        <w:rPr>
          <w:szCs w:val="22"/>
        </w:rPr>
        <w:t>4</w:t>
      </w:r>
      <w:r w:rsidR="00C54DD4" w:rsidRPr="00B703F0">
        <w:rPr>
          <w:szCs w:val="22"/>
        </w:rPr>
        <w:t xml:space="preserve"> </w:t>
      </w:r>
      <w:r w:rsidRPr="00B703F0">
        <w:rPr>
          <w:szCs w:val="22"/>
        </w:rPr>
        <w:t xml:space="preserve">policy options for consideration to improve the management of wreck </w:t>
      </w:r>
      <w:r w:rsidR="00F86EDF" w:rsidRPr="00B703F0">
        <w:rPr>
          <w:szCs w:val="22"/>
        </w:rPr>
        <w:t xml:space="preserve">location </w:t>
      </w:r>
      <w:r w:rsidRPr="00B703F0">
        <w:rPr>
          <w:szCs w:val="22"/>
        </w:rPr>
        <w:t>and removal in Australia</w:t>
      </w:r>
      <w:r w:rsidR="00647975" w:rsidRPr="00B703F0">
        <w:rPr>
          <w:szCs w:val="22"/>
        </w:rPr>
        <w:t>, which were raised in the 2020 Discussion Paper</w:t>
      </w:r>
      <w:r w:rsidR="00143A5E" w:rsidRPr="00B703F0">
        <w:rPr>
          <w:szCs w:val="22"/>
        </w:rPr>
        <w:t xml:space="preserve"> on Australia’s possible accession to the Nairobi Convention </w:t>
      </w:r>
      <w:r w:rsidR="00E23822" w:rsidRPr="00B703F0">
        <w:rPr>
          <w:szCs w:val="22"/>
        </w:rPr>
        <w:t xml:space="preserve">(the 2020 Discussion Paper) </w:t>
      </w:r>
      <w:r w:rsidR="00143A5E" w:rsidRPr="00B703F0">
        <w:rPr>
          <w:szCs w:val="22"/>
        </w:rPr>
        <w:t>released by the Department.</w:t>
      </w:r>
      <w:r w:rsidRPr="00B703F0">
        <w:rPr>
          <w:szCs w:val="22"/>
        </w:rPr>
        <w:t xml:space="preserve"> The options are: </w:t>
      </w:r>
    </w:p>
    <w:p w14:paraId="4F1073E2" w14:textId="3A26DFCB" w:rsidR="009F023C" w:rsidRPr="00B703F0" w:rsidRDefault="007124CD" w:rsidP="00EC179A">
      <w:pPr>
        <w:pStyle w:val="ListNumbered1"/>
        <w:rPr>
          <w:lang w:val="en-AU"/>
        </w:rPr>
      </w:pPr>
      <w:r>
        <w:rPr>
          <w:lang w:val="en-AU"/>
        </w:rPr>
        <w:t>r</w:t>
      </w:r>
      <w:r w:rsidR="00A36857" w:rsidRPr="00B703F0">
        <w:rPr>
          <w:lang w:val="en-AU"/>
        </w:rPr>
        <w:t>etain the status quo – m</w:t>
      </w:r>
      <w:r w:rsidR="009F023C" w:rsidRPr="00B703F0">
        <w:rPr>
          <w:lang w:val="en-AU"/>
        </w:rPr>
        <w:t xml:space="preserve">aintain the existing framework under the Navigation Act. </w:t>
      </w:r>
    </w:p>
    <w:p w14:paraId="453A9305" w14:textId="006434A9" w:rsidR="009F023C" w:rsidRPr="00B703F0" w:rsidRDefault="007124CD" w:rsidP="00EC179A">
      <w:pPr>
        <w:pStyle w:val="ListNumbered1"/>
        <w:rPr>
          <w:lang w:val="en-AU"/>
        </w:rPr>
      </w:pPr>
      <w:r>
        <w:rPr>
          <w:lang w:val="en-AU"/>
        </w:rPr>
        <w:t>m</w:t>
      </w:r>
      <w:r w:rsidR="009F023C" w:rsidRPr="00B703F0">
        <w:rPr>
          <w:lang w:val="en-AU"/>
        </w:rPr>
        <w:t xml:space="preserve">ake amendments to the </w:t>
      </w:r>
      <w:r w:rsidR="00A1212E" w:rsidRPr="00B703F0">
        <w:rPr>
          <w:lang w:val="en-AU"/>
        </w:rPr>
        <w:t xml:space="preserve">Navigation Act </w:t>
      </w:r>
      <w:r w:rsidR="009F023C" w:rsidRPr="00B703F0">
        <w:rPr>
          <w:lang w:val="en-AU"/>
        </w:rPr>
        <w:t xml:space="preserve">that are consistent with the Nairobi Convention but without accession. </w:t>
      </w:r>
    </w:p>
    <w:p w14:paraId="163056BA" w14:textId="1F44ED92" w:rsidR="00C5245F" w:rsidRPr="00B83BC0" w:rsidRDefault="009F023C" w:rsidP="000C52E1">
      <w:pPr>
        <w:pStyle w:val="ListNumbered1"/>
        <w:rPr>
          <w:lang w:val="en-AU"/>
        </w:rPr>
      </w:pPr>
      <w:r w:rsidRPr="00B703F0">
        <w:rPr>
          <w:lang w:val="en-AU"/>
        </w:rPr>
        <w:t>Australia accedes to the Nairobi Convention</w:t>
      </w:r>
      <w:r w:rsidR="005515AA">
        <w:rPr>
          <w:lang w:val="en-AU"/>
        </w:rPr>
        <w:t xml:space="preserve"> applying it to all ships in the EEZ. </w:t>
      </w:r>
    </w:p>
    <w:p w14:paraId="4931E669" w14:textId="70412D47" w:rsidR="009F023C" w:rsidRPr="00B703F0" w:rsidRDefault="009F023C" w:rsidP="00EC179A">
      <w:pPr>
        <w:pStyle w:val="ListNumbered1"/>
        <w:rPr>
          <w:lang w:val="en-AU"/>
        </w:rPr>
      </w:pPr>
      <w:r w:rsidRPr="00B703F0">
        <w:rPr>
          <w:lang w:val="en-AU"/>
        </w:rPr>
        <w:t xml:space="preserve">Australia accedes to the Nairobi Convention and applies it to </w:t>
      </w:r>
      <w:r w:rsidR="005515AA">
        <w:rPr>
          <w:lang w:val="en-AU"/>
        </w:rPr>
        <w:t xml:space="preserve">all ships in the EEZ and the territorial sea. </w:t>
      </w:r>
    </w:p>
    <w:p w14:paraId="7DC66A64" w14:textId="0F730098" w:rsidR="009E54FF" w:rsidRPr="00B703F0" w:rsidRDefault="009E54FF" w:rsidP="009A639B">
      <w:r w:rsidRPr="00B703F0">
        <w:t>Th</w:t>
      </w:r>
      <w:r w:rsidR="0068290E">
        <w:t>is</w:t>
      </w:r>
      <w:r w:rsidRPr="00B703F0">
        <w:t xml:space="preserve"> RIS will consider the regulatory impacts of the options on the shipping industry, </w:t>
      </w:r>
      <w:r w:rsidR="00E23822" w:rsidRPr="00B703F0">
        <w:t>the Australian public and the Australian</w:t>
      </w:r>
      <w:r w:rsidR="000C52E1">
        <w:t>, state and territory g</w:t>
      </w:r>
      <w:r w:rsidR="00E23822" w:rsidRPr="00B703F0">
        <w:t>overnment</w:t>
      </w:r>
      <w:r w:rsidR="000C52E1">
        <w:t>s</w:t>
      </w:r>
      <w:r w:rsidR="00E23822" w:rsidRPr="00B703F0">
        <w:t xml:space="preserve">. </w:t>
      </w:r>
    </w:p>
    <w:p w14:paraId="0498D571" w14:textId="6DA4727E" w:rsidR="00942295" w:rsidRPr="00B703F0" w:rsidRDefault="00C22185" w:rsidP="00C22185">
      <w:pPr>
        <w:pStyle w:val="Heading2"/>
      </w:pPr>
      <w:bookmarkStart w:id="30" w:name="_Toc96354463"/>
      <w:bookmarkStart w:id="31" w:name="_Toc105060773"/>
      <w:r w:rsidRPr="00B703F0">
        <w:t xml:space="preserve">Option 1: </w:t>
      </w:r>
      <w:r w:rsidR="00942295" w:rsidRPr="00B703F0">
        <w:t>Status quo</w:t>
      </w:r>
      <w:bookmarkEnd w:id="30"/>
      <w:bookmarkEnd w:id="31"/>
    </w:p>
    <w:p w14:paraId="24E95DE7" w14:textId="1D3547D3" w:rsidR="000C52E1" w:rsidRDefault="00D83FA8" w:rsidP="004F4421">
      <w:pPr>
        <w:pStyle w:val="Heading4Numbered"/>
        <w:numPr>
          <w:ilvl w:val="0"/>
          <w:numId w:val="0"/>
        </w:numPr>
        <w:ind w:left="1134" w:hanging="1134"/>
        <w:jc w:val="both"/>
      </w:pPr>
      <w:bookmarkStart w:id="32" w:name="_Toc96354464"/>
      <w:r>
        <w:t>Foreign v</w:t>
      </w:r>
      <w:r w:rsidR="000C52E1">
        <w:t>essels and RAVs</w:t>
      </w:r>
      <w:bookmarkEnd w:id="32"/>
    </w:p>
    <w:p w14:paraId="4992C22A" w14:textId="1EBCD7E2" w:rsidR="001D2BA1" w:rsidRPr="00B703F0" w:rsidRDefault="003E590F" w:rsidP="003E590F">
      <w:r w:rsidRPr="00B703F0">
        <w:t xml:space="preserve">The </w:t>
      </w:r>
      <w:r w:rsidR="00A1212E" w:rsidRPr="00B703F0">
        <w:t xml:space="preserve">Navigation Act </w:t>
      </w:r>
      <w:r w:rsidRPr="00B703F0">
        <w:t xml:space="preserve">is Australia’s primary legislative tool covering international ship and seafarer safety and protects the marine environment where it relates to shipping and the actions of seafarers. Chapter 7 of the </w:t>
      </w:r>
      <w:r w:rsidR="00A1212E" w:rsidRPr="00B703F0">
        <w:t xml:space="preserve">Navigation Act </w:t>
      </w:r>
      <w:r w:rsidRPr="00B703F0">
        <w:t>establishes the Commonwealth regulatory regime</w:t>
      </w:r>
      <w:r w:rsidR="001D2BA1" w:rsidRPr="00B703F0">
        <w:t>,</w:t>
      </w:r>
      <w:r w:rsidRPr="00B703F0">
        <w:t xml:space="preserve"> implemented by AMSA</w:t>
      </w:r>
      <w:r w:rsidR="001D2BA1" w:rsidRPr="00B703F0">
        <w:t>,</w:t>
      </w:r>
      <w:r w:rsidRPr="00B703F0">
        <w:t xml:space="preserve"> for notifying and deali</w:t>
      </w:r>
      <w:r w:rsidR="001D2BA1" w:rsidRPr="00B703F0">
        <w:t>ng with any wreck of or from</w:t>
      </w:r>
      <w:r w:rsidRPr="00B703F0">
        <w:t xml:space="preserve"> RAVs and foreign vessels.</w:t>
      </w:r>
      <w:r w:rsidR="001743D2" w:rsidRPr="00B703F0">
        <w:t xml:space="preserve"> </w:t>
      </w:r>
    </w:p>
    <w:p w14:paraId="0B5FAB9A" w14:textId="78AABFF3" w:rsidR="003E590F" w:rsidRPr="00B703F0" w:rsidRDefault="003E590F" w:rsidP="003E590F">
      <w:r w:rsidRPr="00B703F0">
        <w:t>The scope of AMSA’s powers differs for RAVs and foreign vessels:</w:t>
      </w:r>
      <w:r w:rsidR="00794ECB" w:rsidRPr="00B703F0">
        <w:t xml:space="preserve"> </w:t>
      </w:r>
    </w:p>
    <w:p w14:paraId="7046DF60" w14:textId="34357FCC" w:rsidR="003E590F" w:rsidRPr="00B703F0" w:rsidRDefault="003E590F" w:rsidP="00616E40">
      <w:pPr>
        <w:pStyle w:val="Bullet1"/>
        <w:numPr>
          <w:ilvl w:val="0"/>
          <w:numId w:val="9"/>
        </w:numPr>
        <w:rPr>
          <w:lang w:val="en-AU"/>
        </w:rPr>
      </w:pPr>
      <w:r w:rsidRPr="00B703F0">
        <w:rPr>
          <w:lang w:val="en-AU"/>
        </w:rPr>
        <w:t xml:space="preserve">for a RAV, AMSA can require the legal owner to mark or remove a wreck of, or from, the ship wherever the wreck is situated. </w:t>
      </w:r>
    </w:p>
    <w:p w14:paraId="69F45B10" w14:textId="56712AF0" w:rsidR="003E590F" w:rsidRPr="00B703F0" w:rsidRDefault="003E590F" w:rsidP="00616E40">
      <w:pPr>
        <w:pStyle w:val="Bullet1"/>
        <w:numPr>
          <w:ilvl w:val="0"/>
          <w:numId w:val="9"/>
        </w:numPr>
        <w:rPr>
          <w:lang w:val="en-AU"/>
        </w:rPr>
      </w:pPr>
      <w:r w:rsidRPr="00B703F0">
        <w:rPr>
          <w:lang w:val="en-AU"/>
        </w:rPr>
        <w:t>for a foreign vessel, AMSA only has powers over wrecks located</w:t>
      </w:r>
      <w:r w:rsidR="00367A54" w:rsidRPr="00B703F0">
        <w:rPr>
          <w:lang w:val="en-AU"/>
        </w:rPr>
        <w:t xml:space="preserve"> in Australia’s </w:t>
      </w:r>
      <w:r w:rsidR="00635073" w:rsidRPr="00B703F0">
        <w:rPr>
          <w:lang w:val="en-AU"/>
        </w:rPr>
        <w:t>territorial sea</w:t>
      </w:r>
      <w:r w:rsidR="001D2BA1" w:rsidRPr="00B703F0">
        <w:rPr>
          <w:lang w:val="en-AU"/>
        </w:rPr>
        <w:t>.</w:t>
      </w:r>
      <w:r w:rsidR="00367A54" w:rsidRPr="00B703F0">
        <w:rPr>
          <w:rStyle w:val="FootnoteReference"/>
          <w:lang w:val="en-AU"/>
        </w:rPr>
        <w:footnoteReference w:id="25"/>
      </w:r>
    </w:p>
    <w:p w14:paraId="5E5651F2" w14:textId="4B150811" w:rsidR="003E590F" w:rsidRPr="00B703F0" w:rsidRDefault="003E590F" w:rsidP="003E590F">
      <w:r w:rsidRPr="00B703F0">
        <w:t>Under the Navigation Act, the definition ‘wreck’ does not cover goods or cargo fallen overboard from a ship that is not itself wrecked, derelict, stranded, sunk, abandoned, foundered or in distress</w:t>
      </w:r>
      <w:r w:rsidR="001D2BA1" w:rsidRPr="00B703F0">
        <w:t>.</w:t>
      </w:r>
      <w:r w:rsidR="00367A54" w:rsidRPr="00B703F0">
        <w:rPr>
          <w:rStyle w:val="FootnoteReference"/>
        </w:rPr>
        <w:footnoteReference w:id="26"/>
      </w:r>
    </w:p>
    <w:p w14:paraId="2472FF06" w14:textId="636BD8C4" w:rsidR="008207B8" w:rsidRDefault="003E590F" w:rsidP="003E590F">
      <w:r w:rsidRPr="00B703F0">
        <w:t xml:space="preserve">The </w:t>
      </w:r>
      <w:r w:rsidR="00A1212E" w:rsidRPr="00B703F0">
        <w:t xml:space="preserve">Navigation Act </w:t>
      </w:r>
      <w:r w:rsidRPr="00B703F0">
        <w:t xml:space="preserve">gives AMSA the powers to engage with wrecks. These include powers to require the legal owner of a wreck to remove or mark the wreck or to give AMSA </w:t>
      </w:r>
      <w:r w:rsidR="00EC4F57">
        <w:t>financial</w:t>
      </w:r>
      <w:r w:rsidR="00EC4F57" w:rsidRPr="00B703F0">
        <w:t xml:space="preserve"> </w:t>
      </w:r>
      <w:r w:rsidRPr="00B703F0">
        <w:t xml:space="preserve">security </w:t>
      </w:r>
      <w:r w:rsidR="00EC4F57">
        <w:t xml:space="preserve">to fund the </w:t>
      </w:r>
      <w:r w:rsidRPr="00B703F0">
        <w:t>removal or marking</w:t>
      </w:r>
      <w:r w:rsidR="003A14B1" w:rsidRPr="00B703F0">
        <w:t xml:space="preserve"> (as described above)</w:t>
      </w:r>
      <w:r w:rsidRPr="00B703F0">
        <w:t>.</w:t>
      </w:r>
      <w:r w:rsidR="001D2BA1" w:rsidRPr="00B703F0">
        <w:rPr>
          <w:rStyle w:val="FootnoteReference"/>
        </w:rPr>
        <w:footnoteReference w:id="27"/>
      </w:r>
      <w:r w:rsidRPr="00B703F0">
        <w:t xml:space="preserve"> </w:t>
      </w:r>
      <w:r w:rsidR="008207B8">
        <w:t xml:space="preserve">The </w:t>
      </w:r>
      <w:r w:rsidR="00EF7D37">
        <w:t>Navigation Act does not define the term ‘legal owner’ but</w:t>
      </w:r>
      <w:r w:rsidR="00A847F9">
        <w:t xml:space="preserve"> does define ‘owner’ of a </w:t>
      </w:r>
      <w:r w:rsidR="00081611">
        <w:t>ship</w:t>
      </w:r>
      <w:r w:rsidR="00A669A3">
        <w:t xml:space="preserve"> as a person</w:t>
      </w:r>
      <w:r w:rsidR="00A847F9">
        <w:t xml:space="preserve">:  </w:t>
      </w:r>
    </w:p>
    <w:p w14:paraId="189F5992" w14:textId="0927C66E" w:rsidR="00A847F9" w:rsidRPr="00930592" w:rsidRDefault="00A847F9" w:rsidP="00930592">
      <w:pPr>
        <w:pStyle w:val="Bullet1"/>
      </w:pPr>
      <w:r w:rsidRPr="00930592">
        <w:rPr>
          <w:lang w:val="en-AU"/>
        </w:rPr>
        <w:t xml:space="preserve">who has a legal or beneficial interest in the </w:t>
      </w:r>
      <w:r w:rsidR="00081611">
        <w:rPr>
          <w:lang w:val="en-AU"/>
        </w:rPr>
        <w:t>ship</w:t>
      </w:r>
      <w:r w:rsidR="00081611" w:rsidRPr="000A3AD1">
        <w:rPr>
          <w:lang w:val="en-AU"/>
        </w:rPr>
        <w:t>, other than as a mortgagee</w:t>
      </w:r>
    </w:p>
    <w:p w14:paraId="343BEB2A" w14:textId="3B32DEFC" w:rsidR="00A847F9" w:rsidRPr="00930592" w:rsidRDefault="00A847F9" w:rsidP="00930592">
      <w:pPr>
        <w:pStyle w:val="Bullet1"/>
      </w:pPr>
      <w:r w:rsidRPr="00930592">
        <w:rPr>
          <w:lang w:val="en-AU"/>
        </w:rPr>
        <w:t>with overall general contr</w:t>
      </w:r>
      <w:r w:rsidR="00081611" w:rsidRPr="000A3AD1">
        <w:rPr>
          <w:lang w:val="en-AU"/>
        </w:rPr>
        <w:t xml:space="preserve">ol and management of the </w:t>
      </w:r>
      <w:r w:rsidR="00081611">
        <w:rPr>
          <w:lang w:val="en-AU"/>
        </w:rPr>
        <w:t xml:space="preserve">ship but is not the Master or </w:t>
      </w:r>
      <w:r w:rsidR="00485010">
        <w:rPr>
          <w:lang w:val="en-AU"/>
        </w:rPr>
        <w:t>P</w:t>
      </w:r>
      <w:r w:rsidR="00081611">
        <w:rPr>
          <w:lang w:val="en-AU"/>
        </w:rPr>
        <w:t xml:space="preserve">ilot, or </w:t>
      </w:r>
    </w:p>
    <w:p w14:paraId="79B97BC7" w14:textId="6A298C13" w:rsidR="00A847F9" w:rsidRPr="00930592" w:rsidRDefault="00A847F9" w:rsidP="00930592">
      <w:pPr>
        <w:pStyle w:val="Bullet1"/>
      </w:pPr>
      <w:r w:rsidRPr="00930592">
        <w:rPr>
          <w:lang w:val="en-AU"/>
        </w:rPr>
        <w:t xml:space="preserve">who has assumed responsibility for the </w:t>
      </w:r>
      <w:r w:rsidR="00081611">
        <w:rPr>
          <w:lang w:val="en-AU"/>
        </w:rPr>
        <w:t>ship</w:t>
      </w:r>
      <w:r w:rsidRPr="00930592">
        <w:rPr>
          <w:lang w:val="en-AU"/>
        </w:rPr>
        <w:t xml:space="preserve"> from a person referred to </w:t>
      </w:r>
      <w:r w:rsidR="00081611">
        <w:rPr>
          <w:lang w:val="en-AU"/>
        </w:rPr>
        <w:t>above.</w:t>
      </w:r>
      <w:r w:rsidR="00081611">
        <w:rPr>
          <w:rStyle w:val="FootnoteReference"/>
          <w:lang w:val="en-AU"/>
        </w:rPr>
        <w:footnoteReference w:id="28"/>
      </w:r>
    </w:p>
    <w:p w14:paraId="3092A8A7" w14:textId="199C83A5" w:rsidR="003E590F" w:rsidRPr="00B703F0" w:rsidRDefault="003E590F" w:rsidP="003E590F">
      <w:r w:rsidRPr="00B703F0">
        <w:t>AMSA can also mark or remove the wreck itself, using any method it sees fit, if:</w:t>
      </w:r>
    </w:p>
    <w:p w14:paraId="055CCC30" w14:textId="418EE7D3" w:rsidR="003E590F" w:rsidRPr="00B703F0" w:rsidRDefault="003E590F" w:rsidP="003E590F">
      <w:pPr>
        <w:pStyle w:val="Bullet1"/>
        <w:rPr>
          <w:lang w:val="en-AU"/>
        </w:rPr>
      </w:pPr>
      <w:r w:rsidRPr="00B703F0">
        <w:rPr>
          <w:lang w:val="en-AU"/>
        </w:rPr>
        <w:t xml:space="preserve">such actions are considered necessary to save human life, safe navigation of </w:t>
      </w:r>
      <w:r w:rsidR="00271F4E">
        <w:rPr>
          <w:lang w:val="en-AU"/>
        </w:rPr>
        <w:t>ships</w:t>
      </w:r>
      <w:r w:rsidRPr="00B703F0">
        <w:rPr>
          <w:lang w:val="en-AU"/>
        </w:rPr>
        <w:t xml:space="preserve">, or protect the marine environment </w:t>
      </w:r>
    </w:p>
    <w:p w14:paraId="541205C8" w14:textId="24013C58" w:rsidR="003E590F" w:rsidRPr="00B703F0" w:rsidRDefault="003E590F" w:rsidP="003E590F">
      <w:pPr>
        <w:pStyle w:val="Bullet1"/>
        <w:rPr>
          <w:lang w:val="en-AU"/>
        </w:rPr>
      </w:pPr>
      <w:r w:rsidRPr="00B703F0">
        <w:rPr>
          <w:lang w:val="en-AU"/>
        </w:rPr>
        <w:lastRenderedPageBreak/>
        <w:t xml:space="preserve">when there is no legal owner of the wreck, or </w:t>
      </w:r>
    </w:p>
    <w:p w14:paraId="5274BA46" w14:textId="1BDDD33D" w:rsidR="003E590F" w:rsidRPr="00B703F0" w:rsidRDefault="003E590F" w:rsidP="003E590F">
      <w:pPr>
        <w:pStyle w:val="Bullet1"/>
        <w:rPr>
          <w:lang w:val="en-AU"/>
        </w:rPr>
      </w:pPr>
      <w:r w:rsidRPr="00B703F0">
        <w:rPr>
          <w:lang w:val="en-AU"/>
        </w:rPr>
        <w:t>if a legal owner does not comply with a written notice to undertake these actio</w:t>
      </w:r>
      <w:r w:rsidR="00264FC1" w:rsidRPr="00B703F0">
        <w:rPr>
          <w:lang w:val="en-AU"/>
        </w:rPr>
        <w:t>ns within a specified timeframe</w:t>
      </w:r>
      <w:r w:rsidR="001D2BA1" w:rsidRPr="00B703F0">
        <w:rPr>
          <w:lang w:val="en-AU"/>
        </w:rPr>
        <w:t>.</w:t>
      </w:r>
      <w:r w:rsidR="00264FC1" w:rsidRPr="00B703F0">
        <w:rPr>
          <w:rStyle w:val="FootnoteReference"/>
          <w:lang w:val="en-AU"/>
        </w:rPr>
        <w:footnoteReference w:id="29"/>
      </w:r>
    </w:p>
    <w:p w14:paraId="631AE97E" w14:textId="070B0E36" w:rsidR="003E590F" w:rsidRPr="00B703F0" w:rsidRDefault="003E590F" w:rsidP="003E590F">
      <w:r w:rsidRPr="00B703F0">
        <w:t>AMSA can additionally destroy or sink the wreck, or part of the wreck, if it believes it to be necessary</w:t>
      </w:r>
      <w:r w:rsidR="002707FB" w:rsidRPr="00B703F0">
        <w:t xml:space="preserve"> for safety of navigation and environmental reasons</w:t>
      </w:r>
      <w:r w:rsidR="001D2BA1" w:rsidRPr="00B703F0">
        <w:t>.</w:t>
      </w:r>
      <w:r w:rsidRPr="00B703F0">
        <w:t xml:space="preserve"> The </w:t>
      </w:r>
      <w:r w:rsidR="00A1212E" w:rsidRPr="00B703F0">
        <w:t>Navigation Act</w:t>
      </w:r>
      <w:r w:rsidRPr="00B703F0">
        <w:t xml:space="preserve"> also enables AMSA to recover any expenses incurred in locating, marking, removing, destroying or sinking</w:t>
      </w:r>
      <w:r w:rsidR="00264FC1" w:rsidRPr="00B703F0">
        <w:t xml:space="preserve"> the wreck from the legal owner</w:t>
      </w:r>
      <w:r w:rsidR="001D2BA1" w:rsidRPr="00B703F0">
        <w:t>.</w:t>
      </w:r>
      <w:r w:rsidR="00264FC1" w:rsidRPr="00B703F0">
        <w:rPr>
          <w:rStyle w:val="FootnoteReference"/>
        </w:rPr>
        <w:footnoteReference w:id="30"/>
      </w:r>
      <w:r w:rsidR="00A5263A" w:rsidRPr="00B703F0">
        <w:t xml:space="preserve"> There is no limitation on the total </w:t>
      </w:r>
      <w:r w:rsidR="00007C97">
        <w:t>wreck</w:t>
      </w:r>
      <w:r w:rsidR="00007C97">
        <w:noBreakHyphen/>
        <w:t xml:space="preserve">related </w:t>
      </w:r>
      <w:r w:rsidR="00A5263A" w:rsidRPr="00B703F0">
        <w:t>costs AMSA may seek to recover</w:t>
      </w:r>
      <w:r w:rsidR="0034084A">
        <w:t>, as Australia’s acce</w:t>
      </w:r>
      <w:r w:rsidR="00F67203">
        <w:t>ssion</w:t>
      </w:r>
      <w:r w:rsidR="0034084A">
        <w:t xml:space="preserve"> to the LLMC Convention </w:t>
      </w:r>
      <w:r w:rsidR="00F67203">
        <w:t>reserved</w:t>
      </w:r>
      <w:r w:rsidR="0034084A">
        <w:t xml:space="preserve"> </w:t>
      </w:r>
      <w:r w:rsidR="00F67203">
        <w:t>the right to</w:t>
      </w:r>
      <w:r w:rsidR="0034084A">
        <w:t xml:space="preserve"> </w:t>
      </w:r>
      <w:r w:rsidR="00F67203">
        <w:t>seek unlimited wreck removal costs</w:t>
      </w:r>
      <w:r w:rsidR="002C317C">
        <w:t xml:space="preserve">.  </w:t>
      </w:r>
      <w:r w:rsidR="0034084A">
        <w:t>A ship owner remains liable for any remaining costs incurred that their insurance will not cover.</w:t>
      </w:r>
      <w:r w:rsidR="00A5263A" w:rsidRPr="00B703F0">
        <w:t xml:space="preserve"> </w:t>
      </w:r>
    </w:p>
    <w:p w14:paraId="278D2D5A" w14:textId="57F3B57F" w:rsidR="00A5263A" w:rsidRDefault="003E590F" w:rsidP="003E590F">
      <w:r w:rsidRPr="00B703F0">
        <w:t xml:space="preserve">The </w:t>
      </w:r>
      <w:r w:rsidR="00A1212E" w:rsidRPr="00B703F0">
        <w:t>Navigation</w:t>
      </w:r>
      <w:r w:rsidR="00A1212E" w:rsidRPr="00B703F0">
        <w:rPr>
          <w:i/>
        </w:rPr>
        <w:t xml:space="preserve"> </w:t>
      </w:r>
      <w:r w:rsidR="00A1212E" w:rsidRPr="00B703F0">
        <w:t xml:space="preserve">Act </w:t>
      </w:r>
      <w:r w:rsidRPr="00B703F0">
        <w:t xml:space="preserve">does not include any provisions that require the legal owner of either a RAV or foreign vessel to have insurance for removing a wreck in either Australia’s EEZ or </w:t>
      </w:r>
      <w:r w:rsidR="00635073" w:rsidRPr="00B703F0">
        <w:t>territorial sea</w:t>
      </w:r>
      <w:r w:rsidRPr="00B703F0">
        <w:t xml:space="preserve">. Even if a ship’s legal owner has wreck-related insurance, AMSA has no powers under the </w:t>
      </w:r>
      <w:r w:rsidR="00A1212E" w:rsidRPr="00B703F0">
        <w:t xml:space="preserve">Navigation Act </w:t>
      </w:r>
      <w:r w:rsidRPr="00B703F0">
        <w:t xml:space="preserve">to directly approach the insurer to recover </w:t>
      </w:r>
      <w:r w:rsidR="00007C97">
        <w:t>wreck</w:t>
      </w:r>
      <w:r w:rsidR="00007C97">
        <w:noBreakHyphen/>
        <w:t xml:space="preserve">related </w:t>
      </w:r>
      <w:r w:rsidRPr="00B703F0">
        <w:t>costs.</w:t>
      </w:r>
      <w:r w:rsidR="00264FC1" w:rsidRPr="00B703F0">
        <w:t xml:space="preserve"> </w:t>
      </w:r>
    </w:p>
    <w:p w14:paraId="3B86B6AF" w14:textId="000C369C" w:rsidR="00B02AB0" w:rsidRPr="004139D4" w:rsidRDefault="00B02AB0" w:rsidP="003E590F">
      <w:r>
        <w:t xml:space="preserve">As raised earlier there are 2 other pieces of legislation that </w:t>
      </w:r>
      <w:r w:rsidR="00F92EF5">
        <w:t>may</w:t>
      </w:r>
      <w:r>
        <w:t xml:space="preserve"> help </w:t>
      </w:r>
      <w:r w:rsidR="00F92EF5">
        <w:t>A</w:t>
      </w:r>
      <w:r w:rsidRPr="00B703F0">
        <w:t>MSA in responding to a wreck and seeking to recover wreck-related costs</w:t>
      </w:r>
      <w:r>
        <w:t xml:space="preserve"> – the </w:t>
      </w:r>
      <w:r w:rsidR="004139D4" w:rsidRPr="00B703F0">
        <w:rPr>
          <w:i/>
        </w:rPr>
        <w:t>Protection of the Sea (Powers of Intervention) Act 1981</w:t>
      </w:r>
      <w:r w:rsidR="004139D4">
        <w:t xml:space="preserve"> and the </w:t>
      </w:r>
      <w:r w:rsidR="004139D4" w:rsidRPr="00B703F0">
        <w:rPr>
          <w:i/>
        </w:rPr>
        <w:t>Protection of the Sea (Civil Liability) Act 1981</w:t>
      </w:r>
      <w:r w:rsidR="00F92EF5">
        <w:rPr>
          <w:i/>
        </w:rPr>
        <w:t xml:space="preserve"> </w:t>
      </w:r>
      <w:r w:rsidR="00F92EF5" w:rsidRPr="006714F8">
        <w:t>– but they are untested in court.</w:t>
      </w:r>
      <w:r w:rsidR="00F92EF5">
        <w:rPr>
          <w:i/>
        </w:rPr>
        <w:t xml:space="preserve"> </w:t>
      </w:r>
    </w:p>
    <w:p w14:paraId="0E712382" w14:textId="52D9AF7E" w:rsidR="00C96C35" w:rsidRPr="00B703F0" w:rsidRDefault="0013718F" w:rsidP="00C96C35">
      <w:r>
        <w:t xml:space="preserve">The </w:t>
      </w:r>
      <w:r w:rsidR="00362B44">
        <w:t xml:space="preserve">3 </w:t>
      </w:r>
      <w:r>
        <w:t xml:space="preserve">most recent wreck incidents in </w:t>
      </w:r>
      <w:r w:rsidR="000C52E1">
        <w:t>the Commonwealth jurisdiction</w:t>
      </w:r>
      <w:r>
        <w:t xml:space="preserve"> have</w:t>
      </w:r>
      <w:r w:rsidR="002002E3">
        <w:t xml:space="preserve"> all</w:t>
      </w:r>
      <w:r>
        <w:t xml:space="preserve"> </w:t>
      </w:r>
      <w:r w:rsidR="0044653F" w:rsidRPr="00B703F0">
        <w:t xml:space="preserve">occurred in the EEZ and involved lost </w:t>
      </w:r>
      <w:r w:rsidR="002002E3">
        <w:t>cargo</w:t>
      </w:r>
      <w:r w:rsidR="002002E3" w:rsidRPr="00B703F0">
        <w:t xml:space="preserve"> </w:t>
      </w:r>
      <w:r w:rsidR="0044653F" w:rsidRPr="00B703F0">
        <w:t>from foreign vessels</w:t>
      </w:r>
      <w:r w:rsidR="002002E3">
        <w:t xml:space="preserve">, so the cost recovery response occurred under the </w:t>
      </w:r>
      <w:r w:rsidR="002002E3" w:rsidRPr="00B703F0">
        <w:t xml:space="preserve">Protection of the Sea </w:t>
      </w:r>
      <w:r w:rsidR="002002E3">
        <w:t>regulatory</w:t>
      </w:r>
      <w:r w:rsidR="002002E3" w:rsidRPr="00B703F0">
        <w:t xml:space="preserve"> framework</w:t>
      </w:r>
      <w:r w:rsidR="002002E3">
        <w:t xml:space="preserve"> rather than the Navigation Act. </w:t>
      </w:r>
      <w:r w:rsidR="00AA7DC6">
        <w:t>If this trend continues</w:t>
      </w:r>
      <w:r w:rsidR="002002E3">
        <w:t xml:space="preserve"> as outlined in Chapter 2.1</w:t>
      </w:r>
      <w:r w:rsidR="00AA7DC6">
        <w:t xml:space="preserve">, it </w:t>
      </w:r>
      <w:r w:rsidR="002002E3">
        <w:t>will</w:t>
      </w:r>
      <w:r w:rsidR="00AA7DC6">
        <w:t xml:space="preserve"> result in </w:t>
      </w:r>
      <w:r w:rsidR="00595625">
        <w:t>ongoing</w:t>
      </w:r>
      <w:r w:rsidR="00AA7DC6">
        <w:t xml:space="preserve"> </w:t>
      </w:r>
      <w:r w:rsidR="00824DE1" w:rsidRPr="00B703F0">
        <w:t xml:space="preserve">reliance and pressure on the Protection of the Sea </w:t>
      </w:r>
      <w:r w:rsidR="00B24DBD">
        <w:t>regulatory</w:t>
      </w:r>
      <w:r w:rsidR="00B24DBD" w:rsidRPr="00B703F0">
        <w:t xml:space="preserve"> </w:t>
      </w:r>
      <w:r w:rsidR="00824DE1" w:rsidRPr="00B703F0">
        <w:t xml:space="preserve">framework to </w:t>
      </w:r>
      <w:r w:rsidR="00C96C35" w:rsidRPr="00B703F0">
        <w:t xml:space="preserve">recover </w:t>
      </w:r>
      <w:r w:rsidR="00E328D4">
        <w:t>wreck</w:t>
      </w:r>
      <w:r w:rsidR="00E328D4">
        <w:noBreakHyphen/>
        <w:t xml:space="preserve">related </w:t>
      </w:r>
      <w:r w:rsidR="00C96C35" w:rsidRPr="00B703F0">
        <w:t>costs</w:t>
      </w:r>
      <w:r w:rsidR="00F73364">
        <w:t xml:space="preserve">. </w:t>
      </w:r>
    </w:p>
    <w:p w14:paraId="387151D9" w14:textId="4071D183" w:rsidR="00AA1402" w:rsidRDefault="00AA1402" w:rsidP="00AA1402">
      <w:r w:rsidRPr="002C317C">
        <w:t>In response to the 2020 Discussion Paper, a minority of the shipping industry</w:t>
      </w:r>
      <w:r w:rsidR="00595625" w:rsidRPr="002C317C">
        <w:t xml:space="preserve"> responses</w:t>
      </w:r>
      <w:r w:rsidRPr="002C317C">
        <w:t xml:space="preserve"> favoured remaining with the status quo due to the </w:t>
      </w:r>
      <w:r w:rsidR="00D051D9" w:rsidRPr="002C317C">
        <w:t xml:space="preserve">resources </w:t>
      </w:r>
      <w:r w:rsidRPr="002C317C">
        <w:t xml:space="preserve">required </w:t>
      </w:r>
      <w:r w:rsidR="00D051D9" w:rsidRPr="002C317C">
        <w:t>to</w:t>
      </w:r>
      <w:r w:rsidRPr="002C317C">
        <w:t xml:space="preserve"> re-educat</w:t>
      </w:r>
      <w:r w:rsidR="00D15643" w:rsidRPr="002C317C">
        <w:t>e</w:t>
      </w:r>
      <w:r w:rsidRPr="002C317C">
        <w:t>/train employees</w:t>
      </w:r>
      <w:r w:rsidRPr="0034084A">
        <w:t>. The majority</w:t>
      </w:r>
      <w:r w:rsidRPr="00B703F0">
        <w:t xml:space="preserve"> of the shipping industry, as well as local government and academics noted their preference</w:t>
      </w:r>
      <w:r w:rsidR="005D7EE0" w:rsidRPr="00B703F0">
        <w:t xml:space="preserve"> </w:t>
      </w:r>
      <w:r w:rsidRPr="00B703F0">
        <w:t xml:space="preserve">to extend </w:t>
      </w:r>
      <w:r w:rsidR="005D7EE0" w:rsidRPr="00B703F0">
        <w:t>the Australian Government’s</w:t>
      </w:r>
      <w:r w:rsidRPr="00B703F0">
        <w:t xml:space="preserve"> authority, in order to see greater levels of consistency in Australia’s maritime legislation.</w:t>
      </w:r>
    </w:p>
    <w:p w14:paraId="697F558B" w14:textId="1DC7D5B5" w:rsidR="000C52E1" w:rsidRDefault="000C52E1" w:rsidP="004F4421">
      <w:pPr>
        <w:pStyle w:val="Heading4Numbered"/>
        <w:numPr>
          <w:ilvl w:val="0"/>
          <w:numId w:val="0"/>
        </w:numPr>
        <w:ind w:left="1134" w:hanging="1134"/>
        <w:jc w:val="both"/>
      </w:pPr>
      <w:bookmarkStart w:id="33" w:name="_Toc96354465"/>
      <w:r>
        <w:t>DCVs</w:t>
      </w:r>
      <w:r w:rsidR="0059602F">
        <w:t xml:space="preserve"> and recreational vessels</w:t>
      </w:r>
      <w:bookmarkEnd w:id="33"/>
    </w:p>
    <w:p w14:paraId="7999C6A0" w14:textId="22DA24D8" w:rsidR="00C26F7C" w:rsidRDefault="000149AF" w:rsidP="00C26F7C">
      <w:r w:rsidRPr="00B703F0">
        <w:t xml:space="preserve">A DCV is a </w:t>
      </w:r>
      <w:r>
        <w:t>ship</w:t>
      </w:r>
      <w:r w:rsidRPr="00B703F0">
        <w:t xml:space="preserve"> used in connection with a commercial, governmental or research activity and undertakes only domestic voyages around Australia. </w:t>
      </w:r>
      <w:r w:rsidR="006545D3">
        <w:t>According to the Department of Infrastructure, Transport, Regional Development, Communications and the Arts, there are around 31,000 active DCVs in Australia</w:t>
      </w:r>
      <w:r w:rsidRPr="00B703F0">
        <w:t>.</w:t>
      </w:r>
      <w:r w:rsidR="00AF7A15">
        <w:rPr>
          <w:rStyle w:val="FootnoteReference"/>
        </w:rPr>
        <w:footnoteReference w:id="31"/>
      </w:r>
      <w:r w:rsidRPr="00B703F0">
        <w:t xml:space="preserve"> </w:t>
      </w:r>
      <w:r w:rsidR="00C26F7C">
        <w:t xml:space="preserve">The term ‘recreational vessel’ </w:t>
      </w:r>
      <w:r w:rsidR="006714F8">
        <w:t xml:space="preserve">captures </w:t>
      </w:r>
      <w:r w:rsidR="00C26F7C">
        <w:t>pleasure craft</w:t>
      </w:r>
      <w:r w:rsidR="006714F8">
        <w:t>s, including power or sailboats</w:t>
      </w:r>
      <w:r w:rsidR="00C26F7C">
        <w:t>. It would also include super yachts and other large yachts.</w:t>
      </w:r>
      <w:r w:rsidR="002C564D">
        <w:t xml:space="preserve"> There is estimated to be 866,808 recreational vessels in Australia, further details are in Chapter 5.2.</w:t>
      </w:r>
    </w:p>
    <w:p w14:paraId="0B3C1800" w14:textId="2CE887B7" w:rsidR="000149AF" w:rsidRPr="00B703F0" w:rsidRDefault="000149AF" w:rsidP="000149AF">
      <w:r w:rsidRPr="00B703F0">
        <w:t xml:space="preserve">When compared to foreign vessels and RAVS, </w:t>
      </w:r>
      <w:r w:rsidR="00C26F7C">
        <w:t xml:space="preserve">these </w:t>
      </w:r>
      <w:r w:rsidR="006714F8">
        <w:t xml:space="preserve">generally </w:t>
      </w:r>
      <w:r w:rsidR="00C26F7C">
        <w:t xml:space="preserve">smaller vessels </w:t>
      </w:r>
      <w:r w:rsidRPr="00B703F0">
        <w:t>are a larger contributor of wrecks in Australia</w:t>
      </w:r>
      <w:r>
        <w:t>,</w:t>
      </w:r>
      <w:r w:rsidRPr="007338CD">
        <w:t xml:space="preserve"> </w:t>
      </w:r>
      <w:r>
        <w:t>although typically the consequent</w:t>
      </w:r>
      <w:r w:rsidR="00C26F7C">
        <w:t>ial</w:t>
      </w:r>
      <w:r>
        <w:t xml:space="preserve"> impacts are smaller</w:t>
      </w:r>
      <w:r w:rsidRPr="00B703F0">
        <w:t xml:space="preserve">. Using Queensland as an example, Maritime Safety Queensland reported that between </w:t>
      </w:r>
      <w:r w:rsidRPr="00B703F0">
        <w:rPr>
          <w:rFonts w:eastAsia="Times New Roman"/>
        </w:rPr>
        <w:t xml:space="preserve">1 July 2018 and 24 March 2021 they removed a total of 592 wrecks, 82 of which were ex-commercial </w:t>
      </w:r>
      <w:r>
        <w:rPr>
          <w:rFonts w:eastAsia="Times New Roman"/>
        </w:rPr>
        <w:t>ships</w:t>
      </w:r>
      <w:r w:rsidRPr="00B703F0">
        <w:rPr>
          <w:rFonts w:eastAsia="Times New Roman"/>
        </w:rPr>
        <w:t>.</w:t>
      </w:r>
      <w:r>
        <w:rPr>
          <w:rStyle w:val="FootnoteReference"/>
          <w:rFonts w:eastAsia="Times New Roman"/>
        </w:rPr>
        <w:footnoteReference w:id="32"/>
      </w:r>
      <w:r w:rsidRPr="00B703F0">
        <w:rPr>
          <w:rFonts w:eastAsia="Times New Roman"/>
        </w:rPr>
        <w:t xml:space="preserve"> During the same time period AMSA received reports of </w:t>
      </w:r>
      <w:r w:rsidR="00362B44">
        <w:rPr>
          <w:rFonts w:eastAsia="Times New Roman"/>
        </w:rPr>
        <w:t>2</w:t>
      </w:r>
      <w:r w:rsidR="00362B44" w:rsidRPr="00B703F0">
        <w:rPr>
          <w:rFonts w:eastAsia="Times New Roman"/>
        </w:rPr>
        <w:t xml:space="preserve"> </w:t>
      </w:r>
      <w:r w:rsidRPr="00B703F0">
        <w:rPr>
          <w:rFonts w:eastAsia="Times New Roman"/>
        </w:rPr>
        <w:t xml:space="preserve">wrecks, both </w:t>
      </w:r>
      <w:r w:rsidR="006714F8">
        <w:rPr>
          <w:rFonts w:eastAsia="Times New Roman"/>
        </w:rPr>
        <w:t xml:space="preserve">container losses </w:t>
      </w:r>
      <w:r w:rsidRPr="00B703F0">
        <w:rPr>
          <w:rFonts w:eastAsia="Times New Roman"/>
        </w:rPr>
        <w:t xml:space="preserve">from foreign vessels – </w:t>
      </w:r>
      <w:r w:rsidRPr="00B703F0">
        <w:rPr>
          <w:rFonts w:eastAsia="Times New Roman"/>
          <w:i/>
        </w:rPr>
        <w:t>APL</w:t>
      </w:r>
      <w:r w:rsidR="001E6FF4">
        <w:rPr>
          <w:rFonts w:eastAsia="Times New Roman"/>
          <w:i/>
        </w:rPr>
        <w:t> </w:t>
      </w:r>
      <w:r w:rsidRPr="00B703F0">
        <w:rPr>
          <w:rFonts w:eastAsia="Times New Roman"/>
          <w:i/>
        </w:rPr>
        <w:t>England</w:t>
      </w:r>
      <w:r w:rsidRPr="00B703F0">
        <w:rPr>
          <w:rFonts w:eastAsia="Times New Roman"/>
        </w:rPr>
        <w:t xml:space="preserve"> and </w:t>
      </w:r>
      <w:r w:rsidRPr="00B703F0">
        <w:rPr>
          <w:rFonts w:eastAsia="Times New Roman"/>
          <w:i/>
        </w:rPr>
        <w:t>Navios Unite</w:t>
      </w:r>
      <w:r>
        <w:rPr>
          <w:rFonts w:eastAsia="Times New Roman"/>
        </w:rPr>
        <w:t xml:space="preserve">. </w:t>
      </w:r>
    </w:p>
    <w:p w14:paraId="150D1B23" w14:textId="70023604" w:rsidR="00BE0C35" w:rsidRDefault="00BE0C35" w:rsidP="00BE0C35">
      <w:r>
        <w:t xml:space="preserve">The regulation of DCVs is </w:t>
      </w:r>
      <w:r w:rsidR="006714F8">
        <w:t xml:space="preserve">shared </w:t>
      </w:r>
      <w:r>
        <w:t xml:space="preserve">between state and territories and the Australian Government under </w:t>
      </w:r>
      <w:r w:rsidRPr="00B703F0">
        <w:t>the National Law</w:t>
      </w:r>
      <w:r>
        <w:t xml:space="preserve">, which is a type of legislation known as an applied law scheme – where one jurisdiction enacts a model law, which is then picked up or applied by another jurisdiction or group of jurisdictions. </w:t>
      </w:r>
      <w:r w:rsidRPr="00B703F0">
        <w:t>S</w:t>
      </w:r>
      <w:r w:rsidR="004A2BB3">
        <w:t>ubs</w:t>
      </w:r>
      <w:r w:rsidRPr="00B703F0">
        <w:t xml:space="preserve">ection 6(2)(viii) of the National Law specifically states </w:t>
      </w:r>
      <w:r w:rsidR="00A62226">
        <w:t xml:space="preserve">the National Law does not apply to </w:t>
      </w:r>
      <w:r>
        <w:t xml:space="preserve">DCV </w:t>
      </w:r>
      <w:r w:rsidRPr="00B703F0">
        <w:t>wreck and salvage issues.</w:t>
      </w:r>
    </w:p>
    <w:p w14:paraId="4A57C939" w14:textId="75CDD90F" w:rsidR="007173BF" w:rsidRPr="00B703F0" w:rsidRDefault="00C26F7C" w:rsidP="007173BF">
      <w:r>
        <w:t>D</w:t>
      </w:r>
      <w:r w:rsidRPr="00B703F0">
        <w:t xml:space="preserve">ifferent wreck removal and cost recovery </w:t>
      </w:r>
      <w:r>
        <w:t>obligations</w:t>
      </w:r>
      <w:r w:rsidRPr="00B703F0">
        <w:t xml:space="preserve"> are available in each jurisdiction, depending on the circumstances of the wreck and/or the type of </w:t>
      </w:r>
      <w:r>
        <w:t>ship</w:t>
      </w:r>
      <w:r w:rsidRPr="00B703F0">
        <w:t xml:space="preserve"> involved.</w:t>
      </w:r>
      <w:r>
        <w:t xml:space="preserve"> </w:t>
      </w:r>
      <w:r w:rsidR="007173BF" w:rsidRPr="00B703F0">
        <w:t xml:space="preserve">The </w:t>
      </w:r>
      <w:r w:rsidR="007173BF">
        <w:t xml:space="preserve">state and territory </w:t>
      </w:r>
      <w:r w:rsidR="00BE0C35">
        <w:t xml:space="preserve">acts </w:t>
      </w:r>
      <w:r w:rsidR="007173BF">
        <w:t xml:space="preserve">managing </w:t>
      </w:r>
      <w:r w:rsidR="000149AF">
        <w:t xml:space="preserve">DCV and recreational vessel </w:t>
      </w:r>
      <w:r w:rsidR="007173BF">
        <w:t>wrecks</w:t>
      </w:r>
      <w:r w:rsidR="007173BF" w:rsidRPr="00B703F0">
        <w:t xml:space="preserve"> are:</w:t>
      </w:r>
    </w:p>
    <w:p w14:paraId="24CF722A" w14:textId="77777777" w:rsidR="007173BF" w:rsidRPr="00B703F0" w:rsidRDefault="007173BF" w:rsidP="007173BF">
      <w:pPr>
        <w:pStyle w:val="Bullet1"/>
        <w:rPr>
          <w:rFonts w:cstheme="minorHAnsi"/>
          <w:i/>
          <w:lang w:val="en-AU"/>
        </w:rPr>
      </w:pPr>
      <w:r w:rsidRPr="00B703F0">
        <w:rPr>
          <w:rFonts w:cstheme="minorHAnsi"/>
          <w:lang w:val="en-AU"/>
        </w:rPr>
        <w:t>New South Wales</w:t>
      </w:r>
      <w:r>
        <w:rPr>
          <w:rFonts w:cstheme="minorHAnsi"/>
          <w:lang w:val="en-AU"/>
        </w:rPr>
        <w:t xml:space="preserve"> –</w:t>
      </w:r>
      <w:r w:rsidRPr="00B703F0">
        <w:rPr>
          <w:rFonts w:cstheme="minorHAnsi"/>
          <w:lang w:val="en-AU"/>
        </w:rPr>
        <w:t xml:space="preserve"> </w:t>
      </w:r>
      <w:r w:rsidRPr="00B703F0">
        <w:rPr>
          <w:rFonts w:cstheme="minorHAnsi"/>
          <w:i/>
          <w:lang w:val="en-AU"/>
        </w:rPr>
        <w:t>Marine</w:t>
      </w:r>
      <w:r>
        <w:rPr>
          <w:rFonts w:cstheme="minorHAnsi"/>
          <w:i/>
          <w:lang w:val="en-AU"/>
        </w:rPr>
        <w:t xml:space="preserve"> </w:t>
      </w:r>
      <w:r w:rsidRPr="00B703F0">
        <w:rPr>
          <w:rFonts w:cstheme="minorHAnsi"/>
          <w:i/>
          <w:lang w:val="en-AU"/>
        </w:rPr>
        <w:t>Safety Act 1998.</w:t>
      </w:r>
    </w:p>
    <w:p w14:paraId="455B82A9" w14:textId="77777777" w:rsidR="007173BF" w:rsidRPr="00B703F0" w:rsidRDefault="007173BF" w:rsidP="007173BF">
      <w:pPr>
        <w:pStyle w:val="Bullet1"/>
        <w:rPr>
          <w:rFonts w:cstheme="minorHAnsi"/>
          <w:i/>
          <w:lang w:val="en-AU"/>
        </w:rPr>
      </w:pPr>
      <w:r w:rsidRPr="00B703F0">
        <w:rPr>
          <w:lang w:val="en-AU"/>
        </w:rPr>
        <w:t>Northern</w:t>
      </w:r>
      <w:r w:rsidRPr="00B703F0">
        <w:rPr>
          <w:rFonts w:cstheme="minorHAnsi"/>
          <w:lang w:val="en-AU"/>
        </w:rPr>
        <w:t xml:space="preserve"> Territory – </w:t>
      </w:r>
      <w:r w:rsidRPr="00B703F0">
        <w:rPr>
          <w:rFonts w:cstheme="minorHAnsi"/>
          <w:i/>
          <w:lang w:val="en-AU"/>
        </w:rPr>
        <w:t>Marine Act 1981 and the Ports Management Act 2015.</w:t>
      </w:r>
    </w:p>
    <w:p w14:paraId="62B05938" w14:textId="77777777" w:rsidR="007173BF" w:rsidRPr="00B703F0" w:rsidRDefault="007173BF" w:rsidP="007173BF">
      <w:pPr>
        <w:pStyle w:val="Bullet1"/>
        <w:rPr>
          <w:rFonts w:cstheme="minorHAnsi"/>
          <w:lang w:val="en-AU"/>
        </w:rPr>
      </w:pPr>
      <w:r w:rsidRPr="00B703F0">
        <w:rPr>
          <w:lang w:val="en-AU"/>
        </w:rPr>
        <w:lastRenderedPageBreak/>
        <w:t>Queensland</w:t>
      </w:r>
      <w:r w:rsidRPr="00B703F0">
        <w:rPr>
          <w:rFonts w:cstheme="minorHAnsi"/>
          <w:lang w:val="en-AU"/>
        </w:rPr>
        <w:t xml:space="preserve"> – </w:t>
      </w:r>
      <w:r w:rsidRPr="00B703F0">
        <w:rPr>
          <w:rFonts w:cstheme="minorHAnsi"/>
          <w:i/>
          <w:lang w:val="en-AU"/>
        </w:rPr>
        <w:t>Transport Operations (Marine Safety) Act 1994.</w:t>
      </w:r>
    </w:p>
    <w:p w14:paraId="225BB2A8" w14:textId="77777777" w:rsidR="007173BF" w:rsidRPr="00B703F0" w:rsidRDefault="007173BF" w:rsidP="007173BF">
      <w:pPr>
        <w:pStyle w:val="Bullet1"/>
        <w:rPr>
          <w:rFonts w:cstheme="minorHAnsi"/>
          <w:lang w:val="en-AU"/>
        </w:rPr>
      </w:pPr>
      <w:r w:rsidRPr="00B703F0">
        <w:rPr>
          <w:lang w:val="en-AU"/>
        </w:rPr>
        <w:t>South</w:t>
      </w:r>
      <w:r w:rsidRPr="00B703F0">
        <w:rPr>
          <w:rFonts w:cstheme="minorHAnsi"/>
          <w:lang w:val="en-AU"/>
        </w:rPr>
        <w:t xml:space="preserve"> Australia – </w:t>
      </w:r>
      <w:r w:rsidRPr="00B703F0">
        <w:rPr>
          <w:rFonts w:cstheme="minorHAnsi"/>
          <w:i/>
          <w:lang w:val="en-AU"/>
        </w:rPr>
        <w:t>Harbors and Navigation Act 1993.</w:t>
      </w:r>
    </w:p>
    <w:p w14:paraId="32E18D6E" w14:textId="77777777" w:rsidR="007173BF" w:rsidRPr="00B703F0" w:rsidRDefault="007173BF" w:rsidP="007173BF">
      <w:pPr>
        <w:pStyle w:val="Bullet1"/>
        <w:rPr>
          <w:rFonts w:cstheme="minorHAnsi"/>
          <w:lang w:val="en-AU"/>
        </w:rPr>
      </w:pPr>
      <w:r w:rsidRPr="00B703F0">
        <w:rPr>
          <w:lang w:val="en-AU"/>
        </w:rPr>
        <w:t>Tasmania</w:t>
      </w:r>
      <w:r w:rsidRPr="00B703F0">
        <w:rPr>
          <w:rFonts w:cstheme="minorHAnsi"/>
          <w:lang w:val="en-AU"/>
        </w:rPr>
        <w:t xml:space="preserve"> – </w:t>
      </w:r>
      <w:r w:rsidRPr="00B703F0">
        <w:rPr>
          <w:rFonts w:cstheme="minorHAnsi"/>
          <w:i/>
          <w:lang w:val="en-AU"/>
        </w:rPr>
        <w:t>Marine and Safety Authority Act 1997.</w:t>
      </w:r>
    </w:p>
    <w:p w14:paraId="11FB89DC" w14:textId="77777777" w:rsidR="007173BF" w:rsidRPr="00B703F0" w:rsidRDefault="007173BF" w:rsidP="007173BF">
      <w:pPr>
        <w:pStyle w:val="Bullet1"/>
        <w:rPr>
          <w:rFonts w:cstheme="minorHAnsi"/>
          <w:lang w:val="en-AU"/>
        </w:rPr>
      </w:pPr>
      <w:r w:rsidRPr="00B703F0">
        <w:rPr>
          <w:lang w:val="en-AU"/>
        </w:rPr>
        <w:t>Victoria</w:t>
      </w:r>
      <w:r w:rsidRPr="00B703F0">
        <w:rPr>
          <w:rFonts w:cstheme="minorHAnsi"/>
          <w:lang w:val="en-AU"/>
        </w:rPr>
        <w:t xml:space="preserve"> – </w:t>
      </w:r>
      <w:r w:rsidRPr="00B703F0">
        <w:rPr>
          <w:rFonts w:cstheme="minorHAnsi"/>
          <w:i/>
          <w:lang w:val="en-AU"/>
        </w:rPr>
        <w:t>Marine Safety Act 2010.</w:t>
      </w:r>
    </w:p>
    <w:p w14:paraId="79E468AD" w14:textId="77777777" w:rsidR="007173BF" w:rsidRPr="00B703F0" w:rsidRDefault="007173BF" w:rsidP="007173BF">
      <w:pPr>
        <w:pStyle w:val="Bullet1"/>
        <w:rPr>
          <w:rFonts w:cstheme="minorHAnsi"/>
          <w:lang w:val="en-AU"/>
        </w:rPr>
      </w:pPr>
      <w:r w:rsidRPr="00B703F0">
        <w:rPr>
          <w:lang w:val="en-AU"/>
        </w:rPr>
        <w:t>Western</w:t>
      </w:r>
      <w:r w:rsidRPr="00B703F0">
        <w:rPr>
          <w:rFonts w:cstheme="minorHAnsi"/>
          <w:lang w:val="en-AU"/>
        </w:rPr>
        <w:t xml:space="preserve"> Australia – </w:t>
      </w:r>
      <w:r w:rsidRPr="00B703F0">
        <w:rPr>
          <w:rFonts w:cstheme="minorHAnsi"/>
          <w:i/>
          <w:lang w:val="en-AU"/>
        </w:rPr>
        <w:t xml:space="preserve">Western Australian Marine Act 1982 </w:t>
      </w:r>
      <w:r w:rsidRPr="00B703F0">
        <w:rPr>
          <w:rFonts w:cstheme="minorHAnsi"/>
          <w:lang w:val="en-AU"/>
        </w:rPr>
        <w:t>and the</w:t>
      </w:r>
      <w:r w:rsidRPr="00B703F0">
        <w:rPr>
          <w:rFonts w:cstheme="minorHAnsi"/>
          <w:i/>
          <w:lang w:val="en-AU"/>
        </w:rPr>
        <w:t xml:space="preserve"> Navigable Waters Regulations 1958.</w:t>
      </w:r>
    </w:p>
    <w:p w14:paraId="7660ACA2" w14:textId="30954B4C" w:rsidR="007173BF" w:rsidRDefault="007173BF" w:rsidP="00C54DD4">
      <w:r w:rsidRPr="00B703F0">
        <w:t>In response to the 2020 Discussion Paper</w:t>
      </w:r>
      <w:r>
        <w:t xml:space="preserve"> and the draft RIS</w:t>
      </w:r>
      <w:r w:rsidRPr="00B703F0">
        <w:t>,</w:t>
      </w:r>
      <w:r>
        <w:t xml:space="preserve"> several state and territory governments asserted </w:t>
      </w:r>
      <w:r w:rsidR="00BE0C35">
        <w:t>their</w:t>
      </w:r>
      <w:r>
        <w:t xml:space="preserve"> wreck removal frameworks</w:t>
      </w:r>
      <w:r w:rsidR="0059602F">
        <w:t xml:space="preserve"> covering DCVs and recreational vessels</w:t>
      </w:r>
      <w:r>
        <w:t xml:space="preserve"> were fit for purpose and did not require Commonwealth intervention to improve cost recovery outcomes.  </w:t>
      </w:r>
    </w:p>
    <w:p w14:paraId="55B5A28E" w14:textId="69D29EED" w:rsidR="003E590F" w:rsidRPr="00B703F0" w:rsidRDefault="003E590F" w:rsidP="00D84869">
      <w:pPr>
        <w:pStyle w:val="Heading4Numbered"/>
        <w:numPr>
          <w:ilvl w:val="0"/>
          <w:numId w:val="0"/>
        </w:numPr>
        <w:ind w:left="1134" w:hanging="1134"/>
        <w:jc w:val="both"/>
      </w:pPr>
      <w:r w:rsidRPr="00B703F0">
        <w:t xml:space="preserve">Advantages </w:t>
      </w:r>
    </w:p>
    <w:p w14:paraId="342A0923" w14:textId="35CD0BC0" w:rsidR="003E590F" w:rsidRPr="00B703F0" w:rsidRDefault="003E590F" w:rsidP="003E590F">
      <w:pPr>
        <w:pStyle w:val="Bullet1"/>
        <w:rPr>
          <w:lang w:val="en-AU"/>
        </w:rPr>
      </w:pPr>
      <w:r w:rsidRPr="00B703F0">
        <w:rPr>
          <w:lang w:val="en-AU"/>
        </w:rPr>
        <w:t xml:space="preserve">Business as usual </w:t>
      </w:r>
      <w:r w:rsidR="006E6212" w:rsidRPr="00B703F0">
        <w:rPr>
          <w:lang w:val="en-AU"/>
        </w:rPr>
        <w:t xml:space="preserve">continues </w:t>
      </w:r>
      <w:r w:rsidRPr="00B703F0">
        <w:rPr>
          <w:lang w:val="en-AU"/>
        </w:rPr>
        <w:t xml:space="preserve">with no changes to existing processes, policies and procedures, and no implementation costs for industry. </w:t>
      </w:r>
    </w:p>
    <w:p w14:paraId="59D0A1D6" w14:textId="49958C97" w:rsidR="003E590F" w:rsidRPr="00B703F0" w:rsidRDefault="003E590F" w:rsidP="00D84869">
      <w:pPr>
        <w:pStyle w:val="Heading4Numbered"/>
        <w:numPr>
          <w:ilvl w:val="0"/>
          <w:numId w:val="0"/>
        </w:numPr>
        <w:ind w:left="1134" w:hanging="1134"/>
        <w:jc w:val="both"/>
      </w:pPr>
      <w:r w:rsidRPr="00B703F0">
        <w:t xml:space="preserve">Disadvantages </w:t>
      </w:r>
    </w:p>
    <w:p w14:paraId="308BDFC6" w14:textId="0C092BC0" w:rsidR="00B83BC0" w:rsidRPr="00B83BC0" w:rsidRDefault="003E590F" w:rsidP="00B83BC0">
      <w:pPr>
        <w:pStyle w:val="Bullet1"/>
        <w:rPr>
          <w:lang w:val="en-AU"/>
        </w:rPr>
      </w:pPr>
      <w:r w:rsidRPr="00B703F0">
        <w:rPr>
          <w:lang w:val="en-AU"/>
        </w:rPr>
        <w:t xml:space="preserve">The </w:t>
      </w:r>
      <w:r w:rsidR="00A1212E" w:rsidRPr="00B703F0">
        <w:rPr>
          <w:lang w:val="en-AU"/>
        </w:rPr>
        <w:t xml:space="preserve">Navigation Act </w:t>
      </w:r>
      <w:r w:rsidR="00C54DD4">
        <w:rPr>
          <w:lang w:val="en-AU"/>
        </w:rPr>
        <w:t xml:space="preserve">will continue to </w:t>
      </w:r>
      <w:r w:rsidRPr="00B703F0">
        <w:rPr>
          <w:lang w:val="en-AU"/>
        </w:rPr>
        <w:t>appl</w:t>
      </w:r>
      <w:r w:rsidR="00C54DD4">
        <w:rPr>
          <w:lang w:val="en-AU"/>
        </w:rPr>
        <w:t>y</w:t>
      </w:r>
      <w:r w:rsidRPr="00B703F0">
        <w:rPr>
          <w:lang w:val="en-AU"/>
        </w:rPr>
        <w:t xml:space="preserve"> only to wrecks </w:t>
      </w:r>
      <w:r w:rsidR="000B41FA" w:rsidRPr="00B703F0">
        <w:rPr>
          <w:lang w:val="en-AU"/>
        </w:rPr>
        <w:t>of</w:t>
      </w:r>
      <w:r w:rsidRPr="00B703F0">
        <w:rPr>
          <w:lang w:val="en-AU"/>
        </w:rPr>
        <w:t xml:space="preserve"> foreign vessels when located</w:t>
      </w:r>
      <w:r w:rsidR="00264FC1" w:rsidRPr="00B703F0">
        <w:rPr>
          <w:lang w:val="en-AU"/>
        </w:rPr>
        <w:t xml:space="preserve"> in Australia’s </w:t>
      </w:r>
      <w:r w:rsidR="00635073" w:rsidRPr="00B703F0">
        <w:rPr>
          <w:lang w:val="en-AU"/>
        </w:rPr>
        <w:t>territorial sea</w:t>
      </w:r>
      <w:r w:rsidR="00595625">
        <w:rPr>
          <w:lang w:val="en-AU"/>
        </w:rPr>
        <w:t>, noting this is the maritime zone with the greatest number of environmentally sensitive areas.</w:t>
      </w:r>
    </w:p>
    <w:p w14:paraId="4F0D98CB" w14:textId="0EE3699E" w:rsidR="003E590F" w:rsidRPr="00FB1BAD" w:rsidRDefault="00D9516B" w:rsidP="003E590F">
      <w:pPr>
        <w:pStyle w:val="Bullet1"/>
        <w:rPr>
          <w:lang w:val="en-AU"/>
        </w:rPr>
      </w:pPr>
      <w:r w:rsidRPr="00B703F0">
        <w:rPr>
          <w:lang w:val="en-AU"/>
        </w:rPr>
        <w:t>T</w:t>
      </w:r>
      <w:r w:rsidR="003E590F" w:rsidRPr="00B703F0">
        <w:rPr>
          <w:lang w:val="en-AU"/>
        </w:rPr>
        <w:t xml:space="preserve">he definition </w:t>
      </w:r>
      <w:r w:rsidR="00216F1C">
        <w:rPr>
          <w:lang w:val="en-AU"/>
        </w:rPr>
        <w:t xml:space="preserve">of </w:t>
      </w:r>
      <w:r w:rsidR="003E590F" w:rsidRPr="00B703F0">
        <w:rPr>
          <w:lang w:val="en-AU"/>
        </w:rPr>
        <w:t xml:space="preserve">‘wreck’ </w:t>
      </w:r>
      <w:r w:rsidRPr="00B703F0">
        <w:rPr>
          <w:lang w:val="en-AU"/>
        </w:rPr>
        <w:t xml:space="preserve">in the Navigation Act </w:t>
      </w:r>
      <w:r w:rsidR="00D7053E">
        <w:rPr>
          <w:lang w:val="en-AU"/>
        </w:rPr>
        <w:t xml:space="preserve">will </w:t>
      </w:r>
      <w:r w:rsidR="003E590F" w:rsidRPr="00B703F0">
        <w:rPr>
          <w:lang w:val="en-AU"/>
        </w:rPr>
        <w:t>continue to exclude goods or cargo fallen overboard from a ship that is not itself wrecked, derelict, stranded, sunk, abandoned, foundered o</w:t>
      </w:r>
      <w:r w:rsidR="00264FC1" w:rsidRPr="00B703F0">
        <w:rPr>
          <w:lang w:val="en-AU"/>
        </w:rPr>
        <w:t>r in distress</w:t>
      </w:r>
      <w:r w:rsidR="003E590F" w:rsidRPr="00B703F0">
        <w:rPr>
          <w:lang w:val="en-AU"/>
        </w:rPr>
        <w:t xml:space="preserve">. </w:t>
      </w:r>
      <w:r w:rsidR="00595625">
        <w:rPr>
          <w:lang w:val="en-AU"/>
        </w:rPr>
        <w:t xml:space="preserve">As noted above, the last </w:t>
      </w:r>
      <w:r w:rsidR="00595625" w:rsidRPr="00FB1BAD">
        <w:rPr>
          <w:lang w:val="en-AU"/>
        </w:rPr>
        <w:t>3</w:t>
      </w:r>
      <w:r w:rsidR="00AF7A15" w:rsidRPr="00FB1BAD">
        <w:rPr>
          <w:lang w:val="en-AU"/>
        </w:rPr>
        <w:t> </w:t>
      </w:r>
      <w:r w:rsidR="00595625" w:rsidRPr="00FB1BAD">
        <w:rPr>
          <w:lang w:val="en-AU"/>
        </w:rPr>
        <w:t>wreck incidents in Australia</w:t>
      </w:r>
      <w:r w:rsidR="00A62226" w:rsidRPr="00FB1BAD">
        <w:rPr>
          <w:lang w:val="en-AU"/>
        </w:rPr>
        <w:t xml:space="preserve"> managed by AMSA</w:t>
      </w:r>
      <w:r w:rsidR="00595625" w:rsidRPr="00FB1BAD">
        <w:rPr>
          <w:lang w:val="en-AU"/>
        </w:rPr>
        <w:t xml:space="preserve"> have exclusively involved the loss of cargo overboard. </w:t>
      </w:r>
    </w:p>
    <w:p w14:paraId="1B28E50A" w14:textId="2F2AC886" w:rsidR="00FB1BAD" w:rsidRPr="00FB1BAD" w:rsidRDefault="00B83BC0" w:rsidP="00FB1BAD">
      <w:pPr>
        <w:pStyle w:val="Bullet1"/>
      </w:pPr>
      <w:r w:rsidRPr="00FB1BAD">
        <w:rPr>
          <w:lang w:val="en-AU"/>
        </w:rPr>
        <w:t xml:space="preserve">Issues </w:t>
      </w:r>
      <w:r w:rsidR="007A16AE" w:rsidRPr="00FB1BAD">
        <w:rPr>
          <w:lang w:val="en-AU"/>
        </w:rPr>
        <w:t xml:space="preserve">regarding </w:t>
      </w:r>
      <w:r w:rsidRPr="00FB1BAD">
        <w:rPr>
          <w:lang w:val="en-AU"/>
        </w:rPr>
        <w:t>cost recover</w:t>
      </w:r>
      <w:r w:rsidR="007A16AE" w:rsidRPr="00FB1BAD">
        <w:rPr>
          <w:lang w:val="en-AU"/>
        </w:rPr>
        <w:t>y</w:t>
      </w:r>
      <w:r w:rsidRPr="00FB1BAD">
        <w:rPr>
          <w:lang w:val="en-AU"/>
        </w:rPr>
        <w:t xml:space="preserve"> for wreck removal will continue to arise </w:t>
      </w:r>
      <w:r w:rsidR="00FB1BAD" w:rsidRPr="00FB1BAD">
        <w:rPr>
          <w:lang w:val="en-AU"/>
        </w:rPr>
        <w:t>i</w:t>
      </w:r>
      <w:r w:rsidR="00FB1BAD" w:rsidRPr="00FB1BAD">
        <w:t xml:space="preserve">n </w:t>
      </w:r>
      <w:r w:rsidR="00FB1BAD" w:rsidRPr="00FB1BAD">
        <w:rPr>
          <w:lang w:val="en-AU"/>
        </w:rPr>
        <w:t>jurisdictions</w:t>
      </w:r>
      <w:r w:rsidR="00FB1BAD" w:rsidRPr="00FB1BAD">
        <w:t xml:space="preserve"> where legislation does not apply to </w:t>
      </w:r>
      <w:r w:rsidR="00FB1BAD" w:rsidRPr="00FB1BAD">
        <w:rPr>
          <w:lang w:val="en-AU"/>
        </w:rPr>
        <w:t xml:space="preserve">Domestic Commercial Vessel (DCV) </w:t>
      </w:r>
      <w:r w:rsidR="00FB1BAD" w:rsidRPr="00FB1BAD">
        <w:t>or recreational vessel wrecks beyond coastal waters.</w:t>
      </w:r>
    </w:p>
    <w:p w14:paraId="57AB8228" w14:textId="175B78A0" w:rsidR="003E590F" w:rsidRPr="00B703F0" w:rsidRDefault="00D9516B" w:rsidP="003E590F">
      <w:pPr>
        <w:pStyle w:val="Bullet1"/>
        <w:rPr>
          <w:lang w:val="en-AU"/>
        </w:rPr>
      </w:pPr>
      <w:r w:rsidRPr="00B703F0">
        <w:rPr>
          <w:lang w:val="en-AU"/>
        </w:rPr>
        <w:t xml:space="preserve">The </w:t>
      </w:r>
      <w:r w:rsidR="00A1212E" w:rsidRPr="00B703F0">
        <w:rPr>
          <w:lang w:val="en-AU"/>
        </w:rPr>
        <w:t xml:space="preserve">Navigation Act </w:t>
      </w:r>
      <w:r w:rsidRPr="00B703F0">
        <w:rPr>
          <w:lang w:val="en-AU"/>
        </w:rPr>
        <w:t xml:space="preserve">contains no power allowing </w:t>
      </w:r>
      <w:r w:rsidR="003E537C">
        <w:rPr>
          <w:lang w:val="en-AU"/>
        </w:rPr>
        <w:t>AMSA</w:t>
      </w:r>
      <w:r w:rsidRPr="00B703F0">
        <w:rPr>
          <w:lang w:val="en-AU"/>
        </w:rPr>
        <w:t xml:space="preserve"> </w:t>
      </w:r>
      <w:r w:rsidR="003E590F" w:rsidRPr="00B703F0">
        <w:rPr>
          <w:lang w:val="en-AU"/>
        </w:rPr>
        <w:t xml:space="preserve">to directly approach the ship’s insurer to recover </w:t>
      </w:r>
      <w:r w:rsidR="00E328D4">
        <w:rPr>
          <w:lang w:val="en-AU"/>
        </w:rPr>
        <w:t>wreck</w:t>
      </w:r>
      <w:r w:rsidR="00E328D4">
        <w:rPr>
          <w:lang w:val="en-AU"/>
        </w:rPr>
        <w:noBreakHyphen/>
        <w:t xml:space="preserve">related </w:t>
      </w:r>
      <w:r w:rsidR="003E590F" w:rsidRPr="00B703F0">
        <w:rPr>
          <w:lang w:val="en-AU"/>
        </w:rPr>
        <w:t>costs.</w:t>
      </w:r>
    </w:p>
    <w:p w14:paraId="7640F523" w14:textId="2B4C1F5B" w:rsidR="002E1117" w:rsidRPr="002449A9" w:rsidRDefault="00D9516B" w:rsidP="003E590F">
      <w:pPr>
        <w:pStyle w:val="Bullet1"/>
        <w:rPr>
          <w:lang w:val="en-AU"/>
        </w:rPr>
      </w:pPr>
      <w:r w:rsidRPr="00B703F0">
        <w:rPr>
          <w:lang w:val="en-AU"/>
        </w:rPr>
        <w:t>There is no mechanism</w:t>
      </w:r>
      <w:r w:rsidR="003E590F" w:rsidRPr="00B703F0">
        <w:rPr>
          <w:lang w:val="en-AU"/>
        </w:rPr>
        <w:t xml:space="preserve"> to ensure ship owners have appropriate and accessible assets in place to fund a wreck removal operation before an incident occurs. </w:t>
      </w:r>
      <w:r w:rsidR="0026596D">
        <w:rPr>
          <w:lang w:val="en-AU"/>
        </w:rPr>
        <w:t>For example, w</w:t>
      </w:r>
      <w:r w:rsidR="00AB45E6" w:rsidRPr="00B703F0">
        <w:rPr>
          <w:lang w:val="en-AU"/>
        </w:rPr>
        <w:t>hile</w:t>
      </w:r>
      <w:r w:rsidRPr="00B703F0">
        <w:rPr>
          <w:lang w:val="en-AU"/>
        </w:rPr>
        <w:t xml:space="preserve"> </w:t>
      </w:r>
      <w:r w:rsidR="003E590F" w:rsidRPr="00B703F0">
        <w:rPr>
          <w:lang w:val="en-AU"/>
        </w:rPr>
        <w:t xml:space="preserve">AMSA is entitled under </w:t>
      </w:r>
      <w:r w:rsidR="006E6212" w:rsidRPr="00B703F0">
        <w:rPr>
          <w:lang w:val="en-AU"/>
        </w:rPr>
        <w:t xml:space="preserve">s229(1)(e) </w:t>
      </w:r>
      <w:r w:rsidR="00A1212E" w:rsidRPr="00B703F0">
        <w:rPr>
          <w:lang w:val="en-AU"/>
        </w:rPr>
        <w:t xml:space="preserve">Navigation Act </w:t>
      </w:r>
      <w:r w:rsidR="003E590F" w:rsidRPr="00B703F0">
        <w:rPr>
          <w:lang w:val="en-AU"/>
        </w:rPr>
        <w:t>to recover from the ship</w:t>
      </w:r>
      <w:r w:rsidR="006E6212" w:rsidRPr="00B703F0">
        <w:rPr>
          <w:lang w:val="en-AU"/>
        </w:rPr>
        <w:t xml:space="preserve"> </w:t>
      </w:r>
      <w:r w:rsidR="003E590F" w:rsidRPr="00B703F0">
        <w:rPr>
          <w:lang w:val="en-AU"/>
        </w:rPr>
        <w:t xml:space="preserve">owner the expenses incurred in removing the wreck in the </w:t>
      </w:r>
      <w:r w:rsidR="00635073" w:rsidRPr="00B703F0">
        <w:rPr>
          <w:lang w:val="en-AU"/>
        </w:rPr>
        <w:t>territorial sea</w:t>
      </w:r>
      <w:r w:rsidR="003E590F" w:rsidRPr="00B703F0">
        <w:rPr>
          <w:lang w:val="en-AU"/>
        </w:rPr>
        <w:t xml:space="preserve">, </w:t>
      </w:r>
      <w:r w:rsidR="00AB45E6" w:rsidRPr="00B703F0">
        <w:rPr>
          <w:lang w:val="en-AU"/>
        </w:rPr>
        <w:t xml:space="preserve">a </w:t>
      </w:r>
      <w:r w:rsidR="003E590F" w:rsidRPr="00B703F0">
        <w:rPr>
          <w:lang w:val="en-AU"/>
        </w:rPr>
        <w:t>practical difficulty arises in respect of a foreign ship</w:t>
      </w:r>
      <w:r w:rsidR="006E6212" w:rsidRPr="00B703F0">
        <w:rPr>
          <w:lang w:val="en-AU"/>
        </w:rPr>
        <w:t xml:space="preserve"> </w:t>
      </w:r>
      <w:r w:rsidR="003E590F" w:rsidRPr="00B703F0">
        <w:rPr>
          <w:lang w:val="en-AU"/>
        </w:rPr>
        <w:t>owner with no assets in Australia, a</w:t>
      </w:r>
      <w:r w:rsidR="00264FC1" w:rsidRPr="00B703F0">
        <w:rPr>
          <w:lang w:val="en-AU"/>
        </w:rPr>
        <w:t xml:space="preserve">s was the case of the </w:t>
      </w:r>
      <w:r w:rsidR="00264FC1" w:rsidRPr="00B703F0">
        <w:rPr>
          <w:i/>
          <w:lang w:val="en-AU"/>
        </w:rPr>
        <w:t>MV Tycoon</w:t>
      </w:r>
      <w:r w:rsidR="006E6212" w:rsidRPr="00B703F0">
        <w:rPr>
          <w:i/>
          <w:lang w:val="en-AU"/>
        </w:rPr>
        <w:t>.</w:t>
      </w:r>
      <w:r w:rsidR="00264FC1" w:rsidRPr="00B703F0">
        <w:rPr>
          <w:rStyle w:val="FootnoteReference"/>
          <w:lang w:val="en-AU"/>
        </w:rPr>
        <w:footnoteReference w:id="33"/>
      </w:r>
    </w:p>
    <w:p w14:paraId="20C51FA7" w14:textId="2BA471F2" w:rsidR="002449A9" w:rsidRDefault="002449A9" w:rsidP="003E590F">
      <w:pPr>
        <w:pStyle w:val="Bullet1"/>
        <w:rPr>
          <w:lang w:val="en-AU"/>
        </w:rPr>
      </w:pPr>
      <w:r>
        <w:rPr>
          <w:lang w:val="en-AU"/>
        </w:rPr>
        <w:t xml:space="preserve">While there is currently an unlimited right of </w:t>
      </w:r>
      <w:r w:rsidR="004146E4">
        <w:rPr>
          <w:lang w:val="en-AU"/>
        </w:rPr>
        <w:t xml:space="preserve">cost </w:t>
      </w:r>
      <w:r>
        <w:rPr>
          <w:lang w:val="en-AU"/>
        </w:rPr>
        <w:t xml:space="preserve">recovery for wreck removal, this has limited benefits where a foreign ship owner is responsible for the wreck because: </w:t>
      </w:r>
    </w:p>
    <w:p w14:paraId="728B29FC" w14:textId="225BC2AC" w:rsidR="002449A9" w:rsidRDefault="002449A9" w:rsidP="002449A9">
      <w:pPr>
        <w:pStyle w:val="Bullet2"/>
      </w:pPr>
      <w:r>
        <w:t>service of proceedings (e.</w:t>
      </w:r>
      <w:r w:rsidR="00D7053E">
        <w:rPr>
          <w:lang w:val="en-US"/>
        </w:rPr>
        <w:t>g.</w:t>
      </w:r>
      <w:r>
        <w:t xml:space="preserve"> to recover costs) cannot easily be </w:t>
      </w:r>
      <w:r w:rsidR="00D7053E">
        <w:rPr>
          <w:lang w:val="en-US"/>
        </w:rPr>
        <w:t>undertaken</w:t>
      </w:r>
      <w:r>
        <w:t xml:space="preserve"> in </w:t>
      </w:r>
      <w:r w:rsidR="00D7053E">
        <w:rPr>
          <w:lang w:val="en-US"/>
        </w:rPr>
        <w:t xml:space="preserve">a </w:t>
      </w:r>
      <w:r>
        <w:t>foreign jurisdiction</w:t>
      </w:r>
    </w:p>
    <w:p w14:paraId="3A2E278A" w14:textId="1AAE15F8" w:rsidR="002449A9" w:rsidRPr="00B703F0" w:rsidRDefault="002449A9" w:rsidP="002449A9">
      <w:pPr>
        <w:pStyle w:val="Bullet2"/>
      </w:pPr>
      <w:r>
        <w:t>there is uncertainty regarding the enforcement of any judgment against a ship</w:t>
      </w:r>
      <w:r w:rsidR="00D7053E">
        <w:rPr>
          <w:lang w:val="en-US"/>
        </w:rPr>
        <w:t xml:space="preserve"> </w:t>
      </w:r>
      <w:r>
        <w:t>owner in a foreign jurisdiction.</w:t>
      </w:r>
    </w:p>
    <w:p w14:paraId="63C21692" w14:textId="42DF660E" w:rsidR="002449A9" w:rsidRPr="002449A9" w:rsidRDefault="00A5263A" w:rsidP="002449A9">
      <w:pPr>
        <w:pStyle w:val="Bullet1"/>
        <w:rPr>
          <w:lang w:val="en-AU"/>
        </w:rPr>
      </w:pPr>
      <w:r w:rsidRPr="00B703F0">
        <w:rPr>
          <w:lang w:val="en-AU"/>
        </w:rPr>
        <w:t xml:space="preserve">The </w:t>
      </w:r>
      <w:r w:rsidR="00216F1C">
        <w:rPr>
          <w:lang w:val="en-AU"/>
        </w:rPr>
        <w:t xml:space="preserve">current </w:t>
      </w:r>
      <w:r w:rsidRPr="00B703F0">
        <w:rPr>
          <w:lang w:val="en-AU"/>
        </w:rPr>
        <w:t xml:space="preserve">alternative legislative options </w:t>
      </w:r>
      <w:r w:rsidR="00AB45E6" w:rsidRPr="00B703F0">
        <w:rPr>
          <w:lang w:val="en-AU"/>
        </w:rPr>
        <w:t>will</w:t>
      </w:r>
      <w:r w:rsidRPr="00B703F0">
        <w:rPr>
          <w:lang w:val="en-AU"/>
        </w:rPr>
        <w:t xml:space="preserve"> not assist the Australian Government in recovering </w:t>
      </w:r>
      <w:r w:rsidR="00E328D4">
        <w:rPr>
          <w:lang w:val="en-AU"/>
        </w:rPr>
        <w:t>wreck</w:t>
      </w:r>
      <w:r w:rsidR="00E328D4">
        <w:rPr>
          <w:lang w:val="en-AU"/>
        </w:rPr>
        <w:noBreakHyphen/>
        <w:t xml:space="preserve">related </w:t>
      </w:r>
      <w:r w:rsidRPr="00B703F0">
        <w:rPr>
          <w:lang w:val="en-AU"/>
        </w:rPr>
        <w:t xml:space="preserve">costs </w:t>
      </w:r>
      <w:r w:rsidR="00AB45E6" w:rsidRPr="00B703F0">
        <w:rPr>
          <w:lang w:val="en-AU"/>
        </w:rPr>
        <w:t xml:space="preserve">in the absence of </w:t>
      </w:r>
      <w:r w:rsidR="004F1A50" w:rsidRPr="00B703F0">
        <w:rPr>
          <w:lang w:val="en-AU"/>
        </w:rPr>
        <w:t xml:space="preserve">marine </w:t>
      </w:r>
      <w:r w:rsidR="00AB45E6" w:rsidRPr="00B703F0">
        <w:rPr>
          <w:lang w:val="en-AU"/>
        </w:rPr>
        <w:t>pollution</w:t>
      </w:r>
      <w:r w:rsidRPr="00B703F0">
        <w:rPr>
          <w:lang w:val="en-AU"/>
        </w:rPr>
        <w:t>.</w:t>
      </w:r>
    </w:p>
    <w:p w14:paraId="35093C8C" w14:textId="18510C7F" w:rsidR="00942295" w:rsidRPr="00B703F0" w:rsidRDefault="00C22185" w:rsidP="00C22185">
      <w:pPr>
        <w:pStyle w:val="Heading2"/>
      </w:pPr>
      <w:bookmarkStart w:id="34" w:name="_Toc96354466"/>
      <w:bookmarkStart w:id="35" w:name="_Toc105060774"/>
      <w:r w:rsidRPr="00B703F0">
        <w:t xml:space="preserve">Option 2: </w:t>
      </w:r>
      <w:r w:rsidR="00942295" w:rsidRPr="00B703F0">
        <w:t xml:space="preserve">Amendments to the </w:t>
      </w:r>
      <w:r w:rsidR="00942295" w:rsidRPr="00724C90">
        <w:rPr>
          <w:i/>
        </w:rPr>
        <w:t>Navigation Act</w:t>
      </w:r>
      <w:r w:rsidR="00724C90" w:rsidRPr="00724C90">
        <w:rPr>
          <w:i/>
        </w:rPr>
        <w:t xml:space="preserve"> 2012</w:t>
      </w:r>
      <w:bookmarkEnd w:id="34"/>
      <w:bookmarkEnd w:id="35"/>
    </w:p>
    <w:p w14:paraId="1867B748" w14:textId="2F0BFACD" w:rsidR="00A433E2" w:rsidRPr="00B703F0" w:rsidRDefault="00A433E2" w:rsidP="00A433E2">
      <w:r w:rsidRPr="00B703F0">
        <w:t xml:space="preserve">Australia can choose to amend the current wreck removal framework in the </w:t>
      </w:r>
      <w:r w:rsidR="00A1212E" w:rsidRPr="00B703F0">
        <w:t xml:space="preserve">Navigation Act </w:t>
      </w:r>
      <w:r w:rsidRPr="00B703F0">
        <w:t xml:space="preserve">to incorporate </w:t>
      </w:r>
      <w:r w:rsidR="00E709C2" w:rsidRPr="00B703F0">
        <w:t>m</w:t>
      </w:r>
      <w:r w:rsidRPr="00B703F0">
        <w:t>any of the benefits</w:t>
      </w:r>
      <w:r w:rsidR="0086631D" w:rsidRPr="00B703F0">
        <w:t xml:space="preserve"> offered by</w:t>
      </w:r>
      <w:r w:rsidRPr="00B703F0">
        <w:t xml:space="preserve"> the </w:t>
      </w:r>
      <w:r w:rsidR="00FE5E85" w:rsidRPr="00B703F0">
        <w:t xml:space="preserve">Nairobi Convention </w:t>
      </w:r>
      <w:r w:rsidRPr="00B703F0">
        <w:t xml:space="preserve">but without acceding to it. Possible amendments could include: </w:t>
      </w:r>
    </w:p>
    <w:p w14:paraId="5DEF06A5" w14:textId="2D217A1A" w:rsidR="00A433E2" w:rsidRPr="00B703F0" w:rsidRDefault="00A433E2" w:rsidP="00A433E2">
      <w:pPr>
        <w:pStyle w:val="Bullet1"/>
        <w:rPr>
          <w:lang w:val="en-AU"/>
        </w:rPr>
      </w:pPr>
      <w:r w:rsidRPr="00B703F0">
        <w:rPr>
          <w:lang w:val="en-AU"/>
        </w:rPr>
        <w:t>requiring compulsory wreck</w:t>
      </w:r>
      <w:r w:rsidR="00C94CD4">
        <w:rPr>
          <w:lang w:val="en-AU"/>
        </w:rPr>
        <w:t>-related</w:t>
      </w:r>
      <w:r w:rsidRPr="00B703F0">
        <w:rPr>
          <w:lang w:val="en-AU"/>
        </w:rPr>
        <w:t xml:space="preserve"> insurance for foreign vessels 300 </w:t>
      </w:r>
      <w:r w:rsidR="00976465" w:rsidRPr="00B703F0">
        <w:rPr>
          <w:lang w:val="en-AU"/>
        </w:rPr>
        <w:t>gross tonnage (</w:t>
      </w:r>
      <w:r w:rsidRPr="00B703F0">
        <w:rPr>
          <w:lang w:val="en-AU"/>
        </w:rPr>
        <w:t>GT</w:t>
      </w:r>
      <w:r w:rsidR="00976465" w:rsidRPr="00B703F0">
        <w:rPr>
          <w:lang w:val="en-AU"/>
        </w:rPr>
        <w:t>)</w:t>
      </w:r>
      <w:r w:rsidRPr="00B703F0">
        <w:rPr>
          <w:lang w:val="en-AU"/>
        </w:rPr>
        <w:t xml:space="preserve"> and over in the </w:t>
      </w:r>
      <w:r w:rsidR="00635073" w:rsidRPr="00B703F0">
        <w:rPr>
          <w:lang w:val="en-AU"/>
        </w:rPr>
        <w:t>territorial sea</w:t>
      </w:r>
      <w:r w:rsidRPr="00B703F0">
        <w:rPr>
          <w:lang w:val="en-AU"/>
        </w:rPr>
        <w:t>, and RAVs 300 GT and over regardless of location.</w:t>
      </w:r>
    </w:p>
    <w:p w14:paraId="35DEC3D8" w14:textId="51C17D62" w:rsidR="00A433E2" w:rsidRPr="00B703F0" w:rsidRDefault="00A433E2" w:rsidP="00A433E2">
      <w:pPr>
        <w:pStyle w:val="Bullet1"/>
        <w:rPr>
          <w:lang w:val="en-AU"/>
        </w:rPr>
      </w:pPr>
      <w:r w:rsidRPr="00B703F0">
        <w:rPr>
          <w:lang w:val="en-AU"/>
        </w:rPr>
        <w:t xml:space="preserve">expanding the definition of a ‘wreck’ to include any object is sunken, stranded or adrift at sea from any foreign vessel or RAV, including </w:t>
      </w:r>
      <w:r w:rsidR="00595625">
        <w:rPr>
          <w:lang w:val="en-AU"/>
        </w:rPr>
        <w:t>cargo</w:t>
      </w:r>
      <w:r w:rsidRPr="00B703F0">
        <w:rPr>
          <w:lang w:val="en-AU"/>
        </w:rPr>
        <w:t>.</w:t>
      </w:r>
    </w:p>
    <w:p w14:paraId="3E0BF3CF" w14:textId="77777777" w:rsidR="00A433E2" w:rsidRPr="00B703F0" w:rsidRDefault="00A433E2" w:rsidP="00A433E2">
      <w:pPr>
        <w:pStyle w:val="Bullet1"/>
        <w:rPr>
          <w:lang w:val="en-AU"/>
        </w:rPr>
      </w:pPr>
      <w:r w:rsidRPr="00B703F0">
        <w:rPr>
          <w:lang w:val="en-AU"/>
        </w:rPr>
        <w:t xml:space="preserve">the power to recover wreck-related costs directly from a ship owner’s insurer. </w:t>
      </w:r>
    </w:p>
    <w:p w14:paraId="54991707" w14:textId="3E89942F" w:rsidR="00A433E2" w:rsidRPr="00B703F0" w:rsidRDefault="00A433E2" w:rsidP="00A433E2">
      <w:pPr>
        <w:pStyle w:val="Heading4Numbered"/>
        <w:numPr>
          <w:ilvl w:val="0"/>
          <w:numId w:val="0"/>
        </w:numPr>
        <w:ind w:left="1134" w:hanging="1134"/>
        <w:jc w:val="both"/>
      </w:pPr>
      <w:r w:rsidRPr="00B703F0">
        <w:lastRenderedPageBreak/>
        <w:t xml:space="preserve">Advantages </w:t>
      </w:r>
    </w:p>
    <w:p w14:paraId="66C760F4" w14:textId="1CDB46A0" w:rsidR="00D96D4A" w:rsidRPr="00AF7B32" w:rsidRDefault="00D96D4A" w:rsidP="00AF7B32">
      <w:pPr>
        <w:pStyle w:val="Bullet1"/>
        <w:rPr>
          <w:lang w:val="en-AU"/>
        </w:rPr>
      </w:pPr>
      <w:r w:rsidRPr="00B703F0">
        <w:rPr>
          <w:lang w:val="en-AU"/>
        </w:rPr>
        <w:t xml:space="preserve">This option </w:t>
      </w:r>
      <w:r w:rsidR="00AF7B32">
        <w:rPr>
          <w:lang w:val="en-AU"/>
        </w:rPr>
        <w:t>has</w:t>
      </w:r>
      <w:r w:rsidRPr="00B703F0">
        <w:rPr>
          <w:lang w:val="en-AU"/>
        </w:rPr>
        <w:t xml:space="preserve"> the quickest </w:t>
      </w:r>
      <w:r w:rsidR="00AF7B32">
        <w:rPr>
          <w:lang w:val="en-AU"/>
        </w:rPr>
        <w:t xml:space="preserve">implementation timeline of all options for </w:t>
      </w:r>
      <w:r w:rsidRPr="00AF7B32">
        <w:rPr>
          <w:lang w:val="en-AU"/>
        </w:rPr>
        <w:t>changes to the current wreck removal framework</w:t>
      </w:r>
      <w:r w:rsidR="00B83BC0">
        <w:rPr>
          <w:lang w:val="en-AU"/>
        </w:rPr>
        <w:t>,</w:t>
      </w:r>
      <w:r w:rsidRPr="00AF7B32">
        <w:rPr>
          <w:lang w:val="en-AU"/>
        </w:rPr>
        <w:t xml:space="preserve"> as it would </w:t>
      </w:r>
      <w:r w:rsidR="004176C2" w:rsidRPr="00AF7B32">
        <w:rPr>
          <w:lang w:val="en-AU"/>
        </w:rPr>
        <w:t xml:space="preserve">involve only legislative </w:t>
      </w:r>
      <w:r w:rsidR="0081732D">
        <w:rPr>
          <w:lang w:val="en-AU"/>
        </w:rPr>
        <w:t>amendment</w:t>
      </w:r>
      <w:r w:rsidR="00AD4B78" w:rsidRPr="00AF7B32">
        <w:rPr>
          <w:lang w:val="en-AU"/>
        </w:rPr>
        <w:t>.</w:t>
      </w:r>
      <w:r w:rsidR="00EF4FF4" w:rsidRPr="00AF7B32">
        <w:rPr>
          <w:lang w:val="en-AU"/>
        </w:rPr>
        <w:t xml:space="preserve"> </w:t>
      </w:r>
    </w:p>
    <w:p w14:paraId="1B269684" w14:textId="6BAFC122" w:rsidR="00A433E2" w:rsidRPr="00B703F0" w:rsidRDefault="00A433E2" w:rsidP="008F75F1">
      <w:pPr>
        <w:pStyle w:val="Bullet1"/>
        <w:rPr>
          <w:lang w:val="en-AU"/>
        </w:rPr>
      </w:pPr>
      <w:r w:rsidRPr="00B703F0">
        <w:rPr>
          <w:lang w:val="en-AU"/>
        </w:rPr>
        <w:t xml:space="preserve">Australia would not be bound to adopt the full text of the </w:t>
      </w:r>
      <w:r w:rsidR="00FE5E85" w:rsidRPr="00B703F0">
        <w:rPr>
          <w:lang w:val="en-AU"/>
        </w:rPr>
        <w:t>Nairobi Convention</w:t>
      </w:r>
      <w:r w:rsidRPr="00B703F0">
        <w:rPr>
          <w:lang w:val="en-AU"/>
        </w:rPr>
        <w:t xml:space="preserve">. For example, Australia would be free to expand liability for the locating, marking, removing, destroying or sinking of wrecks beyond the ship owner to include </w:t>
      </w:r>
      <w:r w:rsidR="006E6212" w:rsidRPr="00B703F0">
        <w:rPr>
          <w:lang w:val="en-AU"/>
        </w:rPr>
        <w:t xml:space="preserve">ship </w:t>
      </w:r>
      <w:r w:rsidRPr="00B703F0">
        <w:rPr>
          <w:lang w:val="en-AU"/>
        </w:rPr>
        <w:t>operators or charter</w:t>
      </w:r>
      <w:r w:rsidR="005451FC">
        <w:rPr>
          <w:lang w:val="en-AU"/>
        </w:rPr>
        <w:t>ers</w:t>
      </w:r>
      <w:r w:rsidRPr="00B703F0">
        <w:rPr>
          <w:lang w:val="en-AU"/>
        </w:rPr>
        <w:t xml:space="preserve">. Being able to pursue </w:t>
      </w:r>
      <w:r w:rsidR="009C4EE2" w:rsidRPr="00B703F0">
        <w:rPr>
          <w:lang w:val="en-AU"/>
        </w:rPr>
        <w:t xml:space="preserve">multiple parties </w:t>
      </w:r>
      <w:r w:rsidRPr="00B703F0">
        <w:rPr>
          <w:lang w:val="en-AU"/>
        </w:rPr>
        <w:t xml:space="preserve">would provide AMSA with </w:t>
      </w:r>
      <w:r w:rsidR="009C4EE2" w:rsidRPr="00B703F0">
        <w:rPr>
          <w:lang w:val="en-AU"/>
        </w:rPr>
        <w:t xml:space="preserve">greater opportunities to hold someone </w:t>
      </w:r>
      <w:r w:rsidRPr="00B703F0">
        <w:rPr>
          <w:lang w:val="en-AU"/>
        </w:rPr>
        <w:t xml:space="preserve">accountable for </w:t>
      </w:r>
      <w:r w:rsidR="00AF7B32">
        <w:rPr>
          <w:lang w:val="en-AU"/>
        </w:rPr>
        <w:t xml:space="preserve">the </w:t>
      </w:r>
      <w:r w:rsidR="00E328D4">
        <w:rPr>
          <w:lang w:val="en-AU"/>
        </w:rPr>
        <w:t>wreck</w:t>
      </w:r>
      <w:r w:rsidR="00E328D4">
        <w:rPr>
          <w:lang w:val="en-AU"/>
        </w:rPr>
        <w:noBreakHyphen/>
        <w:t xml:space="preserve">related </w:t>
      </w:r>
      <w:r w:rsidR="00AF7B32">
        <w:rPr>
          <w:lang w:val="en-AU"/>
        </w:rPr>
        <w:t>costs</w:t>
      </w:r>
      <w:r w:rsidRPr="00B703F0">
        <w:rPr>
          <w:lang w:val="en-AU"/>
        </w:rPr>
        <w:t xml:space="preserve">. </w:t>
      </w:r>
    </w:p>
    <w:p w14:paraId="0354DEAF" w14:textId="7D5CD5EB" w:rsidR="00A433E2" w:rsidRPr="00B703F0" w:rsidRDefault="00A433E2" w:rsidP="008F75F1">
      <w:pPr>
        <w:pStyle w:val="Bullet1"/>
        <w:rPr>
          <w:lang w:val="en-AU"/>
        </w:rPr>
      </w:pPr>
      <w:r w:rsidRPr="00B703F0">
        <w:rPr>
          <w:lang w:val="en-AU"/>
        </w:rPr>
        <w:t xml:space="preserve">Australia could retain any </w:t>
      </w:r>
      <w:r w:rsidR="00F269AC">
        <w:rPr>
          <w:lang w:val="en-AU"/>
        </w:rPr>
        <w:t>aspects of</w:t>
      </w:r>
      <w:r w:rsidRPr="00B703F0">
        <w:rPr>
          <w:lang w:val="en-AU"/>
        </w:rPr>
        <w:t xml:space="preserve"> the </w:t>
      </w:r>
      <w:r w:rsidR="00A1212E" w:rsidRPr="00B703F0">
        <w:rPr>
          <w:lang w:val="en-AU"/>
        </w:rPr>
        <w:t xml:space="preserve">Navigation Act </w:t>
      </w:r>
      <w:r w:rsidR="00F269AC">
        <w:rPr>
          <w:lang w:val="en-AU"/>
        </w:rPr>
        <w:t>seen</w:t>
      </w:r>
      <w:r w:rsidRPr="00B703F0">
        <w:rPr>
          <w:lang w:val="en-AU"/>
        </w:rPr>
        <w:t xml:space="preserve"> as beneficial. For example, the lack of any time restriction on when AMSA can commence a cost recovery action, other than that imposed by the relevant court.</w:t>
      </w:r>
    </w:p>
    <w:p w14:paraId="7153AC8C" w14:textId="578447BD" w:rsidR="007308D0" w:rsidRPr="00B703F0" w:rsidRDefault="007308D0" w:rsidP="00864776">
      <w:pPr>
        <w:pStyle w:val="Bullet1"/>
        <w:rPr>
          <w:lang w:val="en-AU"/>
        </w:rPr>
      </w:pPr>
      <w:r w:rsidRPr="00B703F0">
        <w:rPr>
          <w:lang w:val="en-AU"/>
        </w:rPr>
        <w:t xml:space="preserve">Australia would reserve </w:t>
      </w:r>
      <w:r w:rsidR="00F33C15" w:rsidRPr="00B703F0">
        <w:rPr>
          <w:lang w:val="en-AU"/>
        </w:rPr>
        <w:t>the</w:t>
      </w:r>
      <w:r w:rsidRPr="00B703F0">
        <w:rPr>
          <w:lang w:val="en-AU"/>
        </w:rPr>
        <w:t xml:space="preserve"> right </w:t>
      </w:r>
      <w:r w:rsidR="00F33C15" w:rsidRPr="00B703F0">
        <w:rPr>
          <w:lang w:val="en-AU"/>
        </w:rPr>
        <w:t xml:space="preserve">to </w:t>
      </w:r>
      <w:r w:rsidR="00B74434" w:rsidRPr="00B703F0">
        <w:rPr>
          <w:lang w:val="en-AU"/>
        </w:rPr>
        <w:t xml:space="preserve">choose the </w:t>
      </w:r>
      <w:r w:rsidR="00F33C15" w:rsidRPr="00B703F0">
        <w:rPr>
          <w:lang w:val="en-AU"/>
        </w:rPr>
        <w:t>salvor</w:t>
      </w:r>
      <w:r w:rsidR="00273D82" w:rsidRPr="00B703F0">
        <w:rPr>
          <w:lang w:val="en-AU"/>
        </w:rPr>
        <w:t xml:space="preserve"> of the operation</w:t>
      </w:r>
      <w:r w:rsidR="00B74434" w:rsidRPr="00B703F0">
        <w:rPr>
          <w:lang w:val="en-AU"/>
        </w:rPr>
        <w:t xml:space="preserve">, </w:t>
      </w:r>
      <w:r w:rsidR="002666AD" w:rsidRPr="00B703F0">
        <w:rPr>
          <w:lang w:val="en-AU"/>
        </w:rPr>
        <w:t xml:space="preserve">potentially </w:t>
      </w:r>
      <w:r w:rsidR="0081732D">
        <w:rPr>
          <w:lang w:val="en-AU"/>
        </w:rPr>
        <w:t>enhancing</w:t>
      </w:r>
      <w:r w:rsidR="0081732D" w:rsidRPr="00B703F0">
        <w:rPr>
          <w:lang w:val="en-AU"/>
        </w:rPr>
        <w:t xml:space="preserve"> </w:t>
      </w:r>
      <w:r w:rsidR="00273D82" w:rsidRPr="00B703F0">
        <w:rPr>
          <w:lang w:val="en-AU"/>
        </w:rPr>
        <w:t>conditions of employment and method of service</w:t>
      </w:r>
      <w:r w:rsidR="002666AD" w:rsidRPr="00B703F0">
        <w:rPr>
          <w:lang w:val="en-AU"/>
        </w:rPr>
        <w:t xml:space="preserve"> delivery</w:t>
      </w:r>
      <w:r w:rsidR="00273D82" w:rsidRPr="00B703F0">
        <w:rPr>
          <w:lang w:val="en-AU"/>
        </w:rPr>
        <w:t xml:space="preserve">. </w:t>
      </w:r>
    </w:p>
    <w:p w14:paraId="27A1231F" w14:textId="6784DB36" w:rsidR="00A433E2" w:rsidRPr="00B703F0" w:rsidRDefault="00A433E2" w:rsidP="00A433E2">
      <w:pPr>
        <w:pStyle w:val="Heading4Numbered"/>
        <w:numPr>
          <w:ilvl w:val="0"/>
          <w:numId w:val="0"/>
        </w:numPr>
        <w:ind w:left="1134" w:hanging="1134"/>
        <w:jc w:val="both"/>
      </w:pPr>
      <w:r w:rsidRPr="00B703F0">
        <w:t xml:space="preserve">Disadvantages </w:t>
      </w:r>
    </w:p>
    <w:p w14:paraId="68D00CD3" w14:textId="77777777" w:rsidR="00C7682C" w:rsidRPr="00B703F0" w:rsidRDefault="00C7682C" w:rsidP="00C7682C">
      <w:pPr>
        <w:pStyle w:val="Bullet1"/>
      </w:pPr>
      <w:r w:rsidRPr="00B703F0">
        <w:t>This option does not resolve the key problem of the Australian Government’s inability to recover costs when a foreign vessel creates a wreck in Australia’s EEZ</w:t>
      </w:r>
      <w:r>
        <w:t xml:space="preserve"> – particularly in the situation where the ship is not making a call at an Australian port</w:t>
      </w:r>
      <w:r w:rsidRPr="00B703F0">
        <w:t xml:space="preserve">. Under international law, </w:t>
      </w:r>
      <w:r w:rsidRPr="00F63D98">
        <w:rPr>
          <w:lang w:val="en-AU"/>
        </w:rPr>
        <w:t xml:space="preserve">ships have the right to freedom of navigation passage in any EEZ. State Parties to the Nairobi Convention agree to accept the extension of the coastal State rights to </w:t>
      </w:r>
      <w:r>
        <w:rPr>
          <w:lang w:val="en-AU"/>
        </w:rPr>
        <w:t>impose obligations in the EEZ</w:t>
      </w:r>
      <w:r w:rsidRPr="00F63D98">
        <w:rPr>
          <w:lang w:val="en-AU"/>
        </w:rPr>
        <w:t>, which allows it to be used as a legal basis for cost recovery.</w:t>
      </w:r>
    </w:p>
    <w:p w14:paraId="77D09F37" w14:textId="7DF170AE" w:rsidR="0061645F" w:rsidRPr="00CA2D50" w:rsidRDefault="0061645F" w:rsidP="0061645F">
      <w:pPr>
        <w:pStyle w:val="Bullet1"/>
      </w:pPr>
      <w:r w:rsidRPr="00F269AC">
        <w:rPr>
          <w:lang w:val="en-AU"/>
        </w:rPr>
        <w:t xml:space="preserve">There is </w:t>
      </w:r>
      <w:r w:rsidRPr="0061645F">
        <w:t>uncertainty</w:t>
      </w:r>
      <w:r w:rsidRPr="00F269AC">
        <w:rPr>
          <w:lang w:val="en-AU"/>
        </w:rPr>
        <w:t xml:space="preserve"> as to how an insurance requirement may operate in practice under this option.</w:t>
      </w:r>
      <w:r>
        <w:rPr>
          <w:lang w:val="en-AU"/>
        </w:rPr>
        <w:t xml:space="preserve"> </w:t>
      </w:r>
      <w:r w:rsidRPr="00F269AC">
        <w:rPr>
          <w:lang w:val="en-US"/>
        </w:rPr>
        <w:t>For example, a</w:t>
      </w:r>
      <w:r>
        <w:t xml:space="preserve"> direct right of claim against an insurer </w:t>
      </w:r>
      <w:r w:rsidRPr="00F269AC">
        <w:rPr>
          <w:lang w:val="en-US"/>
        </w:rPr>
        <w:t xml:space="preserve">may not be effective as it is uncertain if a foreign insurance company would recognise Australian law and accept service without an underpinning international convention. </w:t>
      </w:r>
    </w:p>
    <w:p w14:paraId="327CCB95" w14:textId="008BB662" w:rsidR="000C33E6" w:rsidRPr="00CA2D50" w:rsidRDefault="000C33E6" w:rsidP="0061645F">
      <w:pPr>
        <w:pStyle w:val="Bullet1"/>
      </w:pPr>
      <w:r>
        <w:rPr>
          <w:lang w:val="en-US"/>
        </w:rPr>
        <w:t xml:space="preserve">There is also </w:t>
      </w:r>
      <w:r w:rsidR="00CA2D50">
        <w:rPr>
          <w:lang w:val="en-US"/>
        </w:rPr>
        <w:t>uncertainty as to how to hold a foreign ship owner responsible for a wreck, where there are no assets directly available to Australia courts, including issues with:</w:t>
      </w:r>
    </w:p>
    <w:p w14:paraId="4EABD254" w14:textId="1EE7988C" w:rsidR="00CA2D50" w:rsidRDefault="00CA2D50" w:rsidP="00CA2D50">
      <w:pPr>
        <w:pStyle w:val="Bullet2"/>
      </w:pPr>
      <w:r>
        <w:rPr>
          <w:lang w:val="en-US"/>
        </w:rPr>
        <w:t>serving</w:t>
      </w:r>
      <w:r>
        <w:t xml:space="preserve"> proceedings (e.</w:t>
      </w:r>
      <w:r>
        <w:rPr>
          <w:lang w:val="en-US"/>
        </w:rPr>
        <w:t>g.</w:t>
      </w:r>
      <w:r>
        <w:t xml:space="preserve"> to recover costs)</w:t>
      </w:r>
      <w:r>
        <w:rPr>
          <w:lang w:val="en-US"/>
        </w:rPr>
        <w:t>, which</w:t>
      </w:r>
      <w:r>
        <w:t xml:space="preserve"> cannot easily be </w:t>
      </w:r>
      <w:r>
        <w:rPr>
          <w:lang w:val="en-US"/>
        </w:rPr>
        <w:t>undertaken</w:t>
      </w:r>
      <w:r>
        <w:t xml:space="preserve"> in </w:t>
      </w:r>
      <w:r>
        <w:rPr>
          <w:lang w:val="en-US"/>
        </w:rPr>
        <w:t xml:space="preserve">a </w:t>
      </w:r>
      <w:r>
        <w:t>foreign jurisdiction</w:t>
      </w:r>
    </w:p>
    <w:p w14:paraId="30B0CAFD" w14:textId="184C8588" w:rsidR="00CA2D50" w:rsidRPr="00B703F0" w:rsidRDefault="00CA2D50" w:rsidP="00CA2D50">
      <w:pPr>
        <w:pStyle w:val="Bullet2"/>
      </w:pPr>
      <w:r>
        <w:t>uncertainty regarding the enforcement of any judgment against a ship</w:t>
      </w:r>
      <w:r>
        <w:rPr>
          <w:lang w:val="en-US"/>
        </w:rPr>
        <w:t xml:space="preserve"> </w:t>
      </w:r>
      <w:r>
        <w:t>owner in a foreign jurisdiction.</w:t>
      </w:r>
    </w:p>
    <w:p w14:paraId="660CA264" w14:textId="6B5001C3" w:rsidR="00B83BC0" w:rsidRPr="004003F9" w:rsidRDefault="00B83BC0" w:rsidP="0061645F">
      <w:pPr>
        <w:pStyle w:val="Bullet1"/>
      </w:pPr>
      <w:r>
        <w:rPr>
          <w:lang w:val="en-US"/>
        </w:rPr>
        <w:t>This option would only apply to foreign vessels and RAVs, without covering DCVs and recreational vessels</w:t>
      </w:r>
      <w:r w:rsidR="00AF7A15">
        <w:rPr>
          <w:lang w:val="en-US"/>
        </w:rPr>
        <w:t xml:space="preserve"> as they are not regulated by the Navigation Act</w:t>
      </w:r>
      <w:r>
        <w:rPr>
          <w:lang w:val="en-US"/>
        </w:rPr>
        <w:t xml:space="preserve">. </w:t>
      </w:r>
    </w:p>
    <w:p w14:paraId="08FF646E" w14:textId="77777777" w:rsidR="000C33E6" w:rsidRDefault="000C33E6" w:rsidP="000C33E6">
      <w:pPr>
        <w:pStyle w:val="Bullet1"/>
        <w:rPr>
          <w:lang w:val="en-AU"/>
        </w:rPr>
      </w:pPr>
      <w:r>
        <w:rPr>
          <w:lang w:val="en-AU"/>
        </w:rPr>
        <w:t xml:space="preserve">An amended Navigation Act would not strengthen the push for international uniformity of laws for the global shipping industry.  </w:t>
      </w:r>
    </w:p>
    <w:p w14:paraId="52E436AE" w14:textId="036BAE9C" w:rsidR="006A2E76" w:rsidRDefault="00982B7D" w:rsidP="00F63D98">
      <w:r w:rsidRPr="00B703F0">
        <w:t>This option will not be considered further in this paper, including in the cost benefit assessment, as</w:t>
      </w:r>
      <w:r w:rsidR="00AD1CC3" w:rsidRPr="00B703F0">
        <w:t xml:space="preserve"> it is unable to deliver </w:t>
      </w:r>
      <w:r w:rsidRPr="00B703F0">
        <w:t>on</w:t>
      </w:r>
      <w:r w:rsidR="00996D5D">
        <w:t xml:space="preserve"> all of</w:t>
      </w:r>
      <w:r w:rsidRPr="00B703F0">
        <w:t xml:space="preserve"> the policy objectives outlined in Chapter </w:t>
      </w:r>
      <w:r w:rsidR="003D3A76">
        <w:t>2</w:t>
      </w:r>
      <w:r w:rsidRPr="00B703F0">
        <w:t>.3</w:t>
      </w:r>
      <w:r w:rsidR="00220C9F">
        <w:t>, p</w:t>
      </w:r>
      <w:r w:rsidR="00996D5D">
        <w:t xml:space="preserve">articularly the key issue of resolving </w:t>
      </w:r>
      <w:r w:rsidRPr="00B703F0">
        <w:t xml:space="preserve">the difficulty in </w:t>
      </w:r>
      <w:r w:rsidR="009B5806" w:rsidRPr="00B703F0">
        <w:t xml:space="preserve">recovering </w:t>
      </w:r>
      <w:r w:rsidR="0061645F">
        <w:t xml:space="preserve">all </w:t>
      </w:r>
      <w:r w:rsidR="009B5806" w:rsidRPr="00B703F0">
        <w:t xml:space="preserve">wreck-related costs in the EEZ. </w:t>
      </w:r>
      <w:r w:rsidR="00F63D98">
        <w:t>H</w:t>
      </w:r>
      <w:r w:rsidR="00121357" w:rsidRPr="00B703F0">
        <w:t xml:space="preserve">alf of the </w:t>
      </w:r>
      <w:r w:rsidR="00F63D98">
        <w:t xml:space="preserve">AMSA managed </w:t>
      </w:r>
      <w:r w:rsidR="00121357" w:rsidRPr="00B703F0">
        <w:t xml:space="preserve">wrecks in the last </w:t>
      </w:r>
      <w:r w:rsidR="00362B44">
        <w:t>5</w:t>
      </w:r>
      <w:r w:rsidR="00362B44" w:rsidRPr="00B703F0">
        <w:t xml:space="preserve"> </w:t>
      </w:r>
      <w:r w:rsidR="00121357" w:rsidRPr="00B703F0">
        <w:t>years have occurred in the EEZ and involved foreign container ships.</w:t>
      </w:r>
      <w:r w:rsidR="00DA376C" w:rsidRPr="00B703F0">
        <w:t xml:space="preserve"> As outlined in </w:t>
      </w:r>
      <w:r w:rsidR="00CC33D2">
        <w:t xml:space="preserve">Chapter 2.1 </w:t>
      </w:r>
      <w:r w:rsidR="00121357" w:rsidRPr="00B703F0">
        <w:t xml:space="preserve">there is a significant risk the frequency of these types of wrecks will increase. </w:t>
      </w:r>
      <w:r w:rsidR="00DA376C" w:rsidRPr="00B703F0">
        <w:t xml:space="preserve">As with </w:t>
      </w:r>
      <w:r w:rsidR="00CC33D2">
        <w:t>O</w:t>
      </w:r>
      <w:r w:rsidR="00DA376C" w:rsidRPr="00B703F0">
        <w:t xml:space="preserve">ption </w:t>
      </w:r>
      <w:r w:rsidR="007325C6">
        <w:t>1</w:t>
      </w:r>
      <w:r w:rsidR="00DA376C" w:rsidRPr="00B703F0">
        <w:t>, t</w:t>
      </w:r>
      <w:r w:rsidR="009937B8" w:rsidRPr="00B703F0">
        <w:t>he Australian Government would have to continue to rely on cost recover</w:t>
      </w:r>
      <w:r w:rsidR="0071479B">
        <w:t>y</w:t>
      </w:r>
      <w:r w:rsidR="009937B8" w:rsidRPr="00B703F0">
        <w:t xml:space="preserve"> under </w:t>
      </w:r>
      <w:r w:rsidR="00D219F7" w:rsidRPr="00B703F0">
        <w:t>the Protection of the Sea legislative framework</w:t>
      </w:r>
      <w:r w:rsidR="00F63D98">
        <w:t xml:space="preserve"> for wreck incidents in the EEZ</w:t>
      </w:r>
      <w:r w:rsidR="00121357" w:rsidRPr="00B703F0">
        <w:t>,</w:t>
      </w:r>
      <w:r w:rsidR="00B42733" w:rsidRPr="00B703F0">
        <w:t xml:space="preserve"> which is not </w:t>
      </w:r>
      <w:r w:rsidR="00F63D98">
        <w:t xml:space="preserve">what it is designed to do and so it </w:t>
      </w:r>
      <w:r w:rsidR="00121357" w:rsidRPr="00B703F0">
        <w:t>has</w:t>
      </w:r>
      <w:r w:rsidR="00B42733" w:rsidRPr="00B703F0">
        <w:t xml:space="preserve"> limited</w:t>
      </w:r>
      <w:r w:rsidR="00121357" w:rsidRPr="00B703F0">
        <w:t xml:space="preserve"> suitability</w:t>
      </w:r>
      <w:r w:rsidR="00B42733" w:rsidRPr="00B703F0">
        <w:t>.</w:t>
      </w:r>
    </w:p>
    <w:p w14:paraId="492AB3AD" w14:textId="1381B283" w:rsidR="00C330F8" w:rsidRPr="00B703F0" w:rsidRDefault="00C22185" w:rsidP="006A2E76">
      <w:pPr>
        <w:pStyle w:val="Heading2"/>
      </w:pPr>
      <w:bookmarkStart w:id="36" w:name="_Toc96354467"/>
      <w:bookmarkStart w:id="37" w:name="_Toc105060775"/>
      <w:r w:rsidRPr="00B703F0">
        <w:t xml:space="preserve">Option 3: </w:t>
      </w:r>
      <w:r w:rsidR="00942295" w:rsidRPr="00B703F0">
        <w:t xml:space="preserve">Australia accedes to the Nairobi Convention </w:t>
      </w:r>
      <w:r w:rsidR="00BD23AF">
        <w:t>and applies it to all ships in the EEZ</w:t>
      </w:r>
      <w:bookmarkEnd w:id="36"/>
      <w:bookmarkEnd w:id="37"/>
    </w:p>
    <w:p w14:paraId="71C2D8E8" w14:textId="5AB3BB79" w:rsidR="002A27BC" w:rsidRDefault="002A27BC" w:rsidP="002A27BC">
      <w:pPr>
        <w:rPr>
          <w:rFonts w:cstheme="minorHAnsi"/>
        </w:rPr>
      </w:pPr>
      <w:r w:rsidRPr="00B703F0">
        <w:rPr>
          <w:rFonts w:cstheme="minorHAnsi"/>
        </w:rPr>
        <w:t>A State Party to the Nairobi Convention</w:t>
      </w:r>
      <w:r w:rsidRPr="00B703F0">
        <w:rPr>
          <w:rFonts w:cstheme="minorHAnsi"/>
          <w:i/>
        </w:rPr>
        <w:t xml:space="preserve"> </w:t>
      </w:r>
      <w:r w:rsidRPr="00B703F0">
        <w:rPr>
          <w:rFonts w:cstheme="minorHAnsi"/>
        </w:rPr>
        <w:t xml:space="preserve">is able to </w:t>
      </w:r>
      <w:r w:rsidR="00973686" w:rsidRPr="00B703F0">
        <w:rPr>
          <w:rFonts w:cstheme="minorHAnsi"/>
        </w:rPr>
        <w:t>order the</w:t>
      </w:r>
      <w:r w:rsidR="0072155D" w:rsidRPr="00B703F0">
        <w:rPr>
          <w:rFonts w:cstheme="minorHAnsi"/>
        </w:rPr>
        <w:t xml:space="preserve"> </w:t>
      </w:r>
      <w:r w:rsidR="00845A35">
        <w:rPr>
          <w:rFonts w:cstheme="minorHAnsi"/>
        </w:rPr>
        <w:t xml:space="preserve">ship owner to locate, mark and remove </w:t>
      </w:r>
      <w:r w:rsidRPr="00B703F0">
        <w:rPr>
          <w:rFonts w:cstheme="minorHAnsi"/>
        </w:rPr>
        <w:t>wrecks that pose a hazard in the Convention Area, defined as the EEZ of a State Party established in accordance with international law</w:t>
      </w:r>
      <w:r w:rsidR="00252DE8" w:rsidRPr="00B703F0">
        <w:rPr>
          <w:rFonts w:cstheme="minorHAnsi"/>
        </w:rPr>
        <w:t>.</w:t>
      </w:r>
      <w:r w:rsidRPr="00B703F0">
        <w:rPr>
          <w:rStyle w:val="FootnoteReference"/>
          <w:rFonts w:cstheme="minorHAnsi"/>
        </w:rPr>
        <w:footnoteReference w:id="34"/>
      </w:r>
      <w:r w:rsidRPr="00B703F0">
        <w:rPr>
          <w:rFonts w:cstheme="minorHAnsi"/>
        </w:rPr>
        <w:t xml:space="preserve"> Australia’s EEZ is one of the largest in the world with a total marine area of approximately 10 million square kilometres, which includes 2 million square kilometres off the Australian Antarctic Territory</w:t>
      </w:r>
      <w:r w:rsidR="00252DE8" w:rsidRPr="00B703F0">
        <w:rPr>
          <w:rFonts w:cstheme="minorHAnsi"/>
        </w:rPr>
        <w:t>.</w:t>
      </w:r>
      <w:r w:rsidRPr="00B703F0">
        <w:rPr>
          <w:rStyle w:val="FootnoteReference"/>
          <w:rFonts w:cstheme="minorHAnsi"/>
        </w:rPr>
        <w:footnoteReference w:id="35"/>
      </w:r>
    </w:p>
    <w:p w14:paraId="3C2C0745" w14:textId="6B9ACB0A" w:rsidR="00632F94" w:rsidRPr="00996434" w:rsidRDefault="00632F94" w:rsidP="002A27BC">
      <w:r w:rsidRPr="00B703F0">
        <w:t>The Nairobi Convention defines a ‘ship’ as “a sea</w:t>
      </w:r>
      <w:r w:rsidR="0026596D">
        <w:t xml:space="preserve"> </w:t>
      </w:r>
      <w:r w:rsidRPr="00B703F0">
        <w:t>going vessel of any type whatsoever an</w:t>
      </w:r>
      <w:r>
        <w:t>d includes hydrofoil boats, air</w:t>
      </w:r>
      <w:r>
        <w:noBreakHyphen/>
      </w:r>
      <w:r w:rsidRPr="00B703F0">
        <w:t xml:space="preserve">cushion vehicles, submersibles, floating craft and floating platforms, except when such platforms are on location </w:t>
      </w:r>
      <w:r w:rsidRPr="00B703F0">
        <w:lastRenderedPageBreak/>
        <w:t>engaged in the exploration, exploitation or production of seabed mineral resources”.</w:t>
      </w:r>
      <w:r>
        <w:rPr>
          <w:rStyle w:val="FootnoteReference"/>
        </w:rPr>
        <w:footnoteReference w:id="36"/>
      </w:r>
      <w:r w:rsidRPr="00B703F0">
        <w:t xml:space="preserve"> Notable exclusions are warships or any other ships operated by a State Party and used</w:t>
      </w:r>
      <w:r>
        <w:t xml:space="preserve"> for</w:t>
      </w:r>
      <w:r w:rsidRPr="00B703F0">
        <w:t xml:space="preserve"> government non-commercial service.</w:t>
      </w:r>
      <w:r w:rsidRPr="00B703F0">
        <w:rPr>
          <w:rStyle w:val="FootnoteReference"/>
        </w:rPr>
        <w:footnoteReference w:id="37"/>
      </w:r>
      <w:r w:rsidRPr="00B703F0">
        <w:t xml:space="preserve"> This broad definition </w:t>
      </w:r>
      <w:r>
        <w:t xml:space="preserve">means </w:t>
      </w:r>
      <w:r w:rsidR="0026596D">
        <w:t xml:space="preserve">that if Australia exceeds to the Nairobi Convention it must apply it </w:t>
      </w:r>
      <w:r>
        <w:t>to all sea going vessels including DCVs and recreational vessels.</w:t>
      </w:r>
    </w:p>
    <w:p w14:paraId="3A714605" w14:textId="53CB3E1B" w:rsidR="00647975" w:rsidRPr="00B703F0" w:rsidRDefault="00647975" w:rsidP="00647975">
      <w:r w:rsidRPr="00B703F0">
        <w:rPr>
          <w:rFonts w:cstheme="minorHAnsi"/>
        </w:rPr>
        <w:t xml:space="preserve">The Nairobi Convention defines what may constitute a wreck quite broadly and would </w:t>
      </w:r>
      <w:r w:rsidRPr="00B703F0">
        <w:t>cover scenarios where a ship’s cargo is lost at sea, with the condition that the wreck must have followed a ‘maritime casualty’. A ‘</w:t>
      </w:r>
      <w:r w:rsidRPr="00B703F0">
        <w:rPr>
          <w:rFonts w:cstheme="minorHAnsi"/>
        </w:rPr>
        <w:t xml:space="preserve">maritime casualty’ is defined as a </w:t>
      </w:r>
      <w:r w:rsidRPr="00B703F0">
        <w:t>“a collision of ships, stranding or other incident of navigation, or other occurrence on board a ship or external to it, resulting in material damage or imminent threat of material damage to a ship or its cargo</w:t>
      </w:r>
      <w:r w:rsidRPr="0034084A">
        <w:t>”.</w:t>
      </w:r>
      <w:r w:rsidRPr="0034084A">
        <w:rPr>
          <w:rStyle w:val="FootnoteReference"/>
        </w:rPr>
        <w:footnoteReference w:id="38"/>
      </w:r>
      <w:r w:rsidRPr="0034084A">
        <w:t xml:space="preserve"> </w:t>
      </w:r>
      <w:r w:rsidRPr="002C317C">
        <w:t xml:space="preserve">For example, </w:t>
      </w:r>
      <w:r w:rsidR="00C63B77" w:rsidRPr="002C317C">
        <w:t xml:space="preserve">failed lashings due to inadequate operation or </w:t>
      </w:r>
      <w:r w:rsidR="00A02B6F" w:rsidRPr="002C317C">
        <w:t xml:space="preserve">damage </w:t>
      </w:r>
      <w:r w:rsidR="001509FD" w:rsidRPr="002C317C">
        <w:t xml:space="preserve">due to </w:t>
      </w:r>
      <w:r w:rsidR="00A02B6F" w:rsidRPr="002C317C">
        <w:t>heavy seas</w:t>
      </w:r>
      <w:r w:rsidR="00F25483" w:rsidRPr="002C317C">
        <w:t xml:space="preserve"> could be considered a maritime casualty</w:t>
      </w:r>
      <w:r w:rsidR="00F25483" w:rsidRPr="0034084A">
        <w:t>, and shipping containers that were subsequently</w:t>
      </w:r>
      <w:r w:rsidR="00C63B77" w:rsidRPr="0034084A">
        <w:t xml:space="preserve"> lost overboard could be considered a wreck</w:t>
      </w:r>
      <w:r w:rsidRPr="0034084A">
        <w:t>.</w:t>
      </w:r>
      <w:r w:rsidR="00C63B77" w:rsidRPr="0034084A">
        <w:t xml:space="preserve"> </w:t>
      </w:r>
      <w:r w:rsidR="00252DE8" w:rsidRPr="0034084A">
        <w:t xml:space="preserve">Similar </w:t>
      </w:r>
      <w:r w:rsidR="00C3707E" w:rsidRPr="0034084A">
        <w:t>to the</w:t>
      </w:r>
      <w:r w:rsidR="00C3707E" w:rsidRPr="00B703F0">
        <w:t xml:space="preserve"> Navigation Act</w:t>
      </w:r>
      <w:r w:rsidR="004C6826">
        <w:t xml:space="preserve"> requirement to notify </w:t>
      </w:r>
      <w:r w:rsidR="00C43690">
        <w:t>AMSA</w:t>
      </w:r>
      <w:r w:rsidR="00C3707E" w:rsidRPr="00B703F0">
        <w:t>, the Nairo</w:t>
      </w:r>
      <w:r w:rsidR="00724C90">
        <w:t>bi Convention requires the M</w:t>
      </w:r>
      <w:r w:rsidR="00C3707E" w:rsidRPr="00B703F0">
        <w:t xml:space="preserve">aster and operator of a ship flying the flag of a State Party to notify the </w:t>
      </w:r>
      <w:r w:rsidR="007E30DD" w:rsidRPr="00B703F0">
        <w:t>affected</w:t>
      </w:r>
      <w:r w:rsidR="007E30DD" w:rsidRPr="00B703F0">
        <w:rPr>
          <w:rFonts w:cstheme="minorHAnsi"/>
        </w:rPr>
        <w:t xml:space="preserve"> State Party</w:t>
      </w:r>
      <w:r w:rsidR="007E30DD">
        <w:rPr>
          <w:rFonts w:cstheme="minorHAnsi"/>
        </w:rPr>
        <w:t xml:space="preserve"> </w:t>
      </w:r>
      <w:r w:rsidR="00C3707E" w:rsidRPr="00B703F0">
        <w:t>if they are involved in a maritime casualty resulting in a wreck.</w:t>
      </w:r>
      <w:r w:rsidR="00C43690">
        <w:t xml:space="preserve"> For Australia, AMSA would continue to </w:t>
      </w:r>
      <w:r w:rsidR="00632F94">
        <w:t xml:space="preserve">act as </w:t>
      </w:r>
      <w:r w:rsidR="00C43690">
        <w:t>the appropriate</w:t>
      </w:r>
      <w:r w:rsidR="009A0521">
        <w:t xml:space="preserve"> government</w:t>
      </w:r>
      <w:r w:rsidR="00C43690">
        <w:t xml:space="preserve"> authority. </w:t>
      </w:r>
    </w:p>
    <w:p w14:paraId="307074F5" w14:textId="07430ACA" w:rsidR="00647975" w:rsidRPr="00B703F0" w:rsidRDefault="00647975" w:rsidP="00647975">
      <w:r w:rsidRPr="00B703F0">
        <w:t xml:space="preserve">A wreck </w:t>
      </w:r>
      <w:r w:rsidR="00F25483" w:rsidRPr="00B703F0">
        <w:t>must</w:t>
      </w:r>
      <w:r w:rsidRPr="00B703F0">
        <w:t xml:space="preserve"> be marked and removed </w:t>
      </w:r>
      <w:r w:rsidR="00E2478F" w:rsidRPr="00B703F0">
        <w:t xml:space="preserve">if </w:t>
      </w:r>
      <w:r w:rsidRPr="00B703F0">
        <w:t xml:space="preserve">the </w:t>
      </w:r>
      <w:r w:rsidR="006E0B6F" w:rsidRPr="00B703F0">
        <w:t xml:space="preserve">affected </w:t>
      </w:r>
      <w:r w:rsidRPr="00B703F0">
        <w:t>State Party makes a determination that the ship or the object is a ‘hazard’.</w:t>
      </w:r>
      <w:r w:rsidR="005302B1" w:rsidRPr="00B703F0">
        <w:rPr>
          <w:rStyle w:val="FootnoteReference"/>
        </w:rPr>
        <w:footnoteReference w:id="39"/>
      </w:r>
      <w:r w:rsidRPr="00B703F0">
        <w:t xml:space="preserve"> This means that wreck removal under the </w:t>
      </w:r>
      <w:r w:rsidR="00D169C0" w:rsidRPr="00B703F0">
        <w:t>Nairobi Convention</w:t>
      </w:r>
      <w:r w:rsidRPr="00B703F0">
        <w:t xml:space="preserve"> operates</w:t>
      </w:r>
      <w:r w:rsidR="00672690" w:rsidRPr="00B703F0">
        <w:t xml:space="preserve"> upon a dual-trigger to action</w:t>
      </w:r>
      <w:r w:rsidRPr="00B703F0">
        <w:t xml:space="preserve">, where both a maritime casualty and hazard must be established before </w:t>
      </w:r>
      <w:r w:rsidR="00D169C0" w:rsidRPr="00B703F0">
        <w:t>a</w:t>
      </w:r>
      <w:r w:rsidR="0074499F" w:rsidRPr="00B703F0">
        <w:t>n affected</w:t>
      </w:r>
      <w:r w:rsidR="00D169C0" w:rsidRPr="00B703F0">
        <w:t xml:space="preserve"> State Party</w:t>
      </w:r>
      <w:r w:rsidRPr="00B703F0">
        <w:t xml:space="preserve"> can </w:t>
      </w:r>
      <w:r w:rsidR="005E251D" w:rsidRPr="00B703F0">
        <w:t xml:space="preserve">mandate </w:t>
      </w:r>
      <w:r w:rsidR="00D169C0" w:rsidRPr="00B703F0">
        <w:t xml:space="preserve">any activity related to a </w:t>
      </w:r>
      <w:r w:rsidRPr="00B703F0">
        <w:t xml:space="preserve">wreck. A ‘hazard’ is broadly defined, and </w:t>
      </w:r>
      <w:r w:rsidR="001B09DC" w:rsidRPr="00B703F0">
        <w:t>is determined in relation to the risk pose</w:t>
      </w:r>
      <w:r w:rsidR="005E251D" w:rsidRPr="00B703F0">
        <w:t>d</w:t>
      </w:r>
      <w:r w:rsidR="001B09DC" w:rsidRPr="00B703F0">
        <w:t xml:space="preserve"> to </w:t>
      </w:r>
      <w:r w:rsidRPr="00B703F0">
        <w:t>navigation, the environment and other related inters such as fishing, tourism, health and offshore and underwater infrastructure.</w:t>
      </w:r>
      <w:r w:rsidRPr="00B703F0">
        <w:rPr>
          <w:rStyle w:val="FootnoteReference"/>
        </w:rPr>
        <w:footnoteReference w:id="40"/>
      </w:r>
      <w:r w:rsidRPr="00B703F0">
        <w:t xml:space="preserve"> </w:t>
      </w:r>
    </w:p>
    <w:p w14:paraId="55B3CFA7" w14:textId="2C27E513" w:rsidR="00751CC0" w:rsidRDefault="00860014" w:rsidP="00751CC0">
      <w:pPr>
        <w:rPr>
          <w:szCs w:val="21"/>
        </w:rPr>
      </w:pPr>
      <w:r w:rsidRPr="00B703F0">
        <w:rPr>
          <w:szCs w:val="21"/>
        </w:rPr>
        <w:t xml:space="preserve">Under the Nairobi </w:t>
      </w:r>
      <w:r w:rsidR="003918DA" w:rsidRPr="00B703F0">
        <w:rPr>
          <w:szCs w:val="21"/>
        </w:rPr>
        <w:t>Convention</w:t>
      </w:r>
      <w:r w:rsidR="00CF3968" w:rsidRPr="00B703F0">
        <w:rPr>
          <w:szCs w:val="21"/>
        </w:rPr>
        <w:t>,</w:t>
      </w:r>
      <w:r w:rsidRPr="00B703F0">
        <w:rPr>
          <w:szCs w:val="21"/>
        </w:rPr>
        <w:t xml:space="preserve"> the </w:t>
      </w:r>
      <w:r w:rsidR="00B546EF" w:rsidRPr="00B703F0">
        <w:rPr>
          <w:szCs w:val="21"/>
        </w:rPr>
        <w:t xml:space="preserve">ship </w:t>
      </w:r>
      <w:r w:rsidR="002125DB" w:rsidRPr="00B703F0">
        <w:rPr>
          <w:szCs w:val="21"/>
        </w:rPr>
        <w:t xml:space="preserve">owner is defined as the “person or persons registered as the owner of the ship or, in the absence of registration, the person or persons owning the ship at the time of the maritime </w:t>
      </w:r>
      <w:r w:rsidR="002125DB" w:rsidRPr="000A3AD1">
        <w:rPr>
          <w:szCs w:val="21"/>
        </w:rPr>
        <w:t>casualty”.</w:t>
      </w:r>
      <w:r w:rsidR="002125DB" w:rsidRPr="000A3AD1">
        <w:rPr>
          <w:rStyle w:val="FootnoteReference"/>
          <w:szCs w:val="21"/>
        </w:rPr>
        <w:footnoteReference w:id="41"/>
      </w:r>
      <w:r w:rsidR="002125DB" w:rsidRPr="000A3AD1">
        <w:rPr>
          <w:szCs w:val="21"/>
        </w:rPr>
        <w:t xml:space="preserve"> </w:t>
      </w:r>
      <w:r w:rsidR="00011667" w:rsidRPr="00B703F0">
        <w:rPr>
          <w:szCs w:val="21"/>
        </w:rPr>
        <w:t xml:space="preserve">The ship owner is strictly liable for the costs of locating, marking and removing the associated wreck, </w:t>
      </w:r>
      <w:r w:rsidR="00011667" w:rsidRPr="00B703F0">
        <w:rPr>
          <w:rFonts w:cstheme="minorHAnsi"/>
        </w:rPr>
        <w:t xml:space="preserve">subject to defences related to extreme circumstances such as war, exceptional weather, third party </w:t>
      </w:r>
      <w:r w:rsidR="00011667" w:rsidRPr="00B703F0">
        <w:rPr>
          <w:szCs w:val="21"/>
        </w:rPr>
        <w:t>interven</w:t>
      </w:r>
      <w:r w:rsidR="00011667" w:rsidRPr="00B703F0">
        <w:t xml:space="preserve">tion </w:t>
      </w:r>
      <w:r w:rsidR="00011667" w:rsidRPr="00B703F0">
        <w:rPr>
          <w:szCs w:val="21"/>
        </w:rPr>
        <w:t>or government negligence.</w:t>
      </w:r>
      <w:r w:rsidR="00011667" w:rsidRPr="00B703F0">
        <w:rPr>
          <w:rStyle w:val="FootnoteReference"/>
          <w:szCs w:val="21"/>
        </w:rPr>
        <w:footnoteReference w:id="42"/>
      </w:r>
      <w:r w:rsidR="00011667" w:rsidRPr="00B703F0">
        <w:rPr>
          <w:szCs w:val="21"/>
        </w:rPr>
        <w:t xml:space="preserve"> </w:t>
      </w:r>
      <w:r w:rsidR="00751CC0" w:rsidRPr="00B703F0">
        <w:rPr>
          <w:szCs w:val="21"/>
        </w:rPr>
        <w:t>Liability is also waived under the Nairobi Convention to the extent it would conflict with other international conventions.</w:t>
      </w:r>
      <w:r w:rsidR="00751CC0" w:rsidRPr="00B703F0">
        <w:rPr>
          <w:rStyle w:val="FootnoteReference"/>
          <w:szCs w:val="21"/>
        </w:rPr>
        <w:footnoteReference w:id="43"/>
      </w:r>
      <w:r w:rsidR="00751CC0" w:rsidRPr="00B703F0">
        <w:rPr>
          <w:szCs w:val="21"/>
        </w:rPr>
        <w:t xml:space="preserve"> </w:t>
      </w:r>
    </w:p>
    <w:p w14:paraId="137E190F" w14:textId="371A667A" w:rsidR="00751CC0" w:rsidRPr="00B703F0" w:rsidRDefault="00751CC0" w:rsidP="00751CC0">
      <w:pPr>
        <w:rPr>
          <w:rFonts w:cstheme="minorHAnsi"/>
        </w:rPr>
      </w:pPr>
      <w:r w:rsidRPr="00B703F0">
        <w:rPr>
          <w:rFonts w:cstheme="minorHAnsi"/>
        </w:rPr>
        <w:t xml:space="preserve">To assist in cost </w:t>
      </w:r>
      <w:r w:rsidRPr="00B703F0">
        <w:rPr>
          <w:szCs w:val="21"/>
        </w:rPr>
        <w:t>recovery</w:t>
      </w:r>
      <w:r w:rsidRPr="00B703F0">
        <w:rPr>
          <w:rFonts w:cstheme="minorHAnsi"/>
        </w:rPr>
        <w:t xml:space="preserve">, the Nairobi Convention mandates owners of </w:t>
      </w:r>
      <w:r w:rsidR="00271F4E">
        <w:rPr>
          <w:rFonts w:cstheme="minorHAnsi"/>
        </w:rPr>
        <w:t>ships</w:t>
      </w:r>
      <w:r w:rsidRPr="00B703F0">
        <w:rPr>
          <w:rFonts w:cstheme="minorHAnsi"/>
        </w:rPr>
        <w:t xml:space="preserve"> over 300 GT </w:t>
      </w:r>
      <w:r w:rsidR="001509FD">
        <w:rPr>
          <w:rFonts w:cstheme="minorHAnsi"/>
        </w:rPr>
        <w:t xml:space="preserve">must </w:t>
      </w:r>
      <w:r w:rsidRPr="00B703F0">
        <w:rPr>
          <w:rFonts w:cstheme="minorHAnsi"/>
        </w:rPr>
        <w:t>hold wreck</w:t>
      </w:r>
      <w:r>
        <w:rPr>
          <w:rFonts w:cstheme="minorHAnsi"/>
        </w:rPr>
        <w:t>-related</w:t>
      </w:r>
      <w:r w:rsidRPr="00B703F0">
        <w:rPr>
          <w:rFonts w:cstheme="minorHAnsi"/>
        </w:rPr>
        <w:t xml:space="preserve"> insurance up to the </w:t>
      </w:r>
      <w:r w:rsidRPr="00B703F0">
        <w:t>appropriate</w:t>
      </w:r>
      <w:r w:rsidRPr="00B703F0">
        <w:rPr>
          <w:rFonts w:cstheme="minorHAnsi"/>
        </w:rPr>
        <w:t xml:space="preserve"> limit set out in the </w:t>
      </w:r>
      <w:r w:rsidRPr="00B703F0">
        <w:rPr>
          <w:i/>
          <w:lang w:eastAsia="en-AU"/>
        </w:rPr>
        <w:t>Convention on Limitation of Liability for Maritime Claims</w:t>
      </w:r>
      <w:r w:rsidRPr="00B703F0">
        <w:rPr>
          <w:rFonts w:cstheme="minorHAnsi"/>
        </w:rPr>
        <w:t xml:space="preserve"> (the LLMC Convention). The LLMC Convention acts to limit the liability of ship owners to pay compensation for claims of loss of life or personal injury, and property claims (</w:t>
      </w:r>
      <w:r w:rsidR="000F4063">
        <w:rPr>
          <w:rFonts w:cstheme="minorHAnsi"/>
        </w:rPr>
        <w:t>e.g.</w:t>
      </w:r>
      <w:r w:rsidRPr="00B703F0">
        <w:rPr>
          <w:rFonts w:cstheme="minorHAnsi"/>
        </w:rPr>
        <w:t xml:space="preserve"> damage to other ships, property or harbour works). </w:t>
      </w:r>
    </w:p>
    <w:p w14:paraId="401E6E51" w14:textId="0ADA39E7" w:rsidR="005302B1" w:rsidRPr="00B703F0" w:rsidRDefault="00266DE7" w:rsidP="005302B1">
      <w:pPr>
        <w:rPr>
          <w:rFonts w:cstheme="minorHAnsi"/>
        </w:rPr>
      </w:pPr>
      <w:r w:rsidRPr="00B703F0">
        <w:rPr>
          <w:rFonts w:cstheme="minorHAnsi"/>
        </w:rPr>
        <w:t>A</w:t>
      </w:r>
      <w:r w:rsidRPr="00B703F0">
        <w:rPr>
          <w:rFonts w:eastAsia="Times New Roman" w:cstheme="minorHAnsi"/>
          <w:lang w:eastAsia="en-AU"/>
        </w:rPr>
        <w:t>ustralia is a party to the LLMC</w:t>
      </w:r>
      <w:r w:rsidR="00722729" w:rsidRPr="00B703F0">
        <w:rPr>
          <w:rFonts w:eastAsia="Times New Roman" w:cstheme="minorHAnsi"/>
          <w:lang w:eastAsia="en-AU"/>
        </w:rPr>
        <w:t xml:space="preserve"> </w:t>
      </w:r>
      <w:r w:rsidR="00722729" w:rsidRPr="00B703F0">
        <w:rPr>
          <w:rFonts w:cstheme="minorHAnsi"/>
        </w:rPr>
        <w:t>Convention</w:t>
      </w:r>
      <w:r w:rsidRPr="00B703F0">
        <w:rPr>
          <w:rFonts w:eastAsia="Times New Roman" w:cstheme="minorHAnsi"/>
          <w:lang w:eastAsia="en-AU"/>
        </w:rPr>
        <w:t xml:space="preserve">, which </w:t>
      </w:r>
      <w:r w:rsidR="00440E8D" w:rsidRPr="00B703F0">
        <w:rPr>
          <w:rFonts w:eastAsia="Times New Roman" w:cstheme="minorHAnsi"/>
          <w:lang w:eastAsia="en-AU"/>
        </w:rPr>
        <w:t xml:space="preserve">is </w:t>
      </w:r>
      <w:r w:rsidRPr="00B703F0">
        <w:rPr>
          <w:rFonts w:eastAsia="Times New Roman" w:cstheme="minorHAnsi"/>
          <w:lang w:eastAsia="en-AU"/>
        </w:rPr>
        <w:t xml:space="preserve">implemented into domestic legislation through the </w:t>
      </w:r>
      <w:r w:rsidRPr="00B703F0">
        <w:rPr>
          <w:rFonts w:eastAsia="Times New Roman" w:cstheme="minorHAnsi"/>
          <w:i/>
          <w:lang w:eastAsia="en-AU"/>
        </w:rPr>
        <w:t>Limitation of Liability for Maritime Claims Act 1989</w:t>
      </w:r>
      <w:r w:rsidRPr="00B703F0">
        <w:rPr>
          <w:rFonts w:eastAsia="Times New Roman" w:cstheme="minorHAnsi"/>
          <w:lang w:eastAsia="en-AU"/>
        </w:rPr>
        <w:t xml:space="preserve">. </w:t>
      </w:r>
      <w:r w:rsidR="005302B1" w:rsidRPr="00B703F0">
        <w:rPr>
          <w:rFonts w:cstheme="minorHAnsi"/>
        </w:rPr>
        <w:t xml:space="preserve">The LLMC Convention liability limits include claims relating to wreck removal, however, Australia has lodged a reservation excluding its application in that </w:t>
      </w:r>
      <w:r w:rsidR="0067280F" w:rsidRPr="00B703F0">
        <w:rPr>
          <w:rFonts w:cstheme="minorHAnsi"/>
        </w:rPr>
        <w:t>situation</w:t>
      </w:r>
      <w:r w:rsidR="005302B1" w:rsidRPr="00B703F0">
        <w:rPr>
          <w:rFonts w:cstheme="minorHAnsi"/>
        </w:rPr>
        <w:t xml:space="preserve">. The effect of the reservation in Australia is that a </w:t>
      </w:r>
      <w:r w:rsidR="00117F50" w:rsidRPr="00B703F0">
        <w:rPr>
          <w:rFonts w:cstheme="minorHAnsi"/>
        </w:rPr>
        <w:t>ship owner</w:t>
      </w:r>
      <w:r w:rsidR="005302B1" w:rsidRPr="00B703F0">
        <w:rPr>
          <w:rFonts w:cstheme="minorHAnsi"/>
        </w:rPr>
        <w:t xml:space="preserve"> is liable for all expenses associated with the removal of a wreck, which is reflected in the Navigation Act. </w:t>
      </w:r>
      <w:r w:rsidR="005302B1" w:rsidRPr="00B703F0">
        <w:rPr>
          <w:rFonts w:eastAsia="Times New Roman" w:cstheme="minorHAnsi"/>
          <w:lang w:eastAsia="en-AU"/>
        </w:rPr>
        <w:t xml:space="preserve">If Australia were to accede to the Nairobi Convention, the </w:t>
      </w:r>
      <w:r w:rsidR="005302B1" w:rsidRPr="00B703F0">
        <w:rPr>
          <w:rFonts w:cstheme="minorHAnsi"/>
        </w:rPr>
        <w:t>reservation would not change the insurance amount a ship owner must have in place under the Nairobi Convention</w:t>
      </w:r>
      <w:r w:rsidR="0046178D" w:rsidRPr="0046178D">
        <w:rPr>
          <w:rFonts w:cstheme="minorHAnsi"/>
        </w:rPr>
        <w:t>, nor the amount that could be claimed against an insurer</w:t>
      </w:r>
      <w:r w:rsidR="005302B1" w:rsidRPr="00B703F0">
        <w:rPr>
          <w:rFonts w:cstheme="minorHAnsi"/>
        </w:rPr>
        <w:t>. The ship owner would</w:t>
      </w:r>
      <w:r w:rsidR="0046178D">
        <w:rPr>
          <w:rFonts w:cstheme="minorHAnsi"/>
        </w:rPr>
        <w:t xml:space="preserve">, however, </w:t>
      </w:r>
      <w:r w:rsidR="005302B1" w:rsidRPr="00B703F0">
        <w:rPr>
          <w:rFonts w:cstheme="minorHAnsi"/>
        </w:rPr>
        <w:t xml:space="preserve">remain liable for any additional costs </w:t>
      </w:r>
      <w:r w:rsidR="0067280F" w:rsidRPr="00B703F0">
        <w:rPr>
          <w:rFonts w:cstheme="minorHAnsi"/>
        </w:rPr>
        <w:t>above</w:t>
      </w:r>
      <w:r w:rsidR="005302B1" w:rsidRPr="00B703F0">
        <w:rPr>
          <w:rFonts w:cstheme="minorHAnsi"/>
        </w:rPr>
        <w:t xml:space="preserve"> their insurance amount. </w:t>
      </w:r>
    </w:p>
    <w:p w14:paraId="1A0FDFA7" w14:textId="3C9B2894" w:rsidR="005302B1" w:rsidRPr="00B703F0" w:rsidRDefault="0067280F" w:rsidP="00852727">
      <w:pPr>
        <w:pStyle w:val="Box1Bullet1"/>
        <w:rPr>
          <w:b/>
          <w:lang w:val="en-AU"/>
        </w:rPr>
      </w:pPr>
      <w:r w:rsidRPr="00B703F0">
        <w:rPr>
          <w:b/>
          <w:lang w:val="en-AU"/>
        </w:rPr>
        <w:t>Example</w:t>
      </w:r>
    </w:p>
    <w:p w14:paraId="6E03D917" w14:textId="70EC15C0" w:rsidR="005302B1" w:rsidRPr="00B703F0" w:rsidRDefault="005302B1" w:rsidP="00852727">
      <w:pPr>
        <w:pStyle w:val="Box1Bullet1"/>
        <w:rPr>
          <w:lang w:val="en-AU"/>
        </w:rPr>
      </w:pPr>
      <w:r w:rsidRPr="00B703F0">
        <w:rPr>
          <w:lang w:val="en-AU"/>
        </w:rPr>
        <w:t xml:space="preserve">On 1 June 2018, the </w:t>
      </w:r>
      <w:r w:rsidRPr="00B703F0">
        <w:rPr>
          <w:i/>
          <w:lang w:val="en-AU"/>
        </w:rPr>
        <w:t>YM Efficiency</w:t>
      </w:r>
      <w:r w:rsidRPr="00B703F0">
        <w:rPr>
          <w:lang w:val="en-AU"/>
        </w:rPr>
        <w:t xml:space="preserve"> </w:t>
      </w:r>
      <w:r w:rsidR="00F3761F">
        <w:rPr>
          <w:lang w:val="en-AU"/>
        </w:rPr>
        <w:t xml:space="preserve">- </w:t>
      </w:r>
      <w:r w:rsidRPr="00B703F0">
        <w:rPr>
          <w:lang w:val="en-AU"/>
        </w:rPr>
        <w:t xml:space="preserve">a Liberian flagged containership carrying 2,249 containers on its way to Port Botany from Taiwan encountered rough weather, resulting in the loss of 81 containers overboard. The Taiwanese owner of the </w:t>
      </w:r>
      <w:r w:rsidRPr="00B703F0">
        <w:rPr>
          <w:i/>
          <w:lang w:val="en-AU"/>
        </w:rPr>
        <w:t>YM Efficiency</w:t>
      </w:r>
      <w:r w:rsidRPr="00B703F0">
        <w:rPr>
          <w:lang w:val="en-AU"/>
        </w:rPr>
        <w:t xml:space="preserve"> and its insurer have refused to pay for the clean-up operations so AMSA </w:t>
      </w:r>
      <w:r w:rsidR="000F4063">
        <w:rPr>
          <w:lang w:val="en-AU"/>
        </w:rPr>
        <w:t>commenced</w:t>
      </w:r>
      <w:r w:rsidRPr="00B703F0">
        <w:rPr>
          <w:lang w:val="en-AU"/>
        </w:rPr>
        <w:t xml:space="preserve"> legal action to recover the </w:t>
      </w:r>
      <w:r w:rsidR="00E328D4">
        <w:rPr>
          <w:lang w:val="en-AU"/>
        </w:rPr>
        <w:t>wreck</w:t>
      </w:r>
      <w:r w:rsidR="00E328D4">
        <w:rPr>
          <w:lang w:val="en-AU"/>
        </w:rPr>
        <w:noBreakHyphen/>
        <w:t xml:space="preserve">related </w:t>
      </w:r>
      <w:r w:rsidRPr="00B703F0">
        <w:rPr>
          <w:lang w:val="en-AU"/>
        </w:rPr>
        <w:t xml:space="preserve">costs, </w:t>
      </w:r>
      <w:r w:rsidR="001509FD">
        <w:rPr>
          <w:lang w:val="en-AU"/>
        </w:rPr>
        <w:t>of</w:t>
      </w:r>
      <w:r w:rsidR="00932C57">
        <w:rPr>
          <w:lang w:val="en-AU"/>
        </w:rPr>
        <w:t xml:space="preserve"> </w:t>
      </w:r>
      <w:r w:rsidRPr="00B703F0">
        <w:rPr>
          <w:lang w:val="en-AU"/>
        </w:rPr>
        <w:t>approximately $2</w:t>
      </w:r>
      <w:r w:rsidR="006C3E27">
        <w:rPr>
          <w:lang w:val="en-AU"/>
        </w:rPr>
        <w:t>0</w:t>
      </w:r>
      <w:r w:rsidRPr="00B703F0">
        <w:rPr>
          <w:lang w:val="en-AU"/>
        </w:rPr>
        <w:t xml:space="preserve"> million. </w:t>
      </w:r>
      <w:r w:rsidR="000F4063">
        <w:rPr>
          <w:lang w:val="en-AU"/>
        </w:rPr>
        <w:t>This case has now been settled.</w:t>
      </w:r>
    </w:p>
    <w:p w14:paraId="24AC35E0" w14:textId="4C9BEED6" w:rsidR="005302B1" w:rsidRPr="00B703F0" w:rsidRDefault="005302B1" w:rsidP="00852727">
      <w:pPr>
        <w:pStyle w:val="Box1Bullet1"/>
        <w:rPr>
          <w:rFonts w:cstheme="minorHAnsi"/>
          <w:szCs w:val="21"/>
          <w:lang w:val="en-AU"/>
        </w:rPr>
      </w:pPr>
      <w:r w:rsidRPr="00B703F0">
        <w:rPr>
          <w:lang w:val="en-AU"/>
        </w:rPr>
        <w:t xml:space="preserve">Liberia is a party to the Nairobi Convention, meaning the </w:t>
      </w:r>
      <w:r w:rsidRPr="00B703F0">
        <w:rPr>
          <w:i/>
          <w:lang w:val="en-AU"/>
        </w:rPr>
        <w:t>YM Efficiency</w:t>
      </w:r>
      <w:r w:rsidRPr="00B703F0">
        <w:rPr>
          <w:lang w:val="en-AU"/>
        </w:rPr>
        <w:t xml:space="preserve"> would have had insurance in place up to the LLMC Convention limit. As the </w:t>
      </w:r>
      <w:r w:rsidRPr="001D27B2">
        <w:rPr>
          <w:i/>
          <w:lang w:val="en-AU"/>
        </w:rPr>
        <w:t>YM Efficiency</w:t>
      </w:r>
      <w:r w:rsidRPr="00B703F0">
        <w:rPr>
          <w:lang w:val="en-AU"/>
        </w:rPr>
        <w:t xml:space="preserve"> is 42,741 GT, under the LLMC Convention it would be required to </w:t>
      </w:r>
      <w:r w:rsidRPr="00B703F0">
        <w:rPr>
          <w:lang w:val="en-AU"/>
        </w:rPr>
        <w:lastRenderedPageBreak/>
        <w:t xml:space="preserve">have insurance up to </w:t>
      </w:r>
      <w:r w:rsidR="0025793A">
        <w:rPr>
          <w:lang w:val="en-AU"/>
        </w:rPr>
        <w:t>24,192,616</w:t>
      </w:r>
      <w:r w:rsidRPr="00B703F0">
        <w:rPr>
          <w:rStyle w:val="FootnoteReference"/>
          <w:lang w:val="en-AU"/>
        </w:rPr>
        <w:footnoteReference w:id="44"/>
      </w:r>
      <w:r w:rsidRPr="00B703F0">
        <w:rPr>
          <w:lang w:val="en-AU"/>
        </w:rPr>
        <w:t xml:space="preserve"> Special Drawing Rights (SDR),</w:t>
      </w:r>
      <w:r w:rsidRPr="00B703F0">
        <w:rPr>
          <w:vertAlign w:val="superscript"/>
          <w:lang w:val="en-AU"/>
        </w:rPr>
        <w:footnoteReference w:id="45"/>
      </w:r>
      <w:r w:rsidRPr="00B703F0">
        <w:rPr>
          <w:lang w:val="en-AU"/>
        </w:rPr>
        <w:t xml:space="preserve"> which is approximately $</w:t>
      </w:r>
      <w:r w:rsidR="00254157" w:rsidRPr="00254157">
        <w:rPr>
          <w:lang w:val="en-AU"/>
        </w:rPr>
        <w:t>44</w:t>
      </w:r>
      <w:r w:rsidR="00254157">
        <w:rPr>
          <w:lang w:val="en-AU"/>
        </w:rPr>
        <w:t>,</w:t>
      </w:r>
      <w:r w:rsidR="00254157" w:rsidRPr="00254157">
        <w:rPr>
          <w:lang w:val="en-AU"/>
        </w:rPr>
        <w:t>460</w:t>
      </w:r>
      <w:r w:rsidR="00254157">
        <w:rPr>
          <w:lang w:val="en-AU"/>
        </w:rPr>
        <w:t>,</w:t>
      </w:r>
      <w:r w:rsidR="00254157" w:rsidRPr="00254157">
        <w:rPr>
          <w:lang w:val="en-AU"/>
        </w:rPr>
        <w:t>360.31</w:t>
      </w:r>
      <w:r w:rsidRPr="00B703F0">
        <w:rPr>
          <w:lang w:val="en-AU"/>
        </w:rPr>
        <w:t>.</w:t>
      </w:r>
      <w:r w:rsidRPr="00B703F0">
        <w:rPr>
          <w:vertAlign w:val="superscript"/>
          <w:lang w:val="en-AU"/>
        </w:rPr>
        <w:footnoteReference w:id="46"/>
      </w:r>
      <w:r w:rsidRPr="00B703F0">
        <w:rPr>
          <w:lang w:val="en-AU"/>
        </w:rPr>
        <w:t xml:space="preserve"> If Australia had been a party to the Nairobi Convention at that time, AMSA </w:t>
      </w:r>
      <w:r w:rsidR="002512D9">
        <w:rPr>
          <w:lang w:val="en-AU"/>
        </w:rPr>
        <w:t>may</w:t>
      </w:r>
      <w:r w:rsidR="002512D9" w:rsidRPr="00B703F0">
        <w:rPr>
          <w:lang w:val="en-AU"/>
        </w:rPr>
        <w:t xml:space="preserve"> </w:t>
      </w:r>
      <w:r w:rsidRPr="00B703F0">
        <w:rPr>
          <w:lang w:val="en-AU"/>
        </w:rPr>
        <w:t xml:space="preserve">have </w:t>
      </w:r>
      <w:r w:rsidR="002512D9">
        <w:rPr>
          <w:lang w:val="en-AU"/>
        </w:rPr>
        <w:t xml:space="preserve">been able to </w:t>
      </w:r>
      <w:r w:rsidRPr="00B703F0">
        <w:rPr>
          <w:lang w:val="en-AU"/>
        </w:rPr>
        <w:t>recover the costs of the clean-up directly from the insurer</w:t>
      </w:r>
      <w:r w:rsidR="00321F4D">
        <w:rPr>
          <w:lang w:val="en-AU"/>
        </w:rPr>
        <w:t xml:space="preserve"> for any hazardous wrecks</w:t>
      </w:r>
      <w:r w:rsidRPr="00B703F0">
        <w:rPr>
          <w:lang w:val="en-AU"/>
        </w:rPr>
        <w:t xml:space="preserve"> </w:t>
      </w:r>
      <w:r w:rsidR="002512D9">
        <w:rPr>
          <w:lang w:val="en-AU"/>
        </w:rPr>
        <w:t>and</w:t>
      </w:r>
      <w:r w:rsidR="00321F4D">
        <w:rPr>
          <w:lang w:val="en-AU"/>
        </w:rPr>
        <w:t xml:space="preserve"> thus</w:t>
      </w:r>
      <w:r w:rsidR="002512D9">
        <w:rPr>
          <w:lang w:val="en-AU"/>
        </w:rPr>
        <w:t xml:space="preserve"> avoid</w:t>
      </w:r>
      <w:r w:rsidR="00321F4D">
        <w:rPr>
          <w:lang w:val="en-AU"/>
        </w:rPr>
        <w:t>ed</w:t>
      </w:r>
      <w:r w:rsidR="002512D9">
        <w:rPr>
          <w:lang w:val="en-AU"/>
        </w:rPr>
        <w:t xml:space="preserve"> some or all of the litigation that followed</w:t>
      </w:r>
      <w:r w:rsidRPr="00B703F0">
        <w:rPr>
          <w:lang w:val="en-AU"/>
        </w:rPr>
        <w:t>.</w:t>
      </w:r>
      <w:r w:rsidRPr="00B703F0">
        <w:rPr>
          <w:rStyle w:val="FootnoteReference"/>
          <w:rFonts w:cstheme="minorHAnsi"/>
          <w:szCs w:val="21"/>
          <w:lang w:val="en-AU"/>
        </w:rPr>
        <w:footnoteReference w:id="47"/>
      </w:r>
    </w:p>
    <w:p w14:paraId="2E1B9EF8" w14:textId="36B99AD6" w:rsidR="00816689" w:rsidRDefault="008B2F02" w:rsidP="0091534B">
      <w:pPr>
        <w:rPr>
          <w:rFonts w:cstheme="minorHAnsi"/>
        </w:rPr>
      </w:pPr>
      <w:r>
        <w:rPr>
          <w:rFonts w:cstheme="minorHAnsi"/>
        </w:rPr>
        <w:t>State Parties issue certificate</w:t>
      </w:r>
      <w:r w:rsidR="0038350B">
        <w:rPr>
          <w:rFonts w:cstheme="minorHAnsi"/>
        </w:rPr>
        <w:t>s</w:t>
      </w:r>
      <w:r>
        <w:rPr>
          <w:rFonts w:cstheme="minorHAnsi"/>
        </w:rPr>
        <w:t xml:space="preserve"> of insurance to its flagged </w:t>
      </w:r>
      <w:r w:rsidR="00271F4E">
        <w:rPr>
          <w:rFonts w:cstheme="minorHAnsi"/>
        </w:rPr>
        <w:t>ships</w:t>
      </w:r>
      <w:r>
        <w:rPr>
          <w:rFonts w:cstheme="minorHAnsi"/>
        </w:rPr>
        <w:t xml:space="preserve"> if the ship owner provides evidence they hold wreck</w:t>
      </w:r>
      <w:r>
        <w:rPr>
          <w:rFonts w:cstheme="minorHAnsi"/>
        </w:rPr>
        <w:noBreakHyphen/>
        <w:t xml:space="preserve">related insurance. </w:t>
      </w:r>
      <w:r w:rsidR="00E15828">
        <w:rPr>
          <w:rFonts w:cstheme="minorHAnsi"/>
        </w:rPr>
        <w:t xml:space="preserve">For example, a ‘Blue Card’ </w:t>
      </w:r>
      <w:r w:rsidR="001B0B52">
        <w:rPr>
          <w:rFonts w:cstheme="minorHAnsi"/>
        </w:rPr>
        <w:t xml:space="preserve">issued by a ship owner’s marine insurance provider verifies they have </w:t>
      </w:r>
      <w:r w:rsidR="001B0B52" w:rsidRPr="001B0B52">
        <w:rPr>
          <w:rFonts w:cstheme="minorHAnsi"/>
        </w:rPr>
        <w:t xml:space="preserve">the </w:t>
      </w:r>
      <w:r w:rsidR="0046178D">
        <w:rPr>
          <w:rFonts w:cstheme="minorHAnsi"/>
        </w:rPr>
        <w:t xml:space="preserve">required </w:t>
      </w:r>
      <w:r w:rsidR="001B0B52" w:rsidRPr="001B0B52">
        <w:rPr>
          <w:rFonts w:cstheme="minorHAnsi"/>
        </w:rPr>
        <w:t>compulsory insurance coverage.</w:t>
      </w:r>
      <w:r w:rsidR="00816689">
        <w:rPr>
          <w:rFonts w:cstheme="minorHAnsi"/>
        </w:rPr>
        <w:t xml:space="preserve"> State Parties, through their </w:t>
      </w:r>
      <w:r w:rsidR="0046178D">
        <w:rPr>
          <w:rFonts w:cstheme="minorHAnsi"/>
        </w:rPr>
        <w:t>P</w:t>
      </w:r>
      <w:r w:rsidR="00816689">
        <w:rPr>
          <w:rFonts w:cstheme="minorHAnsi"/>
        </w:rPr>
        <w:t xml:space="preserve">ort </w:t>
      </w:r>
      <w:r w:rsidR="0046178D">
        <w:rPr>
          <w:rFonts w:cstheme="minorHAnsi"/>
        </w:rPr>
        <w:t>S</w:t>
      </w:r>
      <w:r w:rsidR="00816689">
        <w:rPr>
          <w:rFonts w:cstheme="minorHAnsi"/>
        </w:rPr>
        <w:t xml:space="preserve">tate </w:t>
      </w:r>
      <w:r w:rsidR="0046178D">
        <w:rPr>
          <w:rFonts w:cstheme="minorHAnsi"/>
        </w:rPr>
        <w:t>C</w:t>
      </w:r>
      <w:r w:rsidR="00816689">
        <w:rPr>
          <w:rFonts w:cstheme="minorHAnsi"/>
        </w:rPr>
        <w:t xml:space="preserve">ontrol, must also ensure foreign </w:t>
      </w:r>
      <w:r w:rsidR="0046178D">
        <w:rPr>
          <w:rFonts w:cstheme="minorHAnsi"/>
        </w:rPr>
        <w:t xml:space="preserve">flagged </w:t>
      </w:r>
      <w:r w:rsidR="00816689">
        <w:rPr>
          <w:rFonts w:cstheme="minorHAnsi"/>
        </w:rPr>
        <w:t xml:space="preserve">vessels visiting their ports are carrying </w:t>
      </w:r>
      <w:r w:rsidR="001D27B2">
        <w:rPr>
          <w:rFonts w:cstheme="minorHAnsi"/>
        </w:rPr>
        <w:t xml:space="preserve">the relevant </w:t>
      </w:r>
      <w:r w:rsidR="00816689">
        <w:rPr>
          <w:rFonts w:cstheme="minorHAnsi"/>
        </w:rPr>
        <w:t xml:space="preserve">certificates of insurance. </w:t>
      </w:r>
    </w:p>
    <w:p w14:paraId="0A4E3E69" w14:textId="625395D6" w:rsidR="00B15A8B" w:rsidRPr="00B703F0" w:rsidRDefault="001102D2" w:rsidP="0091534B">
      <w:pPr>
        <w:rPr>
          <w:rFonts w:cstheme="minorHAnsi"/>
        </w:rPr>
      </w:pPr>
      <w:r w:rsidRPr="00B703F0">
        <w:rPr>
          <w:rFonts w:cstheme="minorHAnsi"/>
        </w:rPr>
        <w:t xml:space="preserve">Other </w:t>
      </w:r>
      <w:r w:rsidRPr="00B703F0">
        <w:t>key</w:t>
      </w:r>
      <w:r w:rsidRPr="00B703F0">
        <w:rPr>
          <w:rFonts w:cstheme="minorHAnsi"/>
        </w:rPr>
        <w:t xml:space="preserve"> </w:t>
      </w:r>
      <w:r w:rsidR="0067280F" w:rsidRPr="00B703F0">
        <w:rPr>
          <w:szCs w:val="21"/>
        </w:rPr>
        <w:t>aspects</w:t>
      </w:r>
      <w:r w:rsidR="0067280F" w:rsidRPr="00B703F0">
        <w:rPr>
          <w:rFonts w:cstheme="minorHAnsi"/>
        </w:rPr>
        <w:t xml:space="preserve"> </w:t>
      </w:r>
      <w:r w:rsidRPr="00B703F0">
        <w:rPr>
          <w:rFonts w:cstheme="minorHAnsi"/>
        </w:rPr>
        <w:t>of t</w:t>
      </w:r>
      <w:r w:rsidR="001A4C07" w:rsidRPr="00B703F0">
        <w:rPr>
          <w:rFonts w:cstheme="minorHAnsi"/>
        </w:rPr>
        <w:t xml:space="preserve">he Nairobi Convention </w:t>
      </w:r>
      <w:r w:rsidRPr="00B703F0">
        <w:rPr>
          <w:rFonts w:cstheme="minorHAnsi"/>
        </w:rPr>
        <w:t xml:space="preserve">that </w:t>
      </w:r>
      <w:r w:rsidR="00953C2F" w:rsidRPr="00B703F0">
        <w:rPr>
          <w:rFonts w:cstheme="minorHAnsi"/>
        </w:rPr>
        <w:t xml:space="preserve">need </w:t>
      </w:r>
      <w:r w:rsidRPr="00B703F0">
        <w:rPr>
          <w:rFonts w:cstheme="minorHAnsi"/>
        </w:rPr>
        <w:t>consideration are</w:t>
      </w:r>
      <w:r w:rsidR="00B15A8B" w:rsidRPr="00B703F0">
        <w:rPr>
          <w:rFonts w:cstheme="minorHAnsi"/>
        </w:rPr>
        <w:t>:</w:t>
      </w:r>
    </w:p>
    <w:p w14:paraId="686D4F1D" w14:textId="59C35FCD" w:rsidR="001A4C07" w:rsidRPr="00B703F0" w:rsidRDefault="00003556" w:rsidP="00B15A8B">
      <w:pPr>
        <w:pStyle w:val="Bullet1"/>
        <w:rPr>
          <w:lang w:val="en-AU"/>
        </w:rPr>
      </w:pPr>
      <w:r w:rsidRPr="00B703F0">
        <w:rPr>
          <w:rFonts w:cstheme="minorHAnsi"/>
          <w:lang w:val="en-AU"/>
        </w:rPr>
        <w:t xml:space="preserve">it </w:t>
      </w:r>
      <w:r w:rsidR="001A4C07" w:rsidRPr="00B703F0">
        <w:rPr>
          <w:rFonts w:cstheme="minorHAnsi"/>
          <w:lang w:val="en-AU"/>
        </w:rPr>
        <w:t>requires a</w:t>
      </w:r>
      <w:r w:rsidR="0050438F" w:rsidRPr="00B703F0">
        <w:rPr>
          <w:rFonts w:cstheme="minorHAnsi"/>
          <w:lang w:val="en-AU"/>
        </w:rPr>
        <w:t>n affected</w:t>
      </w:r>
      <w:r w:rsidR="001A4C07" w:rsidRPr="00B703F0">
        <w:rPr>
          <w:rFonts w:cstheme="minorHAnsi"/>
          <w:lang w:val="en-AU"/>
        </w:rPr>
        <w:t xml:space="preserve"> State Party to take cost recovery action </w:t>
      </w:r>
      <w:r w:rsidR="001A4C07" w:rsidRPr="00B703F0">
        <w:rPr>
          <w:lang w:val="en-AU"/>
        </w:rPr>
        <w:t xml:space="preserve">within </w:t>
      </w:r>
      <w:r w:rsidR="00362B44">
        <w:rPr>
          <w:lang w:val="en-AU"/>
        </w:rPr>
        <w:t>3</w:t>
      </w:r>
      <w:r w:rsidR="00362B44" w:rsidRPr="00B703F0">
        <w:rPr>
          <w:lang w:val="en-AU"/>
        </w:rPr>
        <w:t xml:space="preserve"> </w:t>
      </w:r>
      <w:r w:rsidR="001A4C07" w:rsidRPr="00B703F0">
        <w:rPr>
          <w:lang w:val="en-AU"/>
        </w:rPr>
        <w:t xml:space="preserve">years of a wreck being determined to pose a hazard, and a maximum of </w:t>
      </w:r>
      <w:r w:rsidR="00362B44">
        <w:rPr>
          <w:lang w:val="en-AU"/>
        </w:rPr>
        <w:t>6</w:t>
      </w:r>
      <w:r w:rsidR="00362B44" w:rsidRPr="00B703F0">
        <w:rPr>
          <w:lang w:val="en-AU"/>
        </w:rPr>
        <w:t xml:space="preserve"> </w:t>
      </w:r>
      <w:r w:rsidR="001A4C07" w:rsidRPr="00B703F0">
        <w:rPr>
          <w:lang w:val="en-AU"/>
        </w:rPr>
        <w:t>years from the date of the maritime casualty.</w:t>
      </w:r>
      <w:r w:rsidR="001A4C07" w:rsidRPr="00B703F0">
        <w:rPr>
          <w:rStyle w:val="FootnoteReference"/>
          <w:szCs w:val="21"/>
          <w:lang w:val="en-AU"/>
        </w:rPr>
        <w:footnoteReference w:id="48"/>
      </w:r>
      <w:r w:rsidR="001A4C07" w:rsidRPr="00B703F0">
        <w:rPr>
          <w:lang w:val="en-AU"/>
        </w:rPr>
        <w:t xml:space="preserve"> </w:t>
      </w:r>
    </w:p>
    <w:p w14:paraId="2F33EBC5" w14:textId="3886F406" w:rsidR="004E6864" w:rsidRPr="00B703F0" w:rsidRDefault="00B15A8B" w:rsidP="000A3AD1">
      <w:pPr>
        <w:pStyle w:val="Bullet1"/>
        <w:rPr>
          <w:rFonts w:cstheme="minorHAnsi"/>
          <w:lang w:val="en-AU"/>
        </w:rPr>
      </w:pPr>
      <w:r w:rsidRPr="00B703F0">
        <w:rPr>
          <w:rFonts w:cstheme="minorHAnsi"/>
          <w:lang w:val="en-AU"/>
        </w:rPr>
        <w:t>w</w:t>
      </w:r>
      <w:r w:rsidR="004E6864" w:rsidRPr="00B703F0">
        <w:rPr>
          <w:rFonts w:cstheme="minorHAnsi"/>
          <w:lang w:val="en-AU"/>
        </w:rPr>
        <w:t>here the ship owner takes control of the wreck removal operation they have the freedom to choose their salvor</w:t>
      </w:r>
      <w:r w:rsidR="007E30DD">
        <w:rPr>
          <w:rFonts w:cstheme="minorHAnsi"/>
          <w:lang w:val="en-AU"/>
        </w:rPr>
        <w:t xml:space="preserve"> – the </w:t>
      </w:r>
      <w:r w:rsidR="0074499F" w:rsidRPr="00B703F0">
        <w:rPr>
          <w:lang w:val="en-AU"/>
        </w:rPr>
        <w:t>affected</w:t>
      </w:r>
      <w:r w:rsidR="0074499F" w:rsidRPr="00B703F0">
        <w:rPr>
          <w:rFonts w:cstheme="minorHAnsi"/>
          <w:lang w:val="en-AU"/>
        </w:rPr>
        <w:t xml:space="preserve"> </w:t>
      </w:r>
      <w:r w:rsidR="004E6864" w:rsidRPr="00B703F0">
        <w:rPr>
          <w:rFonts w:cstheme="minorHAnsi"/>
          <w:lang w:val="en-AU"/>
        </w:rPr>
        <w:t>State Party may</w:t>
      </w:r>
      <w:r w:rsidR="007E30DD">
        <w:rPr>
          <w:rFonts w:cstheme="minorHAnsi"/>
          <w:lang w:val="en-AU"/>
        </w:rPr>
        <w:t>, however,</w:t>
      </w:r>
      <w:r w:rsidR="004E6864" w:rsidRPr="00B703F0">
        <w:rPr>
          <w:rFonts w:cstheme="minorHAnsi"/>
          <w:lang w:val="en-AU"/>
        </w:rPr>
        <w:t xml:space="preserve"> set conditions</w:t>
      </w:r>
      <w:r w:rsidRPr="00B703F0">
        <w:rPr>
          <w:rFonts w:cstheme="minorHAnsi"/>
          <w:lang w:val="en-AU"/>
        </w:rPr>
        <w:t xml:space="preserve"> on</w:t>
      </w:r>
      <w:r w:rsidR="00794ECB" w:rsidRPr="00B703F0">
        <w:rPr>
          <w:rFonts w:cstheme="minorHAnsi"/>
          <w:lang w:val="en-AU"/>
        </w:rPr>
        <w:t xml:space="preserve"> </w:t>
      </w:r>
      <w:r w:rsidRPr="00B703F0">
        <w:rPr>
          <w:rFonts w:cstheme="minorHAnsi"/>
          <w:lang w:val="en-AU"/>
        </w:rPr>
        <w:t>the removal</w:t>
      </w:r>
      <w:r w:rsidR="0008061C" w:rsidRPr="00B703F0">
        <w:rPr>
          <w:rFonts w:cstheme="minorHAnsi"/>
          <w:lang w:val="en-AU"/>
        </w:rPr>
        <w:t xml:space="preserve"> </w:t>
      </w:r>
      <w:r w:rsidR="004E6864" w:rsidRPr="00B703F0">
        <w:rPr>
          <w:rFonts w:cstheme="minorHAnsi"/>
          <w:lang w:val="en-AU"/>
        </w:rPr>
        <w:t>process</w:t>
      </w:r>
      <w:r w:rsidR="00AE5035" w:rsidRPr="00B703F0">
        <w:rPr>
          <w:rFonts w:cstheme="minorHAnsi"/>
          <w:lang w:val="en-AU"/>
        </w:rPr>
        <w:t>, but only</w:t>
      </w:r>
      <w:r w:rsidR="004E6864" w:rsidRPr="00B703F0">
        <w:rPr>
          <w:rFonts w:cstheme="minorHAnsi"/>
          <w:lang w:val="en-AU"/>
        </w:rPr>
        <w:t xml:space="preserve"> to ensure it proceeds in a manner consistent</w:t>
      </w:r>
      <w:r w:rsidR="003114BB" w:rsidRPr="00B703F0">
        <w:rPr>
          <w:rFonts w:cstheme="minorHAnsi"/>
          <w:lang w:val="en-AU"/>
        </w:rPr>
        <w:t xml:space="preserve"> </w:t>
      </w:r>
      <w:r w:rsidR="00D74615" w:rsidRPr="00B703F0">
        <w:rPr>
          <w:rFonts w:cstheme="minorHAnsi"/>
          <w:lang w:val="en-AU"/>
        </w:rPr>
        <w:t xml:space="preserve">with </w:t>
      </w:r>
      <w:r w:rsidR="003114BB" w:rsidRPr="00B703F0">
        <w:rPr>
          <w:rFonts w:cstheme="minorHAnsi"/>
          <w:lang w:val="en-AU"/>
        </w:rPr>
        <w:t>domestic safety and marine environment protections</w:t>
      </w:r>
      <w:r w:rsidR="00672690" w:rsidRPr="00B703F0">
        <w:rPr>
          <w:rFonts w:cstheme="minorHAnsi"/>
          <w:lang w:val="en-AU"/>
        </w:rPr>
        <w:t>.</w:t>
      </w:r>
      <w:r w:rsidR="004E6864" w:rsidRPr="00B703F0">
        <w:rPr>
          <w:rStyle w:val="FootnoteReference"/>
          <w:rFonts w:cstheme="minorHAnsi"/>
          <w:szCs w:val="21"/>
          <w:lang w:val="en-AU"/>
        </w:rPr>
        <w:footnoteReference w:id="49"/>
      </w:r>
    </w:p>
    <w:p w14:paraId="5E0DFC19" w14:textId="17FA0C89" w:rsidR="00FB1BAD" w:rsidRPr="00FB1BAD" w:rsidRDefault="0099253E" w:rsidP="00FB1BAD">
      <w:pPr>
        <w:pStyle w:val="Bullet1"/>
        <w:rPr>
          <w:rFonts w:cstheme="minorHAnsi"/>
          <w:lang w:val="en-AU"/>
        </w:rPr>
      </w:pPr>
      <w:r w:rsidRPr="00FB1BAD">
        <w:rPr>
          <w:rFonts w:cstheme="minorHAnsi"/>
          <w:lang w:val="en-AU"/>
        </w:rPr>
        <w:t xml:space="preserve">cost recovery for </w:t>
      </w:r>
      <w:r w:rsidR="002A27BC" w:rsidRPr="00FB1BAD">
        <w:rPr>
          <w:rFonts w:cstheme="minorHAnsi"/>
          <w:lang w:val="en-AU"/>
        </w:rPr>
        <w:t>wreck removal</w:t>
      </w:r>
      <w:r w:rsidRPr="00FB1BAD">
        <w:rPr>
          <w:rFonts w:cstheme="minorHAnsi"/>
          <w:lang w:val="en-AU"/>
        </w:rPr>
        <w:t>s</w:t>
      </w:r>
      <w:r w:rsidR="002A27BC" w:rsidRPr="00FB1BAD">
        <w:rPr>
          <w:rFonts w:cstheme="minorHAnsi"/>
          <w:lang w:val="en-AU"/>
        </w:rPr>
        <w:t xml:space="preserve"> can only be enforced against ships registered to a State that is also a party to the Nairobi Convention. This is based on the international law rule in the </w:t>
      </w:r>
      <w:r w:rsidR="002A27BC" w:rsidRPr="00FB1BAD">
        <w:rPr>
          <w:rFonts w:cstheme="minorHAnsi"/>
          <w:i/>
          <w:lang w:val="en-AU"/>
        </w:rPr>
        <w:t>Vienna Convention on the Law of Treaties</w:t>
      </w:r>
      <w:r w:rsidR="002A27BC" w:rsidRPr="00FB1BAD">
        <w:rPr>
          <w:rFonts w:cstheme="minorHAnsi"/>
          <w:lang w:val="en-AU"/>
        </w:rPr>
        <w:t xml:space="preserve"> that states a treaty does not create either obligations or rights for a State without its consent</w:t>
      </w:r>
      <w:r w:rsidR="00231719" w:rsidRPr="00FB1BAD">
        <w:rPr>
          <w:rFonts w:cstheme="minorHAnsi"/>
          <w:lang w:val="en-AU"/>
        </w:rPr>
        <w:t>.</w:t>
      </w:r>
      <w:r w:rsidR="002A27BC" w:rsidRPr="00FB1BAD">
        <w:rPr>
          <w:rStyle w:val="FootnoteReference"/>
          <w:rFonts w:cstheme="minorHAnsi"/>
          <w:lang w:val="en-AU"/>
        </w:rPr>
        <w:footnoteReference w:id="50"/>
      </w:r>
      <w:r w:rsidR="002A27BC" w:rsidRPr="00FB1BAD">
        <w:rPr>
          <w:rFonts w:cstheme="minorHAnsi"/>
          <w:lang w:val="en-AU"/>
        </w:rPr>
        <w:t xml:space="preserve"> For the foreign vessels not captured by the Nairobi Convention, Australia </w:t>
      </w:r>
      <w:r w:rsidR="00FB1BAD">
        <w:rPr>
          <w:rFonts w:cstheme="minorHAnsi"/>
          <w:lang w:val="en-AU"/>
        </w:rPr>
        <w:t xml:space="preserve">to ensure an appropriate wreck removal framework was in place. </w:t>
      </w:r>
    </w:p>
    <w:p w14:paraId="285D4847" w14:textId="6EBFA328" w:rsidR="0099253E" w:rsidRDefault="004E6864" w:rsidP="0091534B">
      <w:pPr>
        <w:rPr>
          <w:rFonts w:cstheme="minorHAnsi"/>
        </w:rPr>
      </w:pPr>
      <w:r w:rsidRPr="002C317C">
        <w:rPr>
          <w:rFonts w:cstheme="minorHAnsi"/>
        </w:rPr>
        <w:t xml:space="preserve">When the Department </w:t>
      </w:r>
      <w:r w:rsidR="00785153" w:rsidRPr="002C317C">
        <w:rPr>
          <w:rFonts w:cstheme="minorHAnsi"/>
        </w:rPr>
        <w:t>raised this</w:t>
      </w:r>
      <w:r w:rsidRPr="002C317C">
        <w:rPr>
          <w:rFonts w:cstheme="minorHAnsi"/>
        </w:rPr>
        <w:t xml:space="preserve"> option in the 2020 Discussion Paper</w:t>
      </w:r>
      <w:r w:rsidR="007E30DD" w:rsidRPr="002C317C">
        <w:rPr>
          <w:rFonts w:cstheme="minorHAnsi"/>
        </w:rPr>
        <w:t>,</w:t>
      </w:r>
      <w:r w:rsidRPr="002C317C">
        <w:rPr>
          <w:rFonts w:cstheme="minorHAnsi"/>
        </w:rPr>
        <w:t xml:space="preserve"> the majority of stakeholders were firmly in </w:t>
      </w:r>
      <w:r w:rsidRPr="002C317C">
        <w:t>favour</w:t>
      </w:r>
      <w:r w:rsidRPr="002C317C">
        <w:rPr>
          <w:rFonts w:cstheme="minorHAnsi"/>
        </w:rPr>
        <w:t xml:space="preserve"> of acceding to the </w:t>
      </w:r>
      <w:r w:rsidRPr="002C317C">
        <w:rPr>
          <w:rFonts w:eastAsia="Times New Roman" w:cstheme="minorHAnsi"/>
          <w:color w:val="000000"/>
        </w:rPr>
        <w:t xml:space="preserve">Nairobi Convention and so expanding </w:t>
      </w:r>
      <w:r w:rsidR="00AE5035" w:rsidRPr="002C317C">
        <w:rPr>
          <w:rFonts w:eastAsia="Times New Roman" w:cstheme="minorHAnsi"/>
          <w:color w:val="000000"/>
        </w:rPr>
        <w:t xml:space="preserve">the Australian Government’s </w:t>
      </w:r>
      <w:r w:rsidRPr="002C317C">
        <w:rPr>
          <w:rFonts w:eastAsia="Times New Roman" w:cstheme="minorHAnsi"/>
          <w:color w:val="000000"/>
        </w:rPr>
        <w:t>powers to remove wrecks in the EEZ</w:t>
      </w:r>
      <w:r w:rsidRPr="0034084A">
        <w:rPr>
          <w:rFonts w:cstheme="minorHAnsi"/>
        </w:rPr>
        <w:t>.</w:t>
      </w:r>
      <w:r w:rsidR="00C12BC9" w:rsidRPr="0034084A">
        <w:rPr>
          <w:rFonts w:cstheme="minorHAnsi"/>
        </w:rPr>
        <w:t xml:space="preserve"> Concerns</w:t>
      </w:r>
      <w:r w:rsidR="00C12BC9">
        <w:rPr>
          <w:rFonts w:cstheme="minorHAnsi"/>
        </w:rPr>
        <w:t xml:space="preserve"> were raised about the application of the Nairobi Convention on DCVs and recreational vessels as wreck removal is currently governed by state and territory legislation, however, </w:t>
      </w:r>
      <w:r w:rsidR="0046178D">
        <w:rPr>
          <w:rFonts w:cstheme="minorHAnsi"/>
        </w:rPr>
        <w:t xml:space="preserve">these </w:t>
      </w:r>
      <w:r w:rsidR="00843150">
        <w:rPr>
          <w:rFonts w:cstheme="minorHAnsi"/>
        </w:rPr>
        <w:t xml:space="preserve">legislative frameworks do not </w:t>
      </w:r>
      <w:r w:rsidR="00C12BC9">
        <w:rPr>
          <w:rFonts w:cstheme="minorHAnsi"/>
        </w:rPr>
        <w:t xml:space="preserve">apply in the EEZ. </w:t>
      </w:r>
    </w:p>
    <w:p w14:paraId="666C26EB" w14:textId="5C643973" w:rsidR="006C0F76" w:rsidRPr="006C0F76" w:rsidRDefault="006C0F76" w:rsidP="006C0F76">
      <w:r>
        <w:t>It is important to note a</w:t>
      </w:r>
      <w:r w:rsidRPr="00B703F0">
        <w:t xml:space="preserve">ccession to the Nairobi Convention would not change the overall likelihood of wreck events occurring in the future. Australia’s robust regulatory regime and strong </w:t>
      </w:r>
      <w:r w:rsidR="0046178D">
        <w:t>P</w:t>
      </w:r>
      <w:r w:rsidRPr="00B703F0">
        <w:t xml:space="preserve">ort </w:t>
      </w:r>
      <w:r w:rsidR="0046178D">
        <w:t>S</w:t>
      </w:r>
      <w:r w:rsidRPr="00B703F0">
        <w:t xml:space="preserve">tate </w:t>
      </w:r>
      <w:r w:rsidR="0046178D">
        <w:t>C</w:t>
      </w:r>
      <w:r w:rsidRPr="00B703F0">
        <w:t xml:space="preserve">ontrol </w:t>
      </w:r>
      <w:r>
        <w:t xml:space="preserve">mechanisms </w:t>
      </w:r>
      <w:r w:rsidR="00BB200E">
        <w:t xml:space="preserve">would </w:t>
      </w:r>
      <w:r w:rsidRPr="00B703F0">
        <w:t>have a more practical impact in this space.</w:t>
      </w:r>
      <w:r w:rsidR="0014678C">
        <w:t xml:space="preserve">  </w:t>
      </w:r>
      <w:r w:rsidR="0014678C">
        <w:br/>
      </w:r>
      <w:r w:rsidR="0014678C">
        <w:br/>
        <w:t>Given the usual sensitivities around liability settlements and insurance payouts, and the relatively recent entry into force of the Convention in April 2015, it is not publicly known whether a State party has use</w:t>
      </w:r>
      <w:r w:rsidR="009C6D02">
        <w:t>d</w:t>
      </w:r>
      <w:r w:rsidR="0014678C">
        <w:t xml:space="preserve"> the Nairobi Convention to recover the costs of a wreck removal.  It may be some time before some information relating to States’ use of the Convention becomes available.     </w:t>
      </w:r>
    </w:p>
    <w:p w14:paraId="36B1136D" w14:textId="43D0BD3E" w:rsidR="002A27BC" w:rsidRPr="00B703F0" w:rsidRDefault="002A27BC" w:rsidP="00953E27">
      <w:pPr>
        <w:pStyle w:val="Heading4Numbered"/>
        <w:numPr>
          <w:ilvl w:val="0"/>
          <w:numId w:val="0"/>
        </w:numPr>
        <w:ind w:left="1134" w:hanging="1134"/>
        <w:jc w:val="both"/>
      </w:pPr>
      <w:r w:rsidRPr="00B703F0">
        <w:t xml:space="preserve">Advantages </w:t>
      </w:r>
    </w:p>
    <w:p w14:paraId="09A42884" w14:textId="4E2A85A2" w:rsidR="00AB2F52" w:rsidRPr="00AB2F52" w:rsidRDefault="00CA0905" w:rsidP="003F60BA">
      <w:pPr>
        <w:pStyle w:val="Bullet1"/>
        <w:rPr>
          <w:lang w:val="en-AU"/>
        </w:rPr>
      </w:pPr>
      <w:r w:rsidRPr="00B703F0">
        <w:t xml:space="preserve">Expanding the </w:t>
      </w:r>
      <w:r w:rsidR="0069740C" w:rsidRPr="00996434">
        <w:rPr>
          <w:lang w:val="en-AU"/>
        </w:rPr>
        <w:t xml:space="preserve">Australian Government </w:t>
      </w:r>
      <w:r w:rsidRPr="00B703F0">
        <w:t xml:space="preserve">wreck removal framework, based on the Nairobi Convention, to include DCVs </w:t>
      </w:r>
      <w:r w:rsidRPr="00996434">
        <w:rPr>
          <w:lang w:val="en-AU"/>
        </w:rPr>
        <w:t xml:space="preserve">and recreational vessels </w:t>
      </w:r>
      <w:r w:rsidRPr="00B703F0">
        <w:t xml:space="preserve">would create a single, uniform set of rules for all ships in Australia’s </w:t>
      </w:r>
      <w:r w:rsidRPr="00996434">
        <w:rPr>
          <w:lang w:val="en-AU"/>
        </w:rPr>
        <w:t>EEZ.</w:t>
      </w:r>
      <w:r w:rsidR="00AB2F52" w:rsidRPr="00996434">
        <w:rPr>
          <w:lang w:val="en-AU"/>
        </w:rPr>
        <w:t xml:space="preserve"> The framework </w:t>
      </w:r>
      <w:r w:rsidR="00AB2F52" w:rsidRPr="00AB2F52">
        <w:rPr>
          <w:lang w:val="en-AU"/>
        </w:rPr>
        <w:t xml:space="preserve">would also be consistent with modern international rules, creating administrative efficiencies for government and ship owners </w:t>
      </w:r>
    </w:p>
    <w:p w14:paraId="657D666F" w14:textId="2AD3765A" w:rsidR="001755BA" w:rsidRPr="00996434" w:rsidRDefault="00EF4FF4" w:rsidP="001755BA">
      <w:pPr>
        <w:pStyle w:val="Bullet1"/>
        <w:rPr>
          <w:rFonts w:eastAsia="Times New Roman" w:cstheme="minorHAnsi"/>
          <w:lang w:val="en-AU" w:eastAsia="en-AU"/>
        </w:rPr>
      </w:pPr>
      <w:r w:rsidRPr="00B703F0">
        <w:rPr>
          <w:rFonts w:eastAsia="Times New Roman" w:cstheme="minorHAnsi"/>
          <w:color w:val="000000"/>
          <w:lang w:val="en-AU"/>
        </w:rPr>
        <w:t>Acceding to</w:t>
      </w:r>
      <w:r w:rsidR="001755BA" w:rsidRPr="00B703F0">
        <w:rPr>
          <w:rFonts w:eastAsia="Times New Roman" w:cstheme="minorHAnsi"/>
          <w:color w:val="000000"/>
          <w:lang w:val="en-AU"/>
        </w:rPr>
        <w:t xml:space="preserve"> the Nairobi Convention in the EEZ and retaining</w:t>
      </w:r>
      <w:r w:rsidR="0046178D">
        <w:rPr>
          <w:rFonts w:eastAsia="Times New Roman" w:cstheme="minorHAnsi"/>
          <w:color w:val="000000"/>
          <w:lang w:val="en-AU"/>
        </w:rPr>
        <w:t xml:space="preserve"> an amended legislative </w:t>
      </w:r>
      <w:r w:rsidR="00656874">
        <w:rPr>
          <w:rFonts w:eastAsia="Times New Roman" w:cstheme="minorHAnsi"/>
          <w:color w:val="000000"/>
          <w:lang w:val="en-AU"/>
        </w:rPr>
        <w:t xml:space="preserve">framework </w:t>
      </w:r>
      <w:r w:rsidR="00656874" w:rsidRPr="00B703F0">
        <w:rPr>
          <w:rFonts w:eastAsia="Times New Roman" w:cstheme="minorHAnsi"/>
          <w:color w:val="000000"/>
          <w:lang w:val="en-AU"/>
        </w:rPr>
        <w:t>for</w:t>
      </w:r>
      <w:r w:rsidR="001755BA" w:rsidRPr="00B703F0">
        <w:rPr>
          <w:rFonts w:eastAsia="Times New Roman" w:cstheme="minorHAnsi"/>
          <w:color w:val="000000"/>
          <w:lang w:val="en-AU"/>
        </w:rPr>
        <w:t xml:space="preserve"> </w:t>
      </w:r>
      <w:r w:rsidR="0046178D">
        <w:rPr>
          <w:rFonts w:eastAsia="Times New Roman" w:cstheme="minorHAnsi"/>
          <w:color w:val="000000"/>
          <w:lang w:val="en-AU"/>
        </w:rPr>
        <w:t xml:space="preserve">RAV and foreign vessel </w:t>
      </w:r>
      <w:r w:rsidR="001755BA" w:rsidRPr="00B703F0">
        <w:rPr>
          <w:rFonts w:eastAsia="Times New Roman" w:cstheme="minorHAnsi"/>
          <w:color w:val="000000"/>
          <w:lang w:val="en-AU"/>
        </w:rPr>
        <w:t xml:space="preserve">wrecks in the </w:t>
      </w:r>
      <w:r w:rsidR="00635073" w:rsidRPr="00B703F0">
        <w:rPr>
          <w:rFonts w:eastAsia="Times New Roman" w:cstheme="minorHAnsi"/>
          <w:lang w:val="en-AU" w:eastAsia="en-AU"/>
        </w:rPr>
        <w:t>territorial sea</w:t>
      </w:r>
      <w:r w:rsidR="001755BA" w:rsidRPr="00B703F0">
        <w:rPr>
          <w:rFonts w:eastAsia="Times New Roman" w:cstheme="minorHAnsi"/>
          <w:color w:val="000000"/>
          <w:lang w:val="en-AU"/>
        </w:rPr>
        <w:t xml:space="preserve"> would establish expanded and uniform powers for AMSA in the EEZ, while not </w:t>
      </w:r>
      <w:r w:rsidR="001755BA" w:rsidRPr="00B703F0">
        <w:rPr>
          <w:rFonts w:eastAsia="Times New Roman" w:cstheme="minorHAnsi"/>
          <w:color w:val="000000"/>
          <w:lang w:val="en-AU"/>
        </w:rPr>
        <w:lastRenderedPageBreak/>
        <w:t>restricting the action</w:t>
      </w:r>
      <w:r w:rsidR="00AB2F52">
        <w:rPr>
          <w:rFonts w:eastAsia="Times New Roman" w:cstheme="minorHAnsi"/>
          <w:color w:val="000000"/>
          <w:lang w:val="en-AU"/>
        </w:rPr>
        <w:t>s</w:t>
      </w:r>
      <w:r w:rsidR="001755BA" w:rsidRPr="00B703F0">
        <w:rPr>
          <w:rFonts w:eastAsia="Times New Roman" w:cstheme="minorHAnsi"/>
          <w:color w:val="000000"/>
          <w:lang w:val="en-AU"/>
        </w:rPr>
        <w:t xml:space="preserve"> </w:t>
      </w:r>
      <w:r w:rsidR="00785153">
        <w:rPr>
          <w:rFonts w:eastAsia="Times New Roman" w:cstheme="minorHAnsi"/>
          <w:color w:val="000000"/>
          <w:lang w:val="en-AU"/>
        </w:rPr>
        <w:t>that</w:t>
      </w:r>
      <w:r w:rsidR="00785153" w:rsidRPr="00B703F0">
        <w:rPr>
          <w:rFonts w:eastAsia="Times New Roman" w:cstheme="minorHAnsi"/>
          <w:color w:val="000000"/>
          <w:lang w:val="en-AU"/>
        </w:rPr>
        <w:t xml:space="preserve"> </w:t>
      </w:r>
      <w:r w:rsidR="001755BA" w:rsidRPr="00B703F0">
        <w:rPr>
          <w:rFonts w:eastAsia="Times New Roman" w:cstheme="minorHAnsi"/>
          <w:color w:val="000000"/>
          <w:lang w:val="en-AU"/>
        </w:rPr>
        <w:t xml:space="preserve">can </w:t>
      </w:r>
      <w:r w:rsidR="00785153">
        <w:rPr>
          <w:rFonts w:eastAsia="Times New Roman" w:cstheme="minorHAnsi"/>
          <w:color w:val="000000"/>
          <w:lang w:val="en-AU"/>
        </w:rPr>
        <w:t xml:space="preserve">be </w:t>
      </w:r>
      <w:r w:rsidR="001755BA" w:rsidRPr="00B703F0">
        <w:rPr>
          <w:rFonts w:eastAsia="Times New Roman" w:cstheme="minorHAnsi"/>
          <w:color w:val="000000"/>
          <w:lang w:val="en-AU"/>
        </w:rPr>
        <w:t>take</w:t>
      </w:r>
      <w:r w:rsidR="00785153">
        <w:rPr>
          <w:rFonts w:eastAsia="Times New Roman" w:cstheme="minorHAnsi"/>
          <w:color w:val="000000"/>
          <w:lang w:val="en-AU"/>
        </w:rPr>
        <w:t>n</w:t>
      </w:r>
      <w:r w:rsidR="001755BA" w:rsidRPr="00B703F0">
        <w:rPr>
          <w:rFonts w:eastAsia="Times New Roman" w:cstheme="minorHAnsi"/>
          <w:color w:val="000000"/>
          <w:lang w:val="en-AU"/>
        </w:rPr>
        <w:t xml:space="preserve"> in the </w:t>
      </w:r>
      <w:r w:rsidR="00635073" w:rsidRPr="00B703F0">
        <w:rPr>
          <w:rFonts w:eastAsia="Times New Roman" w:cstheme="minorHAnsi"/>
          <w:color w:val="000000"/>
          <w:lang w:val="en-AU"/>
        </w:rPr>
        <w:t>territorial sea</w:t>
      </w:r>
      <w:r w:rsidR="001755BA" w:rsidRPr="00B703F0">
        <w:rPr>
          <w:rFonts w:eastAsia="Times New Roman" w:cstheme="minorHAnsi"/>
          <w:color w:val="000000"/>
          <w:lang w:val="en-AU"/>
        </w:rPr>
        <w:t xml:space="preserve">. </w:t>
      </w:r>
      <w:r w:rsidR="007A61DC">
        <w:rPr>
          <w:rFonts w:eastAsia="Times New Roman" w:cstheme="minorHAnsi"/>
          <w:color w:val="000000"/>
          <w:lang w:val="en-AU"/>
        </w:rPr>
        <w:t>It would also not impact on state and territory legislation governing wreck removal for DCVs and recreational vessels.</w:t>
      </w:r>
    </w:p>
    <w:p w14:paraId="397E5B28" w14:textId="77777777" w:rsidR="00996434" w:rsidRPr="003304E7" w:rsidRDefault="00996434" w:rsidP="00996434">
      <w:pPr>
        <w:pStyle w:val="Bullet1"/>
      </w:pPr>
      <w:r>
        <w:rPr>
          <w:lang w:val="en-AU"/>
        </w:rPr>
        <w:t xml:space="preserve">Beneficial provisions in the Nairobi Convention can still be applied in the territorial sea by Australian, state or territory governments through legislative amendments. </w:t>
      </w:r>
    </w:p>
    <w:p w14:paraId="0BFECFF9" w14:textId="0CEB93B9" w:rsidR="00996434" w:rsidRPr="00B703F0" w:rsidRDefault="00CC6A38" w:rsidP="00996434">
      <w:pPr>
        <w:pStyle w:val="Bullet1"/>
        <w:rPr>
          <w:lang w:val="en-AU"/>
        </w:rPr>
      </w:pPr>
      <w:r>
        <w:rPr>
          <w:lang w:val="en-AU"/>
        </w:rPr>
        <w:t xml:space="preserve">All </w:t>
      </w:r>
      <w:r w:rsidR="00996434" w:rsidRPr="00B703F0">
        <w:rPr>
          <w:lang w:val="en-AU"/>
        </w:rPr>
        <w:t xml:space="preserve">DCV </w:t>
      </w:r>
      <w:r w:rsidR="00996434">
        <w:rPr>
          <w:lang w:val="en-AU"/>
        </w:rPr>
        <w:t xml:space="preserve">and recreational vessel </w:t>
      </w:r>
      <w:r w:rsidR="00996434" w:rsidRPr="00B703F0">
        <w:rPr>
          <w:lang w:val="en-AU"/>
        </w:rPr>
        <w:t xml:space="preserve">owners would now be </w:t>
      </w:r>
      <w:r w:rsidR="00827665">
        <w:rPr>
          <w:lang w:val="en-AU"/>
        </w:rPr>
        <w:t>strictly</w:t>
      </w:r>
      <w:r w:rsidR="00827665" w:rsidRPr="00B703F0">
        <w:rPr>
          <w:lang w:val="en-AU"/>
        </w:rPr>
        <w:t xml:space="preserve"> </w:t>
      </w:r>
      <w:r w:rsidR="00996434" w:rsidRPr="00B703F0">
        <w:rPr>
          <w:lang w:val="en-AU"/>
        </w:rPr>
        <w:t>liable for any wreck-related cos</w:t>
      </w:r>
      <w:r w:rsidR="00996434">
        <w:rPr>
          <w:lang w:val="en-AU"/>
        </w:rPr>
        <w:t>ts</w:t>
      </w:r>
      <w:r w:rsidR="00DF62A8">
        <w:rPr>
          <w:lang w:val="en-AU"/>
        </w:rPr>
        <w:t>,</w:t>
      </w:r>
      <w:r w:rsidR="00996434">
        <w:rPr>
          <w:lang w:val="en-AU"/>
        </w:rPr>
        <w:t xml:space="preserve"> if </w:t>
      </w:r>
      <w:r w:rsidR="00827665">
        <w:rPr>
          <w:lang w:val="en-AU"/>
        </w:rPr>
        <w:t xml:space="preserve">the </w:t>
      </w:r>
      <w:r w:rsidR="004D0743">
        <w:rPr>
          <w:lang w:val="en-AU"/>
        </w:rPr>
        <w:t>wreck</w:t>
      </w:r>
      <w:r w:rsidR="00996434">
        <w:rPr>
          <w:lang w:val="en-AU"/>
        </w:rPr>
        <w:t xml:space="preserve"> </w:t>
      </w:r>
      <w:r w:rsidR="00BB200E">
        <w:rPr>
          <w:lang w:val="en-AU"/>
        </w:rPr>
        <w:t>occurred</w:t>
      </w:r>
      <w:r w:rsidR="00996434">
        <w:rPr>
          <w:lang w:val="en-AU"/>
        </w:rPr>
        <w:t xml:space="preserve"> in the EEZ</w:t>
      </w:r>
      <w:r w:rsidR="00DF62A8">
        <w:rPr>
          <w:lang w:val="en-AU"/>
        </w:rPr>
        <w:t xml:space="preserve"> (</w:t>
      </w:r>
      <w:r w:rsidR="00D164FF">
        <w:rPr>
          <w:lang w:val="en-AU"/>
        </w:rPr>
        <w:t>approximately</w:t>
      </w:r>
      <w:r w:rsidR="00DF62A8">
        <w:rPr>
          <w:lang w:val="en-AU"/>
        </w:rPr>
        <w:t xml:space="preserve"> </w:t>
      </w:r>
      <w:r w:rsidR="00827665">
        <w:rPr>
          <w:lang w:val="en-AU"/>
        </w:rPr>
        <w:t>893,808</w:t>
      </w:r>
      <w:r w:rsidR="00DF62A8">
        <w:rPr>
          <w:lang w:val="en-AU"/>
        </w:rPr>
        <w:t xml:space="preserve"> ship owners). Owners of </w:t>
      </w:r>
      <w:r w:rsidR="00827665">
        <w:rPr>
          <w:lang w:val="en-AU"/>
        </w:rPr>
        <w:t>DCVs and recreational vessels</w:t>
      </w:r>
      <w:r w:rsidR="00DF62A8">
        <w:rPr>
          <w:lang w:val="en-AU"/>
        </w:rPr>
        <w:t xml:space="preserve"> </w:t>
      </w:r>
      <w:r w:rsidR="00996434" w:rsidRPr="00B703F0">
        <w:rPr>
          <w:lang w:val="en-AU"/>
        </w:rPr>
        <w:t>300 GT and over</w:t>
      </w:r>
      <w:r w:rsidR="00DF62A8">
        <w:rPr>
          <w:lang w:val="en-AU"/>
        </w:rPr>
        <w:t xml:space="preserve"> would also be required to hold wreck-related insurance (</w:t>
      </w:r>
      <w:r w:rsidR="00D164FF">
        <w:rPr>
          <w:lang w:val="en-AU"/>
        </w:rPr>
        <w:t>approximately</w:t>
      </w:r>
      <w:r w:rsidR="00DF62A8">
        <w:rPr>
          <w:lang w:val="en-AU"/>
        </w:rPr>
        <w:t xml:space="preserve"> </w:t>
      </w:r>
      <w:r w:rsidR="00827665">
        <w:rPr>
          <w:lang w:val="en-AU"/>
        </w:rPr>
        <w:t>381</w:t>
      </w:r>
      <w:r w:rsidR="00DF62A8">
        <w:rPr>
          <w:lang w:val="en-AU"/>
        </w:rPr>
        <w:t xml:space="preserve"> ship owners</w:t>
      </w:r>
      <w:r w:rsidR="00827665">
        <w:rPr>
          <w:lang w:val="en-AU"/>
        </w:rPr>
        <w:t>)</w:t>
      </w:r>
      <w:r w:rsidR="00996434" w:rsidRPr="00B703F0">
        <w:rPr>
          <w:lang w:val="en-AU"/>
        </w:rPr>
        <w:t xml:space="preserve">. </w:t>
      </w:r>
      <w:r w:rsidR="00996434">
        <w:rPr>
          <w:lang w:val="en-AU"/>
        </w:rPr>
        <w:t xml:space="preserve">While this </w:t>
      </w:r>
      <w:r w:rsidR="00D164FF">
        <w:rPr>
          <w:lang w:val="en-AU"/>
        </w:rPr>
        <w:t>is</w:t>
      </w:r>
      <w:r w:rsidR="00996434">
        <w:rPr>
          <w:lang w:val="en-AU"/>
        </w:rPr>
        <w:t xml:space="preserve"> a small number of vessels, it would capture those of a significant size that </w:t>
      </w:r>
      <w:r w:rsidR="00BB200E">
        <w:rPr>
          <w:lang w:val="en-AU"/>
        </w:rPr>
        <w:t xml:space="preserve">would </w:t>
      </w:r>
      <w:r w:rsidR="00996434">
        <w:rPr>
          <w:lang w:val="en-AU"/>
        </w:rPr>
        <w:t>most likely to pose a hazard</w:t>
      </w:r>
      <w:r w:rsidR="00BB200E">
        <w:rPr>
          <w:lang w:val="en-AU"/>
        </w:rPr>
        <w:t xml:space="preserve"> i</w:t>
      </w:r>
      <w:r w:rsidR="004D0743">
        <w:rPr>
          <w:lang w:val="en-AU"/>
        </w:rPr>
        <w:t>f</w:t>
      </w:r>
      <w:r w:rsidR="00BB200E">
        <w:rPr>
          <w:lang w:val="en-AU"/>
        </w:rPr>
        <w:t xml:space="preserve"> wrecked</w:t>
      </w:r>
      <w:r w:rsidR="00996434">
        <w:rPr>
          <w:lang w:val="en-AU"/>
        </w:rPr>
        <w:t xml:space="preserve">.  </w:t>
      </w:r>
    </w:p>
    <w:p w14:paraId="3CD8452B" w14:textId="77777777" w:rsidR="008B5C47" w:rsidRPr="00B703F0" w:rsidRDefault="008B5C47" w:rsidP="008B5C47">
      <w:pPr>
        <w:pStyle w:val="Bullet1"/>
        <w:rPr>
          <w:rFonts w:cstheme="minorHAnsi"/>
          <w:szCs w:val="21"/>
          <w:lang w:val="en-AU"/>
        </w:rPr>
      </w:pPr>
      <w:r w:rsidRPr="00B703F0">
        <w:rPr>
          <w:rFonts w:cstheme="minorHAnsi"/>
          <w:szCs w:val="21"/>
          <w:lang w:val="en-AU"/>
        </w:rPr>
        <w:t xml:space="preserve">The definition of ‘wreck’ under the Nairobi Convention is broader than the Navigation Act and covers goods or cargo that </w:t>
      </w:r>
      <w:r w:rsidRPr="00B703F0">
        <w:rPr>
          <w:rFonts w:eastAsia="Times New Roman" w:cstheme="minorHAnsi"/>
          <w:lang w:val="en-AU" w:eastAsia="en-AU"/>
        </w:rPr>
        <w:t>have</w:t>
      </w:r>
      <w:r w:rsidRPr="00B703F0">
        <w:rPr>
          <w:rFonts w:cstheme="minorHAnsi"/>
          <w:szCs w:val="21"/>
          <w:lang w:val="en-AU"/>
        </w:rPr>
        <w:t xml:space="preserve"> fallen overboard from a ship, including shipping containers.</w:t>
      </w:r>
    </w:p>
    <w:p w14:paraId="6407F117" w14:textId="77777777" w:rsidR="00AB2F52" w:rsidRPr="00473778" w:rsidRDefault="00AB2F52" w:rsidP="00AB2F52">
      <w:pPr>
        <w:pStyle w:val="Bullet1"/>
        <w:rPr>
          <w:rFonts w:cstheme="minorHAnsi"/>
          <w:szCs w:val="21"/>
          <w:lang w:val="en-AU"/>
        </w:rPr>
      </w:pPr>
      <w:r>
        <w:rPr>
          <w:szCs w:val="21"/>
          <w:lang w:val="en-AU"/>
        </w:rPr>
        <w:t>T</w:t>
      </w:r>
      <w:r w:rsidRPr="00473778">
        <w:rPr>
          <w:szCs w:val="21"/>
          <w:lang w:val="en-US"/>
        </w:rPr>
        <w:t>he Nairobi Convention places financial responsibilities for wreck</w:t>
      </w:r>
      <w:r w:rsidRPr="00473778">
        <w:rPr>
          <w:szCs w:val="21"/>
          <w:lang w:val="en-US"/>
        </w:rPr>
        <w:noBreakHyphen/>
        <w:t xml:space="preserve">related costs on the party best placed to mitigate them through insurance, the ship owner. The </w:t>
      </w:r>
      <w:r w:rsidRPr="00473778">
        <w:rPr>
          <w:i/>
          <w:iCs/>
        </w:rPr>
        <w:t>International Convention on Civil Liability for Bunker Oil Pollution Damage</w:t>
      </w:r>
      <w:r>
        <w:rPr>
          <w:i/>
          <w:iCs/>
          <w:lang w:val="en-US"/>
        </w:rPr>
        <w:t xml:space="preserve"> 2001 </w:t>
      </w:r>
      <w:r w:rsidRPr="00473778">
        <w:rPr>
          <w:iCs/>
        </w:rPr>
        <w:t>(the Bunker Convention)</w:t>
      </w:r>
      <w:r w:rsidRPr="00473778">
        <w:rPr>
          <w:iCs/>
          <w:lang w:val="en-US"/>
        </w:rPr>
        <w:t xml:space="preserve"> operates in a similar manner. </w:t>
      </w:r>
    </w:p>
    <w:p w14:paraId="5D92AFCD" w14:textId="2BF82A1C" w:rsidR="009951C5" w:rsidRPr="009951C5" w:rsidRDefault="00206EDB" w:rsidP="009951C5">
      <w:pPr>
        <w:pStyle w:val="Bullet1"/>
      </w:pPr>
      <w:r w:rsidRPr="00B703F0">
        <w:t xml:space="preserve">The Nairobi Convention holds the ship owner strictly liable for the </w:t>
      </w:r>
      <w:r w:rsidR="006116D6">
        <w:t>wreck</w:t>
      </w:r>
      <w:r w:rsidR="006116D6">
        <w:noBreakHyphen/>
        <w:t xml:space="preserve">related </w:t>
      </w:r>
      <w:r w:rsidRPr="00B703F0">
        <w:t>costs</w:t>
      </w:r>
      <w:r w:rsidR="009951C5">
        <w:rPr>
          <w:lang w:val="en-AU"/>
        </w:rPr>
        <w:t xml:space="preserve"> resulting in </w:t>
      </w:r>
      <w:r w:rsidRPr="00B703F0">
        <w:t>more straightforward and easily resolved</w:t>
      </w:r>
      <w:r w:rsidR="009951C5">
        <w:rPr>
          <w:lang w:val="en-AU"/>
        </w:rPr>
        <w:t xml:space="preserve"> claims</w:t>
      </w:r>
      <w:r w:rsidR="00456A2E">
        <w:t xml:space="preserve"> as</w:t>
      </w:r>
      <w:r w:rsidR="009951C5">
        <w:rPr>
          <w:lang w:val="en-AU"/>
        </w:rPr>
        <w:t>:</w:t>
      </w:r>
    </w:p>
    <w:p w14:paraId="0A4D9B6A" w14:textId="2D366E60" w:rsidR="009951C5" w:rsidRDefault="00456A2E" w:rsidP="009951C5">
      <w:pPr>
        <w:pStyle w:val="Bullet2"/>
      </w:pPr>
      <w:r>
        <w:t xml:space="preserve"> </w:t>
      </w:r>
      <w:r w:rsidR="009951C5">
        <w:t>the ship owner is</w:t>
      </w:r>
      <w:r>
        <w:t xml:space="preserve"> identifiable through ship registration records in the Flag State</w:t>
      </w:r>
      <w:r w:rsidR="004E1DDD">
        <w:rPr>
          <w:lang w:val="en-US"/>
        </w:rPr>
        <w:t xml:space="preserve"> and in the wreck incident report</w:t>
      </w:r>
    </w:p>
    <w:p w14:paraId="64587F57" w14:textId="3AE8320A" w:rsidR="00456A2E" w:rsidRDefault="009951C5" w:rsidP="009951C5">
      <w:pPr>
        <w:pStyle w:val="Bullet2"/>
      </w:pPr>
      <w:r>
        <w:t>Australia</w:t>
      </w:r>
      <w:r w:rsidRPr="009951C5">
        <w:t xml:space="preserve"> would not be required to prove any negligence or other failure on the part of the ship owner</w:t>
      </w:r>
      <w:r w:rsidR="00456A2E">
        <w:t xml:space="preserve">. </w:t>
      </w:r>
    </w:p>
    <w:p w14:paraId="3F70959B" w14:textId="0D677683" w:rsidR="001755BA" w:rsidRPr="00B703F0" w:rsidRDefault="001755BA" w:rsidP="001755BA">
      <w:pPr>
        <w:pStyle w:val="Bullet1"/>
        <w:rPr>
          <w:lang w:val="en-AU"/>
        </w:rPr>
      </w:pPr>
      <w:r w:rsidRPr="00B703F0">
        <w:rPr>
          <w:lang w:val="en-AU"/>
        </w:rPr>
        <w:t xml:space="preserve">When assessing the potential </w:t>
      </w:r>
      <w:r w:rsidR="00421265" w:rsidRPr="00B703F0">
        <w:rPr>
          <w:lang w:val="en-AU"/>
        </w:rPr>
        <w:t xml:space="preserve">hazards </w:t>
      </w:r>
      <w:r w:rsidRPr="00B703F0">
        <w:rPr>
          <w:lang w:val="en-AU"/>
        </w:rPr>
        <w:t xml:space="preserve">of a wreck, the Nairobi Convention provides a broader range of criteria that may be considered. The Navigation Act limits its assessment to whether the wreck removal will save human life, secure safe navigation or protect the marine environment. The Nairobi Convention allows for the assessment of economic impacts as well as </w:t>
      </w:r>
      <w:r w:rsidR="005E6E08">
        <w:rPr>
          <w:lang w:val="en-AU"/>
        </w:rPr>
        <w:t xml:space="preserve">conservation of marine living resources and wildlife, </w:t>
      </w:r>
      <w:r w:rsidRPr="00B703F0">
        <w:rPr>
          <w:lang w:val="en-AU"/>
        </w:rPr>
        <w:t>health</w:t>
      </w:r>
      <w:r w:rsidR="005E6E08">
        <w:rPr>
          <w:lang w:val="en-AU"/>
        </w:rPr>
        <w:t>,</w:t>
      </w:r>
      <w:r w:rsidRPr="00B703F0">
        <w:rPr>
          <w:lang w:val="en-AU"/>
        </w:rPr>
        <w:t xml:space="preserve"> and infrastructure considerations.</w:t>
      </w:r>
      <w:r w:rsidR="00794ECB" w:rsidRPr="00B703F0">
        <w:rPr>
          <w:lang w:val="en-AU"/>
        </w:rPr>
        <w:t xml:space="preserve"> </w:t>
      </w:r>
    </w:p>
    <w:p w14:paraId="12863FB8" w14:textId="49CE9625" w:rsidR="00206EDB" w:rsidRPr="003466A7" w:rsidRDefault="00206EDB" w:rsidP="00722729">
      <w:pPr>
        <w:pStyle w:val="Bullet1"/>
        <w:rPr>
          <w:lang w:val="en-AU"/>
        </w:rPr>
      </w:pPr>
      <w:r w:rsidRPr="00B703F0">
        <w:rPr>
          <w:rFonts w:cstheme="minorHAnsi"/>
          <w:szCs w:val="21"/>
          <w:lang w:val="en-AU"/>
        </w:rPr>
        <w:t>The</w:t>
      </w:r>
      <w:r w:rsidRPr="00B703F0">
        <w:rPr>
          <w:lang w:val="en-AU"/>
        </w:rPr>
        <w:t xml:space="preserve"> </w:t>
      </w:r>
      <w:r w:rsidRPr="00B703F0">
        <w:rPr>
          <w:lang w:val="en-AU" w:eastAsia="en-AU"/>
        </w:rPr>
        <w:t xml:space="preserve">Nairobi Convention provides </w:t>
      </w:r>
      <w:r w:rsidR="009F51A9" w:rsidRPr="00B703F0">
        <w:rPr>
          <w:lang w:val="en-AU" w:eastAsia="en-AU"/>
        </w:rPr>
        <w:t>greater opportunities</w:t>
      </w:r>
      <w:r w:rsidR="00794ECB" w:rsidRPr="00B703F0">
        <w:rPr>
          <w:lang w:val="en-AU" w:eastAsia="en-AU"/>
        </w:rPr>
        <w:t xml:space="preserve"> </w:t>
      </w:r>
      <w:r w:rsidRPr="00B703F0">
        <w:rPr>
          <w:lang w:val="en-AU" w:eastAsia="en-AU"/>
        </w:rPr>
        <w:t xml:space="preserve">for cost recovery </w:t>
      </w:r>
      <w:r w:rsidRPr="00B703F0">
        <w:rPr>
          <w:lang w:val="en-AU"/>
        </w:rPr>
        <w:t xml:space="preserve">through direct access to the insurers of ships 300 GT and above, up to the </w:t>
      </w:r>
      <w:r w:rsidR="00AE5035" w:rsidRPr="00B703F0">
        <w:rPr>
          <w:lang w:val="en-AU"/>
        </w:rPr>
        <w:t>relevant</w:t>
      </w:r>
      <w:r w:rsidRPr="00B703F0">
        <w:rPr>
          <w:lang w:val="en-AU"/>
        </w:rPr>
        <w:t xml:space="preserve"> limit in the LLMC Convention. </w:t>
      </w:r>
      <w:r w:rsidR="009E634B">
        <w:rPr>
          <w:lang w:val="en-AU"/>
        </w:rPr>
        <w:t>For example, w</w:t>
      </w:r>
      <w:r w:rsidR="00C36312" w:rsidRPr="00B703F0">
        <w:rPr>
          <w:rFonts w:cstheme="minorHAnsi"/>
          <w:szCs w:val="21"/>
          <w:lang w:val="en-AU"/>
        </w:rPr>
        <w:t xml:space="preserve">hile AMSA may be </w:t>
      </w:r>
      <w:r w:rsidR="003D27D7" w:rsidRPr="00B703F0">
        <w:rPr>
          <w:rFonts w:cstheme="minorHAnsi"/>
          <w:szCs w:val="21"/>
          <w:lang w:val="en-AU"/>
        </w:rPr>
        <w:t xml:space="preserve">currently </w:t>
      </w:r>
      <w:r w:rsidR="00C36312" w:rsidRPr="00B703F0">
        <w:rPr>
          <w:rFonts w:cstheme="minorHAnsi"/>
          <w:szCs w:val="21"/>
          <w:lang w:val="en-AU"/>
        </w:rPr>
        <w:t xml:space="preserve">entitled </w:t>
      </w:r>
      <w:r w:rsidR="00231719" w:rsidRPr="00B703F0">
        <w:rPr>
          <w:rFonts w:cstheme="minorHAnsi"/>
          <w:szCs w:val="21"/>
          <w:lang w:val="en-AU"/>
        </w:rPr>
        <w:t>under s</w:t>
      </w:r>
      <w:r w:rsidR="00C36312" w:rsidRPr="00B703F0">
        <w:rPr>
          <w:rFonts w:cstheme="minorHAnsi"/>
          <w:szCs w:val="21"/>
          <w:lang w:val="en-AU"/>
        </w:rPr>
        <w:t xml:space="preserve">229(1)(e) </w:t>
      </w:r>
      <w:r w:rsidR="000330B6" w:rsidRPr="00B703F0">
        <w:rPr>
          <w:rFonts w:cstheme="minorHAnsi"/>
          <w:szCs w:val="21"/>
          <w:lang w:val="en-AU"/>
        </w:rPr>
        <w:t xml:space="preserve">Navigation Act </w:t>
      </w:r>
      <w:r w:rsidR="00C36312" w:rsidRPr="00B703F0">
        <w:rPr>
          <w:rFonts w:cstheme="minorHAnsi"/>
          <w:szCs w:val="21"/>
          <w:lang w:val="en-AU"/>
        </w:rPr>
        <w:t>to recover from the ship</w:t>
      </w:r>
      <w:r w:rsidR="006E6212" w:rsidRPr="00B703F0">
        <w:rPr>
          <w:rFonts w:cstheme="minorHAnsi"/>
          <w:szCs w:val="21"/>
          <w:lang w:val="en-AU"/>
        </w:rPr>
        <w:t xml:space="preserve"> </w:t>
      </w:r>
      <w:r w:rsidR="00C36312" w:rsidRPr="00B703F0">
        <w:rPr>
          <w:rFonts w:cstheme="minorHAnsi"/>
          <w:szCs w:val="21"/>
          <w:lang w:val="en-AU"/>
        </w:rPr>
        <w:t xml:space="preserve">owner </w:t>
      </w:r>
      <w:r w:rsidR="00AE5035" w:rsidRPr="00B703F0">
        <w:rPr>
          <w:rFonts w:cstheme="minorHAnsi"/>
          <w:szCs w:val="21"/>
          <w:lang w:val="en-AU"/>
        </w:rPr>
        <w:t xml:space="preserve">all </w:t>
      </w:r>
      <w:r w:rsidR="00C36312" w:rsidRPr="00B703F0">
        <w:rPr>
          <w:rFonts w:cstheme="minorHAnsi"/>
          <w:szCs w:val="21"/>
          <w:lang w:val="en-AU"/>
        </w:rPr>
        <w:t xml:space="preserve">expenses incurred in removing the wreck in the </w:t>
      </w:r>
      <w:r w:rsidR="00635073" w:rsidRPr="00B703F0">
        <w:rPr>
          <w:rFonts w:cstheme="minorHAnsi"/>
          <w:szCs w:val="21"/>
          <w:lang w:val="en-AU"/>
        </w:rPr>
        <w:t>territorial sea</w:t>
      </w:r>
      <w:r w:rsidR="00C36312" w:rsidRPr="00B703F0">
        <w:rPr>
          <w:rFonts w:cstheme="minorHAnsi"/>
          <w:szCs w:val="21"/>
          <w:lang w:val="en-AU"/>
        </w:rPr>
        <w:t xml:space="preserve">, </w:t>
      </w:r>
      <w:r w:rsidR="003D27D7" w:rsidRPr="00B703F0">
        <w:rPr>
          <w:rFonts w:cstheme="minorHAnsi"/>
          <w:szCs w:val="21"/>
          <w:lang w:val="en-AU"/>
        </w:rPr>
        <w:t xml:space="preserve">a </w:t>
      </w:r>
      <w:r w:rsidR="00C36312" w:rsidRPr="00B703F0">
        <w:rPr>
          <w:rFonts w:cstheme="minorHAnsi"/>
          <w:szCs w:val="21"/>
          <w:lang w:val="en-AU"/>
        </w:rPr>
        <w:t>practical difficulty arises in respect of a foreign ship</w:t>
      </w:r>
      <w:r w:rsidR="006E6212" w:rsidRPr="00B703F0">
        <w:rPr>
          <w:rFonts w:cstheme="minorHAnsi"/>
          <w:szCs w:val="21"/>
          <w:lang w:val="en-AU"/>
        </w:rPr>
        <w:t xml:space="preserve"> </w:t>
      </w:r>
      <w:r w:rsidR="00C36312" w:rsidRPr="00B703F0">
        <w:rPr>
          <w:rFonts w:cstheme="minorHAnsi"/>
          <w:szCs w:val="21"/>
          <w:lang w:val="en-AU"/>
        </w:rPr>
        <w:t xml:space="preserve">owner with no assets in Australia, as was the case of the </w:t>
      </w:r>
      <w:r w:rsidR="00C36312" w:rsidRPr="00B703F0">
        <w:rPr>
          <w:rFonts w:cstheme="minorHAnsi"/>
          <w:i/>
          <w:szCs w:val="21"/>
          <w:lang w:val="en-AU"/>
        </w:rPr>
        <w:t>MV Tycoon</w:t>
      </w:r>
      <w:r w:rsidR="00C36312" w:rsidRPr="00B703F0">
        <w:rPr>
          <w:rFonts w:cstheme="minorHAnsi"/>
          <w:szCs w:val="21"/>
          <w:lang w:val="en-AU"/>
        </w:rPr>
        <w:t>.</w:t>
      </w:r>
      <w:r w:rsidR="00736AC5" w:rsidRPr="00B703F0">
        <w:rPr>
          <w:rFonts w:cstheme="minorHAnsi"/>
          <w:szCs w:val="21"/>
          <w:lang w:val="en-AU"/>
        </w:rPr>
        <w:t xml:space="preserve"> </w:t>
      </w:r>
    </w:p>
    <w:p w14:paraId="7883882C" w14:textId="082A3602" w:rsidR="003466A7" w:rsidRDefault="003466A7" w:rsidP="003466A7">
      <w:pPr>
        <w:pStyle w:val="Bullet1"/>
        <w:rPr>
          <w:lang w:val="en-AU"/>
        </w:rPr>
      </w:pPr>
      <w:r>
        <w:rPr>
          <w:lang w:val="en-AU"/>
        </w:rPr>
        <w:t xml:space="preserve">The Australian Government may still need to take court action against a ship owner to gain access to the insurers but it is likely to be </w:t>
      </w:r>
      <w:r w:rsidR="00AB2F52">
        <w:rPr>
          <w:lang w:val="en-AU"/>
        </w:rPr>
        <w:t xml:space="preserve">a </w:t>
      </w:r>
      <w:r>
        <w:rPr>
          <w:lang w:val="en-AU"/>
        </w:rPr>
        <w:t xml:space="preserve">simpler </w:t>
      </w:r>
      <w:r w:rsidR="00AB2F52">
        <w:rPr>
          <w:lang w:val="en-AU"/>
        </w:rPr>
        <w:t xml:space="preserve">action </w:t>
      </w:r>
      <w:r>
        <w:rPr>
          <w:lang w:val="en-AU"/>
        </w:rPr>
        <w:t xml:space="preserve">given the strict liability provision, compulsory insurance, the limited defences available and the </w:t>
      </w:r>
      <w:r w:rsidRPr="00B703F0">
        <w:t>broader definition of what constitutes a ‘wreck’ in the Nairobi Convention.</w:t>
      </w:r>
    </w:p>
    <w:p w14:paraId="56FEFD04" w14:textId="0CD01D2D" w:rsidR="001755BA" w:rsidRPr="00B703F0" w:rsidRDefault="001755BA" w:rsidP="001755BA">
      <w:pPr>
        <w:pStyle w:val="Bullet1"/>
        <w:rPr>
          <w:lang w:val="en-AU"/>
        </w:rPr>
      </w:pPr>
      <w:r w:rsidRPr="00B703F0">
        <w:rPr>
          <w:lang w:val="en-AU"/>
        </w:rPr>
        <w:t xml:space="preserve">The costs recoverable under the Nairobi Convention are potentially greater than those under the Navigation Act. Under the Nairobi Convention </w:t>
      </w:r>
      <w:r w:rsidR="009E634B">
        <w:rPr>
          <w:lang w:val="en-AU"/>
        </w:rPr>
        <w:t>‘</w:t>
      </w:r>
      <w:r w:rsidRPr="00B703F0">
        <w:rPr>
          <w:lang w:val="en-AU"/>
        </w:rPr>
        <w:t>removal</w:t>
      </w:r>
      <w:r w:rsidR="004E1DDD">
        <w:rPr>
          <w:lang w:val="en-AU"/>
        </w:rPr>
        <w:t>’</w:t>
      </w:r>
      <w:r w:rsidRPr="00B703F0">
        <w:rPr>
          <w:lang w:val="en-AU"/>
        </w:rPr>
        <w:t xml:space="preserve"> means </w:t>
      </w:r>
      <w:r w:rsidR="004E1DDD">
        <w:rPr>
          <w:lang w:val="en-AU"/>
        </w:rPr>
        <w:t>“</w:t>
      </w:r>
      <w:r w:rsidRPr="00B703F0">
        <w:rPr>
          <w:lang w:val="en-AU"/>
        </w:rPr>
        <w:t>any form of prevention, mitigation or elimination of the hazard created by the wreck</w:t>
      </w:r>
      <w:r w:rsidR="004E1DDD">
        <w:rPr>
          <w:lang w:val="en-AU"/>
        </w:rPr>
        <w:t>”</w:t>
      </w:r>
      <w:r w:rsidRPr="00B703F0">
        <w:rPr>
          <w:lang w:val="en-AU"/>
        </w:rPr>
        <w:t>, which would capture costs for all aspects of wreck removal operations, not just the removal of the wreck itself.</w:t>
      </w:r>
      <w:r w:rsidR="004E1DDD">
        <w:rPr>
          <w:rStyle w:val="FootnoteReference"/>
          <w:lang w:val="en-AU"/>
        </w:rPr>
        <w:footnoteReference w:id="51"/>
      </w:r>
      <w:r w:rsidRPr="00B703F0">
        <w:rPr>
          <w:lang w:val="en-AU"/>
        </w:rPr>
        <w:t xml:space="preserve"> Under </w:t>
      </w:r>
      <w:r w:rsidR="000330B6" w:rsidRPr="00B703F0">
        <w:rPr>
          <w:lang w:val="en-AU"/>
        </w:rPr>
        <w:t>s</w:t>
      </w:r>
      <w:r w:rsidRPr="00B703F0">
        <w:rPr>
          <w:lang w:val="en-AU"/>
        </w:rPr>
        <w:t xml:space="preserve">229(1)(e) Navigation Act, AMSA can only recover "expenses incurred </w:t>
      </w:r>
      <w:r w:rsidR="000330B6" w:rsidRPr="00B703F0">
        <w:rPr>
          <w:lang w:val="en-AU"/>
        </w:rPr>
        <w:t>…</w:t>
      </w:r>
      <w:r w:rsidRPr="00B703F0">
        <w:rPr>
          <w:lang w:val="en-AU"/>
        </w:rPr>
        <w:t xml:space="preserve"> in connection with locating, marking, removing, destroying or sinking the wreck".</w:t>
      </w:r>
    </w:p>
    <w:p w14:paraId="0E72A50E" w14:textId="564A008A" w:rsidR="009B4599" w:rsidRDefault="00AB2F52" w:rsidP="00996434">
      <w:pPr>
        <w:pStyle w:val="Bullet1"/>
      </w:pPr>
      <w:r>
        <w:rPr>
          <w:lang w:val="en-AU"/>
        </w:rPr>
        <w:t xml:space="preserve">The definition of </w:t>
      </w:r>
      <w:r w:rsidR="00996434">
        <w:rPr>
          <w:lang w:val="en-AU"/>
        </w:rPr>
        <w:t xml:space="preserve">‘ship’ </w:t>
      </w:r>
      <w:r w:rsidR="00E960BF">
        <w:t xml:space="preserve">would include floating platforms when used </w:t>
      </w:r>
      <w:r w:rsidR="00E960BF" w:rsidRPr="00B70422">
        <w:t>for offshore renewable energy production (e.g. offshore wind turbines)</w:t>
      </w:r>
      <w:r w:rsidR="00EF3826">
        <w:t xml:space="preserve"> as opposed to the “</w:t>
      </w:r>
      <w:r w:rsidR="00EF3826" w:rsidRPr="00C17D84">
        <w:t>exploration, exploitation or production of seabed mineral resources”.</w:t>
      </w:r>
      <w:r w:rsidR="007D63AB">
        <w:rPr>
          <w:rStyle w:val="FootnoteReference"/>
        </w:rPr>
        <w:footnoteReference w:id="52"/>
      </w:r>
      <w:r w:rsidR="00EF3826">
        <w:t xml:space="preserve"> </w:t>
      </w:r>
      <w:r w:rsidR="00EF3826" w:rsidRPr="00C8544D">
        <w:t xml:space="preserve">There is increasing interest in offshore wind energy projects in Australia with a number of companies looking to invest in the next </w:t>
      </w:r>
      <w:r w:rsidR="00362B44">
        <w:rPr>
          <w:lang w:val="en-AU"/>
        </w:rPr>
        <w:t>10</w:t>
      </w:r>
      <w:r w:rsidR="00362B44" w:rsidRPr="00C8544D">
        <w:t xml:space="preserve"> </w:t>
      </w:r>
      <w:r w:rsidR="00EF3826" w:rsidRPr="00C8544D">
        <w:t>years.</w:t>
      </w:r>
      <w:r w:rsidR="00EF3826" w:rsidRPr="00B703F0">
        <w:rPr>
          <w:rStyle w:val="FootnoteReference"/>
          <w:lang w:val="en-AU"/>
        </w:rPr>
        <w:footnoteReference w:id="53"/>
      </w:r>
      <w:r w:rsidR="00EF3826" w:rsidRPr="00C8544D">
        <w:t xml:space="preserve"> To meet this growing interest the Department of Industry, Science, Energy and Resources </w:t>
      </w:r>
      <w:r w:rsidR="003242FA">
        <w:rPr>
          <w:lang w:val="en-US"/>
        </w:rPr>
        <w:t>has</w:t>
      </w:r>
      <w:r w:rsidR="003242FA" w:rsidRPr="00C8544D">
        <w:t xml:space="preserve"> </w:t>
      </w:r>
      <w:r w:rsidR="00EF3826" w:rsidRPr="00C8544D">
        <w:t>develop</w:t>
      </w:r>
      <w:r w:rsidR="003242FA">
        <w:rPr>
          <w:lang w:val="en-US"/>
        </w:rPr>
        <w:t>ed</w:t>
      </w:r>
      <w:r w:rsidR="00EF3826" w:rsidRPr="00C8544D">
        <w:t xml:space="preserve"> an Offshore </w:t>
      </w:r>
      <w:r w:rsidR="005E6E08" w:rsidRPr="005E6E08">
        <w:rPr>
          <w:lang w:val="en-AU"/>
        </w:rPr>
        <w:t>Electricity Infrastructure</w:t>
      </w:r>
      <w:r w:rsidR="005E6E08" w:rsidRPr="005E6E08" w:rsidDel="005E6E08">
        <w:rPr>
          <w:lang w:val="en-AU"/>
        </w:rPr>
        <w:t xml:space="preserve"> </w:t>
      </w:r>
      <w:r w:rsidR="00EF3826" w:rsidRPr="00C8544D">
        <w:t>regulatory regime.</w:t>
      </w:r>
      <w:r w:rsidR="00EF3826" w:rsidRPr="00B703F0">
        <w:rPr>
          <w:rStyle w:val="FootnoteReference"/>
          <w:lang w:val="en-AU"/>
        </w:rPr>
        <w:footnoteReference w:id="54"/>
      </w:r>
      <w:r w:rsidR="00EF3826" w:rsidRPr="00C8544D">
        <w:t xml:space="preserve"> The ability to utilise the Nairobi Convention to manage wreck removal for these types of floating platforms will assist the Australian Government in managing this industry and holding them accountable for any wrecks they produce including the platform itself.</w:t>
      </w:r>
    </w:p>
    <w:p w14:paraId="29E4E83F" w14:textId="7C2E7EB1" w:rsidR="002A27BC" w:rsidRPr="00B703F0" w:rsidRDefault="002A27BC" w:rsidP="00953E27">
      <w:pPr>
        <w:pStyle w:val="Heading4Numbered"/>
        <w:numPr>
          <w:ilvl w:val="0"/>
          <w:numId w:val="0"/>
        </w:numPr>
        <w:ind w:left="1134" w:hanging="1134"/>
        <w:jc w:val="both"/>
      </w:pPr>
      <w:r w:rsidRPr="00B703F0">
        <w:t xml:space="preserve">Disadvantages </w:t>
      </w:r>
    </w:p>
    <w:p w14:paraId="30B6935C" w14:textId="448ECFF0" w:rsidR="00496E99" w:rsidRPr="00585CAF" w:rsidRDefault="00496E99" w:rsidP="00496E99">
      <w:pPr>
        <w:pStyle w:val="Bullet1"/>
        <w:rPr>
          <w:lang w:val="en-AU"/>
        </w:rPr>
      </w:pPr>
      <w:r w:rsidRPr="00B703F0">
        <w:rPr>
          <w:lang w:val="en-AU"/>
        </w:rPr>
        <w:t xml:space="preserve">The application of the Nairobi Convention framework in the EEZ, while retaining the Navigation Act provisions in the </w:t>
      </w:r>
      <w:r w:rsidR="00635073" w:rsidRPr="00B703F0">
        <w:rPr>
          <w:lang w:val="en-AU"/>
        </w:rPr>
        <w:t>territorial sea</w:t>
      </w:r>
      <w:r w:rsidR="00996434">
        <w:rPr>
          <w:lang w:val="en-AU"/>
        </w:rPr>
        <w:t>,</w:t>
      </w:r>
      <w:r w:rsidRPr="00B703F0">
        <w:rPr>
          <w:lang w:val="en-AU"/>
        </w:rPr>
        <w:t xml:space="preserve"> would create a dual regulatory system with differing rights and obligations, depending on the location</w:t>
      </w:r>
      <w:r w:rsidR="003D27D7" w:rsidRPr="00B703F0">
        <w:rPr>
          <w:lang w:val="en-AU"/>
        </w:rPr>
        <w:t xml:space="preserve"> of the </w:t>
      </w:r>
      <w:r w:rsidR="00996434">
        <w:rPr>
          <w:lang w:val="en-AU"/>
        </w:rPr>
        <w:t>wreck</w:t>
      </w:r>
      <w:r w:rsidRPr="00B703F0">
        <w:rPr>
          <w:lang w:val="en-AU"/>
        </w:rPr>
        <w:t>. This may result</w:t>
      </w:r>
      <w:r w:rsidR="00B7768D">
        <w:rPr>
          <w:lang w:val="en-AU"/>
        </w:rPr>
        <w:t xml:space="preserve"> in confusion for the regulators</w:t>
      </w:r>
      <w:r w:rsidRPr="00B703F0">
        <w:rPr>
          <w:lang w:val="en-AU"/>
        </w:rPr>
        <w:t xml:space="preserve">, compliance officers and industry. </w:t>
      </w:r>
      <w:r w:rsidR="000B72C3">
        <w:rPr>
          <w:rFonts w:eastAsia="Times New Roman" w:cstheme="minorHAnsi"/>
          <w:color w:val="000000"/>
          <w:lang w:val="en-AU"/>
        </w:rPr>
        <w:t xml:space="preserve">This could be solved </w:t>
      </w:r>
      <w:r w:rsidR="000B72C3">
        <w:rPr>
          <w:rFonts w:eastAsia="Times New Roman" w:cstheme="minorHAnsi"/>
          <w:color w:val="000000"/>
          <w:lang w:val="en-AU"/>
        </w:rPr>
        <w:lastRenderedPageBreak/>
        <w:t xml:space="preserve">through </w:t>
      </w:r>
      <w:r w:rsidR="00591BFD">
        <w:rPr>
          <w:rFonts w:eastAsia="Times New Roman" w:cstheme="minorHAnsi"/>
          <w:color w:val="000000"/>
          <w:lang w:val="en-AU"/>
        </w:rPr>
        <w:t xml:space="preserve">additional </w:t>
      </w:r>
      <w:r w:rsidR="000B72C3">
        <w:rPr>
          <w:rFonts w:eastAsia="Times New Roman" w:cstheme="minorHAnsi"/>
          <w:color w:val="000000"/>
          <w:lang w:val="en-AU"/>
        </w:rPr>
        <w:t xml:space="preserve">amendments to the Navigation Act </w:t>
      </w:r>
      <w:r w:rsidR="00591BFD">
        <w:rPr>
          <w:rFonts w:eastAsia="Times New Roman" w:cstheme="minorHAnsi"/>
          <w:color w:val="000000"/>
          <w:lang w:val="en-AU"/>
        </w:rPr>
        <w:t xml:space="preserve">targeting </w:t>
      </w:r>
      <w:r w:rsidR="000B72C3">
        <w:rPr>
          <w:rFonts w:eastAsia="Times New Roman" w:cstheme="minorHAnsi"/>
          <w:color w:val="000000"/>
          <w:lang w:val="en-AU"/>
        </w:rPr>
        <w:t>foreign vessels and RAVs</w:t>
      </w:r>
      <w:r w:rsidR="00591BFD">
        <w:rPr>
          <w:rFonts w:eastAsia="Times New Roman" w:cstheme="minorHAnsi"/>
          <w:color w:val="000000"/>
          <w:lang w:val="en-AU"/>
        </w:rPr>
        <w:t xml:space="preserve"> to create a single regulatory system for them</w:t>
      </w:r>
      <w:r w:rsidR="000B72C3">
        <w:rPr>
          <w:rFonts w:eastAsia="Times New Roman" w:cstheme="minorHAnsi"/>
          <w:color w:val="000000"/>
          <w:lang w:val="en-AU"/>
        </w:rPr>
        <w:t xml:space="preserve">. </w:t>
      </w:r>
      <w:r w:rsidR="00A7385B" w:rsidRPr="00B703F0">
        <w:rPr>
          <w:rFonts w:eastAsia="Times New Roman" w:cstheme="minorHAnsi"/>
          <w:color w:val="000000"/>
          <w:lang w:val="en-AU"/>
        </w:rPr>
        <w:t xml:space="preserve"> </w:t>
      </w:r>
    </w:p>
    <w:p w14:paraId="63F25B20" w14:textId="40CFED02" w:rsidR="00A7385B" w:rsidRPr="00B703F0" w:rsidRDefault="00A7385B" w:rsidP="00A7385B">
      <w:pPr>
        <w:pStyle w:val="Bullet1"/>
        <w:rPr>
          <w:lang w:val="en-AU"/>
        </w:rPr>
      </w:pPr>
      <w:r w:rsidRPr="00B703F0">
        <w:rPr>
          <w:lang w:val="en-AU"/>
        </w:rPr>
        <w:t xml:space="preserve">Australia will </w:t>
      </w:r>
      <w:r w:rsidR="00996434">
        <w:rPr>
          <w:lang w:val="en-AU"/>
        </w:rPr>
        <w:t xml:space="preserve">need to </w:t>
      </w:r>
      <w:r w:rsidR="00E87B00">
        <w:rPr>
          <w:lang w:val="en-AU"/>
        </w:rPr>
        <w:t>ensure the</w:t>
      </w:r>
      <w:r w:rsidRPr="00B703F0">
        <w:rPr>
          <w:lang w:val="en-AU"/>
        </w:rPr>
        <w:t xml:space="preserve"> </w:t>
      </w:r>
      <w:r w:rsidR="00B24DBD">
        <w:rPr>
          <w:lang w:val="en-AU"/>
        </w:rPr>
        <w:t>regulatory</w:t>
      </w:r>
      <w:r w:rsidR="00B24DBD" w:rsidRPr="00B703F0">
        <w:rPr>
          <w:lang w:val="en-AU"/>
        </w:rPr>
        <w:t xml:space="preserve"> </w:t>
      </w:r>
      <w:r w:rsidRPr="00B703F0">
        <w:rPr>
          <w:lang w:val="en-AU"/>
        </w:rPr>
        <w:t xml:space="preserve">framework </w:t>
      </w:r>
      <w:r w:rsidR="00E87B00">
        <w:rPr>
          <w:lang w:val="en-AU"/>
        </w:rPr>
        <w:t>continues to govern</w:t>
      </w:r>
      <w:r w:rsidR="00E87B00" w:rsidRPr="00B703F0">
        <w:rPr>
          <w:lang w:val="en-AU"/>
        </w:rPr>
        <w:t xml:space="preserve"> </w:t>
      </w:r>
      <w:r w:rsidRPr="00B703F0">
        <w:rPr>
          <w:lang w:val="en-AU"/>
        </w:rPr>
        <w:t xml:space="preserve">foreign vessels flagged to </w:t>
      </w:r>
      <w:r w:rsidR="00FC1F57" w:rsidRPr="00B703F0">
        <w:rPr>
          <w:lang w:val="en-AU"/>
        </w:rPr>
        <w:t>countries who are not State Parties to the Nairobi Convention.</w:t>
      </w:r>
      <w:r w:rsidR="00794ECB" w:rsidRPr="00B703F0">
        <w:rPr>
          <w:lang w:val="en-AU"/>
        </w:rPr>
        <w:t xml:space="preserve"> </w:t>
      </w:r>
    </w:p>
    <w:p w14:paraId="1EE70FF6" w14:textId="7BC7E323" w:rsidR="00496E99" w:rsidRPr="00B703F0" w:rsidRDefault="00496E99" w:rsidP="00496E99">
      <w:pPr>
        <w:pStyle w:val="Bullet1"/>
        <w:rPr>
          <w:rFonts w:eastAsia="Times New Roman" w:cstheme="minorHAnsi"/>
          <w:color w:val="000000"/>
          <w:lang w:val="en-AU"/>
        </w:rPr>
      </w:pPr>
      <w:r w:rsidRPr="00B703F0">
        <w:rPr>
          <w:rFonts w:eastAsia="Times New Roman" w:cstheme="minorHAnsi"/>
          <w:color w:val="000000"/>
          <w:lang w:val="en-AU"/>
        </w:rPr>
        <w:t xml:space="preserve">The marking and removal of a wreck can be pursued only after the </w:t>
      </w:r>
      <w:r w:rsidR="00F06370" w:rsidRPr="00B703F0">
        <w:rPr>
          <w:rFonts w:eastAsia="Times New Roman" w:cstheme="minorHAnsi"/>
          <w:color w:val="000000"/>
          <w:lang w:val="en-AU"/>
        </w:rPr>
        <w:t xml:space="preserve">affected </w:t>
      </w:r>
      <w:r w:rsidRPr="00B703F0">
        <w:rPr>
          <w:rFonts w:eastAsia="Times New Roman" w:cstheme="minorHAnsi"/>
          <w:color w:val="000000"/>
          <w:lang w:val="en-AU"/>
        </w:rPr>
        <w:t xml:space="preserve">State Party has </w:t>
      </w:r>
      <w:r w:rsidRPr="00B703F0">
        <w:rPr>
          <w:lang w:val="en-AU"/>
        </w:rPr>
        <w:t>determined</w:t>
      </w:r>
      <w:r w:rsidRPr="00B703F0">
        <w:rPr>
          <w:rFonts w:eastAsia="Times New Roman" w:cstheme="minorHAnsi"/>
          <w:color w:val="000000"/>
          <w:lang w:val="en-AU"/>
        </w:rPr>
        <w:t xml:space="preserve"> it </w:t>
      </w:r>
      <w:r w:rsidR="00EF3826">
        <w:rPr>
          <w:rFonts w:eastAsia="Times New Roman" w:cstheme="minorHAnsi"/>
          <w:color w:val="000000"/>
          <w:lang w:val="en-AU"/>
        </w:rPr>
        <w:t xml:space="preserve">meets the </w:t>
      </w:r>
      <w:r w:rsidR="00996434">
        <w:rPr>
          <w:rFonts w:eastAsia="Times New Roman" w:cstheme="minorHAnsi"/>
          <w:color w:val="000000"/>
          <w:lang w:val="en-AU"/>
        </w:rPr>
        <w:t xml:space="preserve">‘hazard’ </w:t>
      </w:r>
      <w:r w:rsidR="00EF3826">
        <w:rPr>
          <w:rFonts w:eastAsia="Times New Roman" w:cstheme="minorHAnsi"/>
          <w:color w:val="000000"/>
          <w:lang w:val="en-AU"/>
        </w:rPr>
        <w:t>threshold</w:t>
      </w:r>
      <w:r w:rsidRPr="00B703F0">
        <w:rPr>
          <w:rFonts w:eastAsia="Times New Roman" w:cstheme="minorHAnsi"/>
          <w:color w:val="000000"/>
          <w:lang w:val="en-AU"/>
        </w:rPr>
        <w:t xml:space="preserve">. </w:t>
      </w:r>
      <w:r w:rsidR="00A7385B" w:rsidRPr="00B703F0">
        <w:rPr>
          <w:rFonts w:eastAsia="Times New Roman" w:cstheme="minorHAnsi"/>
          <w:color w:val="000000"/>
          <w:lang w:val="en-AU"/>
        </w:rPr>
        <w:t>If there is no hazard, the ship owner will not be liable for any wreck removal activities</w:t>
      </w:r>
      <w:r w:rsidR="00CD3207">
        <w:rPr>
          <w:rFonts w:eastAsia="Times New Roman" w:cstheme="minorHAnsi"/>
          <w:color w:val="000000"/>
          <w:lang w:val="en-AU"/>
        </w:rPr>
        <w:t xml:space="preserve"> pursuant to the Convention and any costs recovery </w:t>
      </w:r>
      <w:r w:rsidR="00767A6E">
        <w:rPr>
          <w:rFonts w:eastAsia="Times New Roman" w:cstheme="minorHAnsi"/>
          <w:color w:val="000000"/>
          <w:lang w:val="en-AU"/>
        </w:rPr>
        <w:t xml:space="preserve">would have to be </w:t>
      </w:r>
      <w:r w:rsidR="00CD3207">
        <w:rPr>
          <w:rFonts w:eastAsia="Times New Roman" w:cstheme="minorHAnsi"/>
          <w:color w:val="000000"/>
          <w:lang w:val="en-AU"/>
        </w:rPr>
        <w:t xml:space="preserve">pursued under </w:t>
      </w:r>
      <w:r w:rsidR="00767A6E">
        <w:rPr>
          <w:rFonts w:eastAsia="Times New Roman" w:cstheme="minorHAnsi"/>
          <w:color w:val="000000"/>
          <w:lang w:val="en-AU"/>
        </w:rPr>
        <w:t>national</w:t>
      </w:r>
      <w:r w:rsidR="00CD3207">
        <w:rPr>
          <w:rFonts w:eastAsia="Times New Roman" w:cstheme="minorHAnsi"/>
          <w:color w:val="000000"/>
          <w:lang w:val="en-AU"/>
        </w:rPr>
        <w:t xml:space="preserve"> pollution legislation.  </w:t>
      </w:r>
    </w:p>
    <w:p w14:paraId="4CB56ED3" w14:textId="35CBF8B7" w:rsidR="00FC1F57" w:rsidRPr="00B703F0" w:rsidRDefault="00FC1F57" w:rsidP="00FC1F57">
      <w:pPr>
        <w:pStyle w:val="Bullet1"/>
        <w:rPr>
          <w:lang w:val="en-AU"/>
        </w:rPr>
      </w:pPr>
      <w:r w:rsidRPr="00B703F0">
        <w:rPr>
          <w:lang w:val="en-AU"/>
        </w:rPr>
        <w:t xml:space="preserve">A wreck would need to be preceded by a </w:t>
      </w:r>
      <w:r w:rsidR="008739C6" w:rsidRPr="00B703F0">
        <w:rPr>
          <w:lang w:val="en-AU"/>
        </w:rPr>
        <w:t>‘</w:t>
      </w:r>
      <w:r w:rsidRPr="00B703F0">
        <w:rPr>
          <w:lang w:val="en-AU"/>
        </w:rPr>
        <w:t>maritime casualty</w:t>
      </w:r>
      <w:r w:rsidR="008739C6" w:rsidRPr="00B703F0">
        <w:rPr>
          <w:lang w:val="en-AU"/>
        </w:rPr>
        <w:t>’</w:t>
      </w:r>
      <w:r w:rsidRPr="00B703F0">
        <w:rPr>
          <w:lang w:val="en-AU"/>
        </w:rPr>
        <w:t xml:space="preserve">, which </w:t>
      </w:r>
      <w:r w:rsidR="00BD338D">
        <w:rPr>
          <w:lang w:val="en-AU"/>
        </w:rPr>
        <w:t>could</w:t>
      </w:r>
      <w:r w:rsidR="00BD338D" w:rsidRPr="00B703F0">
        <w:rPr>
          <w:lang w:val="en-AU"/>
        </w:rPr>
        <w:t xml:space="preserve"> </w:t>
      </w:r>
      <w:r w:rsidRPr="00B703F0">
        <w:rPr>
          <w:lang w:val="en-AU"/>
        </w:rPr>
        <w:t xml:space="preserve">operate to limit the circumstances when the </w:t>
      </w:r>
      <w:r w:rsidRPr="00B703F0">
        <w:rPr>
          <w:rFonts w:eastAsia="Times New Roman"/>
          <w:color w:val="000000"/>
          <w:lang w:val="en-AU"/>
        </w:rPr>
        <w:t>Nairobi</w:t>
      </w:r>
      <w:r w:rsidRPr="00B703F0">
        <w:rPr>
          <w:lang w:val="en-AU"/>
        </w:rPr>
        <w:t xml:space="preserve"> Convention may apply</w:t>
      </w:r>
      <w:r w:rsidR="00BD338D">
        <w:rPr>
          <w:lang w:val="en-AU"/>
        </w:rPr>
        <w:t xml:space="preserve"> depending on the situation</w:t>
      </w:r>
      <w:r w:rsidRPr="00B703F0">
        <w:rPr>
          <w:lang w:val="en-AU"/>
        </w:rPr>
        <w:t xml:space="preserve">. </w:t>
      </w:r>
    </w:p>
    <w:p w14:paraId="1545DC92" w14:textId="7740932F" w:rsidR="000E794D" w:rsidRDefault="00496E99" w:rsidP="00496E99">
      <w:pPr>
        <w:pStyle w:val="Bullet1"/>
        <w:rPr>
          <w:lang w:val="en-AU" w:eastAsia="en-AU"/>
        </w:rPr>
      </w:pPr>
      <w:r w:rsidRPr="00B703F0">
        <w:rPr>
          <w:lang w:val="en-AU" w:eastAsia="en-AU"/>
        </w:rPr>
        <w:t>A</w:t>
      </w:r>
      <w:r w:rsidR="00E16A0D" w:rsidRPr="00B703F0">
        <w:rPr>
          <w:lang w:val="en-AU" w:eastAsia="en-AU"/>
        </w:rPr>
        <w:t>n affected</w:t>
      </w:r>
      <w:r w:rsidRPr="00B703F0">
        <w:rPr>
          <w:lang w:val="en-AU" w:eastAsia="en-AU"/>
        </w:rPr>
        <w:t xml:space="preserve"> State Party has limited ability to influence the salvage operation if it is being undertak</w:t>
      </w:r>
      <w:r w:rsidR="003C4D65" w:rsidRPr="00B703F0">
        <w:rPr>
          <w:lang w:val="en-AU" w:eastAsia="en-AU"/>
        </w:rPr>
        <w:t>en by the ship owner in the EEZ as t</w:t>
      </w:r>
      <w:r w:rsidRPr="00B703F0">
        <w:rPr>
          <w:lang w:val="en-AU" w:eastAsia="en-AU"/>
        </w:rPr>
        <w:t>he ship owner</w:t>
      </w:r>
      <w:r w:rsidR="00996434">
        <w:rPr>
          <w:lang w:val="en-AU" w:eastAsia="en-AU"/>
        </w:rPr>
        <w:t xml:space="preserve"> can</w:t>
      </w:r>
      <w:r w:rsidRPr="00B703F0">
        <w:rPr>
          <w:lang w:val="en-AU" w:eastAsia="en-AU"/>
        </w:rPr>
        <w:t xml:space="preserve"> choose the salvor. </w:t>
      </w:r>
      <w:r w:rsidR="000E794D">
        <w:rPr>
          <w:lang w:val="en-AU" w:eastAsia="en-AU"/>
        </w:rPr>
        <w:t xml:space="preserve">This is only partly mitigated by the </w:t>
      </w:r>
      <w:r w:rsidR="000E794D" w:rsidRPr="00B703F0">
        <w:rPr>
          <w:lang w:val="en-AU" w:eastAsia="en-AU"/>
        </w:rPr>
        <w:t>affected State Party</w:t>
      </w:r>
      <w:r w:rsidR="000E794D">
        <w:rPr>
          <w:lang w:val="en-AU" w:eastAsia="en-AU"/>
        </w:rPr>
        <w:t xml:space="preserve"> being able to set some </w:t>
      </w:r>
      <w:r w:rsidR="000E794D" w:rsidRPr="00B703F0">
        <w:rPr>
          <w:lang w:val="en-AU" w:eastAsia="en-AU"/>
        </w:rPr>
        <w:t>conditions on the wreck removal</w:t>
      </w:r>
      <w:r w:rsidR="000E794D">
        <w:rPr>
          <w:lang w:val="en-AU" w:eastAsia="en-AU"/>
        </w:rPr>
        <w:t>.</w:t>
      </w:r>
    </w:p>
    <w:p w14:paraId="4A986462" w14:textId="424CECC3" w:rsidR="00187D59" w:rsidRPr="00B703F0" w:rsidRDefault="00187D59" w:rsidP="00AC1B83">
      <w:pPr>
        <w:pStyle w:val="Bullet1"/>
        <w:rPr>
          <w:rFonts w:eastAsia="Times New Roman" w:cstheme="minorHAnsi"/>
          <w:lang w:val="en-AU" w:eastAsia="en-AU"/>
        </w:rPr>
      </w:pPr>
      <w:r w:rsidRPr="00B703F0">
        <w:rPr>
          <w:rFonts w:eastAsia="Times New Roman" w:cstheme="minorHAnsi"/>
          <w:lang w:val="en-AU" w:eastAsia="en-AU"/>
        </w:rPr>
        <w:t>A</w:t>
      </w:r>
      <w:r w:rsidR="00E16A0D" w:rsidRPr="00B703F0">
        <w:rPr>
          <w:rFonts w:eastAsia="Times New Roman" w:cstheme="minorHAnsi"/>
          <w:lang w:val="en-AU" w:eastAsia="en-AU"/>
        </w:rPr>
        <w:t>n affected</w:t>
      </w:r>
      <w:r w:rsidRPr="00B703F0">
        <w:rPr>
          <w:rFonts w:eastAsia="Times New Roman" w:cstheme="minorHAnsi"/>
          <w:lang w:val="en-AU" w:eastAsia="en-AU"/>
        </w:rPr>
        <w:t xml:space="preserve"> State Party’s right to recover</w:t>
      </w:r>
      <w:r w:rsidR="006116D6">
        <w:rPr>
          <w:rFonts w:eastAsia="Times New Roman" w:cstheme="minorHAnsi"/>
          <w:lang w:val="en-AU" w:eastAsia="en-AU"/>
        </w:rPr>
        <w:t xml:space="preserve"> </w:t>
      </w:r>
      <w:r w:rsidR="006116D6">
        <w:rPr>
          <w:lang w:val="en-AU"/>
        </w:rPr>
        <w:t>wreck</w:t>
      </w:r>
      <w:r w:rsidR="006116D6">
        <w:rPr>
          <w:lang w:val="en-AU"/>
        </w:rPr>
        <w:noBreakHyphen/>
        <w:t>related</w:t>
      </w:r>
      <w:r w:rsidRPr="00B703F0">
        <w:rPr>
          <w:rFonts w:eastAsia="Times New Roman" w:cstheme="minorHAnsi"/>
          <w:lang w:val="en-AU" w:eastAsia="en-AU"/>
        </w:rPr>
        <w:t xml:space="preserve"> costs is limited to actions taken within </w:t>
      </w:r>
      <w:r w:rsidR="00420E23">
        <w:rPr>
          <w:rFonts w:eastAsia="Times New Roman" w:cstheme="minorHAnsi"/>
          <w:lang w:val="en-AU" w:eastAsia="en-AU"/>
        </w:rPr>
        <w:t>3</w:t>
      </w:r>
      <w:r w:rsidR="00420E23" w:rsidRPr="00B703F0">
        <w:rPr>
          <w:rFonts w:eastAsia="Times New Roman" w:cstheme="minorHAnsi"/>
          <w:lang w:val="en-AU" w:eastAsia="en-AU"/>
        </w:rPr>
        <w:t xml:space="preserve"> </w:t>
      </w:r>
      <w:r w:rsidRPr="00B703F0">
        <w:rPr>
          <w:rFonts w:eastAsia="Times New Roman" w:cstheme="minorHAnsi"/>
          <w:lang w:val="en-AU" w:eastAsia="en-AU"/>
        </w:rPr>
        <w:t xml:space="preserve">years of a wreck being determined to pose a hazard, and a maximum of </w:t>
      </w:r>
      <w:r w:rsidR="00420E23">
        <w:rPr>
          <w:rFonts w:eastAsia="Times New Roman" w:cstheme="minorHAnsi"/>
          <w:lang w:val="en-AU" w:eastAsia="en-AU"/>
        </w:rPr>
        <w:t>6</w:t>
      </w:r>
      <w:r w:rsidR="00420E23" w:rsidRPr="00B703F0">
        <w:rPr>
          <w:rFonts w:eastAsia="Times New Roman" w:cstheme="minorHAnsi"/>
          <w:lang w:val="en-AU" w:eastAsia="en-AU"/>
        </w:rPr>
        <w:t xml:space="preserve"> </w:t>
      </w:r>
      <w:r w:rsidRPr="00B703F0">
        <w:rPr>
          <w:rFonts w:eastAsia="Times New Roman" w:cstheme="minorHAnsi"/>
          <w:lang w:val="en-AU" w:eastAsia="en-AU"/>
        </w:rPr>
        <w:t>years from the date of the maritime casualty.</w:t>
      </w:r>
      <w:r w:rsidR="00F70DA0">
        <w:rPr>
          <w:rFonts w:eastAsia="Times New Roman" w:cstheme="minorHAnsi"/>
          <w:lang w:val="en-AU" w:eastAsia="en-AU"/>
        </w:rPr>
        <w:t xml:space="preserve"> While there are no time limitations in the Navigation Act, </w:t>
      </w:r>
      <w:r w:rsidR="00B14D0E">
        <w:rPr>
          <w:rFonts w:eastAsia="Times New Roman" w:cstheme="minorHAnsi"/>
          <w:lang w:val="en-AU" w:eastAsia="en-AU"/>
        </w:rPr>
        <w:t xml:space="preserve">the most recent wreck removal operations would have fallen with these deadlines. </w:t>
      </w:r>
    </w:p>
    <w:p w14:paraId="12813B3E" w14:textId="4E1B9E2E" w:rsidR="00483B1E" w:rsidRPr="00B703F0" w:rsidRDefault="00483B1E" w:rsidP="00483B1E">
      <w:pPr>
        <w:pStyle w:val="Bullet1"/>
        <w:rPr>
          <w:lang w:val="en-AU"/>
        </w:rPr>
      </w:pPr>
      <w:r w:rsidRPr="00B703F0">
        <w:rPr>
          <w:lang w:val="en-AU"/>
        </w:rPr>
        <w:t xml:space="preserve">The requirement for </w:t>
      </w:r>
      <w:r w:rsidR="00490208" w:rsidRPr="00B703F0">
        <w:rPr>
          <w:lang w:val="en-AU"/>
        </w:rPr>
        <w:t xml:space="preserve">removal actions to be ‘proportional’ is vague and </w:t>
      </w:r>
      <w:r w:rsidRPr="00B703F0">
        <w:rPr>
          <w:lang w:val="en-AU"/>
        </w:rPr>
        <w:t>may lead to disputes between ship owners and the affected</w:t>
      </w:r>
      <w:r w:rsidR="00490208" w:rsidRPr="00B703F0">
        <w:rPr>
          <w:lang w:val="en-AU"/>
        </w:rPr>
        <w:t xml:space="preserve"> State Party</w:t>
      </w:r>
      <w:r w:rsidRPr="00B703F0">
        <w:rPr>
          <w:lang w:val="en-AU"/>
        </w:rPr>
        <w:t>.</w:t>
      </w:r>
      <w:r w:rsidR="00B14D0E">
        <w:rPr>
          <w:lang w:val="en-AU"/>
        </w:rPr>
        <w:t xml:space="preserve"> This risk will diminish as more States accede to the Nairobi C</w:t>
      </w:r>
      <w:r w:rsidR="005A703A">
        <w:rPr>
          <w:lang w:val="en-AU"/>
        </w:rPr>
        <w:t xml:space="preserve">onvention. </w:t>
      </w:r>
    </w:p>
    <w:p w14:paraId="3BEFC60D" w14:textId="6D1145BE" w:rsidR="005E6E08" w:rsidRDefault="006C0F76" w:rsidP="00192507">
      <w:pPr>
        <w:pStyle w:val="Bullet1"/>
        <w:rPr>
          <w:lang w:val="en-AU"/>
        </w:rPr>
      </w:pPr>
      <w:r>
        <w:rPr>
          <w:lang w:val="en-AU"/>
        </w:rPr>
        <w:t>Accession to the Nairobi Convention will place additional regulatory functions on</w:t>
      </w:r>
      <w:r w:rsidR="00BB0B93">
        <w:rPr>
          <w:lang w:val="en-AU"/>
        </w:rPr>
        <w:t xml:space="preserve"> the</w:t>
      </w:r>
      <w:r>
        <w:rPr>
          <w:lang w:val="en-AU"/>
        </w:rPr>
        <w:t xml:space="preserve"> Australia</w:t>
      </w:r>
      <w:r w:rsidR="00BB0B93">
        <w:rPr>
          <w:lang w:val="en-AU"/>
        </w:rPr>
        <w:t>n Government</w:t>
      </w:r>
      <w:r w:rsidR="005A703A">
        <w:rPr>
          <w:lang w:val="en-AU"/>
        </w:rPr>
        <w:t xml:space="preserve"> (e.g. </w:t>
      </w:r>
      <w:r>
        <w:rPr>
          <w:lang w:val="en-AU"/>
        </w:rPr>
        <w:t>the issuing and compliance checking of certificates</w:t>
      </w:r>
      <w:r w:rsidR="00287587">
        <w:rPr>
          <w:lang w:val="en-AU"/>
        </w:rPr>
        <w:t xml:space="preserve"> of</w:t>
      </w:r>
      <w:r w:rsidR="00287587" w:rsidRPr="00287587">
        <w:rPr>
          <w:lang w:val="en-AU"/>
        </w:rPr>
        <w:t xml:space="preserve"> </w:t>
      </w:r>
      <w:r w:rsidR="00287587">
        <w:rPr>
          <w:lang w:val="en-AU"/>
        </w:rPr>
        <w:t>insurance</w:t>
      </w:r>
      <w:r w:rsidR="005A703A">
        <w:rPr>
          <w:lang w:val="en-AU"/>
        </w:rPr>
        <w:t>) but they can be cost recovered</w:t>
      </w:r>
      <w:r>
        <w:rPr>
          <w:lang w:val="en-AU"/>
        </w:rPr>
        <w:t xml:space="preserve">. </w:t>
      </w:r>
    </w:p>
    <w:p w14:paraId="4E942D13" w14:textId="4AAD6BE1" w:rsidR="002D0E0F" w:rsidRDefault="002D0E0F" w:rsidP="002D0E0F">
      <w:pPr>
        <w:pStyle w:val="Bullet1"/>
        <w:rPr>
          <w:lang w:val="en-AU"/>
        </w:rPr>
      </w:pPr>
      <w:r w:rsidRPr="00B703F0">
        <w:rPr>
          <w:lang w:val="en-AU"/>
        </w:rPr>
        <w:t xml:space="preserve">The liability of insurers is </w:t>
      </w:r>
      <w:r w:rsidR="00BB0B93">
        <w:rPr>
          <w:lang w:val="en-AU"/>
        </w:rPr>
        <w:t>capped</w:t>
      </w:r>
      <w:r w:rsidR="00BB0B93" w:rsidRPr="00B703F0">
        <w:rPr>
          <w:lang w:val="en-AU"/>
        </w:rPr>
        <w:t xml:space="preserve"> </w:t>
      </w:r>
      <w:r w:rsidRPr="00B703F0">
        <w:rPr>
          <w:lang w:val="en-AU"/>
        </w:rPr>
        <w:t xml:space="preserve">and if the wreck-related costs are significant the Australian Government </w:t>
      </w:r>
      <w:r>
        <w:rPr>
          <w:lang w:val="en-AU"/>
        </w:rPr>
        <w:t>may</w:t>
      </w:r>
      <w:r w:rsidRPr="00B703F0">
        <w:rPr>
          <w:lang w:val="en-AU"/>
        </w:rPr>
        <w:t xml:space="preserve"> still need to pursue the ship owner directly for the </w:t>
      </w:r>
      <w:r w:rsidR="00BB0B93">
        <w:rPr>
          <w:lang w:val="en-AU"/>
        </w:rPr>
        <w:t xml:space="preserve">excess </w:t>
      </w:r>
      <w:r w:rsidRPr="00B703F0">
        <w:rPr>
          <w:lang w:val="en-AU"/>
        </w:rPr>
        <w:t xml:space="preserve">costs. </w:t>
      </w:r>
      <w:r>
        <w:rPr>
          <w:lang w:val="en-AU"/>
        </w:rPr>
        <w:t xml:space="preserve">Ship owners </w:t>
      </w:r>
      <w:r w:rsidR="005A703A">
        <w:rPr>
          <w:lang w:val="en-AU"/>
        </w:rPr>
        <w:t xml:space="preserve">may </w:t>
      </w:r>
      <w:r>
        <w:rPr>
          <w:lang w:val="en-AU"/>
        </w:rPr>
        <w:t xml:space="preserve">continue to be difficult to pursue when based overseas. </w:t>
      </w:r>
    </w:p>
    <w:p w14:paraId="1E64BB9D" w14:textId="5E7ADA2F" w:rsidR="001F264A" w:rsidRPr="008B1DFF" w:rsidRDefault="001F264A" w:rsidP="002D0E0F">
      <w:pPr>
        <w:pStyle w:val="Bullet1"/>
        <w:rPr>
          <w:lang w:val="en-AU"/>
        </w:rPr>
      </w:pPr>
      <w:r>
        <w:rPr>
          <w:lang w:val="en-AU"/>
        </w:rPr>
        <w:t xml:space="preserve">There will be inconsistent regulation of DCV and recreational vessel wrecks in the 3-12 nm part of the territorial sea as not all state and territory jurisdictions regulate this space and the Commonwealth will not seek to step in. </w:t>
      </w:r>
    </w:p>
    <w:p w14:paraId="14BFE76E" w14:textId="4EA28843" w:rsidR="0069740C" w:rsidRDefault="0069740C">
      <w:pPr>
        <w:pStyle w:val="Bullet1"/>
      </w:pPr>
      <w:r w:rsidRPr="00B703F0">
        <w:t xml:space="preserve">Adopting the Nairobi Convention framework for </w:t>
      </w:r>
      <w:r w:rsidR="002D0E0F">
        <w:rPr>
          <w:lang w:val="en-AU"/>
        </w:rPr>
        <w:t xml:space="preserve">DCVs and </w:t>
      </w:r>
      <w:r w:rsidRPr="00B703F0">
        <w:t xml:space="preserve">recreational vessels would </w:t>
      </w:r>
      <w:r w:rsidR="00C91AD3">
        <w:rPr>
          <w:lang w:val="en-AU"/>
        </w:rPr>
        <w:t xml:space="preserve">require consideration of how the 300 GT requirement would be assessed, as DCVs and </w:t>
      </w:r>
      <w:r w:rsidR="004F4726">
        <w:rPr>
          <w:lang w:val="en-US"/>
        </w:rPr>
        <w:t>recreational</w:t>
      </w:r>
      <w:r w:rsidRPr="00B703F0">
        <w:t xml:space="preserve"> vessels are currently registered by length, not by gross tonnage. </w:t>
      </w:r>
    </w:p>
    <w:p w14:paraId="486929B7" w14:textId="0EDD42A3" w:rsidR="00C91AD3" w:rsidRPr="00BD437A" w:rsidRDefault="00C91AD3" w:rsidP="005B2D8A">
      <w:pPr>
        <w:pStyle w:val="Bullet1"/>
      </w:pPr>
      <w:r w:rsidRPr="00134363">
        <w:rPr>
          <w:lang w:val="en-AU"/>
        </w:rPr>
        <w:t xml:space="preserve">The </w:t>
      </w:r>
      <w:r w:rsidRPr="00134363">
        <w:rPr>
          <w:rFonts w:cstheme="minorHAnsi"/>
          <w:lang w:val="en-AU"/>
        </w:rPr>
        <w:t>requirement</w:t>
      </w:r>
      <w:r w:rsidRPr="00134363">
        <w:rPr>
          <w:lang w:val="en-AU"/>
        </w:rPr>
        <w:t xml:space="preserve"> for DCVs and recreational vessels over 300 GT</w:t>
      </w:r>
      <w:r w:rsidR="00BD437A" w:rsidRPr="00134363">
        <w:rPr>
          <w:lang w:val="en-AU"/>
        </w:rPr>
        <w:t xml:space="preserve"> and travelling into the EEZ to hold wreck-related insurance will be a new cost for </w:t>
      </w:r>
      <w:r w:rsidR="00BD437A" w:rsidRPr="002939E3">
        <w:rPr>
          <w:lang w:val="en-AU"/>
        </w:rPr>
        <w:t>owners who do not currently undertake international voyages</w:t>
      </w:r>
      <w:r w:rsidR="00134363" w:rsidRPr="002939E3">
        <w:rPr>
          <w:lang w:val="en-AU"/>
        </w:rPr>
        <w:t xml:space="preserve"> to Member States</w:t>
      </w:r>
      <w:r w:rsidR="0053326B">
        <w:rPr>
          <w:lang w:val="en-AU"/>
        </w:rPr>
        <w:t xml:space="preserve"> (approximately 381 ship owners)</w:t>
      </w:r>
      <w:r w:rsidR="00134363" w:rsidRPr="002939E3">
        <w:rPr>
          <w:lang w:val="en-AU"/>
        </w:rPr>
        <w:t xml:space="preserve">. </w:t>
      </w:r>
      <w:r w:rsidR="00CD3207">
        <w:rPr>
          <w:lang w:val="en-AU"/>
        </w:rPr>
        <w:t xml:space="preserve">The </w:t>
      </w:r>
      <w:r w:rsidR="004B43AA">
        <w:rPr>
          <w:lang w:val="en-AU"/>
        </w:rPr>
        <w:t xml:space="preserve">average P&amp;I insurance premium is $2.3/GT.  </w:t>
      </w:r>
      <w:r w:rsidRPr="00141640">
        <w:rPr>
          <w:lang w:val="en-AU"/>
        </w:rPr>
        <w:t>While a DCV owner may be able to pass on any additional cost</w:t>
      </w:r>
      <w:r w:rsidR="00134363" w:rsidRPr="00141640">
        <w:rPr>
          <w:lang w:val="en-AU"/>
        </w:rPr>
        <w:t>,</w:t>
      </w:r>
      <w:r w:rsidRPr="00141640">
        <w:rPr>
          <w:lang w:val="en-AU"/>
        </w:rPr>
        <w:t xml:space="preserve"> a recreational vessel owner could not. It would also create a new regulatory cost for AMSA in checking that appropriate insurance is</w:t>
      </w:r>
      <w:r w:rsidRPr="00134363">
        <w:rPr>
          <w:lang w:val="en-AU"/>
        </w:rPr>
        <w:t xml:space="preserve"> held. </w:t>
      </w:r>
    </w:p>
    <w:p w14:paraId="3F3278A4" w14:textId="5272997C" w:rsidR="00585CAF" w:rsidRPr="00240A99" w:rsidRDefault="00585CAF" w:rsidP="00585CAF">
      <w:pPr>
        <w:pStyle w:val="Bullet1"/>
        <w:rPr>
          <w:lang w:val="en-AU"/>
        </w:rPr>
      </w:pPr>
      <w:r>
        <w:rPr>
          <w:lang w:val="en-AU"/>
        </w:rPr>
        <w:t xml:space="preserve">The </w:t>
      </w:r>
      <w:r w:rsidRPr="00240A99">
        <w:rPr>
          <w:lang w:val="en-AU"/>
        </w:rPr>
        <w:t xml:space="preserve">insurance requirement </w:t>
      </w:r>
      <w:r>
        <w:rPr>
          <w:lang w:val="en-AU"/>
        </w:rPr>
        <w:t>may</w:t>
      </w:r>
      <w:r w:rsidRPr="00240A99">
        <w:rPr>
          <w:lang w:val="en-AU"/>
        </w:rPr>
        <w:t xml:space="preserve"> have little practical effect, as </w:t>
      </w:r>
      <w:r w:rsidR="003520EB">
        <w:rPr>
          <w:lang w:val="en-AU"/>
        </w:rPr>
        <w:t>only a smaller percentage of</w:t>
      </w:r>
      <w:r w:rsidRPr="00240A99">
        <w:rPr>
          <w:lang w:val="en-AU"/>
        </w:rPr>
        <w:t xml:space="preserve"> DCVs</w:t>
      </w:r>
      <w:r w:rsidR="00420E23">
        <w:rPr>
          <w:lang w:val="en-AU"/>
        </w:rPr>
        <w:t xml:space="preserve"> and recreational vessels</w:t>
      </w:r>
      <w:r w:rsidRPr="00240A99">
        <w:rPr>
          <w:lang w:val="en-AU"/>
        </w:rPr>
        <w:t xml:space="preserve"> will meet the 300 GT threshold. </w:t>
      </w:r>
      <w:r>
        <w:t>Maritime Safety Queensland advised the majority of abandoned</w:t>
      </w:r>
      <w:r w:rsidRPr="00982172">
        <w:t xml:space="preserve"> or wrecked </w:t>
      </w:r>
      <w:r>
        <w:t>ships</w:t>
      </w:r>
      <w:r w:rsidRPr="00982172">
        <w:t xml:space="preserve"> removed through the War on Wreck Program would be under 300 GT</w:t>
      </w:r>
      <w:r w:rsidRPr="00B703F0">
        <w:rPr>
          <w:rStyle w:val="FootnoteReference"/>
          <w:rFonts w:eastAsia="Times New Roman"/>
        </w:rPr>
        <w:footnoteReference w:id="55"/>
      </w:r>
      <w:r w:rsidRPr="00B703F0">
        <w:rPr>
          <w:rFonts w:eastAsia="Times New Roman"/>
        </w:rPr>
        <w:t xml:space="preserve"> </w:t>
      </w:r>
      <w:r w:rsidRPr="00982172">
        <w:t>and so would not have been required to hold insurance under a Nairobi Convention framework</w:t>
      </w:r>
      <w:r>
        <w:t>.</w:t>
      </w:r>
    </w:p>
    <w:p w14:paraId="0E4B136F" w14:textId="1B360FD1" w:rsidR="00585CAF" w:rsidRDefault="00585CAF" w:rsidP="00585CAF">
      <w:pPr>
        <w:pStyle w:val="Bullet1"/>
        <w:rPr>
          <w:lang w:val="en-AU"/>
        </w:rPr>
      </w:pPr>
      <w:r w:rsidRPr="00B703F0">
        <w:rPr>
          <w:lang w:val="en-AU"/>
        </w:rPr>
        <w:t xml:space="preserve">It is </w:t>
      </w:r>
      <w:r w:rsidRPr="00B703F0">
        <w:rPr>
          <w:rFonts w:cstheme="minorHAnsi"/>
          <w:lang w:val="en-AU"/>
        </w:rPr>
        <w:t>likely</w:t>
      </w:r>
      <w:r w:rsidRPr="00B703F0">
        <w:rPr>
          <w:lang w:val="en-AU"/>
        </w:rPr>
        <w:t xml:space="preserve"> DCV </w:t>
      </w:r>
      <w:r>
        <w:rPr>
          <w:lang w:val="en-AU"/>
        </w:rPr>
        <w:t xml:space="preserve">and recreational </w:t>
      </w:r>
      <w:r w:rsidRPr="00B703F0">
        <w:rPr>
          <w:lang w:val="en-AU"/>
        </w:rPr>
        <w:t xml:space="preserve">owners would seek fixed premium insurance policies, </w:t>
      </w:r>
      <w:r w:rsidR="00420E23">
        <w:rPr>
          <w:lang w:val="en-AU"/>
        </w:rPr>
        <w:t>rather than a policy from a P&amp;I </w:t>
      </w:r>
      <w:r w:rsidRPr="00B703F0">
        <w:rPr>
          <w:lang w:val="en-AU"/>
        </w:rPr>
        <w:t xml:space="preserve">Club. In the response to the 2020 Discussion Paper, several stakeholders raised concerns about fixed premium insurance claiming these types of insurers would </w:t>
      </w:r>
      <w:r>
        <w:rPr>
          <w:lang w:val="en-AU"/>
        </w:rPr>
        <w:t xml:space="preserve">be less likely </w:t>
      </w:r>
      <w:r w:rsidRPr="00B703F0">
        <w:rPr>
          <w:lang w:val="en-AU"/>
        </w:rPr>
        <w:t>to pay out in the event of a wreck.</w:t>
      </w:r>
    </w:p>
    <w:p w14:paraId="7135335B" w14:textId="4B5C69FD" w:rsidR="00585CAF" w:rsidRDefault="004B43AA" w:rsidP="00585CAF">
      <w:pPr>
        <w:pStyle w:val="Bullet1"/>
        <w:rPr>
          <w:lang w:val="en-AU"/>
        </w:rPr>
      </w:pPr>
      <w:r>
        <w:rPr>
          <w:lang w:val="en-AU"/>
        </w:rPr>
        <w:t xml:space="preserve">Wrecks from recreational vessels are frequent and jurisdictions such as QLD have sought to remove a large number from their waterways in recent years. </w:t>
      </w:r>
      <w:r w:rsidR="00585CAF">
        <w:rPr>
          <w:lang w:val="en-AU"/>
        </w:rPr>
        <w:t>As recreational vessel</w:t>
      </w:r>
      <w:r w:rsidR="00420E23">
        <w:rPr>
          <w:lang w:val="en-AU"/>
        </w:rPr>
        <w:t>s</w:t>
      </w:r>
      <w:r w:rsidR="00585CAF">
        <w:rPr>
          <w:lang w:val="en-AU"/>
        </w:rPr>
        <w:t xml:space="preserve"> are generally privately owned, the liability for a wreck</w:t>
      </w:r>
      <w:r w:rsidR="00D6325D">
        <w:rPr>
          <w:lang w:val="en-AU"/>
        </w:rPr>
        <w:t xml:space="preserve"> removal</w:t>
      </w:r>
      <w:r w:rsidR="00585CAF">
        <w:rPr>
          <w:lang w:val="en-AU"/>
        </w:rPr>
        <w:t xml:space="preserve"> may place the owner under significant financial strain and could result in bankruptcy</w:t>
      </w:r>
      <w:r w:rsidR="00D6325D">
        <w:rPr>
          <w:lang w:val="en-AU"/>
        </w:rPr>
        <w:t>, particularly if they do not have</w:t>
      </w:r>
      <w:r w:rsidR="00855009">
        <w:rPr>
          <w:lang w:val="en-AU"/>
        </w:rPr>
        <w:t xml:space="preserve"> </w:t>
      </w:r>
      <w:r w:rsidR="00D6325D">
        <w:rPr>
          <w:lang w:val="en-AU"/>
        </w:rPr>
        <w:t>insurance in place due to their small size</w:t>
      </w:r>
      <w:r w:rsidR="00585CAF">
        <w:rPr>
          <w:lang w:val="en-AU"/>
        </w:rPr>
        <w:t>.</w:t>
      </w:r>
    </w:p>
    <w:p w14:paraId="0BFC0C04" w14:textId="1C58DE99" w:rsidR="002D0E0F" w:rsidRDefault="00585CAF" w:rsidP="002D0E0F">
      <w:pPr>
        <w:pStyle w:val="Bullet1"/>
      </w:pPr>
      <w:r w:rsidRPr="00B703F0">
        <w:t xml:space="preserve">The Nairobi Convention establishes a framework for </w:t>
      </w:r>
      <w:r>
        <w:t>wreck-related incidents</w:t>
      </w:r>
      <w:r w:rsidRPr="00B703F0">
        <w:t xml:space="preserve"> that presumes a high level of sophistication from industry, which </w:t>
      </w:r>
      <w:r w:rsidR="00C91AD3">
        <w:rPr>
          <w:lang w:val="en-AU"/>
        </w:rPr>
        <w:t>may</w:t>
      </w:r>
      <w:r w:rsidR="00C91AD3" w:rsidRPr="00B703F0">
        <w:t xml:space="preserve"> </w:t>
      </w:r>
      <w:r w:rsidRPr="00B703F0">
        <w:t>be absent from</w:t>
      </w:r>
      <w:r w:rsidR="00C91AD3">
        <w:rPr>
          <w:lang w:val="en-AU"/>
        </w:rPr>
        <w:t xml:space="preserve"> some parts of </w:t>
      </w:r>
      <w:r w:rsidRPr="00B703F0">
        <w:t xml:space="preserve"> the recreational vessel sector. While a</w:t>
      </w:r>
      <w:r>
        <w:t xml:space="preserve"> public education program w</w:t>
      </w:r>
      <w:r w:rsidRPr="00B703F0">
        <w:t xml:space="preserve">ould build capability of recreational vessel owners, it would be unlikely to result in owners feeling confident or capable of organising the salvage of any </w:t>
      </w:r>
      <w:r>
        <w:t>ship</w:t>
      </w:r>
      <w:r w:rsidRPr="00B703F0">
        <w:t xml:space="preserve"> or object lost at sea. </w:t>
      </w:r>
    </w:p>
    <w:p w14:paraId="75D9470B" w14:textId="186059DE" w:rsidR="00585CAF" w:rsidRPr="002D0E0F" w:rsidRDefault="002D0E0F" w:rsidP="002D0E0F">
      <w:pPr>
        <w:pStyle w:val="Bullet1"/>
      </w:pPr>
      <w:r>
        <w:rPr>
          <w:lang w:val="en-AU"/>
        </w:rPr>
        <w:lastRenderedPageBreak/>
        <w:t xml:space="preserve">In the past, ship owners and insurers have been open to working with </w:t>
      </w:r>
      <w:r>
        <w:t>governments</w:t>
      </w:r>
      <w:r>
        <w:rPr>
          <w:lang w:val="en-AU"/>
        </w:rPr>
        <w:t xml:space="preserve"> to clean up </w:t>
      </w:r>
      <w:r w:rsidR="00C91AD3">
        <w:rPr>
          <w:lang w:val="en-AU"/>
        </w:rPr>
        <w:t xml:space="preserve">beyond their limit of liability </w:t>
      </w:r>
      <w:r>
        <w:rPr>
          <w:lang w:val="en-AU"/>
        </w:rPr>
        <w:t>after particularly hazardous wrecks (e.g. Costa Concordia</w:t>
      </w:r>
      <w:r>
        <w:rPr>
          <w:rStyle w:val="FootnoteReference"/>
          <w:lang w:val="en-AU"/>
        </w:rPr>
        <w:footnoteReference w:id="56"/>
      </w:r>
      <w:r>
        <w:rPr>
          <w:lang w:val="en-AU"/>
        </w:rPr>
        <w:t xml:space="preserve"> </w:t>
      </w:r>
      <w:r w:rsidR="00420E23">
        <w:rPr>
          <w:lang w:val="en-AU"/>
        </w:rPr>
        <w:t>–</w:t>
      </w:r>
      <w:r>
        <w:rPr>
          <w:lang w:val="en-AU"/>
        </w:rPr>
        <w:t xml:space="preserve"> approximately US$1.5 billion or </w:t>
      </w:r>
      <w:r w:rsidRPr="00192507">
        <w:rPr>
          <w:i/>
          <w:lang w:val="en-AU"/>
        </w:rPr>
        <w:t>Rena</w:t>
      </w:r>
      <w:r>
        <w:rPr>
          <w:rStyle w:val="FootnoteReference"/>
          <w:lang w:val="en-AU"/>
        </w:rPr>
        <w:footnoteReference w:id="57"/>
      </w:r>
      <w:r>
        <w:rPr>
          <w:lang w:val="en-AU"/>
        </w:rPr>
        <w:t xml:space="preserve"> – over NZD$500 million). This </w:t>
      </w:r>
      <w:r w:rsidR="00C91AD3">
        <w:rPr>
          <w:lang w:val="en-AU"/>
        </w:rPr>
        <w:t xml:space="preserve">may be less likely </w:t>
      </w:r>
      <w:r>
        <w:rPr>
          <w:lang w:val="en-AU"/>
        </w:rPr>
        <w:t>to occur if an incident happened in Australia once the Nairobi Convention was adopted.</w:t>
      </w:r>
    </w:p>
    <w:p w14:paraId="31DEA183" w14:textId="7A39D480" w:rsidR="00942295" w:rsidRPr="00B703F0" w:rsidRDefault="00C22185" w:rsidP="003F60BA">
      <w:pPr>
        <w:pStyle w:val="Heading2"/>
      </w:pPr>
      <w:bookmarkStart w:id="38" w:name="_Toc96354468"/>
      <w:bookmarkStart w:id="39" w:name="_Toc105060776"/>
      <w:r w:rsidRPr="00B703F0">
        <w:t xml:space="preserve">Option </w:t>
      </w:r>
      <w:r w:rsidR="00632F94">
        <w:t>4</w:t>
      </w:r>
      <w:r w:rsidRPr="00B703F0">
        <w:t xml:space="preserve">: </w:t>
      </w:r>
      <w:r w:rsidR="00632F94">
        <w:t>Australia accedes to the Nairobi Convention and applies it to all ships in the EEZ and the territorial sea</w:t>
      </w:r>
      <w:bookmarkEnd w:id="38"/>
      <w:bookmarkEnd w:id="39"/>
      <w:r w:rsidR="00942295" w:rsidRPr="00B703F0">
        <w:t xml:space="preserve"> </w:t>
      </w:r>
    </w:p>
    <w:p w14:paraId="5619F87F" w14:textId="44AC2C20" w:rsidR="00BC380B" w:rsidRPr="00B703F0" w:rsidRDefault="00170613" w:rsidP="00BC380B">
      <w:r>
        <w:rPr>
          <w:rFonts w:eastAsia="Times New Roman"/>
        </w:rPr>
        <w:t>Wrecks</w:t>
      </w:r>
      <w:r w:rsidR="009E1CBB" w:rsidRPr="00B703F0">
        <w:rPr>
          <w:rFonts w:eastAsia="Times New Roman"/>
        </w:rPr>
        <w:t xml:space="preserve"> </w:t>
      </w:r>
      <w:r w:rsidR="00F723F2" w:rsidRPr="00B703F0">
        <w:rPr>
          <w:rFonts w:eastAsia="Times New Roman"/>
        </w:rPr>
        <w:t xml:space="preserve">would pose the greatest </w:t>
      </w:r>
      <w:r w:rsidR="009E1CBB" w:rsidRPr="00B703F0">
        <w:rPr>
          <w:rFonts w:eastAsia="Times New Roman"/>
        </w:rPr>
        <w:t xml:space="preserve">hazard to navigation or the environment </w:t>
      </w:r>
      <w:r w:rsidR="009E1CBB" w:rsidRPr="002C317C">
        <w:rPr>
          <w:rFonts w:eastAsia="Times New Roman"/>
        </w:rPr>
        <w:t xml:space="preserve">when they are located in the </w:t>
      </w:r>
      <w:r w:rsidR="00635073" w:rsidRPr="002C317C">
        <w:rPr>
          <w:rFonts w:eastAsia="Times New Roman"/>
        </w:rPr>
        <w:t>territorial sea</w:t>
      </w:r>
      <w:r w:rsidR="009E1CBB" w:rsidRPr="002C317C">
        <w:rPr>
          <w:rFonts w:eastAsia="Times New Roman"/>
        </w:rPr>
        <w:t xml:space="preserve"> </w:t>
      </w:r>
      <w:r w:rsidR="00F723F2" w:rsidRPr="002C317C">
        <w:rPr>
          <w:rFonts w:eastAsia="Times New Roman"/>
        </w:rPr>
        <w:t xml:space="preserve">due to the shallower water and </w:t>
      </w:r>
      <w:r w:rsidR="007D468F" w:rsidRPr="002C317C">
        <w:rPr>
          <w:rFonts w:eastAsia="Times New Roman"/>
        </w:rPr>
        <w:t xml:space="preserve">greater number </w:t>
      </w:r>
      <w:r w:rsidR="000558DA" w:rsidRPr="002C317C">
        <w:rPr>
          <w:rFonts w:eastAsia="Times New Roman"/>
        </w:rPr>
        <w:t xml:space="preserve">of </w:t>
      </w:r>
      <w:r w:rsidR="00054219" w:rsidRPr="002C317C">
        <w:rPr>
          <w:rFonts w:eastAsia="Times New Roman"/>
        </w:rPr>
        <w:t>obstacles</w:t>
      </w:r>
      <w:r w:rsidRPr="002C317C">
        <w:rPr>
          <w:rFonts w:eastAsia="Times New Roman"/>
        </w:rPr>
        <w:t>/ship interactions</w:t>
      </w:r>
      <w:r w:rsidR="00054219" w:rsidRPr="002C317C">
        <w:rPr>
          <w:rFonts w:eastAsia="Times New Roman"/>
        </w:rPr>
        <w:t xml:space="preserve"> (</w:t>
      </w:r>
      <w:r w:rsidR="002829F2" w:rsidRPr="002C317C">
        <w:rPr>
          <w:rFonts w:eastAsia="Times New Roman"/>
        </w:rPr>
        <w:t xml:space="preserve">e.g. </w:t>
      </w:r>
      <w:r w:rsidRPr="002C317C">
        <w:rPr>
          <w:rFonts w:eastAsia="Times New Roman"/>
        </w:rPr>
        <w:t xml:space="preserve">concentrated </w:t>
      </w:r>
      <w:r w:rsidR="002829F2" w:rsidRPr="002C317C">
        <w:rPr>
          <w:rFonts w:eastAsia="Times New Roman"/>
        </w:rPr>
        <w:t>ship traffic, reefs</w:t>
      </w:r>
      <w:r w:rsidR="00F963B0" w:rsidRPr="002C317C">
        <w:rPr>
          <w:rFonts w:eastAsia="Times New Roman"/>
        </w:rPr>
        <w:t>, etc.</w:t>
      </w:r>
      <w:r w:rsidR="002829F2" w:rsidRPr="002C317C">
        <w:rPr>
          <w:rFonts w:eastAsia="Times New Roman"/>
        </w:rPr>
        <w:t>)</w:t>
      </w:r>
      <w:r w:rsidR="000558DA" w:rsidRPr="002C317C">
        <w:rPr>
          <w:rFonts w:eastAsia="Times New Roman"/>
        </w:rPr>
        <w:t>.</w:t>
      </w:r>
      <w:r w:rsidR="000558DA" w:rsidRPr="00FC540E">
        <w:rPr>
          <w:rFonts w:eastAsia="Times New Roman"/>
        </w:rPr>
        <w:t xml:space="preserve"> </w:t>
      </w:r>
      <w:r w:rsidR="00BC380B" w:rsidRPr="00FC540E">
        <w:t>The</w:t>
      </w:r>
      <w:r w:rsidR="00BC380B" w:rsidRPr="00B703F0">
        <w:t xml:space="preserve"> </w:t>
      </w:r>
      <w:r w:rsidR="00FE5E85" w:rsidRPr="00B703F0">
        <w:t xml:space="preserve">Nairobi Convention </w:t>
      </w:r>
      <w:r w:rsidR="00BC380B" w:rsidRPr="00B703F0">
        <w:t>includes an optional clause enabling a State Party to extend its framework to wrecks in their</w:t>
      </w:r>
      <w:r w:rsidR="000B5486" w:rsidRPr="00B703F0">
        <w:t xml:space="preserve"> </w:t>
      </w:r>
      <w:r w:rsidR="00635073" w:rsidRPr="00B703F0">
        <w:t>territorial sea</w:t>
      </w:r>
      <w:r w:rsidR="000B5486" w:rsidRPr="00B703F0">
        <w:t xml:space="preserve">. </w:t>
      </w:r>
      <w:r w:rsidR="00BC380B" w:rsidRPr="00B703F0">
        <w:t xml:space="preserve">As of January 2021, 20 countries have assented to the </w:t>
      </w:r>
      <w:r w:rsidR="00635073" w:rsidRPr="00B703F0">
        <w:t>territorial sea</w:t>
      </w:r>
      <w:r w:rsidR="00BC380B" w:rsidRPr="00B703F0">
        <w:t xml:space="preserve"> extension, including Canada, Denmark, Finland, France, Panama, Sweden and the United Kingdom. A full list is </w:t>
      </w:r>
      <w:r w:rsidR="00B27D52" w:rsidRPr="00B703F0">
        <w:t xml:space="preserve">at </w:t>
      </w:r>
      <w:r w:rsidR="00BC380B" w:rsidRPr="00B703F0">
        <w:rPr>
          <w:b/>
          <w:u w:val="single"/>
        </w:rPr>
        <w:t>Appendix </w:t>
      </w:r>
      <w:r w:rsidR="00AE7365" w:rsidRPr="00B703F0">
        <w:rPr>
          <w:b/>
          <w:u w:val="single"/>
        </w:rPr>
        <w:t>A</w:t>
      </w:r>
      <w:r w:rsidR="00BC380B" w:rsidRPr="00B703F0">
        <w:t>.</w:t>
      </w:r>
      <w:r w:rsidR="00FC540E">
        <w:t xml:space="preserve"> Denmark publicly attributed their extended application of the Convention to the territorial sea to the frequency of incidents that occur there.  Although other States have not publicly indicated why they adopted the territorial sea extension, it is believed to be motivated by the frequency of territorial sea incidents and in the interests of international legal unity.  It is not publicly known if a State has appl</w:t>
      </w:r>
      <w:r w:rsidR="00767A6E">
        <w:t>ied</w:t>
      </w:r>
      <w:r w:rsidR="00FC540E">
        <w:t xml:space="preserve"> the Convention</w:t>
      </w:r>
      <w:r w:rsidR="00767A6E">
        <w:t xml:space="preserve"> to wreck</w:t>
      </w:r>
      <w:r w:rsidR="00FC540E">
        <w:t xml:space="preserve"> in the territorial sea. </w:t>
      </w:r>
    </w:p>
    <w:p w14:paraId="3D5EF854" w14:textId="221B00C0" w:rsidR="00BC380B" w:rsidRPr="00B703F0" w:rsidRDefault="00BC380B" w:rsidP="00BC380B">
      <w:r w:rsidRPr="00B703F0">
        <w:t>The</w:t>
      </w:r>
      <w:r w:rsidR="00F7361D" w:rsidRPr="00B703F0">
        <w:t xml:space="preserve"> optional</w:t>
      </w:r>
      <w:r w:rsidRPr="00B703F0">
        <w:t xml:space="preserve"> extension of the </w:t>
      </w:r>
      <w:r w:rsidR="00FE5E85" w:rsidRPr="00B703F0">
        <w:t xml:space="preserve">Nairobi Convention </w:t>
      </w:r>
      <w:r w:rsidRPr="00B703F0">
        <w:t xml:space="preserve">into the </w:t>
      </w:r>
      <w:r w:rsidR="00635073" w:rsidRPr="00B703F0">
        <w:t>territorial sea</w:t>
      </w:r>
      <w:r w:rsidRPr="00B703F0">
        <w:t xml:space="preserve"> was intended to be a compromise between the creation and adoption of uniform international rules while reserving a State’s freedom to exercise its sovereign rights in the </w:t>
      </w:r>
      <w:r w:rsidR="00635073" w:rsidRPr="00B703F0">
        <w:t>territorial sea</w:t>
      </w:r>
      <w:r w:rsidRPr="00B703F0">
        <w:t xml:space="preserve">. </w:t>
      </w:r>
      <w:r w:rsidR="00377976">
        <w:t>Conditions similar to those in the</w:t>
      </w:r>
      <w:r w:rsidR="00377976" w:rsidRPr="00B703F0">
        <w:t xml:space="preserve"> </w:t>
      </w:r>
      <w:r w:rsidR="00F21021" w:rsidRPr="00B703F0">
        <w:t>Nairobi Convention</w:t>
      </w:r>
      <w:r w:rsidR="00361CA7" w:rsidRPr="00B703F0">
        <w:t xml:space="preserve"> may </w:t>
      </w:r>
      <w:r w:rsidR="00522688" w:rsidRPr="00522688">
        <w:t xml:space="preserve">otherwise </w:t>
      </w:r>
      <w:r w:rsidR="00361CA7" w:rsidRPr="00B703F0">
        <w:t xml:space="preserve">be enforced </w:t>
      </w:r>
      <w:r w:rsidR="00054E39" w:rsidRPr="00B703F0">
        <w:t xml:space="preserve">by a State Party </w:t>
      </w:r>
      <w:r w:rsidR="00361CA7" w:rsidRPr="00B703F0">
        <w:t>in the</w:t>
      </w:r>
      <w:r w:rsidR="00054E39" w:rsidRPr="00B703F0">
        <w:t>ir</w:t>
      </w:r>
      <w:r w:rsidR="00361CA7" w:rsidRPr="00B703F0">
        <w:t xml:space="preserve"> </w:t>
      </w:r>
      <w:r w:rsidR="00635073" w:rsidRPr="00B703F0">
        <w:t>territorial sea</w:t>
      </w:r>
      <w:r w:rsidR="00361CA7" w:rsidRPr="00B703F0">
        <w:t xml:space="preserve"> against all foreign vessels, regardless if they are flagged to a State Party</w:t>
      </w:r>
      <w:r w:rsidR="00054E39" w:rsidRPr="00B703F0">
        <w:t>, because of this sovereign right</w:t>
      </w:r>
      <w:r w:rsidR="00361CA7" w:rsidRPr="00B703F0">
        <w:t xml:space="preserve">. </w:t>
      </w:r>
    </w:p>
    <w:p w14:paraId="7F698055" w14:textId="3D0D3503" w:rsidR="00BC380B" w:rsidRPr="00B703F0" w:rsidRDefault="00BC380B" w:rsidP="00BC380B">
      <w:r w:rsidRPr="00B703F0">
        <w:t xml:space="preserve">The </w:t>
      </w:r>
      <w:r w:rsidR="00FE5E85" w:rsidRPr="00B703F0">
        <w:t xml:space="preserve">Nairobi Convention </w:t>
      </w:r>
      <w:r w:rsidRPr="00B703F0">
        <w:t xml:space="preserve">does not alter or limit these </w:t>
      </w:r>
      <w:r w:rsidR="00170613">
        <w:t xml:space="preserve">sovereign </w:t>
      </w:r>
      <w:r w:rsidRPr="00B703F0">
        <w:t>rights but does constitute an agreement to exercise them in a uniform manner</w:t>
      </w:r>
      <w:r w:rsidR="002B0B59">
        <w:t xml:space="preserve"> – </w:t>
      </w:r>
      <w:r w:rsidRPr="00B703F0">
        <w:t>hence</w:t>
      </w:r>
      <w:r w:rsidR="002B0B59">
        <w:t xml:space="preserve"> </w:t>
      </w:r>
      <w:r w:rsidR="00377976">
        <w:t xml:space="preserve">its </w:t>
      </w:r>
      <w:r w:rsidR="002B0B59">
        <w:t>application can operate</w:t>
      </w:r>
      <w:r w:rsidRPr="00B703F0">
        <w:t xml:space="preserve"> differently in the </w:t>
      </w:r>
      <w:r w:rsidR="00635073" w:rsidRPr="00B703F0">
        <w:t>territorial sea</w:t>
      </w:r>
      <w:r w:rsidRPr="00B703F0">
        <w:t>.</w:t>
      </w:r>
      <w:r w:rsidRPr="00B703F0">
        <w:rPr>
          <w:rStyle w:val="FootnoteReference"/>
        </w:rPr>
        <w:footnoteReference w:id="58"/>
      </w:r>
      <w:r w:rsidRPr="00B703F0">
        <w:t xml:space="preserve"> </w:t>
      </w:r>
      <w:r w:rsidR="004143B6" w:rsidRPr="00B703F0">
        <w:t>For instance:</w:t>
      </w:r>
      <w:r w:rsidR="00794ECB" w:rsidRPr="00B703F0">
        <w:t xml:space="preserve"> </w:t>
      </w:r>
    </w:p>
    <w:p w14:paraId="0D6D4A92" w14:textId="5763A856" w:rsidR="00BC380B" w:rsidRPr="00B703F0" w:rsidRDefault="003C4D65" w:rsidP="00361CA7">
      <w:pPr>
        <w:pStyle w:val="Bullet1"/>
        <w:rPr>
          <w:rFonts w:cstheme="minorHAnsi"/>
          <w:lang w:val="en-AU"/>
        </w:rPr>
      </w:pPr>
      <w:r w:rsidRPr="00B703F0">
        <w:rPr>
          <w:rFonts w:cstheme="minorHAnsi"/>
          <w:lang w:val="en-AU"/>
        </w:rPr>
        <w:t>a</w:t>
      </w:r>
      <w:r w:rsidR="000D3ADB" w:rsidRPr="00B703F0">
        <w:rPr>
          <w:rFonts w:cstheme="minorHAnsi"/>
          <w:lang w:val="en-AU"/>
        </w:rPr>
        <w:t>n affected</w:t>
      </w:r>
      <w:r w:rsidR="00BC380B" w:rsidRPr="00B703F0">
        <w:rPr>
          <w:rFonts w:cstheme="minorHAnsi"/>
          <w:lang w:val="en-AU"/>
        </w:rPr>
        <w:t xml:space="preserve"> </w:t>
      </w:r>
      <w:r w:rsidR="00BC380B" w:rsidRPr="00B703F0">
        <w:rPr>
          <w:lang w:val="en-AU"/>
        </w:rPr>
        <w:t>State</w:t>
      </w:r>
      <w:r w:rsidR="00BC380B" w:rsidRPr="00B703F0">
        <w:rPr>
          <w:rFonts w:cstheme="minorHAnsi"/>
          <w:lang w:val="en-AU"/>
        </w:rPr>
        <w:t xml:space="preserve"> </w:t>
      </w:r>
      <w:r w:rsidR="00582F35" w:rsidRPr="00B703F0">
        <w:rPr>
          <w:rFonts w:cstheme="minorHAnsi"/>
          <w:lang w:val="en-AU"/>
        </w:rPr>
        <w:t xml:space="preserve">Party </w:t>
      </w:r>
      <w:r w:rsidR="00BC380B" w:rsidRPr="00B703F0">
        <w:rPr>
          <w:rFonts w:cstheme="minorHAnsi"/>
          <w:lang w:val="en-AU"/>
        </w:rPr>
        <w:t>may take or require measures other than the locating, marking or removing the wreck</w:t>
      </w:r>
      <w:r w:rsidR="00582F35" w:rsidRPr="00B703F0">
        <w:rPr>
          <w:rFonts w:cstheme="minorHAnsi"/>
          <w:lang w:val="en-AU"/>
        </w:rPr>
        <w:t>. For example,</w:t>
      </w:r>
      <w:r w:rsidR="00AD38D8">
        <w:rPr>
          <w:rFonts w:cstheme="minorHAnsi"/>
          <w:lang w:val="en-AU"/>
        </w:rPr>
        <w:t xml:space="preserve"> the United Kingdom</w:t>
      </w:r>
      <w:r w:rsidR="00BC380B" w:rsidRPr="00B703F0">
        <w:rPr>
          <w:rFonts w:cstheme="minorHAnsi"/>
          <w:lang w:val="en-AU"/>
        </w:rPr>
        <w:t xml:space="preserve"> </w:t>
      </w:r>
      <w:r w:rsidR="00AD38D8">
        <w:rPr>
          <w:rFonts w:cstheme="minorHAnsi"/>
          <w:lang w:val="en-AU"/>
        </w:rPr>
        <w:t xml:space="preserve">includes </w:t>
      </w:r>
      <w:r w:rsidR="00BC380B" w:rsidRPr="00B703F0">
        <w:rPr>
          <w:rFonts w:cstheme="minorHAnsi"/>
          <w:lang w:val="en-AU"/>
        </w:rPr>
        <w:t>paying the costs to survey a wreck and monitor its condition, or the power to sell the wreck.</w:t>
      </w:r>
    </w:p>
    <w:p w14:paraId="34D28919" w14:textId="48C7A422" w:rsidR="00BC380B" w:rsidRPr="00B703F0" w:rsidRDefault="003C4D65" w:rsidP="00361CA7">
      <w:pPr>
        <w:pStyle w:val="Bullet1"/>
        <w:rPr>
          <w:rFonts w:cstheme="minorHAnsi"/>
          <w:lang w:val="en-AU"/>
        </w:rPr>
      </w:pPr>
      <w:r w:rsidRPr="00B703F0">
        <w:rPr>
          <w:rFonts w:cstheme="minorHAnsi"/>
          <w:lang w:val="en-AU"/>
        </w:rPr>
        <w:t>a</w:t>
      </w:r>
      <w:r w:rsidR="000D3ADB" w:rsidRPr="00B703F0">
        <w:rPr>
          <w:rFonts w:cstheme="minorHAnsi"/>
          <w:lang w:val="en-AU"/>
        </w:rPr>
        <w:t>n affected</w:t>
      </w:r>
      <w:r w:rsidR="00BC380B" w:rsidRPr="00B703F0">
        <w:rPr>
          <w:rFonts w:cstheme="minorHAnsi"/>
          <w:lang w:val="en-AU"/>
        </w:rPr>
        <w:t xml:space="preserve"> State</w:t>
      </w:r>
      <w:r w:rsidR="00582F35" w:rsidRPr="00B703F0">
        <w:rPr>
          <w:rFonts w:cstheme="minorHAnsi"/>
          <w:lang w:val="en-AU"/>
        </w:rPr>
        <w:t xml:space="preserve"> Party</w:t>
      </w:r>
      <w:r w:rsidR="00BC380B" w:rsidRPr="00B703F0">
        <w:rPr>
          <w:rFonts w:cstheme="minorHAnsi"/>
          <w:lang w:val="en-AU"/>
        </w:rPr>
        <w:t xml:space="preserve"> may remove, or order removal of, a wreck without having to observe certain obligations</w:t>
      </w:r>
      <w:r w:rsidR="002B0B59">
        <w:rPr>
          <w:rFonts w:cstheme="minorHAnsi"/>
          <w:lang w:val="en-AU"/>
        </w:rPr>
        <w:t>, such as</w:t>
      </w:r>
      <w:r w:rsidR="00582F35" w:rsidRPr="00B703F0">
        <w:rPr>
          <w:rFonts w:cstheme="minorHAnsi"/>
          <w:lang w:val="en-AU"/>
        </w:rPr>
        <w:t xml:space="preserve">, </w:t>
      </w:r>
      <w:r w:rsidR="008A044B" w:rsidRPr="00B703F0">
        <w:rPr>
          <w:rFonts w:cstheme="minorHAnsi"/>
          <w:lang w:val="en-AU"/>
        </w:rPr>
        <w:t>inform</w:t>
      </w:r>
      <w:r w:rsidR="004909AF" w:rsidRPr="00B703F0">
        <w:rPr>
          <w:rFonts w:cstheme="minorHAnsi"/>
          <w:lang w:val="en-AU"/>
        </w:rPr>
        <w:t>ing</w:t>
      </w:r>
      <w:r w:rsidR="00BC380B" w:rsidRPr="00B703F0">
        <w:rPr>
          <w:rFonts w:cstheme="minorHAnsi"/>
          <w:lang w:val="en-AU"/>
        </w:rPr>
        <w:t xml:space="preserve"> the owner and </w:t>
      </w:r>
      <w:r w:rsidR="003B5B30" w:rsidRPr="00B703F0">
        <w:rPr>
          <w:rFonts w:cstheme="minorHAnsi"/>
          <w:lang w:val="en-AU"/>
        </w:rPr>
        <w:t xml:space="preserve">Flag </w:t>
      </w:r>
      <w:r w:rsidRPr="00B703F0">
        <w:rPr>
          <w:rFonts w:cstheme="minorHAnsi"/>
          <w:lang w:val="en-AU"/>
        </w:rPr>
        <w:t>State</w:t>
      </w:r>
      <w:r w:rsidR="00BC380B" w:rsidRPr="00B703F0">
        <w:rPr>
          <w:rFonts w:cstheme="minorHAnsi"/>
          <w:lang w:val="en-AU"/>
        </w:rPr>
        <w:t xml:space="preserve"> when a wreck has been determined to be a hazard.</w:t>
      </w:r>
    </w:p>
    <w:p w14:paraId="0BE2578E" w14:textId="1B2636D1" w:rsidR="00BC380B" w:rsidRPr="00B703F0" w:rsidRDefault="00BC380B" w:rsidP="00361CA7">
      <w:pPr>
        <w:pStyle w:val="Bullet1"/>
        <w:rPr>
          <w:rFonts w:cstheme="minorHAnsi"/>
          <w:lang w:val="en-AU"/>
        </w:rPr>
      </w:pPr>
      <w:r w:rsidRPr="00B703F0">
        <w:rPr>
          <w:rFonts w:cstheme="minorHAnsi"/>
          <w:lang w:val="en-AU"/>
        </w:rPr>
        <w:t>the power of a</w:t>
      </w:r>
      <w:r w:rsidR="00236E02" w:rsidRPr="00B703F0">
        <w:rPr>
          <w:rFonts w:cstheme="minorHAnsi"/>
          <w:lang w:val="en-AU"/>
        </w:rPr>
        <w:t>n affected</w:t>
      </w:r>
      <w:r w:rsidRPr="00B703F0">
        <w:rPr>
          <w:rFonts w:cstheme="minorHAnsi"/>
          <w:lang w:val="en-AU"/>
        </w:rPr>
        <w:t xml:space="preserve"> State </w:t>
      </w:r>
      <w:r w:rsidR="00582F35" w:rsidRPr="00B703F0">
        <w:rPr>
          <w:rFonts w:cstheme="minorHAnsi"/>
          <w:lang w:val="en-AU"/>
        </w:rPr>
        <w:t xml:space="preserve">Party </w:t>
      </w:r>
      <w:r w:rsidRPr="00B703F0">
        <w:rPr>
          <w:rFonts w:cstheme="minorHAnsi"/>
          <w:lang w:val="en-AU"/>
        </w:rPr>
        <w:t xml:space="preserve">to undertake its own wreck removal measures is not restricted to cases where the owner </w:t>
      </w:r>
      <w:r w:rsidRPr="00B703F0">
        <w:rPr>
          <w:lang w:val="en-AU"/>
        </w:rPr>
        <w:t>cannot</w:t>
      </w:r>
      <w:r w:rsidRPr="00B703F0">
        <w:rPr>
          <w:rFonts w:cstheme="minorHAnsi"/>
          <w:lang w:val="en-AU"/>
        </w:rPr>
        <w:t xml:space="preserve"> be contacted, or fails to remove the wreck within a set dead-line, or where the circumstances are urgent. </w:t>
      </w:r>
    </w:p>
    <w:p w14:paraId="0545A367" w14:textId="74B7F3AA" w:rsidR="00BC380B" w:rsidRPr="00B703F0" w:rsidRDefault="00613B3F" w:rsidP="00361CA7">
      <w:pPr>
        <w:pStyle w:val="Bullet1"/>
        <w:rPr>
          <w:rFonts w:cstheme="minorHAnsi"/>
          <w:lang w:val="en-AU"/>
        </w:rPr>
      </w:pPr>
      <w:r>
        <w:rPr>
          <w:rFonts w:cstheme="minorHAnsi"/>
          <w:lang w:val="en-AU"/>
        </w:rPr>
        <w:t xml:space="preserve">the owner’s choice of </w:t>
      </w:r>
      <w:r w:rsidR="00BC380B" w:rsidRPr="00B703F0">
        <w:rPr>
          <w:rFonts w:cstheme="minorHAnsi"/>
          <w:lang w:val="en-AU"/>
        </w:rPr>
        <w:t>salvor is subject to the national law of the State</w:t>
      </w:r>
      <w:r w:rsidR="00582F35" w:rsidRPr="00B703F0">
        <w:rPr>
          <w:rFonts w:cstheme="minorHAnsi"/>
          <w:lang w:val="en-AU"/>
        </w:rPr>
        <w:t xml:space="preserve"> Party</w:t>
      </w:r>
      <w:r w:rsidR="00BC380B" w:rsidRPr="00B703F0">
        <w:rPr>
          <w:rFonts w:cstheme="minorHAnsi"/>
          <w:lang w:val="en-AU"/>
        </w:rPr>
        <w:t>, which may include impos</w:t>
      </w:r>
      <w:r w:rsidR="004909AF" w:rsidRPr="00B703F0">
        <w:rPr>
          <w:rFonts w:cstheme="minorHAnsi"/>
          <w:lang w:val="en-AU"/>
        </w:rPr>
        <w:t>ing</w:t>
      </w:r>
      <w:r w:rsidR="00BC380B" w:rsidRPr="00B703F0">
        <w:rPr>
          <w:rFonts w:cstheme="minorHAnsi"/>
          <w:lang w:val="en-AU"/>
        </w:rPr>
        <w:t xml:space="preserve"> </w:t>
      </w:r>
      <w:r w:rsidR="00BC380B" w:rsidRPr="00B703F0">
        <w:rPr>
          <w:lang w:val="en-AU"/>
        </w:rPr>
        <w:t>conditions</w:t>
      </w:r>
      <w:r w:rsidR="00BC380B" w:rsidRPr="00B703F0">
        <w:rPr>
          <w:rFonts w:cstheme="minorHAnsi"/>
          <w:lang w:val="en-AU"/>
        </w:rPr>
        <w:t xml:space="preserve"> such as the </w:t>
      </w:r>
      <w:r w:rsidR="004909AF" w:rsidRPr="00B703F0">
        <w:rPr>
          <w:rFonts w:cstheme="minorHAnsi"/>
          <w:lang w:val="en-AU"/>
        </w:rPr>
        <w:t xml:space="preserve">engagement </w:t>
      </w:r>
      <w:r w:rsidR="00BC380B" w:rsidRPr="00B703F0">
        <w:rPr>
          <w:rFonts w:cstheme="minorHAnsi"/>
          <w:lang w:val="en-AU"/>
        </w:rPr>
        <w:t xml:space="preserve">of a designated contractor. </w:t>
      </w:r>
    </w:p>
    <w:p w14:paraId="5B9A5E77" w14:textId="11F8BCD7" w:rsidR="00BC380B" w:rsidRPr="00B703F0" w:rsidRDefault="00BC380B" w:rsidP="00BC380B">
      <w:r w:rsidRPr="00B703F0">
        <w:t>The State</w:t>
      </w:r>
      <w:r w:rsidR="00582F35" w:rsidRPr="00B703F0">
        <w:t xml:space="preserve"> Party</w:t>
      </w:r>
      <w:r w:rsidRPr="00B703F0">
        <w:t xml:space="preserve"> remains bound by the Nairobi Convention’s requirement that any measures</w:t>
      </w:r>
      <w:r w:rsidR="0033133E" w:rsidRPr="00B703F0">
        <w:t xml:space="preserve"> taken in the </w:t>
      </w:r>
      <w:r w:rsidR="00635073" w:rsidRPr="00B703F0">
        <w:t>territorial sea</w:t>
      </w:r>
      <w:r w:rsidRPr="00B703F0">
        <w:t xml:space="preserve"> be proportionate to the hazard and not go beyond what is reasonably necessary to remove the wreck.</w:t>
      </w:r>
      <w:r w:rsidRPr="00B703F0">
        <w:rPr>
          <w:rStyle w:val="FootnoteReference"/>
        </w:rPr>
        <w:footnoteReference w:id="59"/>
      </w:r>
      <w:r w:rsidR="004143B6" w:rsidRPr="00B703F0">
        <w:t xml:space="preserve"> </w:t>
      </w:r>
    </w:p>
    <w:p w14:paraId="270D10BE" w14:textId="321F488C" w:rsidR="00AD7BAB" w:rsidRPr="0014015A" w:rsidRDefault="00BC380B" w:rsidP="00BC380B">
      <w:r w:rsidRPr="00B703F0">
        <w:t xml:space="preserve">If a State Party does not </w:t>
      </w:r>
      <w:r w:rsidR="004909AF" w:rsidRPr="00B703F0">
        <w:t xml:space="preserve">adopt the Nairobi Convention, or does not </w:t>
      </w:r>
      <w:r w:rsidRPr="00B703F0">
        <w:t xml:space="preserve">agree to extend </w:t>
      </w:r>
      <w:r w:rsidR="00F963B0">
        <w:t>it</w:t>
      </w:r>
      <w:r w:rsidR="00FE5E85" w:rsidRPr="00B703F0">
        <w:t xml:space="preserve"> </w:t>
      </w:r>
      <w:r w:rsidRPr="00B703F0">
        <w:t xml:space="preserve">to the </w:t>
      </w:r>
      <w:r w:rsidR="00635073" w:rsidRPr="00B703F0">
        <w:t>territorial sea</w:t>
      </w:r>
      <w:r w:rsidRPr="00B703F0">
        <w:t xml:space="preserve">, incidents in that maritime zone will remain subject to domestic law. </w:t>
      </w:r>
    </w:p>
    <w:p w14:paraId="1AE48910" w14:textId="01EDF672" w:rsidR="0015621E" w:rsidRDefault="007C73B0" w:rsidP="00490208">
      <w:r w:rsidRPr="00B703F0">
        <w:t xml:space="preserve">The majority of responses to the </w:t>
      </w:r>
      <w:r w:rsidR="00582F35" w:rsidRPr="00B703F0">
        <w:t xml:space="preserve">2020 </w:t>
      </w:r>
      <w:r w:rsidRPr="00B703F0">
        <w:t xml:space="preserve">Discussion Paper supported the extension of the </w:t>
      </w:r>
      <w:r w:rsidR="00FE5E85" w:rsidRPr="00B703F0">
        <w:t xml:space="preserve">Nairobi Convention </w:t>
      </w:r>
      <w:r w:rsidRPr="00B703F0">
        <w:t xml:space="preserve">framework into the </w:t>
      </w:r>
      <w:r w:rsidR="00635073" w:rsidRPr="00B703F0">
        <w:t>territorial sea</w:t>
      </w:r>
      <w:r w:rsidRPr="00B703F0">
        <w:t xml:space="preserve"> in order to create a consistent approach to the regulation </w:t>
      </w:r>
      <w:r w:rsidR="0015621E">
        <w:t>of all wrecks originating from all ships</w:t>
      </w:r>
      <w:r w:rsidR="00D33266">
        <w:t xml:space="preserve"> – essentially replacing all current wreck removal legislation</w:t>
      </w:r>
      <w:r w:rsidR="006034C0">
        <w:t xml:space="preserve"> in Australia</w:t>
      </w:r>
      <w:r w:rsidR="00D33266">
        <w:t>. S</w:t>
      </w:r>
      <w:r w:rsidR="006034C0">
        <w:t>ome s</w:t>
      </w:r>
      <w:r w:rsidR="00D33266">
        <w:t xml:space="preserve">takeholders did acknowledge </w:t>
      </w:r>
      <w:r w:rsidR="006034C0">
        <w:t>the</w:t>
      </w:r>
      <w:r w:rsidR="00D33266">
        <w:t xml:space="preserve"> complexity with this option given the need to amend/replace Commonwealth, state and territory legislation</w:t>
      </w:r>
      <w:r w:rsidR="00670D8F">
        <w:t xml:space="preserve"> and </w:t>
      </w:r>
      <w:r w:rsidR="00855009">
        <w:t xml:space="preserve">potentially </w:t>
      </w:r>
      <w:r w:rsidR="00670D8F">
        <w:t xml:space="preserve">restructure maritime safety authorities </w:t>
      </w:r>
      <w:r w:rsidR="006034C0">
        <w:t xml:space="preserve">but they felt it would create a clearer outcome for industry. </w:t>
      </w:r>
    </w:p>
    <w:p w14:paraId="08056E02" w14:textId="77777777" w:rsidR="00BC380B" w:rsidRPr="00B703F0" w:rsidRDefault="00BC380B" w:rsidP="00BC380B">
      <w:pPr>
        <w:pStyle w:val="Heading4Numbered"/>
        <w:numPr>
          <w:ilvl w:val="0"/>
          <w:numId w:val="0"/>
        </w:numPr>
        <w:ind w:left="1134" w:hanging="1134"/>
        <w:jc w:val="both"/>
      </w:pPr>
      <w:r w:rsidRPr="00B703F0">
        <w:lastRenderedPageBreak/>
        <w:t>Advantages</w:t>
      </w:r>
    </w:p>
    <w:p w14:paraId="2DC493FD" w14:textId="62BC0971" w:rsidR="00725657" w:rsidRPr="00B703F0" w:rsidRDefault="00BC380B" w:rsidP="00725657">
      <w:pPr>
        <w:pStyle w:val="Bullet1"/>
        <w:rPr>
          <w:lang w:val="en-AU"/>
        </w:rPr>
      </w:pPr>
      <w:r w:rsidRPr="00B703F0">
        <w:rPr>
          <w:lang w:val="en-AU"/>
        </w:rPr>
        <w:t xml:space="preserve">Advantages to this option would be </w:t>
      </w:r>
      <w:r w:rsidR="006632D3">
        <w:rPr>
          <w:lang w:val="en-AU"/>
        </w:rPr>
        <w:t>the same as Option 3</w:t>
      </w:r>
      <w:r w:rsidRPr="00B703F0">
        <w:rPr>
          <w:lang w:val="en-AU"/>
        </w:rPr>
        <w:t xml:space="preserve">. For example, requiring ship owners to maintain insurance to cover </w:t>
      </w:r>
      <w:r w:rsidR="00A36857" w:rsidRPr="00B703F0">
        <w:rPr>
          <w:lang w:val="en-AU"/>
        </w:rPr>
        <w:t>wreck-related</w:t>
      </w:r>
      <w:r w:rsidRPr="00B703F0">
        <w:rPr>
          <w:lang w:val="en-AU"/>
        </w:rPr>
        <w:t xml:space="preserve"> costs. </w:t>
      </w:r>
    </w:p>
    <w:p w14:paraId="054883AC" w14:textId="0C019DA4" w:rsidR="00725657" w:rsidRPr="00B703F0" w:rsidRDefault="00725657" w:rsidP="00D7673C">
      <w:pPr>
        <w:pStyle w:val="Bullet1"/>
        <w:rPr>
          <w:lang w:val="en-AU"/>
        </w:rPr>
      </w:pPr>
      <w:r w:rsidRPr="00B703F0">
        <w:rPr>
          <w:lang w:val="en-AU"/>
        </w:rPr>
        <w:t xml:space="preserve">Some of these advantages </w:t>
      </w:r>
      <w:r w:rsidR="000E2E9E" w:rsidRPr="00B703F0">
        <w:rPr>
          <w:lang w:val="en-AU"/>
        </w:rPr>
        <w:t xml:space="preserve">may </w:t>
      </w:r>
      <w:r w:rsidRPr="00B703F0">
        <w:rPr>
          <w:lang w:val="en-AU"/>
        </w:rPr>
        <w:t xml:space="preserve">be more important in a </w:t>
      </w:r>
      <w:r w:rsidR="00635073" w:rsidRPr="00B703F0">
        <w:rPr>
          <w:lang w:val="en-AU"/>
        </w:rPr>
        <w:t>territorial sea</w:t>
      </w:r>
      <w:r w:rsidRPr="00B703F0">
        <w:rPr>
          <w:lang w:val="en-AU"/>
        </w:rPr>
        <w:t xml:space="preserve"> context as </w:t>
      </w:r>
      <w:r w:rsidR="00B51DD3" w:rsidRPr="00B703F0">
        <w:rPr>
          <w:lang w:val="en-AU"/>
        </w:rPr>
        <w:t xml:space="preserve">it includes a greater number of environmentally sensitive areas such as the Great Barrier Reef Marine Park and the Torres Strait. </w:t>
      </w:r>
      <w:r w:rsidR="00FC540E">
        <w:rPr>
          <w:lang w:val="en-AU"/>
        </w:rPr>
        <w:t xml:space="preserve">  The Great Barrier Reef is </w:t>
      </w:r>
      <w:r w:rsidR="00DD6BB7">
        <w:rPr>
          <w:lang w:val="en-AU"/>
        </w:rPr>
        <w:t xml:space="preserve">a </w:t>
      </w:r>
      <w:r w:rsidR="00FC540E">
        <w:rPr>
          <w:lang w:val="en-AU"/>
        </w:rPr>
        <w:t>UNESCO</w:t>
      </w:r>
      <w:r w:rsidR="00DD6BB7">
        <w:rPr>
          <w:lang w:val="en-AU"/>
        </w:rPr>
        <w:t xml:space="preserve"> world</w:t>
      </w:r>
      <w:r w:rsidR="00FC540E">
        <w:rPr>
          <w:lang w:val="en-AU"/>
        </w:rPr>
        <w:t xml:space="preserve"> heritage listed</w:t>
      </w:r>
      <w:r w:rsidR="00DD6BB7">
        <w:rPr>
          <w:lang w:val="en-AU"/>
        </w:rPr>
        <w:t xml:space="preserve"> area, attracting international legal responsibility to protect and conserve it.  It is believed to contribute around $6.4 billion to the Australian economy each year. The Great Barrier Reef and the Torres Strait are sites of significant cultural and socio-economic value to Australian Aboriginal and Torres Strait Islanders.  </w:t>
      </w:r>
      <w:r w:rsidR="00B51DD3" w:rsidRPr="00B703F0">
        <w:rPr>
          <w:lang w:val="en-AU"/>
        </w:rPr>
        <w:t>The Great Barrier Reef presents a significant challenge to anyone attempting to undertake a large-scale salvage or wreck removal operation and could lead to significant costs</w:t>
      </w:r>
      <w:r w:rsidR="003C4D65" w:rsidRPr="00B703F0">
        <w:rPr>
          <w:lang w:val="en-AU"/>
        </w:rPr>
        <w:t xml:space="preserve"> should the need arise for the Australian G</w:t>
      </w:r>
      <w:r w:rsidR="00B51DD3" w:rsidRPr="00B703F0">
        <w:rPr>
          <w:lang w:val="en-AU"/>
        </w:rPr>
        <w:t>overnment to urgently respond to prevent environmental damage.</w:t>
      </w:r>
      <w:r w:rsidR="00FB1527">
        <w:rPr>
          <w:lang w:val="en-AU"/>
        </w:rPr>
        <w:t xml:space="preserve"> </w:t>
      </w:r>
    </w:p>
    <w:p w14:paraId="1BB0F47E" w14:textId="7CF9DC5A" w:rsidR="0021016E" w:rsidRPr="00B703F0" w:rsidRDefault="00F37259" w:rsidP="009568C6">
      <w:pPr>
        <w:pStyle w:val="Bullet1"/>
        <w:rPr>
          <w:lang w:val="en-AU"/>
        </w:rPr>
      </w:pPr>
      <w:r w:rsidRPr="00B703F0">
        <w:rPr>
          <w:lang w:val="en-AU"/>
        </w:rPr>
        <w:t xml:space="preserve">Consistent application of the Nairobi Convention between the EEZ and the </w:t>
      </w:r>
      <w:r w:rsidR="00635073" w:rsidRPr="00B703F0">
        <w:rPr>
          <w:lang w:val="en-AU"/>
        </w:rPr>
        <w:t>territorial sea</w:t>
      </w:r>
      <w:r w:rsidRPr="00B703F0">
        <w:rPr>
          <w:lang w:val="en-AU"/>
        </w:rPr>
        <w:t xml:space="preserve"> promotes </w:t>
      </w:r>
      <w:r w:rsidR="00A957C5" w:rsidRPr="00B703F0">
        <w:rPr>
          <w:lang w:val="en-AU"/>
        </w:rPr>
        <w:t xml:space="preserve">increased safety of navigation, boosted environmental protection and harmonised liability </w:t>
      </w:r>
      <w:r w:rsidR="006E3427" w:rsidRPr="00B703F0">
        <w:rPr>
          <w:lang w:val="en-AU"/>
        </w:rPr>
        <w:t xml:space="preserve">and compensation regimes. Consistent law also </w:t>
      </w:r>
      <w:r w:rsidR="009464F4" w:rsidRPr="00B703F0">
        <w:rPr>
          <w:lang w:val="en-AU"/>
        </w:rPr>
        <w:t xml:space="preserve">boosts increased economic activity by encouraging investment and reducing </w:t>
      </w:r>
      <w:r w:rsidR="006632D3">
        <w:rPr>
          <w:lang w:val="en-AU"/>
        </w:rPr>
        <w:t xml:space="preserve">regulatory and </w:t>
      </w:r>
      <w:r w:rsidR="006116D6">
        <w:rPr>
          <w:lang w:val="en-AU"/>
        </w:rPr>
        <w:t xml:space="preserve">administrative </w:t>
      </w:r>
      <w:r w:rsidR="009464F4" w:rsidRPr="00B703F0">
        <w:rPr>
          <w:lang w:val="en-AU"/>
        </w:rPr>
        <w:t xml:space="preserve">costs. </w:t>
      </w:r>
    </w:p>
    <w:p w14:paraId="38E74B0C" w14:textId="62C32AF6" w:rsidR="00F21021" w:rsidRPr="00B703F0" w:rsidRDefault="00F21021" w:rsidP="00F21021">
      <w:pPr>
        <w:pStyle w:val="Bullet1"/>
        <w:rPr>
          <w:lang w:val="en-AU"/>
        </w:rPr>
      </w:pPr>
      <w:r w:rsidRPr="00B703F0">
        <w:rPr>
          <w:lang w:val="en-AU"/>
        </w:rPr>
        <w:t xml:space="preserve">The financial security requirement in the Navigation Act for the owners of foreign vessels in the </w:t>
      </w:r>
      <w:r w:rsidR="00635073" w:rsidRPr="00B703F0">
        <w:rPr>
          <w:lang w:val="en-AU"/>
        </w:rPr>
        <w:t>territorial sea</w:t>
      </w:r>
      <w:r w:rsidRPr="00B703F0">
        <w:rPr>
          <w:lang w:val="en-AU"/>
        </w:rPr>
        <w:t xml:space="preserve"> will be simplified, as the certificate</w:t>
      </w:r>
      <w:r w:rsidR="00F963B0">
        <w:rPr>
          <w:lang w:val="en-AU"/>
        </w:rPr>
        <w:t xml:space="preserve"> of insurance</w:t>
      </w:r>
      <w:r w:rsidRPr="00B703F0">
        <w:rPr>
          <w:lang w:val="en-AU"/>
        </w:rPr>
        <w:t xml:space="preserve"> would be sufficient.</w:t>
      </w:r>
      <w:r w:rsidRPr="00B703F0">
        <w:rPr>
          <w:rStyle w:val="FootnoteReference"/>
          <w:lang w:val="en-AU"/>
        </w:rPr>
        <w:footnoteReference w:id="60"/>
      </w:r>
      <w:r w:rsidR="00794ECB" w:rsidRPr="00B703F0">
        <w:rPr>
          <w:lang w:val="en-AU"/>
        </w:rPr>
        <w:t xml:space="preserve"> </w:t>
      </w:r>
    </w:p>
    <w:p w14:paraId="33EE810E" w14:textId="4D1521BE" w:rsidR="00EE7FC2" w:rsidRPr="0014015A" w:rsidRDefault="00C84878" w:rsidP="006E1390">
      <w:pPr>
        <w:pStyle w:val="Bullet1"/>
        <w:rPr>
          <w:b/>
          <w:iCs/>
          <w:lang w:val="en-AU"/>
        </w:rPr>
      </w:pPr>
      <w:r w:rsidRPr="00B703F0">
        <w:rPr>
          <w:iCs/>
          <w:lang w:val="en-AU"/>
        </w:rPr>
        <w:t xml:space="preserve">Australia continues to have the ability to locate, mark and remove wrecks created by transiting foreign vessels in the </w:t>
      </w:r>
      <w:r w:rsidR="00635073" w:rsidRPr="00B703F0">
        <w:rPr>
          <w:lang w:val="en-AU"/>
        </w:rPr>
        <w:t>territorial sea</w:t>
      </w:r>
      <w:r w:rsidRPr="00B703F0">
        <w:rPr>
          <w:iCs/>
          <w:lang w:val="en-AU"/>
        </w:rPr>
        <w:t xml:space="preserve">, subject to the requirements of the Nairobi Convention, and ship owners would be obligated to remove any </w:t>
      </w:r>
      <w:r w:rsidR="002074CF">
        <w:rPr>
          <w:iCs/>
          <w:lang w:val="en-AU"/>
        </w:rPr>
        <w:t xml:space="preserve">hazardous </w:t>
      </w:r>
      <w:r w:rsidRPr="00B703F0">
        <w:rPr>
          <w:iCs/>
          <w:lang w:val="en-AU"/>
        </w:rPr>
        <w:t xml:space="preserve">wrecks. </w:t>
      </w:r>
    </w:p>
    <w:p w14:paraId="5B026281" w14:textId="71C180FE" w:rsidR="00FB1527" w:rsidRPr="0014015A" w:rsidRDefault="00FB1527" w:rsidP="006E1390">
      <w:pPr>
        <w:pStyle w:val="Bullet1"/>
        <w:rPr>
          <w:b/>
          <w:iCs/>
          <w:lang w:val="en-AU"/>
        </w:rPr>
      </w:pPr>
      <w:r>
        <w:rPr>
          <w:iCs/>
          <w:lang w:val="en-AU"/>
        </w:rPr>
        <w:t xml:space="preserve">DCVs and recreational vessels would be covered by the </w:t>
      </w:r>
      <w:r w:rsidR="0082180B">
        <w:rPr>
          <w:iCs/>
          <w:lang w:val="en-AU"/>
        </w:rPr>
        <w:t>Nairobi</w:t>
      </w:r>
      <w:r>
        <w:rPr>
          <w:iCs/>
          <w:lang w:val="en-AU"/>
        </w:rPr>
        <w:t xml:space="preserve"> Framework whenever </w:t>
      </w:r>
      <w:r w:rsidR="0014015A">
        <w:rPr>
          <w:iCs/>
          <w:lang w:val="en-AU"/>
        </w:rPr>
        <w:t xml:space="preserve">they </w:t>
      </w:r>
      <w:r w:rsidR="00656874">
        <w:rPr>
          <w:iCs/>
          <w:lang w:val="en-AU"/>
        </w:rPr>
        <w:t>undertake a</w:t>
      </w:r>
      <w:r w:rsidR="002074CF">
        <w:rPr>
          <w:iCs/>
          <w:lang w:val="en-AU"/>
        </w:rPr>
        <w:t xml:space="preserve"> </w:t>
      </w:r>
      <w:r w:rsidR="0082180B">
        <w:rPr>
          <w:iCs/>
          <w:lang w:val="en-AU"/>
        </w:rPr>
        <w:t>voyage</w:t>
      </w:r>
      <w:r w:rsidR="002074CF" w:rsidRPr="002074CF">
        <w:rPr>
          <w:iCs/>
          <w:lang w:val="en-AU"/>
        </w:rPr>
        <w:t xml:space="preserve"> </w:t>
      </w:r>
      <w:r w:rsidR="002074CF">
        <w:rPr>
          <w:iCs/>
          <w:lang w:val="en-AU"/>
        </w:rPr>
        <w:t>beyond internal waters</w:t>
      </w:r>
      <w:r w:rsidR="0082180B">
        <w:rPr>
          <w:iCs/>
          <w:lang w:val="en-AU"/>
        </w:rPr>
        <w:t xml:space="preserve">, including in coastal waters – which internationally are considered part of the territorial sea. </w:t>
      </w:r>
    </w:p>
    <w:p w14:paraId="01936C81" w14:textId="77777777" w:rsidR="00BC380B" w:rsidRPr="00B703F0" w:rsidRDefault="00BC380B" w:rsidP="00BC380B">
      <w:pPr>
        <w:pStyle w:val="Heading4Numbered"/>
        <w:numPr>
          <w:ilvl w:val="0"/>
          <w:numId w:val="0"/>
        </w:numPr>
        <w:ind w:left="1134" w:hanging="1134"/>
        <w:jc w:val="both"/>
      </w:pPr>
      <w:r w:rsidRPr="00B703F0">
        <w:t xml:space="preserve">Disadvantages </w:t>
      </w:r>
    </w:p>
    <w:p w14:paraId="0FB6471D" w14:textId="46128617" w:rsidR="00BC380B" w:rsidRDefault="00BC380B" w:rsidP="00BC380B">
      <w:pPr>
        <w:pStyle w:val="Bullet1"/>
        <w:rPr>
          <w:lang w:val="en-AU"/>
        </w:rPr>
      </w:pPr>
      <w:r w:rsidRPr="00B703F0">
        <w:rPr>
          <w:lang w:val="en-AU"/>
        </w:rPr>
        <w:t xml:space="preserve">Disadvantages to this option would be </w:t>
      </w:r>
      <w:r w:rsidR="006632D3">
        <w:rPr>
          <w:lang w:val="en-AU"/>
        </w:rPr>
        <w:t>the same as</w:t>
      </w:r>
      <w:r w:rsidRPr="00B703F0">
        <w:rPr>
          <w:lang w:val="en-AU"/>
        </w:rPr>
        <w:t xml:space="preserve"> Option </w:t>
      </w:r>
      <w:r w:rsidR="00420E23">
        <w:rPr>
          <w:lang w:val="en-AU"/>
        </w:rPr>
        <w:t>3</w:t>
      </w:r>
      <w:r w:rsidRPr="00B703F0">
        <w:rPr>
          <w:lang w:val="en-AU"/>
        </w:rPr>
        <w:t xml:space="preserve">. For example, the </w:t>
      </w:r>
      <w:r w:rsidR="00FE5E85" w:rsidRPr="00B703F0">
        <w:rPr>
          <w:lang w:val="en-AU"/>
        </w:rPr>
        <w:t xml:space="preserve">Nairobi Convention </w:t>
      </w:r>
      <w:r w:rsidRPr="00B703F0">
        <w:rPr>
          <w:lang w:val="en-AU"/>
        </w:rPr>
        <w:t xml:space="preserve">imposes time limits on cost recovery actions where none currently exist </w:t>
      </w:r>
      <w:r w:rsidR="007E3E36" w:rsidRPr="00B703F0">
        <w:rPr>
          <w:lang w:val="en-AU"/>
        </w:rPr>
        <w:t>with</w:t>
      </w:r>
      <w:r w:rsidRPr="00B703F0">
        <w:rPr>
          <w:lang w:val="en-AU"/>
        </w:rPr>
        <w:t xml:space="preserve">in the Navigation Act. </w:t>
      </w:r>
    </w:p>
    <w:p w14:paraId="7A1980F6" w14:textId="3B584DE6" w:rsidR="008B1DFF" w:rsidRPr="00377976" w:rsidRDefault="008B1DFF" w:rsidP="008B1DFF">
      <w:pPr>
        <w:pStyle w:val="Bullet1"/>
        <w:rPr>
          <w:lang w:val="en-AU"/>
        </w:rPr>
      </w:pPr>
      <w:r w:rsidRPr="00B703F0">
        <w:rPr>
          <w:lang w:val="en-AU"/>
        </w:rPr>
        <w:t xml:space="preserve">Australia would lose some flexibility in designing the regulatory framework in the territorial sea, given it must be consistent with the requirements of the </w:t>
      </w:r>
      <w:r w:rsidR="00825A61">
        <w:rPr>
          <w:lang w:val="en-AU"/>
        </w:rPr>
        <w:t xml:space="preserve">Nairobi </w:t>
      </w:r>
      <w:r w:rsidRPr="00B703F0">
        <w:rPr>
          <w:lang w:val="en-AU"/>
        </w:rPr>
        <w:t xml:space="preserve">Convention. </w:t>
      </w:r>
    </w:p>
    <w:p w14:paraId="246BEBA8" w14:textId="77691110" w:rsidR="006632D3" w:rsidRDefault="008525D1" w:rsidP="008B1DFF">
      <w:pPr>
        <w:pStyle w:val="Bullet1"/>
        <w:rPr>
          <w:lang w:val="en-AU"/>
        </w:rPr>
      </w:pPr>
      <w:r w:rsidRPr="008B1DFF">
        <w:rPr>
          <w:lang w:val="en-AU"/>
        </w:rPr>
        <w:t xml:space="preserve">Foreign vessels transiting through Australia’s </w:t>
      </w:r>
      <w:r w:rsidR="00635073" w:rsidRPr="008B1DFF">
        <w:rPr>
          <w:lang w:val="en-AU"/>
        </w:rPr>
        <w:t>territorial sea</w:t>
      </w:r>
      <w:r w:rsidRPr="008B1DFF">
        <w:rPr>
          <w:lang w:val="en-AU"/>
        </w:rPr>
        <w:t xml:space="preserve"> </w:t>
      </w:r>
      <w:r w:rsidR="00BB7079" w:rsidRPr="008B1DFF">
        <w:rPr>
          <w:lang w:val="en-AU"/>
        </w:rPr>
        <w:t>(</w:t>
      </w:r>
      <w:r w:rsidR="00AD7BAB">
        <w:rPr>
          <w:lang w:val="en-AU"/>
        </w:rPr>
        <w:t>e.g. the Torres Strait</w:t>
      </w:r>
      <w:r w:rsidR="00BB7079" w:rsidRPr="008B1DFF">
        <w:rPr>
          <w:lang w:val="en-AU"/>
        </w:rPr>
        <w:t xml:space="preserve">) </w:t>
      </w:r>
      <w:r w:rsidRPr="008B1DFF">
        <w:rPr>
          <w:lang w:val="en-AU"/>
        </w:rPr>
        <w:t>could not be required to hold insurance</w:t>
      </w:r>
      <w:r w:rsidR="00FD0872">
        <w:rPr>
          <w:lang w:val="en-AU"/>
        </w:rPr>
        <w:t xml:space="preserve"> as they are not visiting an Australian port</w:t>
      </w:r>
      <w:r w:rsidRPr="008B1DFF">
        <w:rPr>
          <w:lang w:val="en-AU"/>
        </w:rPr>
        <w:t xml:space="preserve">. </w:t>
      </w:r>
      <w:r w:rsidR="00570FF8" w:rsidRPr="008B1DFF">
        <w:rPr>
          <w:lang w:val="en-AU"/>
        </w:rPr>
        <w:t xml:space="preserve">As these </w:t>
      </w:r>
      <w:r w:rsidR="000F6D22" w:rsidRPr="008B1DFF">
        <w:rPr>
          <w:lang w:val="en-AU"/>
        </w:rPr>
        <w:t>ships</w:t>
      </w:r>
      <w:r w:rsidR="00570FF8" w:rsidRPr="008B1DFF">
        <w:rPr>
          <w:lang w:val="en-AU"/>
        </w:rPr>
        <w:t xml:space="preserve"> are </w:t>
      </w:r>
      <w:r w:rsidR="000F6D22" w:rsidRPr="008B1DFF">
        <w:rPr>
          <w:lang w:val="en-AU"/>
        </w:rPr>
        <w:t xml:space="preserve">not visiting Australian </w:t>
      </w:r>
      <w:r w:rsidR="00FD0872">
        <w:rPr>
          <w:lang w:val="en-AU"/>
        </w:rPr>
        <w:t>p</w:t>
      </w:r>
      <w:r w:rsidR="00F756BE" w:rsidRPr="008B1DFF">
        <w:rPr>
          <w:lang w:val="en-AU"/>
        </w:rPr>
        <w:t xml:space="preserve">orts </w:t>
      </w:r>
      <w:r w:rsidR="00FD0872">
        <w:rPr>
          <w:lang w:val="en-AU"/>
        </w:rPr>
        <w:t>and so are not</w:t>
      </w:r>
      <w:r w:rsidR="00FD0872" w:rsidRPr="008B1DFF">
        <w:rPr>
          <w:lang w:val="en-AU"/>
        </w:rPr>
        <w:t xml:space="preserve"> </w:t>
      </w:r>
      <w:r w:rsidR="000A3AD1" w:rsidRPr="008B1DFF">
        <w:rPr>
          <w:lang w:val="en-AU"/>
        </w:rPr>
        <w:t xml:space="preserve">engaging with Australia’s Port State Control </w:t>
      </w:r>
      <w:r w:rsidR="000F6D22" w:rsidRPr="008B1DFF">
        <w:rPr>
          <w:lang w:val="en-AU"/>
        </w:rPr>
        <w:t xml:space="preserve">there is no reliable data on </w:t>
      </w:r>
      <w:r w:rsidR="00F756BE" w:rsidRPr="008B1DFF">
        <w:rPr>
          <w:lang w:val="en-AU"/>
        </w:rPr>
        <w:t xml:space="preserve">the number and </w:t>
      </w:r>
      <w:r w:rsidR="000A3AD1" w:rsidRPr="008B1DFF">
        <w:rPr>
          <w:lang w:val="en-AU"/>
        </w:rPr>
        <w:t>Flag State</w:t>
      </w:r>
      <w:r w:rsidR="00F756BE" w:rsidRPr="008B1DFF">
        <w:rPr>
          <w:lang w:val="en-AU"/>
        </w:rPr>
        <w:t xml:space="preserve"> of this </w:t>
      </w:r>
      <w:r w:rsidR="000A3AD1" w:rsidRPr="008B1DFF">
        <w:rPr>
          <w:lang w:val="en-AU"/>
        </w:rPr>
        <w:t>cohort</w:t>
      </w:r>
      <w:r w:rsidR="00F756BE" w:rsidRPr="008B1DFF">
        <w:rPr>
          <w:lang w:val="en-AU"/>
        </w:rPr>
        <w:t>.</w:t>
      </w:r>
      <w:r w:rsidR="00E73478" w:rsidRPr="008B1DFF">
        <w:rPr>
          <w:lang w:val="en-AU"/>
        </w:rPr>
        <w:t xml:space="preserve"> </w:t>
      </w:r>
      <w:r w:rsidR="00F756BE" w:rsidRPr="008B1DFF">
        <w:rPr>
          <w:lang w:val="en-AU"/>
        </w:rPr>
        <w:t>Given 7</w:t>
      </w:r>
      <w:r w:rsidR="00216D6B">
        <w:rPr>
          <w:lang w:val="en-AU"/>
        </w:rPr>
        <w:t>9.5</w:t>
      </w:r>
      <w:r w:rsidR="00F756BE" w:rsidRPr="008B1DFF">
        <w:rPr>
          <w:lang w:val="en-AU"/>
        </w:rPr>
        <w:t xml:space="preserve"> per cent of the global fleet by tonnage is registered to a State Party to the Nairobi Convention, it is likely many of th</w:t>
      </w:r>
      <w:r w:rsidR="00E73478" w:rsidRPr="008B1DFF">
        <w:rPr>
          <w:lang w:val="en-AU"/>
        </w:rPr>
        <w:t xml:space="preserve">ese foreign vessels in transit </w:t>
      </w:r>
      <w:r w:rsidR="00AD7BAB">
        <w:rPr>
          <w:lang w:val="en-AU"/>
        </w:rPr>
        <w:t>would</w:t>
      </w:r>
      <w:r w:rsidR="00AD7BAB" w:rsidRPr="008B1DFF">
        <w:rPr>
          <w:lang w:val="en-AU"/>
        </w:rPr>
        <w:t xml:space="preserve"> </w:t>
      </w:r>
      <w:r w:rsidR="00F756BE" w:rsidRPr="008B1DFF">
        <w:rPr>
          <w:lang w:val="en-AU"/>
        </w:rPr>
        <w:t xml:space="preserve">already hold wreck-related insurance. </w:t>
      </w:r>
    </w:p>
    <w:p w14:paraId="5BD565CD" w14:textId="16444659" w:rsidR="0082180B" w:rsidRPr="0014015A" w:rsidRDefault="00675E96" w:rsidP="001F35D3">
      <w:pPr>
        <w:pStyle w:val="Bullet1"/>
        <w:rPr>
          <w:lang w:val="en-AU"/>
        </w:rPr>
      </w:pPr>
      <w:r w:rsidRPr="00B703F0">
        <w:rPr>
          <w:lang w:val="en-AU"/>
        </w:rPr>
        <w:t>An abandoned ship would only meet the definition of a ‘wreck’ if the abandonment followed upon a maritime casualty as defined by the Nairobi Convention. This would need to be determined on a case by case basis, depending on whether the maritime casualty event created material damage to the ship or the threat of it.</w:t>
      </w:r>
      <w:r w:rsidRPr="00B703F0">
        <w:rPr>
          <w:rStyle w:val="FootnoteReference"/>
          <w:lang w:val="en-AU"/>
        </w:rPr>
        <w:footnoteReference w:id="61"/>
      </w:r>
      <w:r w:rsidRPr="00B703F0">
        <w:rPr>
          <w:lang w:val="en-AU"/>
        </w:rPr>
        <w:t xml:space="preserve"> State and territory legislation currently covers </w:t>
      </w:r>
      <w:r>
        <w:rPr>
          <w:lang w:val="en-AU"/>
        </w:rPr>
        <w:t xml:space="preserve">abandoned wrecks </w:t>
      </w:r>
      <w:r w:rsidRPr="00B703F0">
        <w:rPr>
          <w:lang w:val="en-AU"/>
        </w:rPr>
        <w:t xml:space="preserve">as many smaller </w:t>
      </w:r>
      <w:r>
        <w:rPr>
          <w:lang w:val="en-AU"/>
        </w:rPr>
        <w:t>ships</w:t>
      </w:r>
      <w:r w:rsidRPr="00B703F0">
        <w:rPr>
          <w:lang w:val="en-AU"/>
        </w:rPr>
        <w:t xml:space="preserve"> are abandoned</w:t>
      </w:r>
      <w:r>
        <w:rPr>
          <w:lang w:val="en-AU"/>
        </w:rPr>
        <w:t xml:space="preserve"> or </w:t>
      </w:r>
      <w:r w:rsidRPr="00B703F0">
        <w:rPr>
          <w:lang w:val="en-AU"/>
        </w:rPr>
        <w:t xml:space="preserve">dumped by their owners when maintenance costs become too high. Any </w:t>
      </w:r>
      <w:r>
        <w:rPr>
          <w:lang w:val="en-AU"/>
        </w:rPr>
        <w:t>Commonwealth legislation</w:t>
      </w:r>
      <w:r w:rsidRPr="00B703F0">
        <w:rPr>
          <w:lang w:val="en-AU"/>
        </w:rPr>
        <w:t xml:space="preserve"> would need to either</w:t>
      </w:r>
      <w:r>
        <w:rPr>
          <w:lang w:val="en-AU"/>
        </w:rPr>
        <w:t>:</w:t>
      </w:r>
      <w:r w:rsidRPr="00B703F0">
        <w:rPr>
          <w:lang w:val="en-AU"/>
        </w:rPr>
        <w:t xml:space="preserve"> maintain current state and territory legislation regarding abandonment/dumping situations</w:t>
      </w:r>
      <w:r>
        <w:rPr>
          <w:lang w:val="en-AU"/>
        </w:rPr>
        <w:t>,</w:t>
      </w:r>
      <w:r w:rsidRPr="00B703F0">
        <w:rPr>
          <w:lang w:val="en-AU"/>
        </w:rPr>
        <w:t xml:space="preserve"> or include additional provisions beyond the scope of the Nairobi Convention to ensure continued cost recovery for abandoned </w:t>
      </w:r>
      <w:r w:rsidR="0082180B">
        <w:rPr>
          <w:lang w:val="en-AU"/>
        </w:rPr>
        <w:t>ships</w:t>
      </w:r>
      <w:r w:rsidRPr="00B703F0">
        <w:rPr>
          <w:lang w:val="en-AU"/>
        </w:rPr>
        <w:t xml:space="preserve">. </w:t>
      </w:r>
    </w:p>
    <w:p w14:paraId="22178E66" w14:textId="5BE06D60" w:rsidR="007A0CB4" w:rsidRDefault="0082180B" w:rsidP="00675E96">
      <w:pPr>
        <w:pStyle w:val="Bullet1"/>
        <w:rPr>
          <w:lang w:val="en-AU"/>
        </w:rPr>
      </w:pPr>
      <w:r>
        <w:rPr>
          <w:lang w:val="en-AU"/>
        </w:rPr>
        <w:t xml:space="preserve">Adopting the Nairobi Convention framework in the territorial sea would </w:t>
      </w:r>
      <w:r w:rsidR="00056C27">
        <w:rPr>
          <w:lang w:val="en-AU"/>
        </w:rPr>
        <w:t>create a</w:t>
      </w:r>
      <w:r w:rsidR="00021574">
        <w:rPr>
          <w:lang w:val="en-AU"/>
        </w:rPr>
        <w:t xml:space="preserve"> regulatory </w:t>
      </w:r>
      <w:r w:rsidR="00056C27">
        <w:rPr>
          <w:lang w:val="en-AU"/>
        </w:rPr>
        <w:t xml:space="preserve">overlap between Commonwealth and state/territory law. While coastal waters are within the internationally recognised territorial sea, in Australia they are </w:t>
      </w:r>
      <w:r w:rsidR="00021574">
        <w:rPr>
          <w:lang w:val="en-AU"/>
        </w:rPr>
        <w:t xml:space="preserve">governed by the </w:t>
      </w:r>
      <w:r w:rsidR="00056C27">
        <w:rPr>
          <w:lang w:val="en-AU"/>
        </w:rPr>
        <w:t>state</w:t>
      </w:r>
      <w:r w:rsidR="00021574">
        <w:rPr>
          <w:lang w:val="en-AU"/>
        </w:rPr>
        <w:t>s</w:t>
      </w:r>
      <w:r w:rsidR="00056C27">
        <w:rPr>
          <w:lang w:val="en-AU"/>
        </w:rPr>
        <w:t xml:space="preserve"> and territor</w:t>
      </w:r>
      <w:r w:rsidR="00021574">
        <w:rPr>
          <w:lang w:val="en-AU"/>
        </w:rPr>
        <w:t>ies under the Offshore Constitutional Settlement</w:t>
      </w:r>
      <w:r w:rsidR="00056C27">
        <w:rPr>
          <w:lang w:val="en-AU"/>
        </w:rPr>
        <w:t>.</w:t>
      </w:r>
      <w:r w:rsidR="00021574">
        <w:rPr>
          <w:rStyle w:val="FootnoteReference"/>
          <w:lang w:val="en-AU"/>
        </w:rPr>
        <w:footnoteReference w:id="62"/>
      </w:r>
      <w:r w:rsidR="00056C27">
        <w:rPr>
          <w:lang w:val="en-AU"/>
        </w:rPr>
        <w:t xml:space="preserve"> </w:t>
      </w:r>
      <w:r w:rsidR="00021574">
        <w:rPr>
          <w:lang w:val="en-AU"/>
        </w:rPr>
        <w:t>In order to include all ships within the Nairobi Convention, the Commonwealth would need to</w:t>
      </w:r>
      <w:r w:rsidR="007A0CB4">
        <w:rPr>
          <w:lang w:val="en-AU"/>
        </w:rPr>
        <w:t xml:space="preserve"> either:</w:t>
      </w:r>
      <w:r w:rsidR="00021574">
        <w:rPr>
          <w:lang w:val="en-AU"/>
        </w:rPr>
        <w:t xml:space="preserve"> supersede state and territory law</w:t>
      </w:r>
      <w:r w:rsidR="007A0CB4">
        <w:rPr>
          <w:lang w:val="en-AU"/>
        </w:rPr>
        <w:t>,</w:t>
      </w:r>
      <w:r w:rsidR="00021574">
        <w:rPr>
          <w:lang w:val="en-AU"/>
        </w:rPr>
        <w:t xml:space="preserve"> or </w:t>
      </w:r>
      <w:r w:rsidR="007A0CB4">
        <w:rPr>
          <w:lang w:val="en-AU"/>
        </w:rPr>
        <w:t xml:space="preserve">implement </w:t>
      </w:r>
      <w:r w:rsidR="00C54DD4">
        <w:rPr>
          <w:lang w:val="en-AU"/>
        </w:rPr>
        <w:t xml:space="preserve">an </w:t>
      </w:r>
      <w:r w:rsidR="00C54DD4">
        <w:t>applied law scheme</w:t>
      </w:r>
      <w:r w:rsidR="007A0CB4">
        <w:rPr>
          <w:lang w:val="en-AU"/>
        </w:rPr>
        <w:t xml:space="preserve"> similar to the National Law that would</w:t>
      </w:r>
      <w:r w:rsidR="00021574">
        <w:rPr>
          <w:lang w:val="en-AU"/>
        </w:rPr>
        <w:t xml:space="preserve"> </w:t>
      </w:r>
      <w:r w:rsidR="007A0CB4">
        <w:rPr>
          <w:lang w:val="en-AU"/>
        </w:rPr>
        <w:t xml:space="preserve">implement a specific DCV </w:t>
      </w:r>
      <w:r w:rsidR="007A0CB4">
        <w:rPr>
          <w:lang w:val="en-AU"/>
        </w:rPr>
        <w:lastRenderedPageBreak/>
        <w:t>and recreational vessel framework in state and territory law.</w:t>
      </w:r>
      <w:r w:rsidR="000B72C3">
        <w:rPr>
          <w:lang w:val="en-AU"/>
        </w:rPr>
        <w:t xml:space="preserve"> This would result in a lengthy period of implementation and a highly complex regulatory framework for government to implement. </w:t>
      </w:r>
    </w:p>
    <w:p w14:paraId="5E8AEBDC" w14:textId="17169D35" w:rsidR="002E1117" w:rsidRPr="00B703F0" w:rsidRDefault="002E1117" w:rsidP="00760F89">
      <w:pPr>
        <w:pStyle w:val="Heading1Numbered"/>
      </w:pPr>
      <w:bookmarkStart w:id="40" w:name="_Toc96069251"/>
      <w:bookmarkStart w:id="41" w:name="_Toc96353915"/>
      <w:bookmarkStart w:id="42" w:name="_Toc96354469"/>
      <w:bookmarkStart w:id="43" w:name="_Toc96505408"/>
      <w:bookmarkStart w:id="44" w:name="_Toc96505978"/>
      <w:bookmarkStart w:id="45" w:name="_Toc96518237"/>
      <w:bookmarkStart w:id="46" w:name="_Toc96518787"/>
      <w:bookmarkStart w:id="47" w:name="_Toc96069253"/>
      <w:bookmarkStart w:id="48" w:name="_Toc96353917"/>
      <w:bookmarkStart w:id="49" w:name="_Toc96354471"/>
      <w:bookmarkStart w:id="50" w:name="_Toc96505410"/>
      <w:bookmarkStart w:id="51" w:name="_Toc96505980"/>
      <w:bookmarkStart w:id="52" w:name="_Toc96518239"/>
      <w:bookmarkStart w:id="53" w:name="_Toc96518789"/>
      <w:bookmarkStart w:id="54" w:name="_Toc96069263"/>
      <w:bookmarkStart w:id="55" w:name="_Toc96353927"/>
      <w:bookmarkStart w:id="56" w:name="_Toc96354481"/>
      <w:bookmarkStart w:id="57" w:name="_Toc96505419"/>
      <w:bookmarkStart w:id="58" w:name="_Toc96505989"/>
      <w:bookmarkStart w:id="59" w:name="_Toc96518248"/>
      <w:bookmarkStart w:id="60" w:name="_Toc96518798"/>
      <w:bookmarkStart w:id="61" w:name="_Toc96069264"/>
      <w:bookmarkStart w:id="62" w:name="_Toc96353928"/>
      <w:bookmarkStart w:id="63" w:name="_Toc96354482"/>
      <w:bookmarkStart w:id="64" w:name="_Toc96505420"/>
      <w:bookmarkStart w:id="65" w:name="_Toc96505990"/>
      <w:bookmarkStart w:id="66" w:name="_Toc96518249"/>
      <w:bookmarkStart w:id="67" w:name="_Toc96518799"/>
      <w:bookmarkStart w:id="68" w:name="_Toc96069271"/>
      <w:bookmarkStart w:id="69" w:name="_Toc96353935"/>
      <w:bookmarkStart w:id="70" w:name="_Toc96354489"/>
      <w:bookmarkStart w:id="71" w:name="_Toc96505427"/>
      <w:bookmarkStart w:id="72" w:name="_Toc96505997"/>
      <w:bookmarkStart w:id="73" w:name="_Toc96518256"/>
      <w:bookmarkStart w:id="74" w:name="_Toc96518806"/>
      <w:bookmarkStart w:id="75" w:name="_Toc96069275"/>
      <w:bookmarkStart w:id="76" w:name="_Toc96353939"/>
      <w:bookmarkStart w:id="77" w:name="_Toc96354493"/>
      <w:bookmarkStart w:id="78" w:name="_Toc96505431"/>
      <w:bookmarkStart w:id="79" w:name="_Toc96506001"/>
      <w:bookmarkStart w:id="80" w:name="_Toc96518260"/>
      <w:bookmarkStart w:id="81" w:name="_Toc96518810"/>
      <w:bookmarkStart w:id="82" w:name="_Toc96069279"/>
      <w:bookmarkStart w:id="83" w:name="_Toc96353943"/>
      <w:bookmarkStart w:id="84" w:name="_Toc96354497"/>
      <w:bookmarkStart w:id="85" w:name="_Toc96505435"/>
      <w:bookmarkStart w:id="86" w:name="_Toc96506005"/>
      <w:bookmarkStart w:id="87" w:name="_Toc96518264"/>
      <w:bookmarkStart w:id="88" w:name="_Toc96518814"/>
      <w:bookmarkStart w:id="89" w:name="_Toc96354498"/>
      <w:bookmarkStart w:id="90" w:name="_Toc105060777"/>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r w:rsidRPr="00B703F0">
        <w:t>Consultation</w:t>
      </w:r>
      <w:bookmarkEnd w:id="89"/>
      <w:bookmarkEnd w:id="90"/>
    </w:p>
    <w:p w14:paraId="38B84EBB" w14:textId="72BABF9D" w:rsidR="001A088D" w:rsidRPr="00B703F0" w:rsidRDefault="001A088D" w:rsidP="00A25C84">
      <w:r w:rsidRPr="00B703F0">
        <w:t xml:space="preserve">The Department has undertaken thorough public consultation in regards to Australia’s possible accession to </w:t>
      </w:r>
      <w:r w:rsidR="00180970">
        <w:t xml:space="preserve">the </w:t>
      </w:r>
      <w:r w:rsidR="00CE6E63" w:rsidRPr="00B703F0">
        <w:t>Nairobi Convention</w:t>
      </w:r>
      <w:r w:rsidR="00A114E6" w:rsidRPr="00B703F0">
        <w:t xml:space="preserve"> </w:t>
      </w:r>
      <w:r w:rsidRPr="00B703F0">
        <w:t xml:space="preserve">to ensure consideration was given to the likely impacts of any potential regulatory change </w:t>
      </w:r>
      <w:r w:rsidR="00DC243E" w:rsidRPr="00B703F0">
        <w:t>for each</w:t>
      </w:r>
      <w:r w:rsidRPr="00B703F0">
        <w:t xml:space="preserve"> practical and viable policy alternative.</w:t>
      </w:r>
    </w:p>
    <w:p w14:paraId="11B12A9D" w14:textId="77777777" w:rsidR="001A088D" w:rsidRPr="00B703F0" w:rsidRDefault="001A088D" w:rsidP="00A25C84">
      <w:r w:rsidRPr="00B703F0">
        <w:t>The core objectives of the stakeholder engagement for this RIS were to:</w:t>
      </w:r>
    </w:p>
    <w:p w14:paraId="54BC71DF" w14:textId="43247A5B" w:rsidR="001A088D" w:rsidRPr="00B703F0" w:rsidRDefault="001A088D" w:rsidP="00A25C84">
      <w:pPr>
        <w:pStyle w:val="Bullet1"/>
        <w:rPr>
          <w:lang w:val="en-AU"/>
        </w:rPr>
      </w:pPr>
      <w:r w:rsidRPr="00B703F0">
        <w:rPr>
          <w:lang w:val="en-AU"/>
        </w:rPr>
        <w:t xml:space="preserve">thoroughly understand the </w:t>
      </w:r>
      <w:r w:rsidR="00834263">
        <w:rPr>
          <w:lang w:val="en-AU"/>
        </w:rPr>
        <w:t xml:space="preserve">impacts from </w:t>
      </w:r>
      <w:r w:rsidRPr="00B703F0">
        <w:rPr>
          <w:lang w:val="en-AU"/>
        </w:rPr>
        <w:t xml:space="preserve">current regulatory approach to wreck </w:t>
      </w:r>
      <w:r w:rsidR="002A3118" w:rsidRPr="00B703F0">
        <w:rPr>
          <w:lang w:val="en-AU"/>
        </w:rPr>
        <w:t>locating, marking and removal</w:t>
      </w:r>
      <w:r w:rsidRPr="00B703F0">
        <w:rPr>
          <w:lang w:val="en-AU"/>
        </w:rPr>
        <w:t xml:space="preserve"> in Australia.</w:t>
      </w:r>
    </w:p>
    <w:p w14:paraId="5C6951A0" w14:textId="308BA973" w:rsidR="001A088D" w:rsidRPr="00B703F0" w:rsidRDefault="001A088D" w:rsidP="00A25C84">
      <w:pPr>
        <w:pStyle w:val="Bullet1"/>
        <w:rPr>
          <w:lang w:val="en-AU"/>
        </w:rPr>
      </w:pPr>
      <w:r w:rsidRPr="00B703F0">
        <w:rPr>
          <w:lang w:val="en-AU"/>
        </w:rPr>
        <w:t xml:space="preserve">understand the existing insurance arrangements to </w:t>
      </w:r>
      <w:r w:rsidR="00834263">
        <w:rPr>
          <w:lang w:val="en-AU"/>
        </w:rPr>
        <w:t>evaluate</w:t>
      </w:r>
      <w:r w:rsidRPr="00B703F0">
        <w:rPr>
          <w:lang w:val="en-AU"/>
        </w:rPr>
        <w:t xml:space="preserve"> how </w:t>
      </w:r>
      <w:r w:rsidR="002A3118" w:rsidRPr="00B703F0">
        <w:rPr>
          <w:lang w:val="en-AU"/>
        </w:rPr>
        <w:t xml:space="preserve">accession to </w:t>
      </w:r>
      <w:r w:rsidRPr="00B703F0">
        <w:rPr>
          <w:lang w:val="en-AU"/>
        </w:rPr>
        <w:t xml:space="preserve">the </w:t>
      </w:r>
      <w:r w:rsidR="00CE6E63" w:rsidRPr="00B703F0">
        <w:rPr>
          <w:lang w:val="en-AU"/>
        </w:rPr>
        <w:t xml:space="preserve">Nairobi Convention </w:t>
      </w:r>
      <w:r w:rsidR="002A3118" w:rsidRPr="00B703F0">
        <w:rPr>
          <w:lang w:val="en-AU"/>
        </w:rPr>
        <w:t xml:space="preserve">could </w:t>
      </w:r>
      <w:r w:rsidRPr="00B703F0">
        <w:rPr>
          <w:lang w:val="en-AU"/>
        </w:rPr>
        <w:t xml:space="preserve">impact insurance premiums. </w:t>
      </w:r>
    </w:p>
    <w:p w14:paraId="4F6D4A41" w14:textId="08B47D71" w:rsidR="001A088D" w:rsidRPr="00B703F0" w:rsidRDefault="001A088D" w:rsidP="00A25C84">
      <w:pPr>
        <w:pStyle w:val="Bullet1"/>
        <w:rPr>
          <w:lang w:val="en-AU"/>
        </w:rPr>
      </w:pPr>
      <w:r w:rsidRPr="00B703F0">
        <w:rPr>
          <w:lang w:val="en-AU"/>
        </w:rPr>
        <w:t>obtain data to input into the cost benefit analysis calculations.</w:t>
      </w:r>
    </w:p>
    <w:p w14:paraId="17B843F3" w14:textId="387E4FA8" w:rsidR="001A088D" w:rsidRPr="00B703F0" w:rsidRDefault="001A088D" w:rsidP="00A25C84">
      <w:pPr>
        <w:pStyle w:val="Bullet1"/>
        <w:rPr>
          <w:lang w:val="en-AU"/>
        </w:rPr>
      </w:pPr>
      <w:r w:rsidRPr="00B703F0">
        <w:rPr>
          <w:lang w:val="en-AU"/>
        </w:rPr>
        <w:t xml:space="preserve">where data could not be obtained, understand the various impacts and benefits of each option for </w:t>
      </w:r>
      <w:r w:rsidR="002A3118" w:rsidRPr="00B703F0">
        <w:rPr>
          <w:lang w:val="en-AU"/>
        </w:rPr>
        <w:t xml:space="preserve">key </w:t>
      </w:r>
      <w:r w:rsidRPr="00B703F0">
        <w:rPr>
          <w:lang w:val="en-AU"/>
        </w:rPr>
        <w:t>stakeholder</w:t>
      </w:r>
      <w:r w:rsidR="002A3118" w:rsidRPr="00B703F0">
        <w:rPr>
          <w:lang w:val="en-AU"/>
        </w:rPr>
        <w:t>s</w:t>
      </w:r>
      <w:r w:rsidRPr="00B703F0">
        <w:rPr>
          <w:lang w:val="en-AU"/>
        </w:rPr>
        <w:t>.</w:t>
      </w:r>
    </w:p>
    <w:p w14:paraId="5D72432D" w14:textId="02881FC2" w:rsidR="00F44E51" w:rsidRPr="00B703F0" w:rsidRDefault="00F44E51" w:rsidP="00F44E51">
      <w:r w:rsidRPr="00B703F0">
        <w:t xml:space="preserve">The full list of stakeholders consulted is at </w:t>
      </w:r>
      <w:r w:rsidR="00AE7365" w:rsidRPr="00B703F0">
        <w:rPr>
          <w:b/>
          <w:u w:val="single"/>
        </w:rPr>
        <w:t>Appendix B</w:t>
      </w:r>
      <w:r w:rsidRPr="00B703F0">
        <w:t xml:space="preserve"> </w:t>
      </w:r>
      <w:r w:rsidR="00834263">
        <w:t xml:space="preserve">– </w:t>
      </w:r>
      <w:r w:rsidR="00F8695D" w:rsidRPr="00B703F0">
        <w:t>t</w:t>
      </w:r>
      <w:r w:rsidRPr="00B703F0">
        <w:t>hose</w:t>
      </w:r>
      <w:r w:rsidR="00834263">
        <w:t xml:space="preserve"> </w:t>
      </w:r>
      <w:r w:rsidRPr="00B703F0">
        <w:t xml:space="preserve">who </w:t>
      </w:r>
      <w:r w:rsidR="002A3118" w:rsidRPr="00B703F0">
        <w:t xml:space="preserve">have </w:t>
      </w:r>
      <w:r w:rsidRPr="00B703F0">
        <w:t>provided input</w:t>
      </w:r>
      <w:r w:rsidR="00DC243E" w:rsidRPr="00B703F0">
        <w:t xml:space="preserve"> </w:t>
      </w:r>
      <w:r w:rsidRPr="00B703F0">
        <w:t>are</w:t>
      </w:r>
      <w:r w:rsidR="00DC243E" w:rsidRPr="00B703F0">
        <w:t xml:space="preserve"> </w:t>
      </w:r>
      <w:r w:rsidR="00834263">
        <w:t xml:space="preserve">subsequently </w:t>
      </w:r>
      <w:r w:rsidR="00DC243E" w:rsidRPr="00B703F0">
        <w:t>identified</w:t>
      </w:r>
      <w:r w:rsidRPr="00B703F0">
        <w:t>.</w:t>
      </w:r>
      <w:r w:rsidR="00794ECB" w:rsidRPr="00B703F0">
        <w:t xml:space="preserve"> </w:t>
      </w:r>
    </w:p>
    <w:p w14:paraId="6A5D585E" w14:textId="539EF939" w:rsidR="002E1117" w:rsidRPr="00B703F0" w:rsidRDefault="00AF29C1" w:rsidP="0002056B">
      <w:pPr>
        <w:pStyle w:val="Heading2Numbered"/>
        <w:jc w:val="both"/>
      </w:pPr>
      <w:bookmarkStart w:id="91" w:name="_Toc96354499"/>
      <w:bookmarkStart w:id="92" w:name="_Toc105060778"/>
      <w:r>
        <w:t>Means of c</w:t>
      </w:r>
      <w:r w:rsidR="00270585" w:rsidRPr="00B703F0">
        <w:t>onsultation</w:t>
      </w:r>
      <w:bookmarkEnd w:id="91"/>
      <w:bookmarkEnd w:id="92"/>
      <w:r w:rsidR="00270585" w:rsidRPr="00B703F0">
        <w:t xml:space="preserve"> </w:t>
      </w:r>
    </w:p>
    <w:p w14:paraId="2F9FD00A" w14:textId="64D8A339" w:rsidR="00AF29C1" w:rsidRDefault="00AF29C1" w:rsidP="004F4726">
      <w:pPr>
        <w:pStyle w:val="Heading4Numbered"/>
        <w:numPr>
          <w:ilvl w:val="0"/>
          <w:numId w:val="0"/>
        </w:numPr>
        <w:ind w:left="1134" w:hanging="1134"/>
        <w:jc w:val="both"/>
      </w:pPr>
      <w:r>
        <w:t>Discussion paper</w:t>
      </w:r>
    </w:p>
    <w:p w14:paraId="26FC4BEE" w14:textId="0E119B08" w:rsidR="00485B92" w:rsidRDefault="001A088D" w:rsidP="00A25C84">
      <w:r w:rsidRPr="00B703F0">
        <w:t xml:space="preserve">On 11 August 2020, the Department publicly released a </w:t>
      </w:r>
      <w:r w:rsidR="003B5B30" w:rsidRPr="00B703F0">
        <w:t xml:space="preserve">discussion </w:t>
      </w:r>
      <w:r w:rsidR="00DC243E" w:rsidRPr="00B703F0">
        <w:t>p</w:t>
      </w:r>
      <w:r w:rsidRPr="00B703F0">
        <w:t xml:space="preserve">aper to inform an examination whether accession to the </w:t>
      </w:r>
      <w:r w:rsidR="00CE6E63" w:rsidRPr="00B703F0">
        <w:t xml:space="preserve">Nairobi Convention </w:t>
      </w:r>
      <w:r w:rsidRPr="00B703F0">
        <w:t>would benefit Australia</w:t>
      </w:r>
      <w:r w:rsidR="00CF3B44">
        <w:t xml:space="preserve"> (the 2020 Discussion Paper)</w:t>
      </w:r>
      <w:r w:rsidRPr="00B703F0">
        <w:t xml:space="preserve">. The paper was published on the </w:t>
      </w:r>
      <w:r w:rsidR="00751C00" w:rsidRPr="00B703F0">
        <w:t>D</w:t>
      </w:r>
      <w:r w:rsidRPr="00B703F0">
        <w:t xml:space="preserve">epartment’s </w:t>
      </w:r>
      <w:r w:rsidRPr="00FF2BB0">
        <w:t>website</w:t>
      </w:r>
      <w:r w:rsidRPr="00B703F0">
        <w:t xml:space="preserve"> and sent directly to </w:t>
      </w:r>
      <w:r w:rsidR="00D75197" w:rsidRPr="00B703F0">
        <w:t xml:space="preserve">a wide range </w:t>
      </w:r>
      <w:r w:rsidR="00CF7E6D" w:rsidRPr="00B703F0">
        <w:t xml:space="preserve">of </w:t>
      </w:r>
      <w:r w:rsidRPr="00B703F0">
        <w:t xml:space="preserve">stakeholders, including key industry bodies, state and territory government representatives, legal professionals and academics. AMSA also promoted the </w:t>
      </w:r>
      <w:r w:rsidR="008A044B" w:rsidRPr="00B703F0">
        <w:t>2020 Discussion P</w:t>
      </w:r>
      <w:r w:rsidRPr="00B703F0">
        <w:t xml:space="preserve">aper on its </w:t>
      </w:r>
      <w:r w:rsidRPr="00FF2BB0">
        <w:t>website</w:t>
      </w:r>
      <w:r w:rsidRPr="00B703F0">
        <w:t xml:space="preserve"> and with its key state and territory contacts. Twelve submissions were received and are available on the </w:t>
      </w:r>
      <w:r w:rsidR="00751C00" w:rsidRPr="00B703F0">
        <w:t>D</w:t>
      </w:r>
      <w:r w:rsidRPr="00B703F0">
        <w:t xml:space="preserve">epartment’s </w:t>
      </w:r>
      <w:r w:rsidRPr="002874C6">
        <w:t>website</w:t>
      </w:r>
      <w:r w:rsidRPr="00B703F0">
        <w:t>.</w:t>
      </w:r>
      <w:r w:rsidR="00485B92" w:rsidRPr="00B703F0">
        <w:t xml:space="preserve"> The submissions were generally supportive of accession to the </w:t>
      </w:r>
      <w:r w:rsidR="00CE6E63" w:rsidRPr="00B703F0">
        <w:t>Nairobi Convention</w:t>
      </w:r>
      <w:r w:rsidR="00485B92" w:rsidRPr="00B703F0">
        <w:t xml:space="preserve">, with broad approval for its application in the EEZ and the </w:t>
      </w:r>
      <w:r w:rsidR="00635073" w:rsidRPr="00B703F0">
        <w:t>territorial sea</w:t>
      </w:r>
      <w:r w:rsidR="00485B92" w:rsidRPr="00B703F0">
        <w:t xml:space="preserve">. </w:t>
      </w:r>
    </w:p>
    <w:p w14:paraId="7055E3A0" w14:textId="5C078006" w:rsidR="00AF29C1" w:rsidRPr="004F4726" w:rsidRDefault="00AF29C1" w:rsidP="004F4726">
      <w:pPr>
        <w:pStyle w:val="Heading4Numbered"/>
        <w:numPr>
          <w:ilvl w:val="0"/>
          <w:numId w:val="0"/>
        </w:numPr>
        <w:ind w:left="1134" w:hanging="1134"/>
        <w:jc w:val="both"/>
        <w:rPr>
          <w:sz w:val="22"/>
        </w:rPr>
      </w:pPr>
      <w:r w:rsidRPr="004F4726">
        <w:rPr>
          <w:sz w:val="22"/>
        </w:rPr>
        <w:t>Draft RIS</w:t>
      </w:r>
    </w:p>
    <w:p w14:paraId="2A0A75F9" w14:textId="385FBF19" w:rsidR="00AF29C1" w:rsidRPr="00B703F0" w:rsidRDefault="00AF29C1" w:rsidP="00AF29C1">
      <w:r>
        <w:t xml:space="preserve">The Department engaged ACIL Allen </w:t>
      </w:r>
      <w:r w:rsidRPr="00B703F0">
        <w:t>to underta</w:t>
      </w:r>
      <w:r>
        <w:t xml:space="preserve">ke the cost benefit analysis, including a </w:t>
      </w:r>
      <w:r w:rsidRPr="00B703F0">
        <w:t>targ</w:t>
      </w:r>
      <w:r>
        <w:t xml:space="preserve">eted stakeholder consultation </w:t>
      </w:r>
      <w:r w:rsidRPr="00B703F0">
        <w:t xml:space="preserve">based on responses to the 2020 Discussion Paper. These discussions aimed </w:t>
      </w:r>
      <w:r>
        <w:t>to</w:t>
      </w:r>
      <w:r w:rsidRPr="00B703F0">
        <w:t xml:space="preserve"> understand the costs for industry of the Nairobi Convention framework. Stakeholders consulted included AMSA, Shipping Austra</w:t>
      </w:r>
      <w:r w:rsidR="004C4E3B">
        <w:t>lia, International Group of P&amp;I </w:t>
      </w:r>
      <w:r w:rsidRPr="00B703F0">
        <w:t xml:space="preserve">Clubs, </w:t>
      </w:r>
      <w:r>
        <w:t xml:space="preserve">and </w:t>
      </w:r>
      <w:r w:rsidRPr="00B703F0">
        <w:t>International Chamber of Shipping. Data was also supplied by Maritime Safety Queensland.</w:t>
      </w:r>
    </w:p>
    <w:p w14:paraId="6E5CAD3E" w14:textId="77777777" w:rsidR="00AF29C1" w:rsidRDefault="00AF29C1" w:rsidP="00AF29C1">
      <w:r>
        <w:t xml:space="preserve">Consistency in the stakeholders consulted has been a key factor throughout the RIS process to maintain ongoing relationships and ensure any concerns raised are suitably addressed. </w:t>
      </w:r>
      <w:r w:rsidRPr="00B703F0">
        <w:t xml:space="preserve">On </w:t>
      </w:r>
      <w:r>
        <w:t>8 September 2021</w:t>
      </w:r>
      <w:r w:rsidRPr="00B703F0">
        <w:t xml:space="preserve">, the Department </w:t>
      </w:r>
      <w:r>
        <w:t>sent</w:t>
      </w:r>
      <w:r w:rsidRPr="00B703F0">
        <w:t xml:space="preserve"> the draft RIS to inform the examination of the options considering Australia’s accession to the Nairobi Convention</w:t>
      </w:r>
      <w:r>
        <w:t xml:space="preserve"> to the same stakeholders who had received the Discussion paper</w:t>
      </w:r>
      <w:r w:rsidRPr="00B703F0">
        <w:t>.</w:t>
      </w:r>
      <w:r>
        <w:t xml:space="preserve"> </w:t>
      </w:r>
    </w:p>
    <w:p w14:paraId="746F10EA" w14:textId="77777777" w:rsidR="00AF29C1" w:rsidRDefault="00AF29C1" w:rsidP="00AF29C1">
      <w:r>
        <w:t>It was decided not to publish the draft RIS on the Department’s website as:</w:t>
      </w:r>
    </w:p>
    <w:p w14:paraId="63E8E8B3" w14:textId="208BA475" w:rsidR="00AF29C1" w:rsidRDefault="00AF29C1" w:rsidP="00AF29C1">
      <w:pPr>
        <w:pStyle w:val="Bullet1"/>
      </w:pPr>
      <w:r>
        <w:rPr>
          <w:lang w:val="en-AU"/>
        </w:rPr>
        <w:t xml:space="preserve">the stakeholder list was </w:t>
      </w:r>
      <w:r>
        <w:t>wide and diverse.</w:t>
      </w:r>
    </w:p>
    <w:p w14:paraId="7934196E" w14:textId="010ABA5B" w:rsidR="00AF29C1" w:rsidRDefault="004C4E3B" w:rsidP="00AF29C1">
      <w:pPr>
        <w:pStyle w:val="Bullet1"/>
      </w:pPr>
      <w:r>
        <w:rPr>
          <w:lang w:val="en-AU"/>
        </w:rPr>
        <w:t>Only one</w:t>
      </w:r>
      <w:r>
        <w:t xml:space="preserve"> stakeholder</w:t>
      </w:r>
      <w:r w:rsidR="00AF29C1">
        <w:t xml:space="preserve"> respond</w:t>
      </w:r>
      <w:r>
        <w:rPr>
          <w:lang w:val="en-AU"/>
        </w:rPr>
        <w:t>ed</w:t>
      </w:r>
      <w:r w:rsidR="00AF29C1">
        <w:t xml:space="preserve"> to the public release of the 2020 Discussion Paper </w:t>
      </w:r>
      <w:r>
        <w:rPr>
          <w:lang w:val="en-AU"/>
        </w:rPr>
        <w:t xml:space="preserve">who was not directly invited </w:t>
      </w:r>
      <w:r>
        <w:t xml:space="preserve">– they </w:t>
      </w:r>
      <w:r w:rsidR="00AF29C1">
        <w:t>were invited to comment on the draft RIS.</w:t>
      </w:r>
    </w:p>
    <w:p w14:paraId="5EC07B35" w14:textId="43B3EC01" w:rsidR="00AF29C1" w:rsidRDefault="00AF29C1" w:rsidP="00AF29C1">
      <w:pPr>
        <w:pStyle w:val="Bullet1"/>
      </w:pPr>
      <w:r>
        <w:t>there was a concern the publication of the draft RIS and submission</w:t>
      </w:r>
      <w:r w:rsidR="00EC0C3E">
        <w:rPr>
          <w:lang w:val="en-US"/>
        </w:rPr>
        <w:t>s</w:t>
      </w:r>
      <w:r>
        <w:t xml:space="preserve"> would be confusing for the public later when the </w:t>
      </w:r>
      <w:r>
        <w:rPr>
          <w:lang w:val="en-AU"/>
        </w:rPr>
        <w:t>final</w:t>
      </w:r>
      <w:r>
        <w:t xml:space="preserve"> RIS was published by </w:t>
      </w:r>
      <w:r>
        <w:rPr>
          <w:lang w:val="en-US"/>
        </w:rPr>
        <w:t>the Office of Best Practice Regulation</w:t>
      </w:r>
      <w:r>
        <w:t>.</w:t>
      </w:r>
    </w:p>
    <w:p w14:paraId="19438FFA" w14:textId="4C7EE36D" w:rsidR="00AF29C1" w:rsidRDefault="00AF29C1" w:rsidP="00AF29C1">
      <w:r>
        <w:t xml:space="preserve">The Department received </w:t>
      </w:r>
      <w:r w:rsidR="00362B44">
        <w:t>10</w:t>
      </w:r>
      <w:r>
        <w:t xml:space="preserve"> responses to the draft RIS. The responses were generally in agreement with acceding to the </w:t>
      </w:r>
      <w:r w:rsidRPr="00B703F0">
        <w:t xml:space="preserve">Nairobi Convention, with </w:t>
      </w:r>
      <w:r>
        <w:t>continuing general</w:t>
      </w:r>
      <w:r w:rsidRPr="00B703F0">
        <w:t xml:space="preserve"> approval for its application in the EEZ and the territorial sea. </w:t>
      </w:r>
      <w:r>
        <w:t>The feedback provided can be classified into the following matters:</w:t>
      </w:r>
    </w:p>
    <w:p w14:paraId="4FF716A0" w14:textId="77777777" w:rsidR="00AF29C1" w:rsidRPr="00871937" w:rsidRDefault="00AF29C1" w:rsidP="00AF29C1">
      <w:pPr>
        <w:pStyle w:val="Bullet1"/>
      </w:pPr>
      <w:r>
        <w:rPr>
          <w:lang w:val="en-US"/>
        </w:rPr>
        <w:t>new ideas and concerns, which required further discussion and legal consultation.</w:t>
      </w:r>
    </w:p>
    <w:p w14:paraId="552BE9CA" w14:textId="77777777" w:rsidR="00AF29C1" w:rsidRPr="00466E93" w:rsidRDefault="00AF29C1" w:rsidP="00AF29C1">
      <w:pPr>
        <w:pStyle w:val="Bullet1"/>
      </w:pPr>
      <w:r>
        <w:rPr>
          <w:lang w:val="en-US"/>
        </w:rPr>
        <w:lastRenderedPageBreak/>
        <w:t>questions on the practical implementation of the Nairobi Convention which will be examined as the project moves forward.</w:t>
      </w:r>
    </w:p>
    <w:p w14:paraId="10B4D948" w14:textId="110B4E84" w:rsidR="00AF29C1" w:rsidRPr="001D7737" w:rsidRDefault="00AF29C1" w:rsidP="00AF29C1">
      <w:pPr>
        <w:pStyle w:val="Bullet1"/>
      </w:pPr>
      <w:r>
        <w:rPr>
          <w:lang w:val="en-US"/>
        </w:rPr>
        <w:t>editorial input which has been considered and included throughout the RIS.</w:t>
      </w:r>
    </w:p>
    <w:p w14:paraId="4DB3E27F" w14:textId="77777777" w:rsidR="00C0428C" w:rsidRDefault="00AF29C1" w:rsidP="001D7737">
      <w:pPr>
        <w:pStyle w:val="Heading4Numbered"/>
        <w:numPr>
          <w:ilvl w:val="0"/>
          <w:numId w:val="0"/>
        </w:numPr>
        <w:ind w:left="1134" w:hanging="1134"/>
        <w:jc w:val="both"/>
      </w:pPr>
      <w:r w:rsidRPr="00C719A0">
        <w:t>Amended draft RIS</w:t>
      </w:r>
      <w:r w:rsidRPr="001D7737">
        <w:t xml:space="preserve"> </w:t>
      </w:r>
    </w:p>
    <w:p w14:paraId="1E8CDB14" w14:textId="00DC7F59" w:rsidR="00C0428C" w:rsidRDefault="00C0428C" w:rsidP="00C0428C">
      <w:r w:rsidRPr="00033DEE">
        <w:t>The submissions received in response to the first draft RIS</w:t>
      </w:r>
      <w:r>
        <w:t xml:space="preserve"> raised questions and issues about the scope of some options. While there was significant support for Option 3B (accession to the Nairobi Convention and its application in the EEZ and the territorial sea), further </w:t>
      </w:r>
      <w:r w:rsidR="005707BB">
        <w:t xml:space="preserve">lines of inquiry and </w:t>
      </w:r>
      <w:r>
        <w:t xml:space="preserve">research undertaken by the Department </w:t>
      </w:r>
      <w:r w:rsidR="005707BB">
        <w:t xml:space="preserve">showed </w:t>
      </w:r>
      <w:r>
        <w:t xml:space="preserve">it was </w:t>
      </w:r>
      <w:r w:rsidR="00DB148B">
        <w:t>necessary</w:t>
      </w:r>
      <w:r w:rsidR="005707BB">
        <w:t xml:space="preserve"> </w:t>
      </w:r>
      <w:r>
        <w:t xml:space="preserve">to replace options 3A, 3B and 4. The inclusion of DCVs and recreational vessels in a Nairobi Convention framework </w:t>
      </w:r>
      <w:r w:rsidR="006457FA">
        <w:t>c</w:t>
      </w:r>
      <w:r>
        <w:t>ould no longer be considered separately, but rather</w:t>
      </w:r>
      <w:r w:rsidR="00720F35" w:rsidRPr="00720F35">
        <w:t xml:space="preserve"> was required</w:t>
      </w:r>
      <w:r>
        <w:t xml:space="preserve"> as part of each accession option.</w:t>
      </w:r>
    </w:p>
    <w:p w14:paraId="1CBD4AE3" w14:textId="77777777" w:rsidR="00C0428C" w:rsidRDefault="00C0428C" w:rsidP="00C0428C">
      <w:r>
        <w:t>The amended options for the RIS are now:</w:t>
      </w:r>
    </w:p>
    <w:p w14:paraId="24EE97EB" w14:textId="77777777" w:rsidR="00C0428C" w:rsidRDefault="00C0428C" w:rsidP="00F25305">
      <w:pPr>
        <w:pStyle w:val="Bullet1"/>
        <w:numPr>
          <w:ilvl w:val="0"/>
          <w:numId w:val="12"/>
        </w:numPr>
      </w:pPr>
      <w:r w:rsidRPr="00021E72">
        <w:t xml:space="preserve">maintain the status </w:t>
      </w:r>
      <w:r w:rsidRPr="001F7CB5">
        <w:t>quo</w:t>
      </w:r>
    </w:p>
    <w:p w14:paraId="7046E7B6" w14:textId="77777777" w:rsidR="00C0428C" w:rsidRPr="00B703F0" w:rsidRDefault="00C0428C" w:rsidP="00F25305">
      <w:pPr>
        <w:pStyle w:val="Bullet1"/>
        <w:numPr>
          <w:ilvl w:val="0"/>
          <w:numId w:val="12"/>
        </w:numPr>
      </w:pPr>
      <w:r w:rsidRPr="00B703F0">
        <w:t xml:space="preserve">amend the </w:t>
      </w:r>
      <w:r w:rsidRPr="00021E72">
        <w:t xml:space="preserve">Navigation Act 2012 (Navigation Act) </w:t>
      </w:r>
      <w:r w:rsidRPr="00B703F0">
        <w:t xml:space="preserve">consistent with the Nairobi Convention but without accession. </w:t>
      </w:r>
    </w:p>
    <w:p w14:paraId="6B342D0C" w14:textId="77777777" w:rsidR="00C0428C" w:rsidRPr="00B703F0" w:rsidRDefault="00C0428C" w:rsidP="00F25305">
      <w:pPr>
        <w:pStyle w:val="Bullet1"/>
        <w:numPr>
          <w:ilvl w:val="0"/>
          <w:numId w:val="12"/>
        </w:numPr>
      </w:pPr>
      <w:r w:rsidRPr="00B703F0">
        <w:t>Australia accedes to the Nairobi Convention</w:t>
      </w:r>
      <w:r w:rsidRPr="00021E72">
        <w:t xml:space="preserve"> and applies it to all ships in the EEZ.</w:t>
      </w:r>
    </w:p>
    <w:p w14:paraId="4BB10FFB" w14:textId="77777777" w:rsidR="00C0428C" w:rsidRDefault="00C0428C" w:rsidP="00F25305">
      <w:pPr>
        <w:pStyle w:val="Bullet1"/>
        <w:numPr>
          <w:ilvl w:val="0"/>
          <w:numId w:val="12"/>
        </w:numPr>
      </w:pPr>
      <w:r w:rsidRPr="00B703F0">
        <w:t xml:space="preserve">Australia accedes to the Nairobi Convention and applies it </w:t>
      </w:r>
      <w:r w:rsidRPr="00021E72">
        <w:t>to all ships in the EEZ and territorial sea</w:t>
      </w:r>
      <w:r w:rsidRPr="00B703F0">
        <w:t xml:space="preserve">. </w:t>
      </w:r>
    </w:p>
    <w:p w14:paraId="11A253EB" w14:textId="6871FFC6" w:rsidR="00F25305" w:rsidRDefault="00C0428C" w:rsidP="00C0428C">
      <w:r>
        <w:t xml:space="preserve">On </w:t>
      </w:r>
      <w:r w:rsidR="00F25305">
        <w:t>18</w:t>
      </w:r>
      <w:r>
        <w:t xml:space="preserve"> March 2022, the Department sen</w:t>
      </w:r>
      <w:r w:rsidR="00354004">
        <w:t>t</w:t>
      </w:r>
      <w:r>
        <w:t xml:space="preserve"> the amended draft RIS to the same cohort of stakeholders who received the draft RIS.</w:t>
      </w:r>
      <w:r w:rsidR="00F25305">
        <w:t xml:space="preserve"> The Department received 5 submissions in response to the amended draft RIS. The submissions</w:t>
      </w:r>
      <w:r>
        <w:t xml:space="preserve"> </w:t>
      </w:r>
      <w:r w:rsidR="00F25305">
        <w:t xml:space="preserve">were generally supportive of the new recommended option with feedback tending to focus on implementation issues to be examined in the next stage of the project. </w:t>
      </w:r>
    </w:p>
    <w:p w14:paraId="591B042E" w14:textId="161FD628" w:rsidR="00270585" w:rsidRPr="00B703F0" w:rsidRDefault="00270585" w:rsidP="001D7737">
      <w:pPr>
        <w:pStyle w:val="Heading2Numbered"/>
        <w:jc w:val="both"/>
      </w:pPr>
      <w:bookmarkStart w:id="93" w:name="_Toc96353946"/>
      <w:bookmarkStart w:id="94" w:name="_Toc96354500"/>
      <w:bookmarkStart w:id="95" w:name="_Toc96505438"/>
      <w:bookmarkStart w:id="96" w:name="_Toc96506008"/>
      <w:bookmarkStart w:id="97" w:name="_Toc96518267"/>
      <w:bookmarkStart w:id="98" w:name="_Toc96518817"/>
      <w:bookmarkStart w:id="99" w:name="_Toc76119088"/>
      <w:bookmarkStart w:id="100" w:name="_Toc76121817"/>
      <w:bookmarkStart w:id="101" w:name="_Toc76397321"/>
      <w:bookmarkStart w:id="102" w:name="_Toc76717733"/>
      <w:bookmarkStart w:id="103" w:name="_Toc77575380"/>
      <w:bookmarkStart w:id="104" w:name="_Toc89938409"/>
      <w:bookmarkStart w:id="105" w:name="_Toc96354501"/>
      <w:bookmarkStart w:id="106" w:name="_Toc105060779"/>
      <w:bookmarkEnd w:id="93"/>
      <w:bookmarkEnd w:id="94"/>
      <w:bookmarkEnd w:id="95"/>
      <w:bookmarkEnd w:id="96"/>
      <w:bookmarkEnd w:id="97"/>
      <w:bookmarkEnd w:id="98"/>
      <w:r w:rsidRPr="00B703F0">
        <w:t>Key issues raised</w:t>
      </w:r>
      <w:bookmarkEnd w:id="99"/>
      <w:bookmarkEnd w:id="100"/>
      <w:bookmarkEnd w:id="101"/>
      <w:bookmarkEnd w:id="102"/>
      <w:bookmarkEnd w:id="103"/>
      <w:bookmarkEnd w:id="104"/>
      <w:r w:rsidR="00AF29C1">
        <w:t xml:space="preserve"> in consultation</w:t>
      </w:r>
      <w:bookmarkEnd w:id="105"/>
      <w:bookmarkEnd w:id="106"/>
    </w:p>
    <w:p w14:paraId="4C688B3E" w14:textId="4DE91CD2" w:rsidR="001A088D" w:rsidRPr="00B703F0" w:rsidRDefault="001A088D" w:rsidP="00D84869">
      <w:pPr>
        <w:pStyle w:val="Heading4Numbered"/>
        <w:numPr>
          <w:ilvl w:val="0"/>
          <w:numId w:val="0"/>
        </w:numPr>
        <w:jc w:val="both"/>
      </w:pPr>
      <w:r w:rsidRPr="00B703F0">
        <w:t>Registered owner</w:t>
      </w:r>
    </w:p>
    <w:p w14:paraId="61B2A768" w14:textId="58A3BD2A" w:rsidR="001A088D" w:rsidRPr="00B703F0" w:rsidRDefault="001A088D" w:rsidP="00A25C84">
      <w:r w:rsidRPr="00B703F0">
        <w:t>There were divided opinions</w:t>
      </w:r>
      <w:r w:rsidR="00A244B3">
        <w:t xml:space="preserve"> in the submissions to the 2020 Discussion Paper</w:t>
      </w:r>
      <w:r w:rsidRPr="00B703F0">
        <w:t xml:space="preserve"> on whether the ‘registered owner’ </w:t>
      </w:r>
      <w:r w:rsidR="00E440DD" w:rsidRPr="00B703F0">
        <w:t xml:space="preserve">of a ship </w:t>
      </w:r>
      <w:r w:rsidRPr="00B703F0">
        <w:t xml:space="preserve">was the most appropriate party to be held strictly liable for wreck-related costs. Some submissions suggested charterers and/or ship operators may be just as appropriate and better placed to pay for any </w:t>
      </w:r>
      <w:r w:rsidR="00274460">
        <w:t>wreck</w:t>
      </w:r>
      <w:r w:rsidR="00274460">
        <w:noBreakHyphen/>
        <w:t xml:space="preserve">related </w:t>
      </w:r>
      <w:r w:rsidRPr="00B703F0">
        <w:t xml:space="preserve">costs. </w:t>
      </w:r>
    </w:p>
    <w:p w14:paraId="1DCD317A" w14:textId="2D7D5DB3" w:rsidR="001A088D" w:rsidRPr="00B703F0" w:rsidRDefault="001A088D" w:rsidP="00A25C84">
      <w:r w:rsidRPr="00B703F0">
        <w:t>The Department has chosen t</w:t>
      </w:r>
      <w:r w:rsidR="0068290E">
        <w:t>o present options in this</w:t>
      </w:r>
      <w:r w:rsidRPr="00B703F0">
        <w:t xml:space="preserve"> RIS that </w:t>
      </w:r>
      <w:r w:rsidR="00E440DD" w:rsidRPr="00B703F0">
        <w:t>do not amend the text of the</w:t>
      </w:r>
      <w:r w:rsidRPr="00B703F0">
        <w:t xml:space="preserve"> </w:t>
      </w:r>
      <w:r w:rsidR="00CE6E63" w:rsidRPr="00B703F0">
        <w:t xml:space="preserve">Nairobi Convention </w:t>
      </w:r>
      <w:r w:rsidRPr="00B703F0">
        <w:t xml:space="preserve">to ensure international consistency. Under international law, any deviation from the </w:t>
      </w:r>
      <w:r w:rsidR="00CE6E63" w:rsidRPr="00B703F0">
        <w:t xml:space="preserve">Nairobi Convention </w:t>
      </w:r>
      <w:r w:rsidRPr="00B703F0">
        <w:t xml:space="preserve">text would only apply where the Australian Government has the power to legislate under the Constitution. </w:t>
      </w:r>
      <w:r w:rsidR="00A114E6" w:rsidRPr="00B703F0">
        <w:t>Adopting a broader liability provision</w:t>
      </w:r>
      <w:r w:rsidRPr="00B703F0">
        <w:t xml:space="preserve"> would create a dual system for foreign vessels where the ship owner alone is liable for wrecks in the EEZ, while the owner, charter and</w:t>
      </w:r>
      <w:r w:rsidR="00E440DD" w:rsidRPr="00B703F0">
        <w:t>/or</w:t>
      </w:r>
      <w:r w:rsidRPr="00B703F0">
        <w:t xml:space="preserve"> operator would be liable for wrecks in the </w:t>
      </w:r>
      <w:r w:rsidR="00635073" w:rsidRPr="00B703F0">
        <w:t>territorial sea</w:t>
      </w:r>
      <w:r w:rsidRPr="00B703F0">
        <w:t xml:space="preserve">. </w:t>
      </w:r>
      <w:r w:rsidR="002874C6">
        <w:t>T</w:t>
      </w:r>
      <w:r w:rsidRPr="00B703F0">
        <w:t xml:space="preserve">his would unnecessarily complicate the legislative framework. </w:t>
      </w:r>
    </w:p>
    <w:p w14:paraId="63EFCFFD" w14:textId="6593CE2A" w:rsidR="001A088D" w:rsidRPr="00B703F0" w:rsidRDefault="001A088D" w:rsidP="00A25C84">
      <w:r w:rsidRPr="00B703F0">
        <w:t xml:space="preserve">The Department also believes holding the registered owner of a ship strictly liable would facilitate timely notifications and cost recovery actions, as the owner can be easily identified through the appropriate </w:t>
      </w:r>
      <w:r w:rsidR="003B5B30" w:rsidRPr="00B703F0">
        <w:t>Flag S</w:t>
      </w:r>
      <w:r w:rsidRPr="00B703F0">
        <w:t>tate registry</w:t>
      </w:r>
      <w:r w:rsidR="00CF3B44">
        <w:t xml:space="preserve"> or directly from the ship operator/Master</w:t>
      </w:r>
      <w:r w:rsidRPr="00B703F0">
        <w:t xml:space="preserve">. There is also nothing preventing a ship owner from </w:t>
      </w:r>
      <w:r w:rsidR="00A114E6" w:rsidRPr="00B703F0">
        <w:t xml:space="preserve">then </w:t>
      </w:r>
      <w:r w:rsidRPr="00B703F0">
        <w:t xml:space="preserve">seeking reimbursement for any wreck-related costs from the </w:t>
      </w:r>
      <w:r w:rsidR="00391F1D" w:rsidRPr="00B703F0">
        <w:t xml:space="preserve">ship </w:t>
      </w:r>
      <w:r w:rsidRPr="00B703F0">
        <w:t>charter</w:t>
      </w:r>
      <w:r w:rsidR="002874C6">
        <w:t>er</w:t>
      </w:r>
      <w:r w:rsidRPr="00B703F0">
        <w:t xml:space="preserve"> or operator through their </w:t>
      </w:r>
      <w:r w:rsidR="00E440DD" w:rsidRPr="00B703F0">
        <w:t xml:space="preserve">commercial </w:t>
      </w:r>
      <w:r w:rsidRPr="00B703F0">
        <w:t>contractual arrangements.</w:t>
      </w:r>
    </w:p>
    <w:p w14:paraId="0EA66A0A" w14:textId="0DDDCE47" w:rsidR="00A960C7" w:rsidRPr="00B703F0" w:rsidRDefault="00A960C7" w:rsidP="001D7737">
      <w:pPr>
        <w:pStyle w:val="Heading4Numbered"/>
        <w:numPr>
          <w:ilvl w:val="0"/>
          <w:numId w:val="0"/>
        </w:numPr>
        <w:ind w:left="1134" w:hanging="1134"/>
        <w:jc w:val="both"/>
      </w:pPr>
      <w:r>
        <w:t>Lowering the GT threshold to hold insurance</w:t>
      </w:r>
    </w:p>
    <w:p w14:paraId="4CB22BBF" w14:textId="55B57402" w:rsidR="001A088D" w:rsidRPr="00B703F0" w:rsidRDefault="001A088D" w:rsidP="00E719A6">
      <w:r w:rsidRPr="00B703F0">
        <w:t>Several submissions expressed the view</w:t>
      </w:r>
      <w:r w:rsidR="003F2FF7">
        <w:t xml:space="preserve"> that</w:t>
      </w:r>
      <w:r w:rsidRPr="00B703F0">
        <w:t xml:space="preserve"> </w:t>
      </w:r>
      <w:r w:rsidR="003377A7" w:rsidRPr="00B703F0">
        <w:t xml:space="preserve">the insurance threshold should be lowered to increase the number of </w:t>
      </w:r>
      <w:r w:rsidR="00AC5FBC">
        <w:t>ships</w:t>
      </w:r>
      <w:r w:rsidR="003377A7" w:rsidRPr="00B703F0">
        <w:t xml:space="preserve"> covered and so </w:t>
      </w:r>
      <w:r w:rsidRPr="00B703F0">
        <w:t xml:space="preserve">enhance the Australian Government’s ability to cost recover after a wreck incident. The Department </w:t>
      </w:r>
      <w:r w:rsidR="00A114E6" w:rsidRPr="00B703F0">
        <w:t>does</w:t>
      </w:r>
      <w:r w:rsidRPr="00B703F0">
        <w:t xml:space="preserve"> not agree with this proposal as: </w:t>
      </w:r>
    </w:p>
    <w:p w14:paraId="6A45191F" w14:textId="1F7A7D3D" w:rsidR="001A088D" w:rsidRPr="00B703F0" w:rsidRDefault="001A088D" w:rsidP="00A25C84">
      <w:pPr>
        <w:pStyle w:val="Bullet1"/>
        <w:rPr>
          <w:lang w:val="en-AU"/>
        </w:rPr>
      </w:pPr>
      <w:r w:rsidRPr="00B703F0">
        <w:rPr>
          <w:lang w:val="en-AU"/>
        </w:rPr>
        <w:t xml:space="preserve">Australia should implement the original </w:t>
      </w:r>
      <w:r w:rsidR="00CE6E63" w:rsidRPr="00B703F0">
        <w:rPr>
          <w:lang w:val="en-AU"/>
        </w:rPr>
        <w:t>Nairobi Convention</w:t>
      </w:r>
      <w:r w:rsidRPr="00B703F0">
        <w:rPr>
          <w:lang w:val="en-AU"/>
        </w:rPr>
        <w:t xml:space="preserve"> text to ensure international consistency and for the reasons </w:t>
      </w:r>
      <w:r w:rsidR="0024451C" w:rsidRPr="00B703F0">
        <w:rPr>
          <w:lang w:val="en-AU"/>
        </w:rPr>
        <w:t xml:space="preserve">on minimal cross-subsidisation </w:t>
      </w:r>
      <w:r w:rsidRPr="00B703F0">
        <w:rPr>
          <w:lang w:val="en-AU"/>
        </w:rPr>
        <w:t xml:space="preserve">outlined above. </w:t>
      </w:r>
    </w:p>
    <w:p w14:paraId="79793F3C" w14:textId="1A57021E" w:rsidR="001A088D" w:rsidRPr="00B703F0" w:rsidRDefault="001A088D" w:rsidP="00A25C84">
      <w:pPr>
        <w:pStyle w:val="Bullet1"/>
        <w:rPr>
          <w:lang w:val="en-AU"/>
        </w:rPr>
      </w:pPr>
      <w:r w:rsidRPr="00B703F0">
        <w:rPr>
          <w:lang w:val="en-AU"/>
        </w:rPr>
        <w:t xml:space="preserve">smaller </w:t>
      </w:r>
      <w:r w:rsidR="00AC5FBC">
        <w:rPr>
          <w:lang w:val="en-AU"/>
        </w:rPr>
        <w:t>ships</w:t>
      </w:r>
      <w:r w:rsidRPr="00B703F0">
        <w:rPr>
          <w:lang w:val="en-AU"/>
        </w:rPr>
        <w:t xml:space="preserve"> would be likely to purchase fixed premium insurance policies, rather than P&amp;I Club policies, which </w:t>
      </w:r>
      <w:r w:rsidR="0024451C" w:rsidRPr="00B703F0">
        <w:rPr>
          <w:lang w:val="en-AU"/>
        </w:rPr>
        <w:t xml:space="preserve">can be </w:t>
      </w:r>
      <w:r w:rsidRPr="00B703F0">
        <w:rPr>
          <w:lang w:val="en-AU"/>
        </w:rPr>
        <w:t>of questionable quality and value</w:t>
      </w:r>
      <w:r w:rsidR="00CF3B44">
        <w:rPr>
          <w:lang w:val="en-AU"/>
        </w:rPr>
        <w:t xml:space="preserve"> in a wreck situation</w:t>
      </w:r>
      <w:r w:rsidRPr="00B703F0">
        <w:rPr>
          <w:lang w:val="en-AU"/>
        </w:rPr>
        <w:t xml:space="preserve">. </w:t>
      </w:r>
    </w:p>
    <w:p w14:paraId="77E1B930" w14:textId="7215B964" w:rsidR="001A088D" w:rsidRPr="00B703F0" w:rsidRDefault="001A088D" w:rsidP="0093475D">
      <w:r w:rsidRPr="00B703F0">
        <w:t xml:space="preserve">For example, Queensland legislation requires </w:t>
      </w:r>
      <w:r w:rsidR="00AC5FBC">
        <w:t>ships</w:t>
      </w:r>
      <w:r w:rsidRPr="00B703F0">
        <w:t xml:space="preserve"> over 15 metres in length to hold wreck-related insura</w:t>
      </w:r>
      <w:r w:rsidR="00A114E6" w:rsidRPr="00B703F0">
        <w:t xml:space="preserve">nce </w:t>
      </w:r>
      <w:r w:rsidR="005414DD" w:rsidRPr="00B703F0">
        <w:rPr>
          <w:rFonts w:eastAsia="Times New Roman"/>
        </w:rPr>
        <w:t xml:space="preserve">to cover both the clean-up costs of pollutants discharged from the ship into coastal waters and the costs of salvage or removal of a ship in the event it is wrecked or abandoned in coastal waters. Coverage limits are set out in the </w:t>
      </w:r>
      <w:r w:rsidR="005414DD" w:rsidRPr="00491883">
        <w:rPr>
          <w:rFonts w:eastAsia="Times New Roman"/>
          <w:iCs/>
        </w:rPr>
        <w:t xml:space="preserve">Transport Operations (Marine Pollution) </w:t>
      </w:r>
      <w:r w:rsidR="00491883" w:rsidRPr="00491883">
        <w:rPr>
          <w:rFonts w:eastAsia="Times New Roman"/>
          <w:iCs/>
        </w:rPr>
        <w:t>Regulation</w:t>
      </w:r>
      <w:r w:rsidR="00491883">
        <w:rPr>
          <w:rFonts w:eastAsia="Times New Roman"/>
          <w:iCs/>
        </w:rPr>
        <w:t>s</w:t>
      </w:r>
      <w:r w:rsidR="00491883" w:rsidRPr="00491883">
        <w:rPr>
          <w:rFonts w:eastAsia="Times New Roman"/>
          <w:iCs/>
        </w:rPr>
        <w:t xml:space="preserve"> 2018 </w:t>
      </w:r>
      <w:r w:rsidR="005414DD" w:rsidRPr="00B703F0">
        <w:rPr>
          <w:rFonts w:eastAsia="Times New Roman"/>
          <w:iCs/>
        </w:rPr>
        <w:t xml:space="preserve">(Qld). </w:t>
      </w:r>
      <w:r w:rsidR="0093475D" w:rsidRPr="00B703F0">
        <w:rPr>
          <w:rFonts w:eastAsia="Times New Roman"/>
          <w:iCs/>
        </w:rPr>
        <w:t xml:space="preserve">Maritime Safety Queensland </w:t>
      </w:r>
      <w:r w:rsidR="00FF3FD0" w:rsidRPr="00B703F0">
        <w:rPr>
          <w:rFonts w:eastAsia="Times New Roman"/>
          <w:iCs/>
        </w:rPr>
        <w:t xml:space="preserve">outlined in their submission that </w:t>
      </w:r>
      <w:r w:rsidR="0093475D" w:rsidRPr="00B703F0">
        <w:rPr>
          <w:rFonts w:eastAsia="Times New Roman"/>
          <w:iCs/>
        </w:rPr>
        <w:t xml:space="preserve">ship owners </w:t>
      </w:r>
      <w:r w:rsidR="0093475D" w:rsidRPr="00B703F0">
        <w:rPr>
          <w:rFonts w:eastAsia="Times New Roman"/>
          <w:iCs/>
        </w:rPr>
        <w:lastRenderedPageBreak/>
        <w:t>generally purchase fixed premium policies that frequently refuse</w:t>
      </w:r>
      <w:r w:rsidR="00FF3FD0" w:rsidRPr="00B703F0">
        <w:rPr>
          <w:rFonts w:eastAsia="Times New Roman"/>
          <w:iCs/>
        </w:rPr>
        <w:t xml:space="preserve"> wreck-related </w:t>
      </w:r>
      <w:r w:rsidR="0093475D" w:rsidRPr="00B703F0">
        <w:rPr>
          <w:rFonts w:eastAsia="Times New Roman"/>
          <w:iCs/>
        </w:rPr>
        <w:t>claims</w:t>
      </w:r>
      <w:r w:rsidR="00491883">
        <w:rPr>
          <w:rFonts w:eastAsia="Times New Roman"/>
          <w:iCs/>
        </w:rPr>
        <w:t xml:space="preserve"> due to factors such as seaworthiness of the ship</w:t>
      </w:r>
      <w:r w:rsidR="0093475D" w:rsidRPr="00B703F0">
        <w:rPr>
          <w:rFonts w:eastAsia="Times New Roman"/>
          <w:iCs/>
        </w:rPr>
        <w:t xml:space="preserve">. </w:t>
      </w:r>
      <w:r w:rsidRPr="00B703F0">
        <w:t xml:space="preserve">They </w:t>
      </w:r>
      <w:r w:rsidR="00FF3FD0" w:rsidRPr="00B703F0">
        <w:t xml:space="preserve">have </w:t>
      </w:r>
      <w:r w:rsidRPr="00B703F0">
        <w:t xml:space="preserve">also found most wrecked </w:t>
      </w:r>
      <w:r w:rsidR="00AC5FBC">
        <w:t>ships</w:t>
      </w:r>
      <w:r w:rsidRPr="00B703F0">
        <w:t xml:space="preserve"> caused a hazard after they are abandoned and at </w:t>
      </w:r>
      <w:r w:rsidR="00E304AE" w:rsidRPr="00B703F0">
        <w:t xml:space="preserve">that </w:t>
      </w:r>
      <w:r w:rsidRPr="00B703F0">
        <w:t>point there is rarely an active insurance policy in place to enable cost recovery.</w:t>
      </w:r>
      <w:r w:rsidR="00FF3FD0" w:rsidRPr="00B703F0">
        <w:rPr>
          <w:rStyle w:val="FootnoteReference"/>
        </w:rPr>
        <w:footnoteReference w:id="63"/>
      </w:r>
    </w:p>
    <w:p w14:paraId="298A5B1A" w14:textId="7EAEAE62" w:rsidR="001A088D" w:rsidRPr="00B703F0" w:rsidRDefault="009C1017" w:rsidP="00D84869">
      <w:pPr>
        <w:pStyle w:val="Heading4Numbered"/>
        <w:numPr>
          <w:ilvl w:val="0"/>
          <w:numId w:val="0"/>
        </w:numPr>
        <w:ind w:left="1134" w:hanging="1134"/>
        <w:jc w:val="both"/>
      </w:pPr>
      <w:r>
        <w:t>Insurance for</w:t>
      </w:r>
      <w:r w:rsidR="00A960C7">
        <w:t xml:space="preserve"> DCVs</w:t>
      </w:r>
    </w:p>
    <w:p w14:paraId="3BD5C73E" w14:textId="70C7BFA7" w:rsidR="001A088D" w:rsidRPr="00B703F0" w:rsidRDefault="001A088D" w:rsidP="00A25C84">
      <w:r w:rsidRPr="00B703F0">
        <w:t>As stated previously</w:t>
      </w:r>
      <w:r w:rsidR="00FD019D">
        <w:t>,</w:t>
      </w:r>
      <w:r w:rsidRPr="00B703F0">
        <w:t xml:space="preserve"> the definition of ‘ship’ in the </w:t>
      </w:r>
      <w:r w:rsidR="00CE6E63" w:rsidRPr="00B703F0">
        <w:t xml:space="preserve">Nairobi Convention </w:t>
      </w:r>
      <w:r w:rsidRPr="00B703F0">
        <w:t xml:space="preserve">is broad enough to allow the Australian Government to consider expanding its wreck removal legislation to include DCVs. Currently, the wreck removal provisions contained in the </w:t>
      </w:r>
      <w:r w:rsidR="00A1212E" w:rsidRPr="00B703F0">
        <w:t xml:space="preserve">Navigation Act </w:t>
      </w:r>
      <w:r w:rsidRPr="00B703F0">
        <w:t>only apply to foreign vessels and RAVs</w:t>
      </w:r>
      <w:r w:rsidR="0024451C" w:rsidRPr="00B703F0">
        <w:t>.</w:t>
      </w:r>
      <w:r w:rsidRPr="00B703F0">
        <w:t xml:space="preserve"> </w:t>
      </w:r>
      <w:r w:rsidR="0042670F" w:rsidRPr="00B703F0">
        <w:t xml:space="preserve">Non-safety regulation of </w:t>
      </w:r>
      <w:r w:rsidRPr="00B703F0">
        <w:t>DCV</w:t>
      </w:r>
      <w:r w:rsidR="003D3720" w:rsidRPr="00B703F0">
        <w:t xml:space="preserve">s falls to </w:t>
      </w:r>
      <w:r w:rsidRPr="00B703F0">
        <w:t xml:space="preserve">state and territory </w:t>
      </w:r>
      <w:r w:rsidR="003D3720" w:rsidRPr="00B703F0">
        <w:t>governments</w:t>
      </w:r>
      <w:r w:rsidRPr="00B703F0">
        <w:t xml:space="preserve">, which has created a number of jurisdictional </w:t>
      </w:r>
      <w:r w:rsidR="003D3720" w:rsidRPr="00B703F0">
        <w:t>variations</w:t>
      </w:r>
      <w:r w:rsidRPr="00B703F0">
        <w:t xml:space="preserve">. </w:t>
      </w:r>
    </w:p>
    <w:p w14:paraId="0901CA5D" w14:textId="77777777" w:rsidR="00A960C7" w:rsidRDefault="00A960C7" w:rsidP="00A960C7">
      <w:r w:rsidRPr="00B703F0">
        <w:t xml:space="preserve">The submissions </w:t>
      </w:r>
      <w:r>
        <w:t xml:space="preserve">to the 2020 Discussion Paper </w:t>
      </w:r>
      <w:r w:rsidRPr="00B703F0">
        <w:t xml:space="preserve">agreed there are no practical impediments to creating a requirement that DCVs </w:t>
      </w:r>
      <w:r>
        <w:t xml:space="preserve">and recreational vessels </w:t>
      </w:r>
      <w:r w:rsidRPr="00B703F0">
        <w:t xml:space="preserve">300 GT and over hold wreck-related insurance. This insurance is currently available and some owners may already be covered if they hold P&amp;I Club policies. </w:t>
      </w:r>
    </w:p>
    <w:p w14:paraId="3F23BA20" w14:textId="467DCA07" w:rsidR="00A960C7" w:rsidRDefault="00A960C7" w:rsidP="00A960C7">
      <w:bookmarkStart w:id="107" w:name="_Hlk116636101"/>
      <w:r w:rsidRPr="00B703F0">
        <w:t>There was disagreement whether requiring relevant DCVs to hold wreck</w:t>
      </w:r>
      <w:r>
        <w:t>-related</w:t>
      </w:r>
      <w:r w:rsidRPr="00B703F0">
        <w:t xml:space="preserve"> insurance would distort the market. </w:t>
      </w:r>
      <w:r w:rsidR="00B558C9">
        <w:t>A s</w:t>
      </w:r>
      <w:r w:rsidRPr="00B703F0">
        <w:t xml:space="preserve">ubmission </w:t>
      </w:r>
      <w:r w:rsidR="00B558C9">
        <w:t xml:space="preserve">from Shipping Australia </w:t>
      </w:r>
      <w:r w:rsidRPr="00B703F0">
        <w:t xml:space="preserve">raised concerns foreign vessels and RAVs would pay more in insurance premiums and make fewer claims, and so subsidise the insurance claims of </w:t>
      </w:r>
      <w:r>
        <w:t>smaller vessels</w:t>
      </w:r>
      <w:r w:rsidRPr="00B703F0">
        <w:t xml:space="preserve"> who would have cheaper premiums given their size but would be likely to make more claims.</w:t>
      </w:r>
      <w:r>
        <w:t xml:space="preserve"> </w:t>
      </w:r>
      <w:r w:rsidR="000E7402">
        <w:t xml:space="preserve">The Nairobi Convention broadly defines ships and accession would require Australia to include DCV’s within its regulatory framework. </w:t>
      </w:r>
      <w:r>
        <w:t>T</w:t>
      </w:r>
      <w:r w:rsidRPr="00B703F0">
        <w:t xml:space="preserve">he Department </w:t>
      </w:r>
      <w:r w:rsidR="00B558C9">
        <w:t xml:space="preserve">considered the concern raised by the shipping sector, </w:t>
      </w:r>
      <w:r w:rsidR="00EC0C3E">
        <w:t xml:space="preserve">however, </w:t>
      </w:r>
      <w:r w:rsidRPr="00B703F0">
        <w:t xml:space="preserve">does not </w:t>
      </w:r>
      <w:r>
        <w:t>believe</w:t>
      </w:r>
      <w:r w:rsidRPr="00B703F0">
        <w:t xml:space="preserve"> </w:t>
      </w:r>
      <w:r w:rsidR="000E7402">
        <w:t>including DCVs</w:t>
      </w:r>
      <w:r w:rsidRPr="00B703F0">
        <w:t xml:space="preserve"> would </w:t>
      </w:r>
      <w:r w:rsidR="00720F35">
        <w:t xml:space="preserve">cause distortion to </w:t>
      </w:r>
      <w:r w:rsidRPr="00B703F0">
        <w:t xml:space="preserve">occur given the </w:t>
      </w:r>
      <w:r w:rsidR="00720F35">
        <w:t xml:space="preserve">relatively </w:t>
      </w:r>
      <w:r w:rsidRPr="00B703F0">
        <w:t>small number of DCVs</w:t>
      </w:r>
      <w:r>
        <w:t xml:space="preserve"> and recreational vessels</w:t>
      </w:r>
      <w:r w:rsidRPr="00B703F0">
        <w:t xml:space="preserve"> that would meet the 300 GT threshold for mandatory insurance and the likelihood insurers would include incident rates when calculating premiums. </w:t>
      </w:r>
    </w:p>
    <w:p w14:paraId="6717000E" w14:textId="77777777" w:rsidR="00C76B22" w:rsidRPr="006E0342" w:rsidRDefault="00C76B22" w:rsidP="00C76B22">
      <w:pPr>
        <w:pStyle w:val="Heading4Numbered"/>
        <w:numPr>
          <w:ilvl w:val="0"/>
          <w:numId w:val="0"/>
        </w:numPr>
        <w:ind w:left="1134" w:hanging="1134"/>
        <w:jc w:val="both"/>
      </w:pPr>
      <w:bookmarkStart w:id="108" w:name="_Toc76119091"/>
      <w:bookmarkStart w:id="109" w:name="_Toc76121820"/>
      <w:bookmarkEnd w:id="107"/>
      <w:r>
        <w:t>Interoperability with</w:t>
      </w:r>
      <w:r w:rsidRPr="006E0342">
        <w:t xml:space="preserve"> existing frameworks   </w:t>
      </w:r>
    </w:p>
    <w:p w14:paraId="786A1769" w14:textId="0922C479" w:rsidR="00C76B22" w:rsidRDefault="00C76B22" w:rsidP="00C76B22">
      <w:r>
        <w:t xml:space="preserve">Stakeholders raised concerns </w:t>
      </w:r>
      <w:r w:rsidR="00A244B3">
        <w:t xml:space="preserve">in response to the draft RIS </w:t>
      </w:r>
      <w:r>
        <w:t xml:space="preserve">over the interoperability of the Nairobi Convention with existing wreck removal frameworks. Specifically, the wreck removal powers of the Great Barrier Reef Marine Park Authority (GBRMPA) and state and territory wreck legislation operating in coastal waters. </w:t>
      </w:r>
    </w:p>
    <w:p w14:paraId="010D8664" w14:textId="77777777" w:rsidR="00C76B22" w:rsidRDefault="00C76B22" w:rsidP="00C76B22">
      <w:pPr>
        <w:pStyle w:val="Heading5"/>
      </w:pPr>
      <w:r>
        <w:t>Great Barrier Reef Marine Park</w:t>
      </w:r>
    </w:p>
    <w:p w14:paraId="7EE95628" w14:textId="77777777" w:rsidR="00C76B22" w:rsidRDefault="00C76B22" w:rsidP="00C76B22">
      <w:r>
        <w:t>GBRMPA manages a wreck removal framework that provides a number of mechanisms to minimise environmental harm to the Great Barrier Reef by:</w:t>
      </w:r>
    </w:p>
    <w:p w14:paraId="589B46B3" w14:textId="4B269495" w:rsidR="00C76B22" w:rsidRPr="00497B1C" w:rsidRDefault="00C76B22" w:rsidP="00C76B22">
      <w:pPr>
        <w:pStyle w:val="Bullet1"/>
      </w:pPr>
      <w:r>
        <w:rPr>
          <w:lang w:val="en-US"/>
        </w:rPr>
        <w:t xml:space="preserve">controlling when use </w:t>
      </w:r>
      <w:r w:rsidR="0090793D">
        <w:rPr>
          <w:lang w:val="en-US"/>
        </w:rPr>
        <w:t xml:space="preserve">of </w:t>
      </w:r>
      <w:r>
        <w:rPr>
          <w:lang w:val="en-US"/>
        </w:rPr>
        <w:t>or entry into the Great Barrier Reef Marine Park is allowed.</w:t>
      </w:r>
    </w:p>
    <w:p w14:paraId="57F4244E" w14:textId="77777777" w:rsidR="00C76B22" w:rsidRPr="005E28BF" w:rsidRDefault="00C76B22" w:rsidP="00C76B22">
      <w:pPr>
        <w:pStyle w:val="Bullet1"/>
      </w:pPr>
      <w:r>
        <w:rPr>
          <w:lang w:val="en-US"/>
        </w:rPr>
        <w:t>issuing directions on conduct within the Great Barrier Reef Marine Park.</w:t>
      </w:r>
    </w:p>
    <w:p w14:paraId="4C21B806" w14:textId="77777777" w:rsidR="00C76B22" w:rsidRPr="005E28BF" w:rsidRDefault="00C76B22" w:rsidP="00C76B22">
      <w:pPr>
        <w:pStyle w:val="Bullet1"/>
      </w:pPr>
      <w:r>
        <w:rPr>
          <w:lang w:val="en-US"/>
        </w:rPr>
        <w:t xml:space="preserve">ordering the removal of abandoned, sunk, stranded, unpermitted property, as well as property with a potential to cause damage. </w:t>
      </w:r>
    </w:p>
    <w:p w14:paraId="449DA967" w14:textId="77777777" w:rsidR="00C76B22" w:rsidRPr="00415D76" w:rsidRDefault="00C76B22" w:rsidP="00C76B22">
      <w:pPr>
        <w:pStyle w:val="Bullet1"/>
      </w:pPr>
      <w:r w:rsidRPr="008D2132">
        <w:rPr>
          <w:lang w:val="en-US"/>
        </w:rPr>
        <w:t xml:space="preserve">remediating or preventing damage to the marine environment </w:t>
      </w:r>
      <w:r>
        <w:rPr>
          <w:lang w:val="en-US"/>
        </w:rPr>
        <w:t xml:space="preserve">through </w:t>
      </w:r>
      <w:r w:rsidRPr="008D2132">
        <w:rPr>
          <w:lang w:val="en-US"/>
        </w:rPr>
        <w:t>a cost recovery mechanism upon conviction of an offence</w:t>
      </w:r>
      <w:r>
        <w:rPr>
          <w:lang w:val="en-US"/>
        </w:rPr>
        <w:t>,</w:t>
      </w:r>
      <w:r w:rsidRPr="008D2132">
        <w:rPr>
          <w:lang w:val="en-US"/>
        </w:rPr>
        <w:t xml:space="preserve"> with no legislated cap</w:t>
      </w:r>
      <w:r>
        <w:rPr>
          <w:lang w:val="en-US"/>
        </w:rPr>
        <w:t>.</w:t>
      </w:r>
      <w:r w:rsidRPr="008D2132">
        <w:rPr>
          <w:lang w:val="en-US"/>
        </w:rPr>
        <w:t xml:space="preserve"> </w:t>
      </w:r>
    </w:p>
    <w:p w14:paraId="6F78AB7B" w14:textId="77777777" w:rsidR="00C76B22" w:rsidRPr="009619BC" w:rsidRDefault="00C76B22" w:rsidP="00C76B22">
      <w:pPr>
        <w:pStyle w:val="Bullet1"/>
      </w:pPr>
      <w:r>
        <w:rPr>
          <w:lang w:val="en-US"/>
        </w:rPr>
        <w:t>the Minister can also take steps to remove the property, as well as to repair, mitigate and prevent damage.</w:t>
      </w:r>
    </w:p>
    <w:p w14:paraId="03579070" w14:textId="62741D42" w:rsidR="00C76B22" w:rsidRDefault="00C76B22" w:rsidP="00C76B22">
      <w:pPr>
        <w:pStyle w:val="Bullet1"/>
        <w:numPr>
          <w:ilvl w:val="0"/>
          <w:numId w:val="0"/>
        </w:numPr>
        <w:rPr>
          <w:lang w:val="en-AU"/>
        </w:rPr>
      </w:pPr>
      <w:r>
        <w:rPr>
          <w:lang w:val="en-AU"/>
        </w:rPr>
        <w:t xml:space="preserve">The concerns centred on how the GRMPA regulatory framework and the Nairobi Convention could co-exist in a complementary and effective way.  </w:t>
      </w:r>
    </w:p>
    <w:p w14:paraId="1654BC9C" w14:textId="763FA298" w:rsidR="00C76B22" w:rsidRDefault="00C76B22" w:rsidP="00C76B22">
      <w:pPr>
        <w:pStyle w:val="Bullet1"/>
        <w:numPr>
          <w:ilvl w:val="0"/>
          <w:numId w:val="0"/>
        </w:numPr>
        <w:rPr>
          <w:lang w:val="en-GB"/>
        </w:rPr>
      </w:pPr>
      <w:r w:rsidRPr="00A960C7">
        <w:rPr>
          <w:lang w:val="en-AU"/>
        </w:rPr>
        <w:t xml:space="preserve">The Department has considered this issue </w:t>
      </w:r>
      <w:r w:rsidR="0090793D">
        <w:rPr>
          <w:lang w:val="en-AU"/>
        </w:rPr>
        <w:t xml:space="preserve">and </w:t>
      </w:r>
      <w:r w:rsidRPr="00A960C7">
        <w:rPr>
          <w:lang w:val="en-AU"/>
        </w:rPr>
        <w:t xml:space="preserve">does not believe accession to the Nairobi Convention would </w:t>
      </w:r>
      <w:r w:rsidR="00A960C7">
        <w:rPr>
          <w:lang w:val="en-AU"/>
        </w:rPr>
        <w:t xml:space="preserve">require changes to </w:t>
      </w:r>
      <w:r w:rsidRPr="00A960C7">
        <w:rPr>
          <w:lang w:val="en-AU"/>
        </w:rPr>
        <w:t>the GBRMPA legislative framework. Currently</w:t>
      </w:r>
      <w:r w:rsidR="00A960C7">
        <w:rPr>
          <w:lang w:val="en-AU"/>
        </w:rPr>
        <w:t>,</w:t>
      </w:r>
      <w:r w:rsidRPr="00A960C7">
        <w:rPr>
          <w:lang w:val="en-AU"/>
        </w:rPr>
        <w:t xml:space="preserve"> if an incident were to occur that could be managed by either </w:t>
      </w:r>
      <w:r w:rsidR="00A960C7">
        <w:rPr>
          <w:lang w:val="en-AU"/>
        </w:rPr>
        <w:t xml:space="preserve">the Commonwealth or GBRMPA </w:t>
      </w:r>
      <w:r w:rsidRPr="00A960C7">
        <w:rPr>
          <w:lang w:val="en-AU"/>
        </w:rPr>
        <w:t>wreck removal framework</w:t>
      </w:r>
      <w:r w:rsidR="00A960C7">
        <w:rPr>
          <w:lang w:val="en-AU"/>
        </w:rPr>
        <w:t>s</w:t>
      </w:r>
      <w:r w:rsidRPr="00A960C7">
        <w:rPr>
          <w:lang w:val="en-AU"/>
        </w:rPr>
        <w:t xml:space="preserve">, the Australian Government would consider which system would provide the best outcome on a case-by-case basis. Accession </w:t>
      </w:r>
      <w:r w:rsidR="00A960C7">
        <w:rPr>
          <w:lang w:val="en-AU"/>
        </w:rPr>
        <w:t>would not change this relationship</w:t>
      </w:r>
      <w:r w:rsidR="00720F35">
        <w:rPr>
          <w:lang w:val="en-AU"/>
        </w:rPr>
        <w:t xml:space="preserve"> as the wreck removal provisions in the GBRMPA legislative framework are consistent with the Nairobi Convention</w:t>
      </w:r>
      <w:r w:rsidR="00A960C7">
        <w:rPr>
          <w:lang w:val="en-AU"/>
        </w:rPr>
        <w:t>.</w:t>
      </w:r>
    </w:p>
    <w:p w14:paraId="5F77EBF6" w14:textId="77777777" w:rsidR="004D6589" w:rsidRDefault="004D6589" w:rsidP="004D6589">
      <w:pPr>
        <w:pStyle w:val="Heading5"/>
      </w:pPr>
      <w:r>
        <w:lastRenderedPageBreak/>
        <w:t xml:space="preserve">State and territory wreck removal legislation </w:t>
      </w:r>
    </w:p>
    <w:p w14:paraId="16A429D7" w14:textId="78DBEAFB" w:rsidR="004D6589" w:rsidRDefault="004D6589" w:rsidP="004D6589">
      <w:r>
        <w:t>Some state and territory wreck removal legislation applies to foreign vessels and RAVs when they create a wreck within coastal waters. Stakeholders raised concerns about the application of the Nairobi Convention i</w:t>
      </w:r>
      <w:r w:rsidR="009030CC">
        <w:t>n</w:t>
      </w:r>
      <w:r>
        <w:t xml:space="preserve"> that </w:t>
      </w:r>
      <w:r w:rsidR="00A960C7">
        <w:t>circumstance</w:t>
      </w:r>
      <w:r>
        <w:t>. The Department has considered this issue and does not believe accession to the Nairobi Convention would change how the Navigation Act and the state and territory wreck removal legislative frameworks intersect. Currently</w:t>
      </w:r>
      <w:r w:rsidR="00A960C7">
        <w:t>,</w:t>
      </w:r>
      <w:r>
        <w:t xml:space="preserve"> if an incident were to occur that could be managed by either wreck removal framework, the Australian Government and relevant state or territory department would consider which system would provide the highest chance of cost recovery on a case-by-case basis. Similar to the GBRMPA issue above, accession to the Nairobi Convention would amend the Navigation Act, not the relationship between the </w:t>
      </w:r>
      <w:r w:rsidR="00362B44">
        <w:t>2</w:t>
      </w:r>
      <w:r>
        <w:t xml:space="preserve"> regulatory frameworks. </w:t>
      </w:r>
    </w:p>
    <w:p w14:paraId="04FB0549" w14:textId="188167EF" w:rsidR="000C5941" w:rsidRDefault="004D6589" w:rsidP="004D6589">
      <w:r>
        <w:rPr>
          <w:lang w:val="en-GB"/>
        </w:rPr>
        <w:t>There are also concerns the Nairobi Convention may create a gap in regards to insurance requirements. In some jurisdictions (e.g. Queensland), s</w:t>
      </w:r>
      <w:r>
        <w:t xml:space="preserve">hips over 15 meters long operating in their coastal waters are required to hold insurance for pollution clean-up and salvage and wreck removal incidents – up to $10 million depending on the type of ship. This provision applies to all ships including recreational vessels, DCVs, RAVs and foreign vessels, </w:t>
      </w:r>
      <w:r w:rsidRPr="00E54E94">
        <w:t>regardless</w:t>
      </w:r>
      <w:r>
        <w:t xml:space="preserve"> of whether they are a party to the Nairobi Convention. The Nairobi Convention only requires RAVs and foreign vessels 300 GT and over to hold insurance – ships approximately 35 meters in length. </w:t>
      </w:r>
      <w:r w:rsidR="00EB5CA4">
        <w:t>Consequently, there</w:t>
      </w:r>
      <w:r w:rsidR="0049090D">
        <w:t xml:space="preserve"> may </w:t>
      </w:r>
      <w:r w:rsidR="00670336">
        <w:t xml:space="preserve">be </w:t>
      </w:r>
      <w:r w:rsidR="00C04C71">
        <w:t xml:space="preserve">some </w:t>
      </w:r>
      <w:r w:rsidR="00EB5CA4">
        <w:t xml:space="preserve">DCVs and recreational vessels that are required to hold wreck insurance in coastal waters under State law, but not </w:t>
      </w:r>
      <w:r w:rsidR="00C04C71">
        <w:t>have insurance</w:t>
      </w:r>
      <w:r w:rsidR="00EB5CA4">
        <w:t xml:space="preserve"> in the territorial sea and EEZ under the Nairobi Convention and Commonwealth law, which only </w:t>
      </w:r>
      <w:r w:rsidR="00C04C71">
        <w:t>applies to</w:t>
      </w:r>
      <w:r w:rsidR="00EB5CA4">
        <w:t xml:space="preserve"> RAVs and foreign vessels.</w:t>
      </w:r>
      <w:r w:rsidR="00C04C71">
        <w:t xml:space="preserve"> There may also be vessels that although are under Nairobi’s 300GT threshold must hold insurance in State coastal waters as the State applies a different threshold, such as QLD’s 15m threshold. </w:t>
      </w:r>
      <w:r w:rsidR="00EB5CA4">
        <w:t xml:space="preserve">  </w:t>
      </w:r>
      <w:r>
        <w:t xml:space="preserve">The Department recognises this is less than ideal but understands the Commonwealth and state/territory legislation can coexist. </w:t>
      </w:r>
    </w:p>
    <w:p w14:paraId="37AA7CD7" w14:textId="20CBFF16" w:rsidR="004D6589" w:rsidRDefault="004D6589" w:rsidP="004D6589">
      <w:r>
        <w:t xml:space="preserve">The Department will continue to consult with stakeholders when it enters the change and implementation phases to determine if these issues can be mitigated further. </w:t>
      </w:r>
    </w:p>
    <w:p w14:paraId="4D05C1DD" w14:textId="77777777" w:rsidR="000C5941" w:rsidRDefault="000C5941" w:rsidP="004D6589"/>
    <w:p w14:paraId="3F9BD642" w14:textId="77777777" w:rsidR="004D6589" w:rsidRPr="001D7737" w:rsidRDefault="004D6589" w:rsidP="004D6589">
      <w:pPr>
        <w:pStyle w:val="Heading4Numbered"/>
        <w:numPr>
          <w:ilvl w:val="0"/>
          <w:numId w:val="0"/>
        </w:numPr>
        <w:ind w:left="1134" w:hanging="1134"/>
        <w:jc w:val="both"/>
      </w:pPr>
      <w:r w:rsidRPr="001D7737">
        <w:t xml:space="preserve">Compulsory insurance provisions </w:t>
      </w:r>
    </w:p>
    <w:p w14:paraId="587787BA" w14:textId="19F10618" w:rsidR="004D6589" w:rsidRDefault="00A244B3" w:rsidP="004D6589">
      <w:pPr>
        <w:suppressAutoHyphens w:val="0"/>
        <w:spacing w:before="0" w:after="0"/>
      </w:pPr>
      <w:r>
        <w:t>In response to the draft RIS, s</w:t>
      </w:r>
      <w:r w:rsidR="004D6589">
        <w:t xml:space="preserve">takeholders raised a concern regarding the compulsory insurance regime, its application on RAVs and the implications for fixed premium insurance providers. The specific concerns were: </w:t>
      </w:r>
    </w:p>
    <w:p w14:paraId="7C9EDE08" w14:textId="67D34B1C" w:rsidR="004D6589" w:rsidRDefault="004D6589" w:rsidP="004D6589">
      <w:pPr>
        <w:pStyle w:val="Bullet1"/>
      </w:pPr>
      <w:r>
        <w:t xml:space="preserve">the ability to </w:t>
      </w:r>
      <w:r>
        <w:rPr>
          <w:lang w:val="en-US"/>
        </w:rPr>
        <w:t>recover wreck related costs</w:t>
      </w:r>
      <w:r>
        <w:t xml:space="preserve"> directly from an insurer under the Nairobi Convention should be subject to terms, limitations and exclusions</w:t>
      </w:r>
      <w:r>
        <w:rPr>
          <w:lang w:val="en-US"/>
        </w:rPr>
        <w:t xml:space="preserve"> of the insurance policy (e.g. </w:t>
      </w:r>
      <w:r>
        <w:rPr>
          <w:lang w:val="en-AU"/>
        </w:rPr>
        <w:t>acts of wilful misconduct performed by the registered owner)</w:t>
      </w:r>
      <w:r>
        <w:t>.</w:t>
      </w:r>
      <w:r>
        <w:rPr>
          <w:lang w:val="en-US"/>
        </w:rPr>
        <w:t xml:space="preserve"> These conditions of insurance are necessary for fixed premium providers to manage their risk given they do not have the same access to capital as the P&amp;I Clubs who can better spread the risk. </w:t>
      </w:r>
    </w:p>
    <w:p w14:paraId="75B8D595" w14:textId="77777777" w:rsidR="004D6589" w:rsidRPr="00C04022" w:rsidRDefault="004D6589" w:rsidP="004D6589">
      <w:pPr>
        <w:pStyle w:val="Bullet1"/>
      </w:pPr>
      <w:r>
        <w:rPr>
          <w:lang w:val="en-AU"/>
        </w:rPr>
        <w:t>Article 12(10) of the Nairobi Convention states that insurers may require the registered owner to be joined in court proceedings. Stakeholders believed this requirement would need further clarification in the enabling legislation to ensure the exclusions in fixed premium insurance policies could be activated</w:t>
      </w:r>
    </w:p>
    <w:p w14:paraId="2A3412EB" w14:textId="62E9A3C0" w:rsidR="00E00601" w:rsidRDefault="004D6589" w:rsidP="004D6589">
      <w:pPr>
        <w:pStyle w:val="Bullet1"/>
        <w:numPr>
          <w:ilvl w:val="0"/>
          <w:numId w:val="0"/>
        </w:numPr>
      </w:pPr>
      <w:r>
        <w:t>The Department recognised the issues raised by the insurance provider</w:t>
      </w:r>
      <w:r w:rsidR="000E7402">
        <w:rPr>
          <w:lang w:val="en-AU"/>
        </w:rPr>
        <w:t>,</w:t>
      </w:r>
      <w:r>
        <w:t xml:space="preserve"> however</w:t>
      </w:r>
      <w:r w:rsidR="000E7402">
        <w:rPr>
          <w:lang w:val="en-AU"/>
        </w:rPr>
        <w:t>,</w:t>
      </w:r>
      <w:r>
        <w:t xml:space="preserve"> considers Option </w:t>
      </w:r>
      <w:r w:rsidR="00B57EEB">
        <w:rPr>
          <w:lang w:val="en-US"/>
        </w:rPr>
        <w:t>3</w:t>
      </w:r>
      <w:r>
        <w:t xml:space="preserve"> (accession to the Nairobi Convention</w:t>
      </w:r>
      <w:r w:rsidR="00B57EEB">
        <w:rPr>
          <w:lang w:val="en-AU"/>
        </w:rPr>
        <w:t>,</w:t>
      </w:r>
      <w:r>
        <w:t xml:space="preserve"> applying it in the EEZ) remains as the best option.</w:t>
      </w:r>
      <w:r w:rsidRPr="00F5206E">
        <w:t xml:space="preserve"> </w:t>
      </w:r>
      <w:r>
        <w:t>The Department will continue to consult with stakeholders when it enters the change and implementation phases to determine if these issues can be mitigated further.</w:t>
      </w:r>
    </w:p>
    <w:p w14:paraId="3D0FAC50" w14:textId="38B22723" w:rsidR="002E1117" w:rsidRPr="00B703F0" w:rsidRDefault="007B1B12" w:rsidP="00760F89">
      <w:pPr>
        <w:pStyle w:val="Heading1Numbered"/>
      </w:pPr>
      <w:bookmarkStart w:id="110" w:name="_Toc96354502"/>
      <w:bookmarkStart w:id="111" w:name="_Toc105060780"/>
      <w:bookmarkEnd w:id="108"/>
      <w:bookmarkEnd w:id="109"/>
      <w:r w:rsidRPr="00B703F0">
        <w:t>Cost benefit a</w:t>
      </w:r>
      <w:r w:rsidR="002E1117" w:rsidRPr="00B703F0">
        <w:t>nalysis</w:t>
      </w:r>
      <w:bookmarkEnd w:id="110"/>
      <w:bookmarkEnd w:id="111"/>
    </w:p>
    <w:p w14:paraId="5F961F73" w14:textId="68E987CC" w:rsidR="00252FD4" w:rsidRPr="00A244B3" w:rsidRDefault="002A74E3" w:rsidP="002A74E3">
      <w:r w:rsidRPr="00A244B3">
        <w:t>The</w:t>
      </w:r>
      <w:r w:rsidR="007C58D1">
        <w:t xml:space="preserve"> full</w:t>
      </w:r>
      <w:r w:rsidRPr="00A244B3">
        <w:t xml:space="preserve"> </w:t>
      </w:r>
      <w:r w:rsidRPr="00A244B3">
        <w:rPr>
          <w:i/>
        </w:rPr>
        <w:t>Indicative Cost Benefit Analysis on Australia’s possible accession to the Nairobi Convention</w:t>
      </w:r>
      <w:r w:rsidRPr="00A244B3">
        <w:t xml:space="preserve">, including assumptions and explanations of underlining data is at </w:t>
      </w:r>
      <w:r w:rsidRPr="00A244B3">
        <w:rPr>
          <w:b/>
          <w:u w:val="single"/>
        </w:rPr>
        <w:t>Appendix C</w:t>
      </w:r>
      <w:r w:rsidRPr="00A244B3">
        <w:t xml:space="preserve">. </w:t>
      </w:r>
      <w:r w:rsidR="00A244B3" w:rsidRPr="00A244B3">
        <w:t>Some of t</w:t>
      </w:r>
      <w:r w:rsidR="00252FD4" w:rsidRPr="00A244B3">
        <w:t>he</w:t>
      </w:r>
      <w:r w:rsidR="00001BDF" w:rsidRPr="00A244B3">
        <w:t xml:space="preserve"> key</w:t>
      </w:r>
      <w:r w:rsidR="00252FD4" w:rsidRPr="00A244B3">
        <w:t xml:space="preserve"> </w:t>
      </w:r>
      <w:r w:rsidR="00015626" w:rsidRPr="00464629">
        <w:t>findings</w:t>
      </w:r>
      <w:r w:rsidR="00015626" w:rsidRPr="00A244B3">
        <w:t xml:space="preserve"> of the cost benefit analysis are </w:t>
      </w:r>
      <w:r w:rsidR="007C58D1">
        <w:t>summarised</w:t>
      </w:r>
      <w:r w:rsidR="007C58D1" w:rsidRPr="00A244B3">
        <w:t xml:space="preserve"> </w:t>
      </w:r>
      <w:r w:rsidR="00015626" w:rsidRPr="00A244B3">
        <w:t>below.</w:t>
      </w:r>
      <w:r w:rsidR="00015626">
        <w:t xml:space="preserve"> </w:t>
      </w:r>
    </w:p>
    <w:p w14:paraId="1CA585BC" w14:textId="70689135" w:rsidR="001300EB" w:rsidRPr="00B703F0" w:rsidRDefault="001300EB" w:rsidP="001300EB">
      <w:r w:rsidRPr="00B703F0">
        <w:t xml:space="preserve">It is difficult to undertake a typical cost benefit analysis of accession of the Nairobi Convention. This is primarily because </w:t>
      </w:r>
      <w:r w:rsidR="00BB5EDB">
        <w:t xml:space="preserve">the </w:t>
      </w:r>
      <w:r w:rsidR="0063362F">
        <w:t>infrequent occurrence</w:t>
      </w:r>
      <w:r w:rsidR="00BB5EDB">
        <w:t xml:space="preserve"> of incidents </w:t>
      </w:r>
      <w:r w:rsidR="007C58D1">
        <w:t>makes</w:t>
      </w:r>
      <w:r w:rsidR="007C58D1" w:rsidRPr="00B703F0">
        <w:t xml:space="preserve"> </w:t>
      </w:r>
      <w:r w:rsidRPr="00B703F0">
        <w:t xml:space="preserve">it difficult to quantify many of the key </w:t>
      </w:r>
      <w:r w:rsidR="0063362F">
        <w:t>benefits – most of which are only brought to light when a wreck occurs and are specific to that circumstance.</w:t>
      </w:r>
    </w:p>
    <w:p w14:paraId="505CE20F" w14:textId="2534AFF3" w:rsidR="001300EB" w:rsidRPr="00B703F0" w:rsidRDefault="001300EB" w:rsidP="001300EB">
      <w:r w:rsidRPr="00B703F0">
        <w:t xml:space="preserve">Figure </w:t>
      </w:r>
      <w:r w:rsidR="00C90FA1" w:rsidRPr="00B703F0">
        <w:t>4</w:t>
      </w:r>
      <w:r w:rsidRPr="00B703F0">
        <w:t xml:space="preserve"> summarises the key impacts of accession, with the elements split between those that are associated with ongoing expenses and those related to when a wreck incident occurs</w:t>
      </w:r>
      <w:r w:rsidR="00BB5EDB">
        <w:t xml:space="preserve">. The key economic benefits of accession arise when an incident occurs. </w:t>
      </w:r>
      <w:r w:rsidRPr="00B703F0">
        <w:t>Many other</w:t>
      </w:r>
      <w:r w:rsidR="0078459B">
        <w:t xml:space="preserve"> cost</w:t>
      </w:r>
      <w:r w:rsidRPr="00B703F0">
        <w:t xml:space="preserve"> impacts are associated with movements of costs between parties (that is, distributional effects) rather than providing net economic benefits.</w:t>
      </w:r>
    </w:p>
    <w:p w14:paraId="0E017F1F" w14:textId="7E902CA6" w:rsidR="001300EB" w:rsidRPr="00B703F0" w:rsidRDefault="00252FD4" w:rsidP="00713CA6">
      <w:pPr>
        <w:jc w:val="center"/>
      </w:pPr>
      <w:r>
        <w:rPr>
          <w:noProof/>
          <w:lang w:eastAsia="en-AU"/>
        </w:rPr>
        <w:lastRenderedPageBreak/>
        <w:drawing>
          <wp:inline distT="0" distB="0" distL="0" distR="0" wp14:anchorId="17A521CB" wp14:editId="4AB4CEC0">
            <wp:extent cx="5429833" cy="30765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36741" cy="3080489"/>
                    </a:xfrm>
                    <a:prstGeom prst="rect">
                      <a:avLst/>
                    </a:prstGeom>
                  </pic:spPr>
                </pic:pic>
              </a:graphicData>
            </a:graphic>
          </wp:inline>
        </w:drawing>
      </w:r>
      <w:r w:rsidRPr="00B703F0">
        <w:rPr>
          <w:noProof/>
          <w:lang w:eastAsia="en-AU"/>
        </w:rPr>
        <w:t xml:space="preserve"> </w:t>
      </w:r>
    </w:p>
    <w:p w14:paraId="5079B8D6" w14:textId="0DB11081" w:rsidR="008B4708" w:rsidRPr="00B703F0" w:rsidRDefault="008B4708" w:rsidP="008B4708">
      <w:pPr>
        <w:pStyle w:val="Caption"/>
        <w:jc w:val="center"/>
      </w:pPr>
      <w:bookmarkStart w:id="112" w:name="_Toc76120252"/>
      <w:bookmarkStart w:id="113" w:name="_Toc96343139"/>
      <w:bookmarkStart w:id="114" w:name="_Toc105060758"/>
      <w:r w:rsidRPr="00B703F0">
        <w:t xml:space="preserve">Figure </w:t>
      </w:r>
      <w:r w:rsidR="006A20A6">
        <w:rPr>
          <w:noProof/>
        </w:rPr>
        <w:t>4</w:t>
      </w:r>
      <w:r w:rsidRPr="00B703F0">
        <w:t>: Analytical framework</w:t>
      </w:r>
      <w:r w:rsidRPr="00B703F0">
        <w:rPr>
          <w:rStyle w:val="FootnoteReference"/>
        </w:rPr>
        <w:footnoteReference w:id="64"/>
      </w:r>
      <w:bookmarkEnd w:id="112"/>
      <w:bookmarkEnd w:id="113"/>
      <w:bookmarkEnd w:id="114"/>
    </w:p>
    <w:p w14:paraId="5CE89494" w14:textId="70A63B23" w:rsidR="00280CA1" w:rsidRPr="00B703F0" w:rsidRDefault="009600BF" w:rsidP="00280CA1">
      <w:r>
        <w:t>T</w:t>
      </w:r>
      <w:r w:rsidR="00280CA1" w:rsidRPr="00B703F0">
        <w:t>here are a range of ongoing expenses associated with accession that can be estimated with a medium to high level of certainty. These expenses differ based on the specific</w:t>
      </w:r>
      <w:r w:rsidR="000E650B" w:rsidRPr="00B703F0">
        <w:t xml:space="preserve"> </w:t>
      </w:r>
      <w:r w:rsidR="003F2FF7">
        <w:t>o</w:t>
      </w:r>
      <w:r w:rsidR="00280CA1" w:rsidRPr="00B703F0">
        <w:t xml:space="preserve">ption but involve the number of ships that will need to purchase compulsory insurance, maintain the annual </w:t>
      </w:r>
      <w:r w:rsidR="00C81BA5">
        <w:t xml:space="preserve">certificate </w:t>
      </w:r>
      <w:r w:rsidR="00287587">
        <w:t xml:space="preserve">of insurance </w:t>
      </w:r>
      <w:r w:rsidR="00C81BA5">
        <w:t xml:space="preserve">from a </w:t>
      </w:r>
      <w:r w:rsidR="000F4063">
        <w:t>State Party</w:t>
      </w:r>
      <w:r w:rsidR="00280CA1" w:rsidRPr="00B703F0">
        <w:t>, and incur additional administrative costs associated with demonstrating compliance. These costs will fall primarily on the shipping industry.</w:t>
      </w:r>
    </w:p>
    <w:p w14:paraId="54E84B41" w14:textId="56C765BD" w:rsidR="009458A0" w:rsidRDefault="00280CA1" w:rsidP="00280CA1">
      <w:r w:rsidRPr="00B703F0">
        <w:t xml:space="preserve">The </w:t>
      </w:r>
      <w:r w:rsidR="00B656F9">
        <w:t xml:space="preserve">uncertain </w:t>
      </w:r>
      <w:r w:rsidRPr="00B703F0">
        <w:t xml:space="preserve">costs relate to those that would be incurred in wreck removal operations in the future. These expenses are highly uncertain due to the variation in number, type, scale and location of wrecks each year in </w:t>
      </w:r>
      <w:r w:rsidR="00C240CE">
        <w:t xml:space="preserve">the </w:t>
      </w:r>
      <w:r w:rsidR="00635073" w:rsidRPr="00B703F0">
        <w:t>territorial sea</w:t>
      </w:r>
      <w:r w:rsidRPr="00B703F0">
        <w:t xml:space="preserve"> and EEZ. The impact of accession to the Nairobi Convention on these costs, however, is primarily related to transfers between the Australian Government, insurers</w:t>
      </w:r>
      <w:r w:rsidR="00C240CE">
        <w:t>, s</w:t>
      </w:r>
      <w:r w:rsidR="00117F50" w:rsidRPr="00B703F0">
        <w:t>hip owner</w:t>
      </w:r>
      <w:r w:rsidRPr="00B703F0">
        <w:t>s, and the general shipping industry</w:t>
      </w:r>
      <w:r w:rsidR="00290B7D">
        <w:t xml:space="preserve"> with the risk creator (ship owner</w:t>
      </w:r>
      <w:r w:rsidR="007C58D1">
        <w:t xml:space="preserve"> or </w:t>
      </w:r>
      <w:r w:rsidR="00290B7D">
        <w:t>insurer) becoming the ultimate holder of any costs</w:t>
      </w:r>
      <w:r w:rsidR="000655EA">
        <w:t>.</w:t>
      </w:r>
      <w:r w:rsidRPr="00B703F0">
        <w:t xml:space="preserve"> That is, it is highly likely that the total cost of wreck removal operations will be unchanged under all options. Who would incur those costs, however, would change as result of the accession to the Nairobi Convention. </w:t>
      </w:r>
    </w:p>
    <w:p w14:paraId="6198D7BE" w14:textId="3B7364A1" w:rsidR="00280CA1" w:rsidRPr="00B703F0" w:rsidRDefault="00280CA1" w:rsidP="00280CA1">
      <w:r w:rsidRPr="00B703F0">
        <w:t>The cost neutrality assumption of accession to the Nairobi Convention compared to the existing framework could be impacted:</w:t>
      </w:r>
    </w:p>
    <w:p w14:paraId="7D51DADB" w14:textId="3A96E451" w:rsidR="00280CA1" w:rsidRPr="00B703F0" w:rsidRDefault="006540F4" w:rsidP="00E20BA6">
      <w:pPr>
        <w:pStyle w:val="Bullet1"/>
        <w:rPr>
          <w:lang w:val="en-AU"/>
        </w:rPr>
      </w:pPr>
      <w:r>
        <w:rPr>
          <w:lang w:val="en-AU"/>
        </w:rPr>
        <w:t>p</w:t>
      </w:r>
      <w:r w:rsidR="00280CA1" w:rsidRPr="00B703F0">
        <w:rPr>
          <w:lang w:val="en-AU"/>
        </w:rPr>
        <w:t>ositively by the increased involvement of insurers in salvage operations</w:t>
      </w:r>
      <w:r>
        <w:rPr>
          <w:lang w:val="en-AU"/>
        </w:rPr>
        <w:t xml:space="preserve"> – </w:t>
      </w:r>
      <w:r w:rsidR="00280CA1" w:rsidRPr="00B703F0">
        <w:rPr>
          <w:lang w:val="en-AU"/>
        </w:rPr>
        <w:t>the</w:t>
      </w:r>
      <w:r>
        <w:rPr>
          <w:lang w:val="en-AU"/>
        </w:rPr>
        <w:t xml:space="preserve"> </w:t>
      </w:r>
      <w:r w:rsidR="00280CA1" w:rsidRPr="00B703F0">
        <w:rPr>
          <w:lang w:val="en-AU"/>
        </w:rPr>
        <w:t xml:space="preserve">compulsory insurance requirement may facilitate additional transfer of knowledge and technology related to how to undertake cost-effective clean-up operations for </w:t>
      </w:r>
      <w:r w:rsidR="007C58D1">
        <w:rPr>
          <w:lang w:val="en-AU"/>
        </w:rPr>
        <w:t>these</w:t>
      </w:r>
      <w:r w:rsidR="007C58D1" w:rsidRPr="00B703F0">
        <w:rPr>
          <w:lang w:val="en-AU"/>
        </w:rPr>
        <w:t xml:space="preserve"> </w:t>
      </w:r>
      <w:r w:rsidR="00280CA1" w:rsidRPr="00B703F0">
        <w:rPr>
          <w:lang w:val="en-AU"/>
        </w:rPr>
        <w:t>events.</w:t>
      </w:r>
    </w:p>
    <w:p w14:paraId="48460E7A" w14:textId="6B82BF2A" w:rsidR="00280CA1" w:rsidRPr="00B703F0" w:rsidRDefault="006540F4" w:rsidP="00C8579B">
      <w:pPr>
        <w:pStyle w:val="Bullet1"/>
        <w:rPr>
          <w:lang w:val="en-AU"/>
        </w:rPr>
      </w:pPr>
      <w:r>
        <w:rPr>
          <w:lang w:val="en-AU"/>
        </w:rPr>
        <w:t>n</w:t>
      </w:r>
      <w:r w:rsidR="00280CA1" w:rsidRPr="00B703F0">
        <w:rPr>
          <w:lang w:val="en-AU"/>
        </w:rPr>
        <w:t>egatively if the time limits on cost recovery actions under the Nairobi Convention (compared to no time limits currently under the Navigation Act), resulted in AMSA being extra cautious in determining that a wreck is a hazard, thereby ordering more removals than would otherwise occur.</w:t>
      </w:r>
    </w:p>
    <w:p w14:paraId="42A62F2B" w14:textId="53884554" w:rsidR="00280CA1" w:rsidRPr="00B703F0" w:rsidRDefault="00280CA1" w:rsidP="00280CA1">
      <w:r w:rsidRPr="00B703F0">
        <w:t>Unlike the cost side, quantitative estimates of the benefits</w:t>
      </w:r>
      <w:r w:rsidR="002A74E3">
        <w:t xml:space="preserve"> (</w:t>
      </w:r>
      <w:r w:rsidRPr="00B703F0">
        <w:t>either by specific parties or in total</w:t>
      </w:r>
      <w:r w:rsidR="002A74E3">
        <w:t>)</w:t>
      </w:r>
      <w:r w:rsidRPr="00B703F0">
        <w:t xml:space="preserve"> are all highly uncertain and are linked to wreck incidents that result in a legal dispute under the current regulatory regime. For example, a key benefit of accession to the Nairobi Convention is related to an expected reduction in legal costs because of strict liability rules, compulsory insurance, and a broader definition of what constitutes a ‘wreck’. In particular, the extra clarity around what powers the Australian Government has and who is liable in the event of a wreck in the EEZ will reduce the number of disputes, which, in turn, should reduce the cost of dealing with future wrecks by reducing the amount of legal costs associated with disputes.</w:t>
      </w:r>
    </w:p>
    <w:p w14:paraId="7C6C5E15" w14:textId="7B91790F" w:rsidR="00280CA1" w:rsidRPr="00B703F0" w:rsidRDefault="00280CA1" w:rsidP="00280CA1">
      <w:r w:rsidRPr="00B703F0">
        <w:lastRenderedPageBreak/>
        <w:t xml:space="preserve">Another key benefit of the reduction in the number of disputes associated with accession to the Nairobi Convention is that the Australian Government should be less likely to need to use its powers to seize and hold assets of the </w:t>
      </w:r>
      <w:r w:rsidR="00117F50" w:rsidRPr="00B703F0">
        <w:t>ship owner</w:t>
      </w:r>
      <w:r w:rsidRPr="00B703F0">
        <w:t xml:space="preserve"> as collateral until the dispute is resolved. In the case of a sister ship being seized as collateral, for example, this can result in significant costs for the </w:t>
      </w:r>
      <w:r w:rsidR="00117F50" w:rsidRPr="00B703F0">
        <w:t>ship owner</w:t>
      </w:r>
      <w:r w:rsidRPr="00B703F0">
        <w:t xml:space="preserve"> due to the inability to transport cargos for a potentially significant amount of time</w:t>
      </w:r>
      <w:r w:rsidR="00C66A0E" w:rsidRPr="00C66A0E">
        <w:rPr>
          <w:color w:val="auto"/>
        </w:rPr>
        <w:t xml:space="preserve"> </w:t>
      </w:r>
      <w:r w:rsidR="00C66A0E">
        <w:rPr>
          <w:color w:val="auto"/>
        </w:rPr>
        <w:t>and may have a disruptive effect on Australian imports/exports</w:t>
      </w:r>
      <w:r w:rsidRPr="00B703F0">
        <w:t xml:space="preserve">. Similar to the expected reduction in legal costs, estimating such costs is very difficult as it will only occur in particular circumstances, and the nature of the assets </w:t>
      </w:r>
      <w:r w:rsidR="00155001">
        <w:t>detained</w:t>
      </w:r>
      <w:r w:rsidR="00155001" w:rsidRPr="00B703F0">
        <w:t xml:space="preserve"> </w:t>
      </w:r>
      <w:r w:rsidRPr="00B703F0">
        <w:t>and held can vary substantially.</w:t>
      </w:r>
    </w:p>
    <w:p w14:paraId="5BF72349" w14:textId="52A502FF" w:rsidR="001300EB" w:rsidRPr="00B703F0" w:rsidRDefault="00280CA1" w:rsidP="00280CA1">
      <w:r w:rsidRPr="00464629">
        <w:t xml:space="preserve">For the purposes of the economic analysis, the ongoing costs associated with accession to the Nairobi Convention have been calculated over a </w:t>
      </w:r>
      <w:r w:rsidR="00362B44">
        <w:t>10</w:t>
      </w:r>
      <w:r w:rsidR="00290B7D" w:rsidRPr="00464629">
        <w:t>-</w:t>
      </w:r>
      <w:r w:rsidRPr="00464629">
        <w:t xml:space="preserve">year time frame. These have been compared to the potential benefits over the same timeframe that could arise in the event of a single incident (in the first year) involving different vessel types based on the assumptions reported in </w:t>
      </w:r>
      <w:r w:rsidR="00464629" w:rsidRPr="00464629">
        <w:rPr>
          <w:b/>
          <w:u w:val="single"/>
        </w:rPr>
        <w:t>Appendix 3</w:t>
      </w:r>
      <w:r w:rsidRPr="00464629">
        <w:rPr>
          <w:b/>
          <w:u w:val="single"/>
        </w:rPr>
        <w:t>.</w:t>
      </w:r>
    </w:p>
    <w:p w14:paraId="19AC266F" w14:textId="6719EB19" w:rsidR="001300EB" w:rsidRPr="00B703F0" w:rsidRDefault="0000004D" w:rsidP="00BE7625">
      <w:r w:rsidRPr="00B703F0">
        <w:t xml:space="preserve">Following the </w:t>
      </w:r>
      <w:r w:rsidR="006540F4">
        <w:t xml:space="preserve">Office of Best Practice Regulation </w:t>
      </w:r>
      <w:r w:rsidRPr="00B703F0">
        <w:t>guidelines, the costs and benefits are calculated using a central discount rate of 7</w:t>
      </w:r>
      <w:r w:rsidR="00BE7814">
        <w:t xml:space="preserve"> per cent</w:t>
      </w:r>
      <w:r w:rsidRPr="00B703F0">
        <w:t xml:space="preserve"> real. Further, to assess the sensitivity of the results to the discount rate, this study also conducts a sensitivity analysis of the results using a lower bound discount rate of 3</w:t>
      </w:r>
      <w:r w:rsidR="00BE7814">
        <w:t xml:space="preserve"> per cent</w:t>
      </w:r>
      <w:r w:rsidRPr="00B703F0">
        <w:t xml:space="preserve"> and an </w:t>
      </w:r>
      <w:r w:rsidR="00BE7814">
        <w:t>upper bound discount rate of 10</w:t>
      </w:r>
      <w:r w:rsidR="00C66A0E">
        <w:t> </w:t>
      </w:r>
      <w:r w:rsidR="00BE7814">
        <w:t>per cent</w:t>
      </w:r>
      <w:r w:rsidRPr="00B703F0">
        <w:t>.</w:t>
      </w:r>
    </w:p>
    <w:p w14:paraId="2D134681" w14:textId="6F59FCC3" w:rsidR="00064D58" w:rsidRPr="00B703F0" w:rsidRDefault="00064D58" w:rsidP="001770B4">
      <w:pPr>
        <w:pStyle w:val="Heading2Numbered"/>
        <w:tabs>
          <w:tab w:val="num" w:pos="360"/>
        </w:tabs>
        <w:ind w:left="0" w:firstLine="0"/>
      </w:pPr>
      <w:bookmarkStart w:id="115" w:name="_Toc96354503"/>
      <w:bookmarkStart w:id="116" w:name="_Toc105060781"/>
      <w:r w:rsidRPr="00B703F0">
        <w:t>Who is impacted and what is the impact</w:t>
      </w:r>
      <w:bookmarkEnd w:id="115"/>
      <w:bookmarkEnd w:id="116"/>
    </w:p>
    <w:p w14:paraId="6AF04597" w14:textId="02C4B84D" w:rsidR="00923968" w:rsidRPr="00B703F0" w:rsidRDefault="00923968" w:rsidP="00923968">
      <w:pPr>
        <w:pStyle w:val="Bullet1"/>
        <w:numPr>
          <w:ilvl w:val="0"/>
          <w:numId w:val="0"/>
        </w:numPr>
        <w:rPr>
          <w:lang w:val="en-AU"/>
        </w:rPr>
      </w:pPr>
      <w:r w:rsidRPr="00B703F0">
        <w:rPr>
          <w:lang w:val="en-AU"/>
        </w:rPr>
        <w:t>An incidence of costs and benefits of accession to the Nairobi Conv</w:t>
      </w:r>
      <w:r w:rsidR="00C61773" w:rsidRPr="00B703F0">
        <w:rPr>
          <w:lang w:val="en-AU"/>
        </w:rPr>
        <w:t>ention is summarised in Table 1</w:t>
      </w:r>
      <w:r w:rsidRPr="00B703F0">
        <w:rPr>
          <w:lang w:val="en-AU"/>
        </w:rPr>
        <w:t>.</w:t>
      </w:r>
      <w:r w:rsidR="002A74E3">
        <w:rPr>
          <w:lang w:val="en-AU"/>
        </w:rPr>
        <w:t xml:space="preserve"> </w:t>
      </w:r>
      <w:r w:rsidRPr="00B703F0">
        <w:rPr>
          <w:lang w:val="en-AU"/>
        </w:rPr>
        <w:t>Not all the costs and benefits are quantified in this study due to the lack of data and empirical evidence of the impacts. While not quantified, they are briefly discussed.</w:t>
      </w:r>
    </w:p>
    <w:p w14:paraId="6D2AFC84" w14:textId="5FA5E122" w:rsidR="00C06075" w:rsidRPr="00B703F0" w:rsidRDefault="00C06075" w:rsidP="00C06075">
      <w:pPr>
        <w:pStyle w:val="Caption"/>
        <w:keepNext/>
      </w:pPr>
      <w:bookmarkStart w:id="117" w:name="_Toc76120253"/>
      <w:bookmarkStart w:id="118" w:name="_Toc76120451"/>
      <w:bookmarkStart w:id="119" w:name="_Toc96343128"/>
      <w:bookmarkStart w:id="120" w:name="_Toc105060759"/>
      <w:r w:rsidRPr="00B703F0">
        <w:t xml:space="preserve">Table </w:t>
      </w:r>
      <w:r w:rsidR="006A20A6">
        <w:rPr>
          <w:noProof/>
        </w:rPr>
        <w:t>1</w:t>
      </w:r>
      <w:r w:rsidRPr="00B703F0">
        <w:t>: Incidence of costs and benefits</w:t>
      </w:r>
      <w:r w:rsidRPr="00B703F0">
        <w:rPr>
          <w:rStyle w:val="FootnoteReference"/>
        </w:rPr>
        <w:footnoteReference w:id="65"/>
      </w:r>
      <w:bookmarkEnd w:id="117"/>
      <w:bookmarkEnd w:id="118"/>
      <w:bookmarkEnd w:id="119"/>
      <w:bookmarkEnd w:id="120"/>
    </w:p>
    <w:tbl>
      <w:tblPr>
        <w:tblStyle w:val="DefaultTable1"/>
        <w:tblW w:w="9886" w:type="dxa"/>
        <w:tblLook w:val="04E0" w:firstRow="1" w:lastRow="1" w:firstColumn="1" w:lastColumn="0" w:noHBand="0" w:noVBand="1"/>
      </w:tblPr>
      <w:tblGrid>
        <w:gridCol w:w="2470"/>
        <w:gridCol w:w="2472"/>
        <w:gridCol w:w="2472"/>
        <w:gridCol w:w="2472"/>
      </w:tblGrid>
      <w:tr w:rsidR="00C06075" w:rsidRPr="00B703F0" w14:paraId="4C65F4BE" w14:textId="77777777" w:rsidTr="00175FEF">
        <w:trPr>
          <w:cnfStyle w:val="100000000000" w:firstRow="1" w:lastRow="0" w:firstColumn="0" w:lastColumn="0" w:oddVBand="0" w:evenVBand="0" w:oddHBand="0" w:evenHBand="0" w:firstRowFirstColumn="0" w:firstRowLastColumn="0" w:lastRowFirstColumn="0" w:lastRowLastColumn="0"/>
          <w:trHeight w:val="542"/>
        </w:trPr>
        <w:tc>
          <w:tcPr>
            <w:cnfStyle w:val="001000000000" w:firstRow="0" w:lastRow="0" w:firstColumn="1" w:lastColumn="0" w:oddVBand="0" w:evenVBand="0" w:oddHBand="0" w:evenHBand="0" w:firstRowFirstColumn="0" w:firstRowLastColumn="0" w:lastRowFirstColumn="0" w:lastRowLastColumn="0"/>
            <w:tcW w:w="2470" w:type="dxa"/>
          </w:tcPr>
          <w:p w14:paraId="25264014" w14:textId="77777777" w:rsidR="00C06075" w:rsidRPr="00B703F0" w:rsidRDefault="00C06075" w:rsidP="00175FEF">
            <w:r w:rsidRPr="00B703F0">
              <w:t xml:space="preserve">Costs </w:t>
            </w:r>
          </w:p>
        </w:tc>
        <w:tc>
          <w:tcPr>
            <w:tcW w:w="2472" w:type="dxa"/>
          </w:tcPr>
          <w:p w14:paraId="4774F6F0" w14:textId="77777777" w:rsidR="00C06075" w:rsidRPr="00B703F0" w:rsidRDefault="00C06075" w:rsidP="00175FEF">
            <w:pPr>
              <w:cnfStyle w:val="100000000000" w:firstRow="1" w:lastRow="0" w:firstColumn="0" w:lastColumn="0" w:oddVBand="0" w:evenVBand="0" w:oddHBand="0" w:evenHBand="0" w:firstRowFirstColumn="0" w:firstRowLastColumn="0" w:lastRowFirstColumn="0" w:lastRowLastColumn="0"/>
            </w:pPr>
            <w:r w:rsidRPr="00B703F0">
              <w:t>Who will be affected</w:t>
            </w:r>
          </w:p>
        </w:tc>
        <w:tc>
          <w:tcPr>
            <w:tcW w:w="2472" w:type="dxa"/>
          </w:tcPr>
          <w:p w14:paraId="6D322D73" w14:textId="77777777" w:rsidR="00C06075" w:rsidRPr="00B703F0" w:rsidRDefault="00C06075" w:rsidP="00175FEF">
            <w:pPr>
              <w:cnfStyle w:val="100000000000" w:firstRow="1" w:lastRow="0" w:firstColumn="0" w:lastColumn="0" w:oddVBand="0" w:evenVBand="0" w:oddHBand="0" w:evenHBand="0" w:firstRowFirstColumn="0" w:firstRowLastColumn="0" w:lastRowFirstColumn="0" w:lastRowLastColumn="0"/>
            </w:pPr>
            <w:r w:rsidRPr="00B703F0">
              <w:t>Benefits</w:t>
            </w:r>
          </w:p>
        </w:tc>
        <w:tc>
          <w:tcPr>
            <w:tcW w:w="2472" w:type="dxa"/>
          </w:tcPr>
          <w:p w14:paraId="390693EE" w14:textId="77777777" w:rsidR="00C06075" w:rsidRPr="00B703F0" w:rsidRDefault="00C06075" w:rsidP="00175FEF">
            <w:pPr>
              <w:cnfStyle w:val="100000000000" w:firstRow="1" w:lastRow="0" w:firstColumn="0" w:lastColumn="0" w:oddVBand="0" w:evenVBand="0" w:oddHBand="0" w:evenHBand="0" w:firstRowFirstColumn="0" w:firstRowLastColumn="0" w:lastRowFirstColumn="0" w:lastRowLastColumn="0"/>
            </w:pPr>
            <w:r w:rsidRPr="00B703F0">
              <w:t>Who will benefit</w:t>
            </w:r>
          </w:p>
        </w:tc>
      </w:tr>
      <w:tr w:rsidR="00C06075" w:rsidRPr="00B703F0" w14:paraId="5F911548" w14:textId="77777777" w:rsidTr="00175FEF">
        <w:trPr>
          <w:trHeight w:val="71"/>
        </w:trPr>
        <w:tc>
          <w:tcPr>
            <w:cnfStyle w:val="001000000000" w:firstRow="0" w:lastRow="0" w:firstColumn="1" w:lastColumn="0" w:oddVBand="0" w:evenVBand="0" w:oddHBand="0" w:evenHBand="0" w:firstRowFirstColumn="0" w:firstRowLastColumn="0" w:lastRowFirstColumn="0" w:lastRowLastColumn="0"/>
            <w:tcW w:w="2470" w:type="dxa"/>
          </w:tcPr>
          <w:p w14:paraId="7E6AEA59" w14:textId="77777777" w:rsidR="00C06075" w:rsidRPr="00B703F0" w:rsidRDefault="00C06075" w:rsidP="00175FEF">
            <w:pPr>
              <w:rPr>
                <w:b w:val="0"/>
              </w:rPr>
            </w:pPr>
            <w:r w:rsidRPr="00B703F0">
              <w:rPr>
                <w:b w:val="0"/>
              </w:rPr>
              <w:t>Change in regulations</w:t>
            </w:r>
          </w:p>
        </w:tc>
        <w:tc>
          <w:tcPr>
            <w:tcW w:w="2472" w:type="dxa"/>
          </w:tcPr>
          <w:p w14:paraId="7FA69639" w14:textId="3FAEE6D1" w:rsidR="00116761" w:rsidRDefault="00116761" w:rsidP="00175FEF">
            <w:pPr>
              <w:cnfStyle w:val="000000000000" w:firstRow="0" w:lastRow="0" w:firstColumn="0" w:lastColumn="0" w:oddVBand="0" w:evenVBand="0" w:oddHBand="0" w:evenHBand="0" w:firstRowFirstColumn="0" w:firstRowLastColumn="0" w:lastRowFirstColumn="0" w:lastRowLastColumn="0"/>
            </w:pPr>
            <w:r w:rsidRPr="00116761">
              <w:t>Australian, state and territorial governments</w:t>
            </w:r>
          </w:p>
          <w:p w14:paraId="200575BB" w14:textId="04B71B7F" w:rsidR="00C06075" w:rsidRPr="00B703F0" w:rsidRDefault="00C06075" w:rsidP="00175FEF">
            <w:pPr>
              <w:cnfStyle w:val="000000000000" w:firstRow="0" w:lastRow="0" w:firstColumn="0" w:lastColumn="0" w:oddVBand="0" w:evenVBand="0" w:oddHBand="0" w:evenHBand="0" w:firstRowFirstColumn="0" w:firstRowLastColumn="0" w:lastRowFirstColumn="0" w:lastRowLastColumn="0"/>
            </w:pPr>
            <w:r w:rsidRPr="00B703F0">
              <w:t>Ship owners</w:t>
            </w:r>
          </w:p>
          <w:p w14:paraId="0C8243EE" w14:textId="77777777" w:rsidR="00C06075" w:rsidRPr="00B703F0" w:rsidRDefault="00C06075" w:rsidP="00175FEF">
            <w:pPr>
              <w:cnfStyle w:val="000000000000" w:firstRow="0" w:lastRow="0" w:firstColumn="0" w:lastColumn="0" w:oddVBand="0" w:evenVBand="0" w:oddHBand="0" w:evenHBand="0" w:firstRowFirstColumn="0" w:firstRowLastColumn="0" w:lastRowFirstColumn="0" w:lastRowLastColumn="0"/>
            </w:pPr>
            <w:r w:rsidRPr="00B703F0">
              <w:t>Ship insurers</w:t>
            </w:r>
          </w:p>
        </w:tc>
        <w:tc>
          <w:tcPr>
            <w:tcW w:w="2472" w:type="dxa"/>
          </w:tcPr>
          <w:p w14:paraId="7C74AF63" w14:textId="77777777" w:rsidR="00C06075" w:rsidRPr="00B703F0" w:rsidRDefault="00C06075" w:rsidP="00175FEF">
            <w:pPr>
              <w:cnfStyle w:val="000000000000" w:firstRow="0" w:lastRow="0" w:firstColumn="0" w:lastColumn="0" w:oddVBand="0" w:evenVBand="0" w:oddHBand="0" w:evenHBand="0" w:firstRowFirstColumn="0" w:firstRowLastColumn="0" w:lastRowFirstColumn="0" w:lastRowLastColumn="0"/>
            </w:pPr>
            <w:r w:rsidRPr="00B703F0">
              <w:t>Expanded definition and broader scope</w:t>
            </w:r>
          </w:p>
        </w:tc>
        <w:tc>
          <w:tcPr>
            <w:tcW w:w="2472" w:type="dxa"/>
          </w:tcPr>
          <w:p w14:paraId="2379766E" w14:textId="77777777" w:rsidR="00C06075" w:rsidRPr="00B703F0" w:rsidRDefault="00C06075" w:rsidP="00175FEF">
            <w:pPr>
              <w:cnfStyle w:val="000000000000" w:firstRow="0" w:lastRow="0" w:firstColumn="0" w:lastColumn="0" w:oddVBand="0" w:evenVBand="0" w:oddHBand="0" w:evenHBand="0" w:firstRowFirstColumn="0" w:firstRowLastColumn="0" w:lastRowFirstColumn="0" w:lastRowLastColumn="0"/>
            </w:pPr>
            <w:r w:rsidRPr="00B703F0">
              <w:t xml:space="preserve">AMSA </w:t>
            </w:r>
          </w:p>
          <w:p w14:paraId="6935CDBB" w14:textId="06583E2A" w:rsidR="00C06075" w:rsidRDefault="00C06075" w:rsidP="00175FEF">
            <w:pPr>
              <w:cnfStyle w:val="000000000000" w:firstRow="0" w:lastRow="0" w:firstColumn="0" w:lastColumn="0" w:oddVBand="0" w:evenVBand="0" w:oddHBand="0" w:evenHBand="0" w:firstRowFirstColumn="0" w:firstRowLastColumn="0" w:lastRowFirstColumn="0" w:lastRowLastColumn="0"/>
            </w:pPr>
            <w:r w:rsidRPr="00B703F0">
              <w:t>Shipping industry</w:t>
            </w:r>
          </w:p>
          <w:p w14:paraId="0255790D" w14:textId="215FCEBE" w:rsidR="00DB56C0" w:rsidRDefault="00DB56C0" w:rsidP="00175FEF">
            <w:pPr>
              <w:cnfStyle w:val="000000000000" w:firstRow="0" w:lastRow="0" w:firstColumn="0" w:lastColumn="0" w:oddVBand="0" w:evenVBand="0" w:oddHBand="0" w:evenHBand="0" w:firstRowFirstColumn="0" w:firstRowLastColumn="0" w:lastRowFirstColumn="0" w:lastRowLastColumn="0"/>
            </w:pPr>
            <w:r>
              <w:t>Fishing industry</w:t>
            </w:r>
          </w:p>
          <w:p w14:paraId="05C13168" w14:textId="047DC4D9" w:rsidR="00DB56C0" w:rsidRPr="00B703F0" w:rsidRDefault="00DB56C0" w:rsidP="00175FEF">
            <w:pPr>
              <w:cnfStyle w:val="000000000000" w:firstRow="0" w:lastRow="0" w:firstColumn="0" w:lastColumn="0" w:oddVBand="0" w:evenVBand="0" w:oddHBand="0" w:evenHBand="0" w:firstRowFirstColumn="0" w:firstRowLastColumn="0" w:lastRowFirstColumn="0" w:lastRowLastColumn="0"/>
            </w:pPr>
            <w:r w:rsidRPr="00B703F0">
              <w:t>Community and environment</w:t>
            </w:r>
          </w:p>
        </w:tc>
      </w:tr>
      <w:tr w:rsidR="00C06075" w:rsidRPr="00B703F0" w14:paraId="18B0A253" w14:textId="77777777" w:rsidTr="00175FEF">
        <w:trPr>
          <w:cnfStyle w:val="000000010000" w:firstRow="0" w:lastRow="0" w:firstColumn="0" w:lastColumn="0" w:oddVBand="0" w:evenVBand="0" w:oddHBand="0" w:evenHBand="1" w:firstRowFirstColumn="0" w:firstRowLastColumn="0" w:lastRowFirstColumn="0" w:lastRowLastColumn="0"/>
          <w:trHeight w:val="71"/>
        </w:trPr>
        <w:tc>
          <w:tcPr>
            <w:cnfStyle w:val="001000000000" w:firstRow="0" w:lastRow="0" w:firstColumn="1" w:lastColumn="0" w:oddVBand="0" w:evenVBand="0" w:oddHBand="0" w:evenHBand="0" w:firstRowFirstColumn="0" w:firstRowLastColumn="0" w:lastRowFirstColumn="0" w:lastRowLastColumn="0"/>
            <w:tcW w:w="2470" w:type="dxa"/>
          </w:tcPr>
          <w:p w14:paraId="5BEA5554" w14:textId="77777777" w:rsidR="00C06075" w:rsidRPr="00B703F0" w:rsidRDefault="00C06075" w:rsidP="00175FEF">
            <w:pPr>
              <w:rPr>
                <w:b w:val="0"/>
              </w:rPr>
            </w:pPr>
            <w:r w:rsidRPr="00B703F0">
              <w:rPr>
                <w:b w:val="0"/>
              </w:rPr>
              <w:t>Cost recovery</w:t>
            </w:r>
          </w:p>
        </w:tc>
        <w:tc>
          <w:tcPr>
            <w:tcW w:w="2472" w:type="dxa"/>
          </w:tcPr>
          <w:p w14:paraId="47D8601E" w14:textId="33D9AE87" w:rsidR="00C06075" w:rsidRPr="00B703F0" w:rsidRDefault="00116761" w:rsidP="00175FEF">
            <w:pPr>
              <w:cnfStyle w:val="000000010000" w:firstRow="0" w:lastRow="0" w:firstColumn="0" w:lastColumn="0" w:oddVBand="0" w:evenVBand="0" w:oddHBand="0" w:evenHBand="1" w:firstRowFirstColumn="0" w:firstRowLastColumn="0" w:lastRowFirstColumn="0" w:lastRowLastColumn="0"/>
            </w:pPr>
            <w:r w:rsidRPr="00116761">
              <w:t>Australian, state and territorial governments</w:t>
            </w:r>
          </w:p>
        </w:tc>
        <w:tc>
          <w:tcPr>
            <w:tcW w:w="2472" w:type="dxa"/>
          </w:tcPr>
          <w:p w14:paraId="52EC2841" w14:textId="77777777" w:rsidR="00C06075" w:rsidRPr="00B703F0" w:rsidRDefault="00C06075" w:rsidP="00175FEF">
            <w:pPr>
              <w:cnfStyle w:val="000000010000" w:firstRow="0" w:lastRow="0" w:firstColumn="0" w:lastColumn="0" w:oddVBand="0" w:evenVBand="0" w:oddHBand="0" w:evenHBand="1" w:firstRowFirstColumn="0" w:firstRowLastColumn="0" w:lastRowFirstColumn="0" w:lastRowLastColumn="0"/>
            </w:pPr>
            <w:r w:rsidRPr="00B703F0">
              <w:t>Improved cost recovery</w:t>
            </w:r>
          </w:p>
        </w:tc>
        <w:tc>
          <w:tcPr>
            <w:tcW w:w="2472" w:type="dxa"/>
          </w:tcPr>
          <w:p w14:paraId="48D118C9" w14:textId="41093946" w:rsidR="00C06075" w:rsidRPr="00B703F0" w:rsidRDefault="00F242FB" w:rsidP="00175FEF">
            <w:pPr>
              <w:cnfStyle w:val="000000010000" w:firstRow="0" w:lastRow="0" w:firstColumn="0" w:lastColumn="0" w:oddVBand="0" w:evenVBand="0" w:oddHBand="0" w:evenHBand="1" w:firstRowFirstColumn="0" w:firstRowLastColumn="0" w:lastRowFirstColumn="0" w:lastRowLastColumn="0"/>
            </w:pPr>
            <w:r w:rsidRPr="00F242FB">
              <w:t>Australian, state and territorial governments</w:t>
            </w:r>
          </w:p>
        </w:tc>
      </w:tr>
      <w:tr w:rsidR="00C06075" w:rsidRPr="00B703F0" w14:paraId="5F3B97C0" w14:textId="77777777" w:rsidTr="00E67633">
        <w:trPr>
          <w:trHeight w:val="84"/>
        </w:trPr>
        <w:tc>
          <w:tcPr>
            <w:cnfStyle w:val="001000000000" w:firstRow="0" w:lastRow="0" w:firstColumn="1" w:lastColumn="0" w:oddVBand="0" w:evenVBand="0" w:oddHBand="0" w:evenHBand="0" w:firstRowFirstColumn="0" w:firstRowLastColumn="0" w:lastRowFirstColumn="0" w:lastRowLastColumn="0"/>
            <w:tcW w:w="2470" w:type="dxa"/>
          </w:tcPr>
          <w:p w14:paraId="4B5012AF" w14:textId="77777777" w:rsidR="00C06075" w:rsidRPr="00B703F0" w:rsidRDefault="00C06075" w:rsidP="00175FEF">
            <w:pPr>
              <w:rPr>
                <w:b w:val="0"/>
              </w:rPr>
            </w:pPr>
            <w:r w:rsidRPr="00B703F0">
              <w:rPr>
                <w:b w:val="0"/>
              </w:rPr>
              <w:t>Compliance costs</w:t>
            </w:r>
          </w:p>
          <w:p w14:paraId="59E996D1" w14:textId="77777777" w:rsidR="00C06075" w:rsidRPr="00B703F0" w:rsidRDefault="00C06075" w:rsidP="00175FEF">
            <w:pPr>
              <w:pStyle w:val="ListParagraph"/>
              <w:numPr>
                <w:ilvl w:val="0"/>
                <w:numId w:val="10"/>
              </w:numPr>
              <w:rPr>
                <w:b w:val="0"/>
              </w:rPr>
            </w:pPr>
            <w:r w:rsidRPr="00B703F0">
              <w:rPr>
                <w:b w:val="0"/>
              </w:rPr>
              <w:t>administrative costs</w:t>
            </w:r>
          </w:p>
          <w:p w14:paraId="714BC88F" w14:textId="77777777" w:rsidR="00C06075" w:rsidRPr="00B703F0" w:rsidRDefault="00C06075" w:rsidP="00175FEF">
            <w:pPr>
              <w:pStyle w:val="ListParagraph"/>
              <w:numPr>
                <w:ilvl w:val="0"/>
                <w:numId w:val="10"/>
              </w:numPr>
              <w:rPr>
                <w:b w:val="0"/>
              </w:rPr>
            </w:pPr>
            <w:r w:rsidRPr="00B703F0">
              <w:rPr>
                <w:b w:val="0"/>
              </w:rPr>
              <w:t>financial costs</w:t>
            </w:r>
          </w:p>
          <w:p w14:paraId="035A00BA" w14:textId="77777777" w:rsidR="00C06075" w:rsidRPr="00B703F0" w:rsidRDefault="00C06075" w:rsidP="00175FEF">
            <w:pPr>
              <w:pStyle w:val="ListParagraph"/>
              <w:numPr>
                <w:ilvl w:val="0"/>
                <w:numId w:val="10"/>
              </w:numPr>
              <w:rPr>
                <w:b w:val="0"/>
              </w:rPr>
            </w:pPr>
            <w:r w:rsidRPr="00B703F0">
              <w:rPr>
                <w:b w:val="0"/>
              </w:rPr>
              <w:t>delay costs</w:t>
            </w:r>
          </w:p>
        </w:tc>
        <w:tc>
          <w:tcPr>
            <w:tcW w:w="2472" w:type="dxa"/>
          </w:tcPr>
          <w:p w14:paraId="2EDA8CE7" w14:textId="77777777" w:rsidR="00C06075" w:rsidRPr="00B703F0" w:rsidRDefault="00C06075" w:rsidP="00175FEF">
            <w:pPr>
              <w:cnfStyle w:val="000000000000" w:firstRow="0" w:lastRow="0" w:firstColumn="0" w:lastColumn="0" w:oddVBand="0" w:evenVBand="0" w:oddHBand="0" w:evenHBand="0" w:firstRowFirstColumn="0" w:firstRowLastColumn="0" w:lastRowFirstColumn="0" w:lastRowLastColumn="0"/>
            </w:pPr>
            <w:r w:rsidRPr="00B703F0">
              <w:t>Ship owners</w:t>
            </w:r>
          </w:p>
          <w:p w14:paraId="115C4FA4" w14:textId="77777777" w:rsidR="00C06075" w:rsidRPr="00B703F0" w:rsidRDefault="00C06075" w:rsidP="00175FEF">
            <w:pPr>
              <w:cnfStyle w:val="000000000000" w:firstRow="0" w:lastRow="0" w:firstColumn="0" w:lastColumn="0" w:oddVBand="0" w:evenVBand="0" w:oddHBand="0" w:evenHBand="0" w:firstRowFirstColumn="0" w:firstRowLastColumn="0" w:lastRowFirstColumn="0" w:lastRowLastColumn="0"/>
            </w:pPr>
            <w:r w:rsidRPr="00B703F0">
              <w:t>Ship insurers</w:t>
            </w:r>
          </w:p>
          <w:p w14:paraId="1D67F244" w14:textId="77777777" w:rsidR="00C06075" w:rsidRPr="00B703F0" w:rsidRDefault="00C06075" w:rsidP="00175FEF">
            <w:pPr>
              <w:cnfStyle w:val="000000000000" w:firstRow="0" w:lastRow="0" w:firstColumn="0" w:lastColumn="0" w:oddVBand="0" w:evenVBand="0" w:oddHBand="0" w:evenHBand="0" w:firstRowFirstColumn="0" w:firstRowLastColumn="0" w:lastRowFirstColumn="0" w:lastRowLastColumn="0"/>
            </w:pPr>
            <w:r w:rsidRPr="00B703F0">
              <w:t>AMSA</w:t>
            </w:r>
          </w:p>
        </w:tc>
        <w:tc>
          <w:tcPr>
            <w:tcW w:w="2472" w:type="dxa"/>
          </w:tcPr>
          <w:p w14:paraId="37C5CA35" w14:textId="77777777" w:rsidR="00C06075" w:rsidRPr="00B703F0" w:rsidRDefault="00C06075" w:rsidP="00175FEF">
            <w:pPr>
              <w:cnfStyle w:val="000000000000" w:firstRow="0" w:lastRow="0" w:firstColumn="0" w:lastColumn="0" w:oddVBand="0" w:evenVBand="0" w:oddHBand="0" w:evenHBand="0" w:firstRowFirstColumn="0" w:firstRowLastColumn="0" w:lastRowFirstColumn="0" w:lastRowLastColumn="0"/>
            </w:pPr>
            <w:r w:rsidRPr="00B703F0">
              <w:t>Administrative efficiencies</w:t>
            </w:r>
          </w:p>
        </w:tc>
        <w:tc>
          <w:tcPr>
            <w:tcW w:w="2472" w:type="dxa"/>
          </w:tcPr>
          <w:p w14:paraId="39EB333D" w14:textId="77777777" w:rsidR="00C06075" w:rsidRPr="00B703F0" w:rsidRDefault="00C06075" w:rsidP="00175FEF">
            <w:pPr>
              <w:cnfStyle w:val="000000000000" w:firstRow="0" w:lastRow="0" w:firstColumn="0" w:lastColumn="0" w:oddVBand="0" w:evenVBand="0" w:oddHBand="0" w:evenHBand="0" w:firstRowFirstColumn="0" w:firstRowLastColumn="0" w:lastRowFirstColumn="0" w:lastRowLastColumn="0"/>
            </w:pPr>
            <w:r w:rsidRPr="00B703F0">
              <w:t>AMSA</w:t>
            </w:r>
          </w:p>
          <w:p w14:paraId="0F1978CA" w14:textId="77777777" w:rsidR="00C06075" w:rsidRPr="00B703F0" w:rsidRDefault="00C06075" w:rsidP="00175FEF">
            <w:pPr>
              <w:cnfStyle w:val="000000000000" w:firstRow="0" w:lastRow="0" w:firstColumn="0" w:lastColumn="0" w:oddVBand="0" w:evenVBand="0" w:oddHBand="0" w:evenHBand="0" w:firstRowFirstColumn="0" w:firstRowLastColumn="0" w:lastRowFirstColumn="0" w:lastRowLastColumn="0"/>
            </w:pPr>
            <w:r w:rsidRPr="00B703F0">
              <w:t>Ship owners</w:t>
            </w:r>
          </w:p>
        </w:tc>
      </w:tr>
      <w:tr w:rsidR="00C06075" w:rsidRPr="00B703F0" w14:paraId="2C17FBF1" w14:textId="77777777" w:rsidTr="00175FEF">
        <w:trPr>
          <w:cnfStyle w:val="000000010000" w:firstRow="0" w:lastRow="0" w:firstColumn="0" w:lastColumn="0" w:oddVBand="0" w:evenVBand="0" w:oddHBand="0" w:evenHBand="1" w:firstRowFirstColumn="0" w:firstRowLastColumn="0" w:lastRowFirstColumn="0" w:lastRowLastColumn="0"/>
          <w:trHeight w:val="522"/>
        </w:trPr>
        <w:tc>
          <w:tcPr>
            <w:cnfStyle w:val="001000000000" w:firstRow="0" w:lastRow="0" w:firstColumn="1" w:lastColumn="0" w:oddVBand="0" w:evenVBand="0" w:oddHBand="0" w:evenHBand="0" w:firstRowFirstColumn="0" w:firstRowLastColumn="0" w:lastRowFirstColumn="0" w:lastRowLastColumn="0"/>
            <w:tcW w:w="2470" w:type="dxa"/>
          </w:tcPr>
          <w:p w14:paraId="0C398DB3" w14:textId="77777777" w:rsidR="00C06075" w:rsidRPr="00B703F0" w:rsidRDefault="00C06075" w:rsidP="00175FEF">
            <w:pPr>
              <w:rPr>
                <w:b w:val="0"/>
              </w:rPr>
            </w:pPr>
            <w:r w:rsidRPr="00B703F0">
              <w:rPr>
                <w:b w:val="0"/>
              </w:rPr>
              <w:t>Judicial costs</w:t>
            </w:r>
          </w:p>
        </w:tc>
        <w:tc>
          <w:tcPr>
            <w:tcW w:w="2472" w:type="dxa"/>
          </w:tcPr>
          <w:p w14:paraId="16FDC38D" w14:textId="19E7102B" w:rsidR="00C06075" w:rsidRPr="00B703F0" w:rsidRDefault="00C06075" w:rsidP="00175FEF">
            <w:pPr>
              <w:cnfStyle w:val="000000010000" w:firstRow="0" w:lastRow="0" w:firstColumn="0" w:lastColumn="0" w:oddVBand="0" w:evenVBand="0" w:oddHBand="0" w:evenHBand="1" w:firstRowFirstColumn="0" w:firstRowLastColumn="0" w:lastRowFirstColumn="0" w:lastRowLastColumn="0"/>
            </w:pPr>
            <w:r w:rsidRPr="00B703F0">
              <w:t>Australian</w:t>
            </w:r>
            <w:r w:rsidR="00116761">
              <w:t>, state and territorial</w:t>
            </w:r>
            <w:r w:rsidRPr="00B703F0">
              <w:t xml:space="preserve"> </w:t>
            </w:r>
            <w:r w:rsidR="00116761">
              <w:t>g</w:t>
            </w:r>
            <w:r w:rsidRPr="00B703F0">
              <w:t>overnment</w:t>
            </w:r>
            <w:r w:rsidR="00116761">
              <w:t>s</w:t>
            </w:r>
          </w:p>
          <w:p w14:paraId="2043C28E" w14:textId="77777777" w:rsidR="00C06075" w:rsidRPr="00B703F0" w:rsidRDefault="00C06075" w:rsidP="00175FEF">
            <w:pPr>
              <w:cnfStyle w:val="000000010000" w:firstRow="0" w:lastRow="0" w:firstColumn="0" w:lastColumn="0" w:oddVBand="0" w:evenVBand="0" w:oddHBand="0" w:evenHBand="1" w:firstRowFirstColumn="0" w:firstRowLastColumn="0" w:lastRowFirstColumn="0" w:lastRowLastColumn="0"/>
            </w:pPr>
            <w:r w:rsidRPr="00B703F0">
              <w:t>Ship owners</w:t>
            </w:r>
          </w:p>
        </w:tc>
        <w:tc>
          <w:tcPr>
            <w:tcW w:w="2472" w:type="dxa"/>
          </w:tcPr>
          <w:p w14:paraId="628B7C41" w14:textId="77777777" w:rsidR="00C06075" w:rsidRPr="00B703F0" w:rsidRDefault="00C06075" w:rsidP="00175FEF">
            <w:pPr>
              <w:cnfStyle w:val="000000010000" w:firstRow="0" w:lastRow="0" w:firstColumn="0" w:lastColumn="0" w:oddVBand="0" w:evenVBand="0" w:oddHBand="0" w:evenHBand="1" w:firstRowFirstColumn="0" w:firstRowLastColumn="0" w:lastRowFirstColumn="0" w:lastRowLastColumn="0"/>
            </w:pPr>
            <w:r w:rsidRPr="00B703F0">
              <w:t>Improved environment</w:t>
            </w:r>
          </w:p>
        </w:tc>
        <w:tc>
          <w:tcPr>
            <w:tcW w:w="2472" w:type="dxa"/>
          </w:tcPr>
          <w:p w14:paraId="1C2AAC12" w14:textId="77777777" w:rsidR="00C06075" w:rsidRPr="00B703F0" w:rsidRDefault="00C06075" w:rsidP="00175FEF">
            <w:pPr>
              <w:cnfStyle w:val="000000010000" w:firstRow="0" w:lastRow="0" w:firstColumn="0" w:lastColumn="0" w:oddVBand="0" w:evenVBand="0" w:oddHBand="0" w:evenHBand="1" w:firstRowFirstColumn="0" w:firstRowLastColumn="0" w:lastRowFirstColumn="0" w:lastRowLastColumn="0"/>
            </w:pPr>
            <w:r w:rsidRPr="00B703F0">
              <w:t>Community and environment</w:t>
            </w:r>
          </w:p>
        </w:tc>
      </w:tr>
      <w:tr w:rsidR="00C06075" w:rsidRPr="00B703F0" w14:paraId="36619056" w14:textId="77777777" w:rsidTr="00C06075">
        <w:trPr>
          <w:cnfStyle w:val="010000000000" w:firstRow="0" w:lastRow="1" w:firstColumn="0" w:lastColumn="0" w:oddVBand="0" w:evenVBand="0" w:oddHBand="0" w:evenHBand="0" w:firstRowFirstColumn="0" w:firstRowLastColumn="0" w:lastRowFirstColumn="0" w:lastRowLastColumn="0"/>
          <w:trHeight w:val="522"/>
        </w:trPr>
        <w:tc>
          <w:tcPr>
            <w:cnfStyle w:val="001000000000" w:firstRow="0" w:lastRow="0" w:firstColumn="1" w:lastColumn="0" w:oddVBand="0" w:evenVBand="0" w:oddHBand="0" w:evenHBand="0" w:firstRowFirstColumn="0" w:firstRowLastColumn="0" w:lastRowFirstColumn="0" w:lastRowLastColumn="0"/>
            <w:tcW w:w="2470" w:type="dxa"/>
            <w:shd w:val="clear" w:color="auto" w:fill="FFFFFF" w:themeFill="background1"/>
          </w:tcPr>
          <w:p w14:paraId="2F291861" w14:textId="77777777" w:rsidR="00C06075" w:rsidRPr="00B703F0" w:rsidRDefault="00C06075" w:rsidP="00175FEF">
            <w:pPr>
              <w:rPr>
                <w:b w:val="0"/>
              </w:rPr>
            </w:pPr>
            <w:r w:rsidRPr="00B703F0">
              <w:rPr>
                <w:b w:val="0"/>
              </w:rPr>
              <w:t>Financial security costs</w:t>
            </w:r>
          </w:p>
        </w:tc>
        <w:tc>
          <w:tcPr>
            <w:tcW w:w="2472" w:type="dxa"/>
            <w:shd w:val="clear" w:color="auto" w:fill="FFFFFF" w:themeFill="background1"/>
          </w:tcPr>
          <w:p w14:paraId="5699142F" w14:textId="77777777" w:rsidR="00C06075" w:rsidRPr="00B703F0" w:rsidRDefault="00C06075" w:rsidP="00175FEF">
            <w:pPr>
              <w:cnfStyle w:val="010000000000" w:firstRow="0" w:lastRow="1" w:firstColumn="0" w:lastColumn="0" w:oddVBand="0" w:evenVBand="0" w:oddHBand="0" w:evenHBand="0" w:firstRowFirstColumn="0" w:firstRowLastColumn="0" w:lastRowFirstColumn="0" w:lastRowLastColumn="0"/>
              <w:rPr>
                <w:b w:val="0"/>
              </w:rPr>
            </w:pPr>
            <w:r w:rsidRPr="00B703F0">
              <w:rPr>
                <w:b w:val="0"/>
              </w:rPr>
              <w:t>Ship owners</w:t>
            </w:r>
          </w:p>
        </w:tc>
        <w:tc>
          <w:tcPr>
            <w:tcW w:w="2472" w:type="dxa"/>
            <w:shd w:val="clear" w:color="auto" w:fill="FFFFFF" w:themeFill="background1"/>
          </w:tcPr>
          <w:p w14:paraId="49A82BD6" w14:textId="70D4A075" w:rsidR="00C06075" w:rsidRPr="00B703F0" w:rsidRDefault="00DB56C0" w:rsidP="00175FEF">
            <w:pPr>
              <w:cnfStyle w:val="010000000000" w:firstRow="0" w:lastRow="1" w:firstColumn="0" w:lastColumn="0" w:oddVBand="0" w:evenVBand="0" w:oddHBand="0" w:evenHBand="0" w:firstRowFirstColumn="0" w:firstRowLastColumn="0" w:lastRowFirstColumn="0" w:lastRowLastColumn="0"/>
              <w:rPr>
                <w:b w:val="0"/>
              </w:rPr>
            </w:pPr>
            <w:r>
              <w:rPr>
                <w:b w:val="0"/>
              </w:rPr>
              <w:t>Cost is transferred to the risk creator</w:t>
            </w:r>
          </w:p>
        </w:tc>
        <w:tc>
          <w:tcPr>
            <w:tcW w:w="2472" w:type="dxa"/>
            <w:shd w:val="clear" w:color="auto" w:fill="FFFFFF" w:themeFill="background1"/>
          </w:tcPr>
          <w:p w14:paraId="53A685A3" w14:textId="2A31C452" w:rsidR="00C06075" w:rsidRPr="00DB56C0" w:rsidRDefault="00DB56C0" w:rsidP="00175FEF">
            <w:pPr>
              <w:cnfStyle w:val="010000000000" w:firstRow="0" w:lastRow="1" w:firstColumn="0" w:lastColumn="0" w:oddVBand="0" w:evenVBand="0" w:oddHBand="0" w:evenHBand="0" w:firstRowFirstColumn="0" w:firstRowLastColumn="0" w:lastRowFirstColumn="0" w:lastRowLastColumn="0"/>
              <w:rPr>
                <w:b w:val="0"/>
              </w:rPr>
            </w:pPr>
            <w:r w:rsidRPr="00DB56C0">
              <w:rPr>
                <w:b w:val="0"/>
              </w:rPr>
              <w:t>Shipping industry</w:t>
            </w:r>
          </w:p>
        </w:tc>
      </w:tr>
    </w:tbl>
    <w:p w14:paraId="087E8E3E" w14:textId="56AF84E2" w:rsidR="00923968" w:rsidRPr="00B703F0" w:rsidRDefault="005D0381" w:rsidP="00923968">
      <w:pPr>
        <w:pStyle w:val="Bullet1"/>
        <w:numPr>
          <w:ilvl w:val="0"/>
          <w:numId w:val="0"/>
        </w:numPr>
        <w:rPr>
          <w:lang w:val="en-AU"/>
        </w:rPr>
      </w:pPr>
      <w:r w:rsidRPr="00B703F0">
        <w:rPr>
          <w:lang w:val="en-AU"/>
        </w:rPr>
        <w:t>The</w:t>
      </w:r>
      <w:r>
        <w:rPr>
          <w:lang w:val="en-AU"/>
        </w:rPr>
        <w:t xml:space="preserve"> Nairobi</w:t>
      </w:r>
      <w:r w:rsidRPr="00B703F0">
        <w:rPr>
          <w:lang w:val="en-AU"/>
        </w:rPr>
        <w:t xml:space="preserve"> Convention requires ship owners to maintain insurance through a </w:t>
      </w:r>
      <w:r w:rsidR="00FA4CD4" w:rsidRPr="00B703F0">
        <w:rPr>
          <w:lang w:val="en-AU"/>
        </w:rPr>
        <w:t xml:space="preserve">single </w:t>
      </w:r>
      <w:r w:rsidRPr="00B703F0">
        <w:rPr>
          <w:lang w:val="en-AU"/>
        </w:rPr>
        <w:t xml:space="preserve">simple </w:t>
      </w:r>
      <w:r>
        <w:rPr>
          <w:lang w:val="en-AU"/>
        </w:rPr>
        <w:t>certification process</w:t>
      </w:r>
      <w:r w:rsidRPr="00B703F0">
        <w:rPr>
          <w:lang w:val="en-AU"/>
        </w:rPr>
        <w:t xml:space="preserve"> leading to certainty for governments and businesses alike.</w:t>
      </w:r>
      <w:r>
        <w:rPr>
          <w:lang w:val="en-AU"/>
        </w:rPr>
        <w:t xml:space="preserve"> </w:t>
      </w:r>
      <w:r w:rsidR="00923968" w:rsidRPr="00B703F0">
        <w:rPr>
          <w:lang w:val="en-AU"/>
        </w:rPr>
        <w:t xml:space="preserve">Administrative costs are costs incurred by vessel owners primarily to demonstrate compliance with the regulation. Administrative costs include the time taken to demonstrate compliance with the regulation. Some examples </w:t>
      </w:r>
      <w:r>
        <w:rPr>
          <w:lang w:val="en-AU"/>
        </w:rPr>
        <w:t>include</w:t>
      </w:r>
      <w:r w:rsidR="00923968" w:rsidRPr="00B703F0">
        <w:rPr>
          <w:lang w:val="en-AU"/>
        </w:rPr>
        <w:t>:</w:t>
      </w:r>
    </w:p>
    <w:p w14:paraId="13AC1026" w14:textId="40306D30" w:rsidR="00923968" w:rsidRPr="00B703F0" w:rsidRDefault="00923968" w:rsidP="00923968">
      <w:pPr>
        <w:pStyle w:val="Bullet1"/>
        <w:rPr>
          <w:lang w:val="en-AU"/>
        </w:rPr>
      </w:pPr>
      <w:r w:rsidRPr="00B703F0">
        <w:rPr>
          <w:lang w:val="en-AU"/>
        </w:rPr>
        <w:lastRenderedPageBreak/>
        <w:t>costs of making, keeping and providing r</w:t>
      </w:r>
      <w:r w:rsidR="00C81BA5">
        <w:rPr>
          <w:lang w:val="en-AU"/>
        </w:rPr>
        <w:t xml:space="preserve">ecords, particularly carrying </w:t>
      </w:r>
      <w:r w:rsidR="00656874">
        <w:rPr>
          <w:lang w:val="en-AU"/>
        </w:rPr>
        <w:t>a</w:t>
      </w:r>
      <w:r w:rsidR="00C81BA5">
        <w:rPr>
          <w:lang w:val="en-AU"/>
        </w:rPr>
        <w:t xml:space="preserve"> certificate</w:t>
      </w:r>
      <w:r w:rsidR="00287587">
        <w:rPr>
          <w:lang w:val="en-AU"/>
        </w:rPr>
        <w:t xml:space="preserve"> of</w:t>
      </w:r>
      <w:r w:rsidR="00287587" w:rsidRPr="00287587">
        <w:rPr>
          <w:lang w:val="en-AU"/>
        </w:rPr>
        <w:t xml:space="preserve"> </w:t>
      </w:r>
      <w:r w:rsidR="00287587">
        <w:rPr>
          <w:lang w:val="en-AU"/>
        </w:rPr>
        <w:t>insurance</w:t>
      </w:r>
      <w:r w:rsidR="00C81BA5">
        <w:rPr>
          <w:lang w:val="en-AU"/>
        </w:rPr>
        <w:t>.</w:t>
      </w:r>
    </w:p>
    <w:p w14:paraId="4AF44B3C" w14:textId="06D72179" w:rsidR="00923968" w:rsidRPr="00B703F0" w:rsidRDefault="00923968" w:rsidP="00923968">
      <w:pPr>
        <w:pStyle w:val="Bullet1"/>
        <w:rPr>
          <w:lang w:val="en-AU"/>
        </w:rPr>
      </w:pPr>
      <w:r w:rsidRPr="00B703F0">
        <w:rPr>
          <w:lang w:val="en-AU"/>
        </w:rPr>
        <w:t>costs of notifying the government of a wreck</w:t>
      </w:r>
      <w:r w:rsidR="00C81BA5">
        <w:rPr>
          <w:lang w:val="en-AU"/>
        </w:rPr>
        <w:t>.</w:t>
      </w:r>
    </w:p>
    <w:p w14:paraId="18F716F0" w14:textId="7DA270C2" w:rsidR="00923968" w:rsidRPr="00B703F0" w:rsidRDefault="00923968" w:rsidP="00923968">
      <w:pPr>
        <w:pStyle w:val="Bullet1"/>
        <w:rPr>
          <w:lang w:val="en-AU"/>
        </w:rPr>
      </w:pPr>
      <w:r w:rsidRPr="00B703F0">
        <w:rPr>
          <w:lang w:val="en-AU"/>
        </w:rPr>
        <w:t>compliance costs associated with financial costs, including the insurance costs incurred in complying with the Nairobi Convention.</w:t>
      </w:r>
    </w:p>
    <w:p w14:paraId="5A37BC5E" w14:textId="7A224226" w:rsidR="00923968" w:rsidRPr="00B703F0" w:rsidRDefault="00923968" w:rsidP="00923968">
      <w:pPr>
        <w:pStyle w:val="Bullet1"/>
        <w:numPr>
          <w:ilvl w:val="0"/>
          <w:numId w:val="0"/>
        </w:numPr>
        <w:rPr>
          <w:lang w:val="en-AU"/>
        </w:rPr>
      </w:pPr>
      <w:r w:rsidRPr="00B703F0">
        <w:rPr>
          <w:lang w:val="en-AU"/>
        </w:rPr>
        <w:t xml:space="preserve">There would be administrative efficiencies </w:t>
      </w:r>
      <w:r w:rsidR="00422BCB">
        <w:rPr>
          <w:lang w:val="en-AU"/>
        </w:rPr>
        <w:t xml:space="preserve">also </w:t>
      </w:r>
      <w:r w:rsidRPr="00B703F0">
        <w:rPr>
          <w:lang w:val="en-AU"/>
        </w:rPr>
        <w:t xml:space="preserve">from </w:t>
      </w:r>
      <w:r w:rsidR="00422BCB">
        <w:rPr>
          <w:lang w:val="en-AU"/>
        </w:rPr>
        <w:t xml:space="preserve">more international </w:t>
      </w:r>
      <w:r w:rsidRPr="00B703F0">
        <w:rPr>
          <w:lang w:val="en-AU"/>
        </w:rPr>
        <w:t>jurisdiction</w:t>
      </w:r>
      <w:r w:rsidR="00422BCB">
        <w:rPr>
          <w:lang w:val="en-AU"/>
        </w:rPr>
        <w:t>s</w:t>
      </w:r>
      <w:r w:rsidRPr="00B703F0">
        <w:rPr>
          <w:lang w:val="en-AU"/>
        </w:rPr>
        <w:t xml:space="preserve"> having the same regulations in place for wreck removal. Applying the Nairobi Convention to the </w:t>
      </w:r>
      <w:r w:rsidR="002A74E3">
        <w:rPr>
          <w:lang w:val="en-AU"/>
        </w:rPr>
        <w:t>t</w:t>
      </w:r>
      <w:r w:rsidR="00635073" w:rsidRPr="00B703F0">
        <w:rPr>
          <w:lang w:val="en-AU"/>
        </w:rPr>
        <w:t>erritorial sea</w:t>
      </w:r>
      <w:r w:rsidRPr="00B703F0">
        <w:rPr>
          <w:lang w:val="en-AU"/>
        </w:rPr>
        <w:t xml:space="preserve"> would</w:t>
      </w:r>
      <w:r w:rsidR="005D0381">
        <w:rPr>
          <w:lang w:val="en-AU"/>
        </w:rPr>
        <w:t xml:space="preserve"> slightly</w:t>
      </w:r>
      <w:r w:rsidRPr="00B703F0">
        <w:rPr>
          <w:lang w:val="en-AU"/>
        </w:rPr>
        <w:t xml:space="preserve"> increase this efficiency gain.</w:t>
      </w:r>
    </w:p>
    <w:p w14:paraId="363A4599" w14:textId="1B3ED3C9" w:rsidR="00923968" w:rsidRPr="00B703F0" w:rsidRDefault="00923968" w:rsidP="00923968">
      <w:pPr>
        <w:pStyle w:val="Bullet1"/>
        <w:numPr>
          <w:ilvl w:val="0"/>
          <w:numId w:val="0"/>
        </w:numPr>
        <w:rPr>
          <w:lang w:val="en-AU"/>
        </w:rPr>
      </w:pPr>
      <w:r w:rsidRPr="00B703F0">
        <w:rPr>
          <w:lang w:val="en-AU"/>
        </w:rPr>
        <w:t xml:space="preserve">The Nairobi Convention provides a cleaner, simpler and more certain approach to recovering costs </w:t>
      </w:r>
      <w:r w:rsidR="00C3340D">
        <w:rPr>
          <w:lang w:val="en-AU"/>
        </w:rPr>
        <w:t>for the Australian Government</w:t>
      </w:r>
      <w:r w:rsidRPr="00B703F0">
        <w:rPr>
          <w:lang w:val="en-AU"/>
        </w:rPr>
        <w:t xml:space="preserve">. </w:t>
      </w:r>
      <w:r w:rsidR="00C3340D">
        <w:rPr>
          <w:lang w:val="en-AU"/>
        </w:rPr>
        <w:t>For example, a</w:t>
      </w:r>
      <w:r w:rsidRPr="00B703F0">
        <w:rPr>
          <w:lang w:val="en-AU"/>
        </w:rPr>
        <w:t xml:space="preserve"> UK study</w:t>
      </w:r>
      <w:r w:rsidR="00BE7814">
        <w:rPr>
          <w:lang w:val="en-AU"/>
        </w:rPr>
        <w:t xml:space="preserve"> </w:t>
      </w:r>
      <w:r w:rsidRPr="00B703F0">
        <w:rPr>
          <w:lang w:val="en-AU"/>
        </w:rPr>
        <w:t>reported that, cost recovery improv</w:t>
      </w:r>
      <w:r w:rsidR="00BE7814">
        <w:rPr>
          <w:lang w:val="en-AU"/>
        </w:rPr>
        <w:t>ed from around 70 per cent to around 90</w:t>
      </w:r>
      <w:r w:rsidR="00C3340D">
        <w:rPr>
          <w:lang w:val="en-AU"/>
        </w:rPr>
        <w:t> </w:t>
      </w:r>
      <w:r w:rsidR="00BE7814">
        <w:rPr>
          <w:lang w:val="en-AU"/>
        </w:rPr>
        <w:t>per cent</w:t>
      </w:r>
      <w:r w:rsidR="00C3340D">
        <w:rPr>
          <w:lang w:val="en-AU"/>
        </w:rPr>
        <w:t>, however, t</w:t>
      </w:r>
      <w:r w:rsidRPr="00B703F0">
        <w:rPr>
          <w:lang w:val="en-AU"/>
        </w:rPr>
        <w:t xml:space="preserve">he </w:t>
      </w:r>
      <w:r w:rsidR="00C06075">
        <w:rPr>
          <w:lang w:val="en-AU"/>
        </w:rPr>
        <w:t xml:space="preserve">exact </w:t>
      </w:r>
      <w:r w:rsidR="00C3340D">
        <w:rPr>
          <w:color w:val="auto"/>
        </w:rPr>
        <w:t>parallels in the Australian regulatory application is uncertain</w:t>
      </w:r>
      <w:r w:rsidRPr="00B703F0">
        <w:rPr>
          <w:lang w:val="en-AU"/>
        </w:rPr>
        <w:t>.</w:t>
      </w:r>
      <w:r w:rsidR="00F242FB">
        <w:rPr>
          <w:rStyle w:val="FootnoteReference"/>
          <w:lang w:val="en-AU"/>
        </w:rPr>
        <w:footnoteReference w:id="66"/>
      </w:r>
    </w:p>
    <w:p w14:paraId="4C81BB07" w14:textId="1312BCE8" w:rsidR="002718EA" w:rsidRPr="00B703F0" w:rsidRDefault="002718EA" w:rsidP="00BB4252">
      <w:pPr>
        <w:pStyle w:val="Heading2Numbered"/>
        <w:tabs>
          <w:tab w:val="num" w:pos="360"/>
        </w:tabs>
        <w:ind w:left="0" w:firstLine="0"/>
      </w:pPr>
      <w:bookmarkStart w:id="121" w:name="_Toc96354504"/>
      <w:bookmarkStart w:id="122" w:name="_Toc105060782"/>
      <w:r w:rsidRPr="00B703F0">
        <w:t xml:space="preserve">Expected ongoing compliance costs under Options 3 and </w:t>
      </w:r>
      <w:r w:rsidR="00FA52DC">
        <w:t>4</w:t>
      </w:r>
      <w:bookmarkEnd w:id="121"/>
      <w:bookmarkEnd w:id="122"/>
    </w:p>
    <w:p w14:paraId="09D3F8AE" w14:textId="19F837A5" w:rsidR="00213ABA" w:rsidRPr="00B703F0" w:rsidRDefault="00213ABA" w:rsidP="00213ABA">
      <w:r w:rsidRPr="00B703F0">
        <w:t xml:space="preserve">Introducing any new regulation typically incurs costs to both </w:t>
      </w:r>
      <w:r w:rsidR="00CF3C6A">
        <w:t>g</w:t>
      </w:r>
      <w:r w:rsidRPr="00B703F0">
        <w:t>overnment and industry.</w:t>
      </w:r>
      <w:r w:rsidR="00CC73F3" w:rsidRPr="00B703F0">
        <w:t xml:space="preserve"> </w:t>
      </w:r>
      <w:r w:rsidRPr="00B703F0">
        <w:t xml:space="preserve">Consultation with AMSA indicates that the additional costs to the Australian </w:t>
      </w:r>
      <w:r w:rsidR="007A586E">
        <w:t>Government for issue of certification to Australian vessels and checking foreign vessel certification would be negligible and these costs could be absorbed within AMSA</w:t>
      </w:r>
      <w:r w:rsidR="00CC73F3" w:rsidRPr="00B703F0">
        <w:t xml:space="preserve">. </w:t>
      </w:r>
      <w:r w:rsidRPr="00B703F0">
        <w:t>However, ship</w:t>
      </w:r>
      <w:r w:rsidR="002E4021">
        <w:t xml:space="preserve"> </w:t>
      </w:r>
      <w:r w:rsidRPr="00B703F0">
        <w:t>owners would incur some compliance costs on an ongoing basis. They include:</w:t>
      </w:r>
    </w:p>
    <w:p w14:paraId="23F7D28D" w14:textId="714F80D9" w:rsidR="00213ABA" w:rsidRPr="00B703F0" w:rsidRDefault="00CC73F3" w:rsidP="00CC73F3">
      <w:pPr>
        <w:pStyle w:val="Bullet1"/>
        <w:rPr>
          <w:lang w:val="en-AU"/>
        </w:rPr>
      </w:pPr>
      <w:r w:rsidRPr="00B703F0">
        <w:rPr>
          <w:lang w:val="en-AU"/>
        </w:rPr>
        <w:t>a</w:t>
      </w:r>
      <w:r w:rsidR="00213ABA" w:rsidRPr="00B703F0">
        <w:rPr>
          <w:lang w:val="en-AU"/>
        </w:rPr>
        <w:t>dministrative costs – costs of marking, showing and keeping various records</w:t>
      </w:r>
      <w:r w:rsidR="007734F2">
        <w:rPr>
          <w:lang w:val="en-AU"/>
        </w:rPr>
        <w:t>.</w:t>
      </w:r>
    </w:p>
    <w:p w14:paraId="75552C8F" w14:textId="627B6EB6" w:rsidR="00213ABA" w:rsidRPr="00B703F0" w:rsidRDefault="00CC73F3" w:rsidP="00CC73F3">
      <w:pPr>
        <w:pStyle w:val="Bullet1"/>
        <w:rPr>
          <w:lang w:val="en-AU"/>
        </w:rPr>
      </w:pPr>
      <w:r w:rsidRPr="00B703F0">
        <w:rPr>
          <w:lang w:val="en-AU"/>
        </w:rPr>
        <w:t>m</w:t>
      </w:r>
      <w:r w:rsidR="00213ABA" w:rsidRPr="00B703F0">
        <w:rPr>
          <w:lang w:val="en-AU"/>
        </w:rPr>
        <w:t xml:space="preserve">aintaining annual </w:t>
      </w:r>
      <w:r w:rsidR="00C81BA5">
        <w:rPr>
          <w:lang w:val="en-AU"/>
        </w:rPr>
        <w:t>certificate</w:t>
      </w:r>
      <w:r w:rsidR="00287587">
        <w:rPr>
          <w:lang w:val="en-AU"/>
        </w:rPr>
        <w:t xml:space="preserve"> of</w:t>
      </w:r>
      <w:r w:rsidR="00C81BA5">
        <w:rPr>
          <w:lang w:val="en-AU"/>
        </w:rPr>
        <w:t xml:space="preserve"> </w:t>
      </w:r>
      <w:r w:rsidR="00287587">
        <w:rPr>
          <w:lang w:val="en-AU"/>
        </w:rPr>
        <w:t xml:space="preserve">insurance </w:t>
      </w:r>
      <w:r w:rsidR="00C81BA5">
        <w:rPr>
          <w:lang w:val="en-AU"/>
        </w:rPr>
        <w:t xml:space="preserve">from a </w:t>
      </w:r>
      <w:r w:rsidR="00E42558">
        <w:rPr>
          <w:lang w:val="en-AU"/>
        </w:rPr>
        <w:t>State Party</w:t>
      </w:r>
      <w:r w:rsidR="009600BF">
        <w:rPr>
          <w:lang w:val="en-AU"/>
        </w:rPr>
        <w:t xml:space="preserve"> </w:t>
      </w:r>
      <w:r w:rsidR="00213ABA" w:rsidRPr="00B703F0">
        <w:rPr>
          <w:lang w:val="en-AU"/>
        </w:rPr>
        <w:t>and its fee</w:t>
      </w:r>
      <w:r w:rsidR="007734F2">
        <w:rPr>
          <w:lang w:val="en-AU"/>
        </w:rPr>
        <w:t>.</w:t>
      </w:r>
    </w:p>
    <w:p w14:paraId="5F9B52C6" w14:textId="25BE460D" w:rsidR="00213ABA" w:rsidRPr="00345090" w:rsidRDefault="00CC73F3" w:rsidP="00CC73F3">
      <w:pPr>
        <w:pStyle w:val="Bullet1"/>
        <w:rPr>
          <w:lang w:val="en-AU"/>
        </w:rPr>
      </w:pPr>
      <w:r w:rsidRPr="00345090">
        <w:rPr>
          <w:lang w:val="en-AU"/>
        </w:rPr>
        <w:t>c</w:t>
      </w:r>
      <w:r w:rsidR="00213ABA" w:rsidRPr="00345090">
        <w:rPr>
          <w:lang w:val="en-AU"/>
        </w:rPr>
        <w:t>ompulsory insurance and addi</w:t>
      </w:r>
      <w:r w:rsidRPr="00345090">
        <w:rPr>
          <w:lang w:val="en-AU"/>
        </w:rPr>
        <w:t>tional annual premiums</w:t>
      </w:r>
      <w:r w:rsidR="00345090" w:rsidRPr="007734F2">
        <w:rPr>
          <w:lang w:val="en-AU"/>
        </w:rPr>
        <w:t>.</w:t>
      </w:r>
    </w:p>
    <w:p w14:paraId="14ED2118" w14:textId="144C88E2" w:rsidR="00EE4573" w:rsidRDefault="00EE4573" w:rsidP="007734F2">
      <w:pPr>
        <w:pStyle w:val="Heading5"/>
      </w:pPr>
      <w:r>
        <w:t>RAVs and foreign vessels</w:t>
      </w:r>
    </w:p>
    <w:p w14:paraId="075BDC0C" w14:textId="3E868F90" w:rsidR="00211C87" w:rsidRDefault="007D4108" w:rsidP="002F195F">
      <w:r w:rsidRPr="00B703F0">
        <w:t xml:space="preserve">Based on data from the Protection of the Sea Levy database, over the past </w:t>
      </w:r>
      <w:r w:rsidR="00362B44">
        <w:t>2</w:t>
      </w:r>
      <w:r w:rsidR="00362B44" w:rsidRPr="00B703F0">
        <w:t xml:space="preserve"> </w:t>
      </w:r>
      <w:r w:rsidRPr="00B703F0">
        <w:t>years, 89.9</w:t>
      </w:r>
      <w:r>
        <w:t xml:space="preserve"> per cent</w:t>
      </w:r>
      <w:r w:rsidRPr="00B703F0">
        <w:t xml:space="preserve"> of all </w:t>
      </w:r>
      <w:r w:rsidR="00AC5FBC">
        <w:t>ships</w:t>
      </w:r>
      <w:r>
        <w:t xml:space="preserve"> that</w:t>
      </w:r>
      <w:r w:rsidRPr="00B703F0">
        <w:t xml:space="preserve"> paid the levy were flagged in countries </w:t>
      </w:r>
      <w:r>
        <w:t>who</w:t>
      </w:r>
      <w:r w:rsidRPr="00B703F0">
        <w:t xml:space="preserve"> are </w:t>
      </w:r>
      <w:r>
        <w:t xml:space="preserve">State Parties </w:t>
      </w:r>
      <w:r w:rsidRPr="00B703F0">
        <w:t xml:space="preserve">to the Nairobi Convention. </w:t>
      </w:r>
      <w:r>
        <w:t>Of the remaining 10.1 per cent</w:t>
      </w:r>
      <w:r w:rsidRPr="00B703F0">
        <w:t xml:space="preserve"> (equal to 590 </w:t>
      </w:r>
      <w:r w:rsidR="00AC5FBC">
        <w:t>ships</w:t>
      </w:r>
      <w:r w:rsidRPr="00B703F0">
        <w:t>),</w:t>
      </w:r>
      <w:r>
        <w:t xml:space="preserve"> 125 </w:t>
      </w:r>
      <w:r w:rsidR="00AC5FBC">
        <w:t>ships</w:t>
      </w:r>
      <w:r>
        <w:t xml:space="preserve"> </w:t>
      </w:r>
      <w:r w:rsidR="00024846">
        <w:t>(</w:t>
      </w:r>
      <w:r>
        <w:t xml:space="preserve">and 2 percent of the overall </w:t>
      </w:r>
      <w:r w:rsidR="00AC5FBC">
        <w:t>ships</w:t>
      </w:r>
      <w:r>
        <w:t xml:space="preserve"> that paid the levy) were flagged in Australia</w:t>
      </w:r>
      <w:r w:rsidR="00EE4573">
        <w:t>.</w:t>
      </w:r>
      <w:r w:rsidR="005A60D6">
        <w:rPr>
          <w:rStyle w:val="FootnoteReference"/>
        </w:rPr>
        <w:footnoteReference w:id="67"/>
      </w:r>
      <w:r w:rsidR="00024846">
        <w:t xml:space="preserve"> </w:t>
      </w:r>
    </w:p>
    <w:p w14:paraId="0949C8AF" w14:textId="797B398D" w:rsidR="00EF717C" w:rsidRDefault="00E6710E" w:rsidP="002F195F">
      <w:r>
        <w:t xml:space="preserve">Given the large proportion of international shipping industry that already maintain relevant wreck removal insurance and that the marginal cost impacts on those ships that visit Australia it is expected the above costs would only accrue to the ships not already covered. </w:t>
      </w:r>
      <w:r w:rsidR="00EF717C">
        <w:t xml:space="preserve">Further, the foreign ownership of the vast majority of </w:t>
      </w:r>
      <w:r w:rsidR="007E39FE">
        <w:t>the</w:t>
      </w:r>
      <w:r w:rsidR="00EF717C">
        <w:t xml:space="preserve"> </w:t>
      </w:r>
      <w:r w:rsidR="00AC5FBC">
        <w:t>ships</w:t>
      </w:r>
      <w:r w:rsidR="00EF717C">
        <w:t xml:space="preserve"> that visit Australia means that any cost impacts will accrue to overseas companies with a secondary impact on the Australian economy of the potential of increased owner cost recovery through freight charges. </w:t>
      </w:r>
    </w:p>
    <w:p w14:paraId="4684F764" w14:textId="040E7E74" w:rsidR="00EF717C" w:rsidRPr="00B703F0" w:rsidRDefault="00CC73F3" w:rsidP="00213ABA">
      <w:r w:rsidRPr="005B455A">
        <w:t xml:space="preserve">Table </w:t>
      </w:r>
      <w:r w:rsidR="00FA6155" w:rsidRPr="005B455A">
        <w:t>2</w:t>
      </w:r>
      <w:r w:rsidR="00213ABA" w:rsidRPr="00850645">
        <w:t xml:space="preserve"> presents the anticipated compliance costs</w:t>
      </w:r>
      <w:r w:rsidR="00EC2D5A" w:rsidRPr="007734F2">
        <w:t xml:space="preserve"> for RAVs and foreign vessels</w:t>
      </w:r>
      <w:r w:rsidR="00213ABA" w:rsidRPr="005B455A">
        <w:t xml:space="preserve"> under Options </w:t>
      </w:r>
      <w:r w:rsidRPr="005B455A">
        <w:t>3</w:t>
      </w:r>
      <w:r w:rsidR="00213ABA" w:rsidRPr="00850645">
        <w:t xml:space="preserve"> and </w:t>
      </w:r>
      <w:r w:rsidR="00FE4BA3" w:rsidRPr="00211C87">
        <w:t>4</w:t>
      </w:r>
      <w:r w:rsidR="00213ABA" w:rsidRPr="00211C87">
        <w:t xml:space="preserve">, with details regarding the calculations provided in the following </w:t>
      </w:r>
      <w:r w:rsidR="001D0478">
        <w:t>chapters</w:t>
      </w:r>
      <w:r w:rsidR="00213ABA" w:rsidRPr="00211C87">
        <w:t xml:space="preserve">. In total, over the first </w:t>
      </w:r>
      <w:r w:rsidR="00362B44">
        <w:t>10</w:t>
      </w:r>
      <w:r w:rsidR="00362B44" w:rsidRPr="00211C87">
        <w:t xml:space="preserve"> </w:t>
      </w:r>
      <w:r w:rsidR="00213ABA" w:rsidRPr="00211C87">
        <w:t xml:space="preserve">years, compliance costs under Option </w:t>
      </w:r>
      <w:r w:rsidRPr="00211C87">
        <w:t xml:space="preserve">3 and </w:t>
      </w:r>
      <w:r w:rsidR="00FE4BA3" w:rsidRPr="00211C87">
        <w:t>4</w:t>
      </w:r>
      <w:r w:rsidR="00213ABA" w:rsidRPr="00211C87">
        <w:t xml:space="preserve">, relative to Option 1, are estimated to be $2.6 million and </w:t>
      </w:r>
      <w:r w:rsidR="00677F9E" w:rsidRPr="00211C87">
        <w:t>$</w:t>
      </w:r>
      <w:r w:rsidR="00213ABA" w:rsidRPr="00211C87">
        <w:t>3 million, respectively (or $1.8</w:t>
      </w:r>
      <w:r w:rsidR="007734F2">
        <w:t> </w:t>
      </w:r>
      <w:r w:rsidR="00213ABA" w:rsidRPr="00211C87">
        <w:t>million and $2.1</w:t>
      </w:r>
      <w:r w:rsidR="007734F2">
        <w:t> </w:t>
      </w:r>
      <w:r w:rsidR="00213ABA" w:rsidRPr="00211C87">
        <w:t>million in net</w:t>
      </w:r>
      <w:r w:rsidR="00BE7814" w:rsidRPr="00211C87">
        <w:t xml:space="preserve"> present value terms using a 7 per cent </w:t>
      </w:r>
      <w:r w:rsidR="00213ABA" w:rsidRPr="00211C87">
        <w:t>discount rate).</w:t>
      </w:r>
    </w:p>
    <w:p w14:paraId="5206503E" w14:textId="7921ECEA" w:rsidR="00316197" w:rsidRPr="00B703F0" w:rsidRDefault="00764114" w:rsidP="00764114">
      <w:pPr>
        <w:pStyle w:val="Caption"/>
      </w:pPr>
      <w:bookmarkStart w:id="123" w:name="_Toc76120254"/>
      <w:bookmarkStart w:id="124" w:name="_Toc76120452"/>
      <w:bookmarkStart w:id="125" w:name="_Toc96343129"/>
      <w:bookmarkStart w:id="126" w:name="_Toc105060760"/>
      <w:r w:rsidRPr="00B703F0">
        <w:t xml:space="preserve">Table </w:t>
      </w:r>
      <w:r w:rsidR="006A20A6">
        <w:rPr>
          <w:noProof/>
        </w:rPr>
        <w:t>2</w:t>
      </w:r>
      <w:r w:rsidRPr="00B703F0">
        <w:t>: Compliance costs</w:t>
      </w:r>
      <w:r w:rsidR="00EE4573">
        <w:t xml:space="preserve"> for RAVs and foreign vessels</w:t>
      </w:r>
      <w:r w:rsidRPr="00B703F0">
        <w:t xml:space="preserve"> under Options 3 and </w:t>
      </w:r>
      <w:r w:rsidR="00FE4BA3">
        <w:t>4</w:t>
      </w:r>
      <w:r w:rsidRPr="00B703F0">
        <w:t xml:space="preserve">, relative to Option 1 over a </w:t>
      </w:r>
      <w:r w:rsidR="00362B44">
        <w:t>10</w:t>
      </w:r>
      <w:r w:rsidRPr="00B703F0">
        <w:t>-year period</w:t>
      </w:r>
      <w:r w:rsidRPr="00B703F0">
        <w:rPr>
          <w:rStyle w:val="FootnoteReference"/>
        </w:rPr>
        <w:footnoteReference w:id="68"/>
      </w:r>
      <w:bookmarkEnd w:id="123"/>
      <w:bookmarkEnd w:id="124"/>
      <w:bookmarkEnd w:id="125"/>
      <w:bookmarkEnd w:id="126"/>
    </w:p>
    <w:tbl>
      <w:tblPr>
        <w:tblStyle w:val="DefaultTable1"/>
        <w:tblW w:w="9864" w:type="dxa"/>
        <w:tblLook w:val="04E0" w:firstRow="1" w:lastRow="1" w:firstColumn="1" w:lastColumn="0" w:noHBand="0" w:noVBand="1"/>
      </w:tblPr>
      <w:tblGrid>
        <w:gridCol w:w="2694"/>
        <w:gridCol w:w="1641"/>
        <w:gridCol w:w="1843"/>
        <w:gridCol w:w="1843"/>
        <w:gridCol w:w="1843"/>
      </w:tblGrid>
      <w:tr w:rsidR="00E700BC" w:rsidRPr="00211C87" w14:paraId="211FDFDA" w14:textId="77777777" w:rsidTr="00E700BC">
        <w:trPr>
          <w:cnfStyle w:val="100000000000" w:firstRow="1" w:lastRow="0" w:firstColumn="0" w:lastColumn="0" w:oddVBand="0" w:evenVBand="0" w:oddHBand="0" w:evenHBand="0" w:firstRowFirstColumn="0" w:firstRowLastColumn="0" w:lastRowFirstColumn="0" w:lastRowLastColumn="0"/>
          <w:trHeight w:val="542"/>
        </w:trPr>
        <w:tc>
          <w:tcPr>
            <w:cnfStyle w:val="001000000000" w:firstRow="0" w:lastRow="0" w:firstColumn="1" w:lastColumn="0" w:oddVBand="0" w:evenVBand="0" w:oddHBand="0" w:evenHBand="0" w:firstRowFirstColumn="0" w:firstRowLastColumn="0" w:lastRowFirstColumn="0" w:lastRowLastColumn="0"/>
            <w:tcW w:w="2694" w:type="dxa"/>
          </w:tcPr>
          <w:p w14:paraId="307C4D81" w14:textId="6EC17A9E" w:rsidR="00E700BC" w:rsidRPr="005B455A" w:rsidRDefault="00E700BC" w:rsidP="00E20BA6">
            <w:r w:rsidRPr="005B455A">
              <w:t>Costs</w:t>
            </w:r>
          </w:p>
        </w:tc>
        <w:tc>
          <w:tcPr>
            <w:tcW w:w="1641" w:type="dxa"/>
          </w:tcPr>
          <w:p w14:paraId="2BB62D06" w14:textId="211DB9A1" w:rsidR="00E700BC" w:rsidRPr="00211C87" w:rsidRDefault="00E700BC" w:rsidP="00E67633">
            <w:pPr>
              <w:cnfStyle w:val="100000000000" w:firstRow="1" w:lastRow="0" w:firstColumn="0" w:lastColumn="0" w:oddVBand="0" w:evenVBand="0" w:oddHBand="0" w:evenHBand="0" w:firstRowFirstColumn="0" w:firstRowLastColumn="0" w:lastRowFirstColumn="0" w:lastRowLastColumn="0"/>
            </w:pPr>
            <w:r w:rsidRPr="00850645">
              <w:t>Option 3</w:t>
            </w:r>
          </w:p>
        </w:tc>
        <w:tc>
          <w:tcPr>
            <w:tcW w:w="1843" w:type="dxa"/>
          </w:tcPr>
          <w:p w14:paraId="06EA0CE2" w14:textId="77777777" w:rsidR="00E700BC" w:rsidRPr="00211C87" w:rsidRDefault="00E700BC" w:rsidP="00E20BA6">
            <w:pPr>
              <w:cnfStyle w:val="100000000000" w:firstRow="1" w:lastRow="0" w:firstColumn="0" w:lastColumn="0" w:oddVBand="0" w:evenVBand="0" w:oddHBand="0" w:evenHBand="0" w:firstRowFirstColumn="0" w:firstRowLastColumn="0" w:lastRowFirstColumn="0" w:lastRowLastColumn="0"/>
            </w:pPr>
          </w:p>
        </w:tc>
        <w:tc>
          <w:tcPr>
            <w:tcW w:w="1843" w:type="dxa"/>
          </w:tcPr>
          <w:p w14:paraId="5BFCFB70" w14:textId="14B0EAA9" w:rsidR="00E700BC" w:rsidRPr="00211C87" w:rsidRDefault="00E700BC" w:rsidP="00E67633">
            <w:pPr>
              <w:cnfStyle w:val="100000000000" w:firstRow="1" w:lastRow="0" w:firstColumn="0" w:lastColumn="0" w:oddVBand="0" w:evenVBand="0" w:oddHBand="0" w:evenHBand="0" w:firstRowFirstColumn="0" w:firstRowLastColumn="0" w:lastRowFirstColumn="0" w:lastRowLastColumn="0"/>
            </w:pPr>
            <w:r w:rsidRPr="00211C87">
              <w:t xml:space="preserve">Option </w:t>
            </w:r>
            <w:r w:rsidR="00FE4BA3" w:rsidRPr="00211C87">
              <w:t>4</w:t>
            </w:r>
          </w:p>
        </w:tc>
        <w:tc>
          <w:tcPr>
            <w:tcW w:w="1843" w:type="dxa"/>
          </w:tcPr>
          <w:p w14:paraId="1346E084" w14:textId="77777777" w:rsidR="00E700BC" w:rsidRPr="00211C87" w:rsidRDefault="00E700BC" w:rsidP="00E20BA6">
            <w:pPr>
              <w:cnfStyle w:val="100000000000" w:firstRow="1" w:lastRow="0" w:firstColumn="0" w:lastColumn="0" w:oddVBand="0" w:evenVBand="0" w:oddHBand="0" w:evenHBand="0" w:firstRowFirstColumn="0" w:firstRowLastColumn="0" w:lastRowFirstColumn="0" w:lastRowLastColumn="0"/>
            </w:pPr>
          </w:p>
        </w:tc>
      </w:tr>
      <w:tr w:rsidR="000E02C1" w:rsidRPr="00211C87" w14:paraId="117C582D" w14:textId="77777777" w:rsidTr="000E02C1">
        <w:trPr>
          <w:trHeight w:val="542"/>
        </w:trPr>
        <w:tc>
          <w:tcPr>
            <w:cnfStyle w:val="001000000000" w:firstRow="0" w:lastRow="0" w:firstColumn="1" w:lastColumn="0" w:oddVBand="0" w:evenVBand="0" w:oddHBand="0" w:evenHBand="0" w:firstRowFirstColumn="0" w:firstRowLastColumn="0" w:lastRowFirstColumn="0" w:lastRowLastColumn="0"/>
            <w:tcW w:w="2694" w:type="dxa"/>
            <w:shd w:val="clear" w:color="auto" w:fill="081E3E" w:themeFill="accent1"/>
          </w:tcPr>
          <w:p w14:paraId="0CA04ABE" w14:textId="77777777" w:rsidR="00E700BC" w:rsidRPr="005B455A" w:rsidRDefault="00E700BC" w:rsidP="00E20BA6">
            <w:pPr>
              <w:rPr>
                <w:color w:val="FFFFFF" w:themeColor="background1"/>
              </w:rPr>
            </w:pPr>
          </w:p>
        </w:tc>
        <w:tc>
          <w:tcPr>
            <w:tcW w:w="1641" w:type="dxa"/>
            <w:shd w:val="clear" w:color="auto" w:fill="081E3E" w:themeFill="accent1"/>
          </w:tcPr>
          <w:p w14:paraId="7C6011F1" w14:textId="277D3328" w:rsidR="00E700BC" w:rsidRPr="00850645" w:rsidRDefault="00E700BC" w:rsidP="00E20BA6">
            <w:pPr>
              <w:cnfStyle w:val="000000000000" w:firstRow="0" w:lastRow="0" w:firstColumn="0" w:lastColumn="0" w:oddVBand="0" w:evenVBand="0" w:oddHBand="0" w:evenHBand="0" w:firstRowFirstColumn="0" w:firstRowLastColumn="0" w:lastRowFirstColumn="0" w:lastRowLastColumn="0"/>
              <w:rPr>
                <w:color w:val="FFFFFF" w:themeColor="background1"/>
              </w:rPr>
            </w:pPr>
            <w:r w:rsidRPr="00850645">
              <w:rPr>
                <w:color w:val="FFFFFF" w:themeColor="background1"/>
              </w:rPr>
              <w:t>Undiscounted</w:t>
            </w:r>
          </w:p>
        </w:tc>
        <w:tc>
          <w:tcPr>
            <w:tcW w:w="1843" w:type="dxa"/>
            <w:shd w:val="clear" w:color="auto" w:fill="081E3E" w:themeFill="accent1"/>
          </w:tcPr>
          <w:p w14:paraId="0C9D503A" w14:textId="6E28A934" w:rsidR="00E700BC" w:rsidRPr="00211C87" w:rsidRDefault="00E700BC" w:rsidP="00E20BA6">
            <w:pPr>
              <w:cnfStyle w:val="000000000000" w:firstRow="0" w:lastRow="0" w:firstColumn="0" w:lastColumn="0" w:oddVBand="0" w:evenVBand="0" w:oddHBand="0" w:evenHBand="0" w:firstRowFirstColumn="0" w:firstRowLastColumn="0" w:lastRowFirstColumn="0" w:lastRowLastColumn="0"/>
              <w:rPr>
                <w:color w:val="FFFFFF" w:themeColor="background1"/>
              </w:rPr>
            </w:pPr>
            <w:r w:rsidRPr="00211C87">
              <w:rPr>
                <w:color w:val="FFFFFF" w:themeColor="background1"/>
              </w:rPr>
              <w:t>NPV (7% discount)</w:t>
            </w:r>
          </w:p>
        </w:tc>
        <w:tc>
          <w:tcPr>
            <w:tcW w:w="1843" w:type="dxa"/>
            <w:shd w:val="clear" w:color="auto" w:fill="081E3E" w:themeFill="accent1"/>
          </w:tcPr>
          <w:p w14:paraId="0A1B7659" w14:textId="02D3C8B2" w:rsidR="00E700BC" w:rsidRPr="00211C87" w:rsidRDefault="00E700BC" w:rsidP="00E20BA6">
            <w:pPr>
              <w:cnfStyle w:val="000000000000" w:firstRow="0" w:lastRow="0" w:firstColumn="0" w:lastColumn="0" w:oddVBand="0" w:evenVBand="0" w:oddHBand="0" w:evenHBand="0" w:firstRowFirstColumn="0" w:firstRowLastColumn="0" w:lastRowFirstColumn="0" w:lastRowLastColumn="0"/>
              <w:rPr>
                <w:color w:val="FFFFFF" w:themeColor="background1"/>
              </w:rPr>
            </w:pPr>
            <w:r w:rsidRPr="00211C87">
              <w:rPr>
                <w:color w:val="FFFFFF" w:themeColor="background1"/>
              </w:rPr>
              <w:t>Undiscounted</w:t>
            </w:r>
          </w:p>
        </w:tc>
        <w:tc>
          <w:tcPr>
            <w:tcW w:w="1843" w:type="dxa"/>
            <w:shd w:val="clear" w:color="auto" w:fill="081E3E" w:themeFill="accent1"/>
          </w:tcPr>
          <w:p w14:paraId="5A97ED6D" w14:textId="3ECAA7B3" w:rsidR="00E700BC" w:rsidRPr="00211C87" w:rsidRDefault="00E700BC" w:rsidP="00E20BA6">
            <w:pPr>
              <w:cnfStyle w:val="000000000000" w:firstRow="0" w:lastRow="0" w:firstColumn="0" w:lastColumn="0" w:oddVBand="0" w:evenVBand="0" w:oddHBand="0" w:evenHBand="0" w:firstRowFirstColumn="0" w:firstRowLastColumn="0" w:lastRowFirstColumn="0" w:lastRowLastColumn="0"/>
              <w:rPr>
                <w:color w:val="FFFFFF" w:themeColor="background1"/>
              </w:rPr>
            </w:pPr>
            <w:r w:rsidRPr="00211C87">
              <w:rPr>
                <w:color w:val="FFFFFF" w:themeColor="background1"/>
              </w:rPr>
              <w:t>NPV (7% discount)</w:t>
            </w:r>
          </w:p>
        </w:tc>
      </w:tr>
      <w:tr w:rsidR="00316197" w:rsidRPr="00211C87" w14:paraId="208B3B3F" w14:textId="77777777" w:rsidTr="00E700BC">
        <w:trPr>
          <w:cnfStyle w:val="000000010000" w:firstRow="0" w:lastRow="0" w:firstColumn="0" w:lastColumn="0" w:oddVBand="0" w:evenVBand="0" w:oddHBand="0" w:evenHBand="1" w:firstRowFirstColumn="0" w:firstRowLastColumn="0" w:lastRowFirstColumn="0" w:lastRowLastColumn="0"/>
          <w:trHeight w:val="542"/>
        </w:trPr>
        <w:tc>
          <w:tcPr>
            <w:cnfStyle w:val="001000000000" w:firstRow="0" w:lastRow="0" w:firstColumn="1" w:lastColumn="0" w:oddVBand="0" w:evenVBand="0" w:oddHBand="0" w:evenHBand="0" w:firstRowFirstColumn="0" w:firstRowLastColumn="0" w:lastRowFirstColumn="0" w:lastRowLastColumn="0"/>
            <w:tcW w:w="2694" w:type="dxa"/>
          </w:tcPr>
          <w:p w14:paraId="4D8C3565" w14:textId="77777777" w:rsidR="00316197" w:rsidRPr="005B455A" w:rsidRDefault="00316197" w:rsidP="00316197"/>
        </w:tc>
        <w:tc>
          <w:tcPr>
            <w:tcW w:w="1641" w:type="dxa"/>
          </w:tcPr>
          <w:p w14:paraId="16E949D2" w14:textId="20AB4600" w:rsidR="00316197" w:rsidRPr="00850645" w:rsidRDefault="00316197" w:rsidP="00316197">
            <w:pPr>
              <w:cnfStyle w:val="000000010000" w:firstRow="0" w:lastRow="0" w:firstColumn="0" w:lastColumn="0" w:oddVBand="0" w:evenVBand="0" w:oddHBand="0" w:evenHBand="1" w:firstRowFirstColumn="0" w:firstRowLastColumn="0" w:lastRowFirstColumn="0" w:lastRowLastColumn="0"/>
            </w:pPr>
            <w:r w:rsidRPr="00850645">
              <w:t>2020 real $m</w:t>
            </w:r>
          </w:p>
        </w:tc>
        <w:tc>
          <w:tcPr>
            <w:tcW w:w="1843" w:type="dxa"/>
          </w:tcPr>
          <w:p w14:paraId="0EC1C6DF" w14:textId="14409617" w:rsidR="00316197" w:rsidRPr="00211C87" w:rsidRDefault="00316197" w:rsidP="00316197">
            <w:pPr>
              <w:cnfStyle w:val="000000010000" w:firstRow="0" w:lastRow="0" w:firstColumn="0" w:lastColumn="0" w:oddVBand="0" w:evenVBand="0" w:oddHBand="0" w:evenHBand="1" w:firstRowFirstColumn="0" w:firstRowLastColumn="0" w:lastRowFirstColumn="0" w:lastRowLastColumn="0"/>
            </w:pPr>
            <w:r w:rsidRPr="00211C87">
              <w:t>2020 real $m</w:t>
            </w:r>
          </w:p>
        </w:tc>
        <w:tc>
          <w:tcPr>
            <w:tcW w:w="1843" w:type="dxa"/>
          </w:tcPr>
          <w:p w14:paraId="3AF71AB9" w14:textId="592943F1" w:rsidR="00316197" w:rsidRPr="00211C87" w:rsidRDefault="00316197" w:rsidP="00316197">
            <w:pPr>
              <w:cnfStyle w:val="000000010000" w:firstRow="0" w:lastRow="0" w:firstColumn="0" w:lastColumn="0" w:oddVBand="0" w:evenVBand="0" w:oddHBand="0" w:evenHBand="1" w:firstRowFirstColumn="0" w:firstRowLastColumn="0" w:lastRowFirstColumn="0" w:lastRowLastColumn="0"/>
            </w:pPr>
            <w:r w:rsidRPr="00211C87">
              <w:t>2020 real $m</w:t>
            </w:r>
          </w:p>
        </w:tc>
        <w:tc>
          <w:tcPr>
            <w:tcW w:w="1843" w:type="dxa"/>
          </w:tcPr>
          <w:p w14:paraId="34C91083" w14:textId="35946231" w:rsidR="00316197" w:rsidRPr="00211C87" w:rsidRDefault="00316197" w:rsidP="00316197">
            <w:pPr>
              <w:cnfStyle w:val="000000010000" w:firstRow="0" w:lastRow="0" w:firstColumn="0" w:lastColumn="0" w:oddVBand="0" w:evenVBand="0" w:oddHBand="0" w:evenHBand="1" w:firstRowFirstColumn="0" w:firstRowLastColumn="0" w:lastRowFirstColumn="0" w:lastRowLastColumn="0"/>
            </w:pPr>
            <w:r w:rsidRPr="00211C87">
              <w:t>2020 real $m</w:t>
            </w:r>
          </w:p>
        </w:tc>
      </w:tr>
      <w:tr w:rsidR="00300CFD" w:rsidRPr="00211C87" w14:paraId="3EA41970" w14:textId="77777777" w:rsidTr="00E700BC">
        <w:trPr>
          <w:trHeight w:val="542"/>
        </w:trPr>
        <w:tc>
          <w:tcPr>
            <w:cnfStyle w:val="001000000000" w:firstRow="0" w:lastRow="0" w:firstColumn="1" w:lastColumn="0" w:oddVBand="0" w:evenVBand="0" w:oddHBand="0" w:evenHBand="0" w:firstRowFirstColumn="0" w:firstRowLastColumn="0" w:lastRowFirstColumn="0" w:lastRowLastColumn="0"/>
            <w:tcW w:w="2694" w:type="dxa"/>
          </w:tcPr>
          <w:p w14:paraId="7DC8B04B" w14:textId="038164CF" w:rsidR="00316197" w:rsidRPr="005B455A" w:rsidRDefault="00316197" w:rsidP="00E20BA6">
            <w:pPr>
              <w:rPr>
                <w:b w:val="0"/>
              </w:rPr>
            </w:pPr>
            <w:r w:rsidRPr="005B455A">
              <w:t>Administration costs</w:t>
            </w:r>
          </w:p>
        </w:tc>
        <w:tc>
          <w:tcPr>
            <w:tcW w:w="1641" w:type="dxa"/>
          </w:tcPr>
          <w:p w14:paraId="17202AC1" w14:textId="303DE12B" w:rsidR="00300CFD" w:rsidRPr="00850645" w:rsidRDefault="00316197" w:rsidP="00316197">
            <w:pPr>
              <w:jc w:val="right"/>
              <w:cnfStyle w:val="000000000000" w:firstRow="0" w:lastRow="0" w:firstColumn="0" w:lastColumn="0" w:oddVBand="0" w:evenVBand="0" w:oddHBand="0" w:evenHBand="0" w:firstRowFirstColumn="0" w:firstRowLastColumn="0" w:lastRowFirstColumn="0" w:lastRowLastColumn="0"/>
            </w:pPr>
            <w:r w:rsidRPr="00850645">
              <w:t>2.3</w:t>
            </w:r>
          </w:p>
        </w:tc>
        <w:tc>
          <w:tcPr>
            <w:tcW w:w="1843" w:type="dxa"/>
          </w:tcPr>
          <w:p w14:paraId="4814EB2E" w14:textId="026F23D5" w:rsidR="00300CFD" w:rsidRPr="00211C87" w:rsidRDefault="00316197" w:rsidP="00316197">
            <w:pPr>
              <w:jc w:val="right"/>
              <w:cnfStyle w:val="000000000000" w:firstRow="0" w:lastRow="0" w:firstColumn="0" w:lastColumn="0" w:oddVBand="0" w:evenVBand="0" w:oddHBand="0" w:evenHBand="0" w:firstRowFirstColumn="0" w:firstRowLastColumn="0" w:lastRowFirstColumn="0" w:lastRowLastColumn="0"/>
            </w:pPr>
            <w:r w:rsidRPr="00211C87">
              <w:t>1.6</w:t>
            </w:r>
          </w:p>
        </w:tc>
        <w:tc>
          <w:tcPr>
            <w:tcW w:w="1843" w:type="dxa"/>
          </w:tcPr>
          <w:p w14:paraId="0B269766" w14:textId="1A301DDB" w:rsidR="00300CFD" w:rsidRPr="00211C87" w:rsidRDefault="00316197" w:rsidP="00316197">
            <w:pPr>
              <w:jc w:val="right"/>
              <w:cnfStyle w:val="000000000000" w:firstRow="0" w:lastRow="0" w:firstColumn="0" w:lastColumn="0" w:oddVBand="0" w:evenVBand="0" w:oddHBand="0" w:evenHBand="0" w:firstRowFirstColumn="0" w:firstRowLastColumn="0" w:lastRowFirstColumn="0" w:lastRowLastColumn="0"/>
            </w:pPr>
            <w:r w:rsidRPr="00211C87">
              <w:t>2.3</w:t>
            </w:r>
          </w:p>
        </w:tc>
        <w:tc>
          <w:tcPr>
            <w:tcW w:w="1843" w:type="dxa"/>
          </w:tcPr>
          <w:p w14:paraId="658F1EF9" w14:textId="2028A4E9" w:rsidR="00300CFD" w:rsidRPr="00211C87" w:rsidRDefault="00316197" w:rsidP="00316197">
            <w:pPr>
              <w:jc w:val="right"/>
              <w:cnfStyle w:val="000000000000" w:firstRow="0" w:lastRow="0" w:firstColumn="0" w:lastColumn="0" w:oddVBand="0" w:evenVBand="0" w:oddHBand="0" w:evenHBand="0" w:firstRowFirstColumn="0" w:firstRowLastColumn="0" w:lastRowFirstColumn="0" w:lastRowLastColumn="0"/>
            </w:pPr>
            <w:r w:rsidRPr="00211C87">
              <w:t>1.6</w:t>
            </w:r>
          </w:p>
        </w:tc>
      </w:tr>
      <w:tr w:rsidR="00300CFD" w:rsidRPr="00211C87" w14:paraId="0D82C212" w14:textId="77777777" w:rsidTr="00E700BC">
        <w:trPr>
          <w:cnfStyle w:val="000000010000" w:firstRow="0" w:lastRow="0" w:firstColumn="0" w:lastColumn="0" w:oddVBand="0" w:evenVBand="0" w:oddHBand="0" w:evenHBand="1" w:firstRowFirstColumn="0" w:firstRowLastColumn="0" w:lastRowFirstColumn="0" w:lastRowLastColumn="0"/>
          <w:trHeight w:val="542"/>
        </w:trPr>
        <w:tc>
          <w:tcPr>
            <w:cnfStyle w:val="001000000000" w:firstRow="0" w:lastRow="0" w:firstColumn="1" w:lastColumn="0" w:oddVBand="0" w:evenVBand="0" w:oddHBand="0" w:evenHBand="0" w:firstRowFirstColumn="0" w:firstRowLastColumn="0" w:lastRowFirstColumn="0" w:lastRowLastColumn="0"/>
            <w:tcW w:w="2694" w:type="dxa"/>
          </w:tcPr>
          <w:p w14:paraId="73B4B12F" w14:textId="4B55E88E" w:rsidR="00300CFD" w:rsidRPr="00850645" w:rsidRDefault="00C81BA5" w:rsidP="00E20BA6">
            <w:pPr>
              <w:rPr>
                <w:b w:val="0"/>
              </w:rPr>
            </w:pPr>
            <w:r w:rsidRPr="005B455A">
              <w:lastRenderedPageBreak/>
              <w:t>Certificate</w:t>
            </w:r>
            <w:r w:rsidR="009600BF" w:rsidRPr="005B455A">
              <w:t xml:space="preserve"> </w:t>
            </w:r>
            <w:r w:rsidR="00316197" w:rsidRPr="00850645">
              <w:t>costs</w:t>
            </w:r>
          </w:p>
        </w:tc>
        <w:tc>
          <w:tcPr>
            <w:tcW w:w="1641" w:type="dxa"/>
          </w:tcPr>
          <w:p w14:paraId="75FE50A2" w14:textId="62B1397B" w:rsidR="00300CFD" w:rsidRPr="00211C87" w:rsidRDefault="00316197" w:rsidP="00316197">
            <w:pPr>
              <w:jc w:val="right"/>
              <w:cnfStyle w:val="000000010000" w:firstRow="0" w:lastRow="0" w:firstColumn="0" w:lastColumn="0" w:oddVBand="0" w:evenVBand="0" w:oddHBand="0" w:evenHBand="1" w:firstRowFirstColumn="0" w:firstRowLastColumn="0" w:lastRowFirstColumn="0" w:lastRowLastColumn="0"/>
            </w:pPr>
            <w:r w:rsidRPr="00211C87">
              <w:t>0.3</w:t>
            </w:r>
          </w:p>
        </w:tc>
        <w:tc>
          <w:tcPr>
            <w:tcW w:w="1843" w:type="dxa"/>
          </w:tcPr>
          <w:p w14:paraId="38683ABB" w14:textId="0DD96DA5" w:rsidR="00300CFD" w:rsidRPr="00211C87" w:rsidRDefault="00316197" w:rsidP="00316197">
            <w:pPr>
              <w:jc w:val="right"/>
              <w:cnfStyle w:val="000000010000" w:firstRow="0" w:lastRow="0" w:firstColumn="0" w:lastColumn="0" w:oddVBand="0" w:evenVBand="0" w:oddHBand="0" w:evenHBand="1" w:firstRowFirstColumn="0" w:firstRowLastColumn="0" w:lastRowFirstColumn="0" w:lastRowLastColumn="0"/>
            </w:pPr>
            <w:r w:rsidRPr="00211C87">
              <w:t>0.2</w:t>
            </w:r>
          </w:p>
        </w:tc>
        <w:tc>
          <w:tcPr>
            <w:tcW w:w="1843" w:type="dxa"/>
          </w:tcPr>
          <w:p w14:paraId="0AF8761C" w14:textId="556C62AD" w:rsidR="00300CFD" w:rsidRPr="00211C87" w:rsidRDefault="00316197" w:rsidP="00316197">
            <w:pPr>
              <w:jc w:val="right"/>
              <w:cnfStyle w:val="000000010000" w:firstRow="0" w:lastRow="0" w:firstColumn="0" w:lastColumn="0" w:oddVBand="0" w:evenVBand="0" w:oddHBand="0" w:evenHBand="1" w:firstRowFirstColumn="0" w:firstRowLastColumn="0" w:lastRowFirstColumn="0" w:lastRowLastColumn="0"/>
            </w:pPr>
            <w:r w:rsidRPr="00211C87">
              <w:t>0.3</w:t>
            </w:r>
          </w:p>
        </w:tc>
        <w:tc>
          <w:tcPr>
            <w:tcW w:w="1843" w:type="dxa"/>
          </w:tcPr>
          <w:p w14:paraId="11A1F6B9" w14:textId="6D3608AD" w:rsidR="00300CFD" w:rsidRPr="00211C87" w:rsidRDefault="00316197" w:rsidP="00316197">
            <w:pPr>
              <w:jc w:val="right"/>
              <w:cnfStyle w:val="000000010000" w:firstRow="0" w:lastRow="0" w:firstColumn="0" w:lastColumn="0" w:oddVBand="0" w:evenVBand="0" w:oddHBand="0" w:evenHBand="1" w:firstRowFirstColumn="0" w:firstRowLastColumn="0" w:lastRowFirstColumn="0" w:lastRowLastColumn="0"/>
            </w:pPr>
            <w:r w:rsidRPr="00211C87">
              <w:t>0.2</w:t>
            </w:r>
          </w:p>
        </w:tc>
      </w:tr>
      <w:tr w:rsidR="00300CFD" w:rsidRPr="00211C87" w14:paraId="0E3C05AE" w14:textId="77777777" w:rsidTr="00E700BC">
        <w:trPr>
          <w:trHeight w:val="71"/>
        </w:trPr>
        <w:tc>
          <w:tcPr>
            <w:cnfStyle w:val="001000000000" w:firstRow="0" w:lastRow="0" w:firstColumn="1" w:lastColumn="0" w:oddVBand="0" w:evenVBand="0" w:oddHBand="0" w:evenHBand="0" w:firstRowFirstColumn="0" w:firstRowLastColumn="0" w:lastRowFirstColumn="0" w:lastRowLastColumn="0"/>
            <w:tcW w:w="2694" w:type="dxa"/>
          </w:tcPr>
          <w:p w14:paraId="21F6D923" w14:textId="200F7C13" w:rsidR="00300CFD" w:rsidRPr="005B455A" w:rsidRDefault="00316197" w:rsidP="00E20BA6">
            <w:pPr>
              <w:rPr>
                <w:b w:val="0"/>
              </w:rPr>
            </w:pPr>
            <w:r w:rsidRPr="005B455A">
              <w:t>Mandatory insurance costs</w:t>
            </w:r>
          </w:p>
        </w:tc>
        <w:tc>
          <w:tcPr>
            <w:tcW w:w="1641" w:type="dxa"/>
          </w:tcPr>
          <w:p w14:paraId="2AE6CDD4" w14:textId="777094AE" w:rsidR="00300CFD" w:rsidRPr="00850645" w:rsidRDefault="00316197" w:rsidP="00316197">
            <w:pPr>
              <w:jc w:val="right"/>
              <w:cnfStyle w:val="000000000000" w:firstRow="0" w:lastRow="0" w:firstColumn="0" w:lastColumn="0" w:oddVBand="0" w:evenVBand="0" w:oddHBand="0" w:evenHBand="0" w:firstRowFirstColumn="0" w:firstRowLastColumn="0" w:lastRowFirstColumn="0" w:lastRowLastColumn="0"/>
            </w:pPr>
            <w:r w:rsidRPr="00850645">
              <w:t>0</w:t>
            </w:r>
          </w:p>
        </w:tc>
        <w:tc>
          <w:tcPr>
            <w:tcW w:w="1843" w:type="dxa"/>
          </w:tcPr>
          <w:p w14:paraId="7372FE60" w14:textId="46E074C6" w:rsidR="00300CFD" w:rsidRPr="00211C87" w:rsidRDefault="00316197" w:rsidP="00316197">
            <w:pPr>
              <w:jc w:val="right"/>
              <w:cnfStyle w:val="000000000000" w:firstRow="0" w:lastRow="0" w:firstColumn="0" w:lastColumn="0" w:oddVBand="0" w:evenVBand="0" w:oddHBand="0" w:evenHBand="0" w:firstRowFirstColumn="0" w:firstRowLastColumn="0" w:lastRowFirstColumn="0" w:lastRowLastColumn="0"/>
            </w:pPr>
            <w:r w:rsidRPr="00211C87">
              <w:t>0</w:t>
            </w:r>
          </w:p>
        </w:tc>
        <w:tc>
          <w:tcPr>
            <w:tcW w:w="1843" w:type="dxa"/>
          </w:tcPr>
          <w:p w14:paraId="0A17765B" w14:textId="2ACD47D1" w:rsidR="00300CFD" w:rsidRPr="00211C87" w:rsidRDefault="00316197" w:rsidP="00316197">
            <w:pPr>
              <w:jc w:val="right"/>
              <w:cnfStyle w:val="000000000000" w:firstRow="0" w:lastRow="0" w:firstColumn="0" w:lastColumn="0" w:oddVBand="0" w:evenVBand="0" w:oddHBand="0" w:evenHBand="0" w:firstRowFirstColumn="0" w:firstRowLastColumn="0" w:lastRowFirstColumn="0" w:lastRowLastColumn="0"/>
            </w:pPr>
            <w:r w:rsidRPr="00211C87">
              <w:t>0.4</w:t>
            </w:r>
          </w:p>
        </w:tc>
        <w:tc>
          <w:tcPr>
            <w:tcW w:w="1843" w:type="dxa"/>
          </w:tcPr>
          <w:p w14:paraId="11AF5427" w14:textId="1073A016" w:rsidR="00300CFD" w:rsidRPr="00211C87" w:rsidRDefault="00316197" w:rsidP="00316197">
            <w:pPr>
              <w:jc w:val="right"/>
              <w:cnfStyle w:val="000000000000" w:firstRow="0" w:lastRow="0" w:firstColumn="0" w:lastColumn="0" w:oddVBand="0" w:evenVBand="0" w:oddHBand="0" w:evenHBand="0" w:firstRowFirstColumn="0" w:firstRowLastColumn="0" w:lastRowFirstColumn="0" w:lastRowLastColumn="0"/>
            </w:pPr>
            <w:r w:rsidRPr="00211C87">
              <w:t>0.3</w:t>
            </w:r>
          </w:p>
        </w:tc>
      </w:tr>
      <w:tr w:rsidR="00300CFD" w:rsidRPr="00B703F0" w14:paraId="107BBA27" w14:textId="77777777" w:rsidTr="00316197">
        <w:trPr>
          <w:cnfStyle w:val="010000000000" w:firstRow="0" w:lastRow="1" w:firstColumn="0" w:lastColumn="0" w:oddVBand="0" w:evenVBand="0" w:oddHBand="0" w:evenHBand="0" w:firstRowFirstColumn="0" w:firstRowLastColumn="0" w:lastRowFirstColumn="0" w:lastRowLastColumn="0"/>
          <w:trHeight w:val="71"/>
        </w:trPr>
        <w:tc>
          <w:tcPr>
            <w:cnfStyle w:val="001000000000" w:firstRow="0" w:lastRow="0" w:firstColumn="1" w:lastColumn="0" w:oddVBand="0" w:evenVBand="0" w:oddHBand="0" w:evenHBand="0" w:firstRowFirstColumn="0" w:firstRowLastColumn="0" w:lastRowFirstColumn="0" w:lastRowLastColumn="0"/>
            <w:tcW w:w="2694" w:type="dxa"/>
            <w:shd w:val="clear" w:color="auto" w:fill="auto"/>
          </w:tcPr>
          <w:p w14:paraId="2FB2AFD1" w14:textId="5174E227" w:rsidR="00300CFD" w:rsidRPr="005B455A" w:rsidRDefault="00316197" w:rsidP="00E20BA6">
            <w:r w:rsidRPr="005B455A">
              <w:t>Total compliance costs</w:t>
            </w:r>
          </w:p>
        </w:tc>
        <w:tc>
          <w:tcPr>
            <w:tcW w:w="1641" w:type="dxa"/>
            <w:shd w:val="clear" w:color="auto" w:fill="auto"/>
          </w:tcPr>
          <w:p w14:paraId="750FA2F7" w14:textId="433FDD9F" w:rsidR="00300CFD" w:rsidRPr="00850645" w:rsidRDefault="00316197" w:rsidP="00316197">
            <w:pPr>
              <w:jc w:val="right"/>
              <w:cnfStyle w:val="010000000000" w:firstRow="0" w:lastRow="1" w:firstColumn="0" w:lastColumn="0" w:oddVBand="0" w:evenVBand="0" w:oddHBand="0" w:evenHBand="0" w:firstRowFirstColumn="0" w:firstRowLastColumn="0" w:lastRowFirstColumn="0" w:lastRowLastColumn="0"/>
            </w:pPr>
            <w:r w:rsidRPr="00850645">
              <w:t>2.6</w:t>
            </w:r>
          </w:p>
        </w:tc>
        <w:tc>
          <w:tcPr>
            <w:tcW w:w="1843" w:type="dxa"/>
            <w:shd w:val="clear" w:color="auto" w:fill="auto"/>
          </w:tcPr>
          <w:p w14:paraId="73EBC6DA" w14:textId="7027C320" w:rsidR="00300CFD" w:rsidRPr="00211C87" w:rsidRDefault="00316197" w:rsidP="00316197">
            <w:pPr>
              <w:jc w:val="right"/>
              <w:cnfStyle w:val="010000000000" w:firstRow="0" w:lastRow="1" w:firstColumn="0" w:lastColumn="0" w:oddVBand="0" w:evenVBand="0" w:oddHBand="0" w:evenHBand="0" w:firstRowFirstColumn="0" w:firstRowLastColumn="0" w:lastRowFirstColumn="0" w:lastRowLastColumn="0"/>
            </w:pPr>
            <w:r w:rsidRPr="00211C87">
              <w:t>1.8</w:t>
            </w:r>
          </w:p>
        </w:tc>
        <w:tc>
          <w:tcPr>
            <w:tcW w:w="1843" w:type="dxa"/>
            <w:shd w:val="clear" w:color="auto" w:fill="auto"/>
          </w:tcPr>
          <w:p w14:paraId="28029AC9" w14:textId="7B12047B" w:rsidR="00300CFD" w:rsidRPr="00211C87" w:rsidRDefault="00316197" w:rsidP="00316197">
            <w:pPr>
              <w:jc w:val="right"/>
              <w:cnfStyle w:val="010000000000" w:firstRow="0" w:lastRow="1" w:firstColumn="0" w:lastColumn="0" w:oddVBand="0" w:evenVBand="0" w:oddHBand="0" w:evenHBand="0" w:firstRowFirstColumn="0" w:firstRowLastColumn="0" w:lastRowFirstColumn="0" w:lastRowLastColumn="0"/>
            </w:pPr>
            <w:r w:rsidRPr="00211C87">
              <w:t>3.0</w:t>
            </w:r>
          </w:p>
        </w:tc>
        <w:tc>
          <w:tcPr>
            <w:tcW w:w="1843" w:type="dxa"/>
            <w:shd w:val="clear" w:color="auto" w:fill="auto"/>
          </w:tcPr>
          <w:p w14:paraId="37389367" w14:textId="481D77F7" w:rsidR="00300CFD" w:rsidRPr="00B703F0" w:rsidRDefault="00316197" w:rsidP="00316197">
            <w:pPr>
              <w:jc w:val="right"/>
              <w:cnfStyle w:val="010000000000" w:firstRow="0" w:lastRow="1" w:firstColumn="0" w:lastColumn="0" w:oddVBand="0" w:evenVBand="0" w:oddHBand="0" w:evenHBand="0" w:firstRowFirstColumn="0" w:firstRowLastColumn="0" w:lastRowFirstColumn="0" w:lastRowLastColumn="0"/>
            </w:pPr>
            <w:r w:rsidRPr="00211C87">
              <w:t>2.1</w:t>
            </w:r>
          </w:p>
        </w:tc>
      </w:tr>
    </w:tbl>
    <w:p w14:paraId="7CF3F220" w14:textId="77777777" w:rsidR="00211C87" w:rsidRDefault="00211C87" w:rsidP="00211C87">
      <w:pPr>
        <w:pStyle w:val="Heading5"/>
      </w:pPr>
      <w:bookmarkStart w:id="127" w:name="_Toc89938415"/>
      <w:bookmarkStart w:id="128" w:name="_Toc96354505"/>
      <w:r>
        <w:t>DCVs and recreational vessels</w:t>
      </w:r>
    </w:p>
    <w:p w14:paraId="359CAA70" w14:textId="7CE2F291" w:rsidR="00211C87" w:rsidRDefault="00211C87" w:rsidP="00211C87">
      <w:r w:rsidRPr="00B703F0">
        <w:t xml:space="preserve">There are around </w:t>
      </w:r>
      <w:r w:rsidR="006545D3">
        <w:t>31,000</w:t>
      </w:r>
      <w:r w:rsidRPr="00B703F0">
        <w:t xml:space="preserve"> DCVs currently in Australian waters. </w:t>
      </w:r>
      <w:r>
        <w:t xml:space="preserve">Only a portion of these – </w:t>
      </w:r>
      <w:r w:rsidRPr="00B703F0">
        <w:t>251</w:t>
      </w:r>
      <w:r>
        <w:t xml:space="preserve"> DCVs – a</w:t>
      </w:r>
      <w:r w:rsidRPr="00B703F0">
        <w:t>re estimated</w:t>
      </w:r>
      <w:r>
        <w:t xml:space="preserve"> by AMSA to be over 300 GT and so </w:t>
      </w:r>
      <w:r w:rsidR="00720F35">
        <w:t xml:space="preserve">would </w:t>
      </w:r>
      <w:r w:rsidRPr="00B703F0">
        <w:t xml:space="preserve">require compulsory insurance. </w:t>
      </w:r>
    </w:p>
    <w:p w14:paraId="56436B6B" w14:textId="67A54539" w:rsidR="00211C87" w:rsidRDefault="00211C87" w:rsidP="00211C87">
      <w:r>
        <w:t xml:space="preserve">There are estimated to be </w:t>
      </w:r>
      <w:r w:rsidRPr="005D1EC5">
        <w:t>866,808</w:t>
      </w:r>
      <w:r>
        <w:t xml:space="preserve"> recreational vessels in Australia based on the various public data sources available for each state and territory – minus the ACT, which does not register vessels. It is difficult to ascertain the exact number of recreational vessels in Australia as not every jurisdiction publishes</w:t>
      </w:r>
      <w:r w:rsidR="00660695">
        <w:t xml:space="preserve"> registration</w:t>
      </w:r>
      <w:r>
        <w:t xml:space="preserve"> data. Table 3 outlines the registration data available in each jurisdiction. </w:t>
      </w:r>
    </w:p>
    <w:p w14:paraId="737CD4D0" w14:textId="060071B1" w:rsidR="00211C87" w:rsidRDefault="00211C87" w:rsidP="00211C87">
      <w:r>
        <w:t>Only recreational vessels 300 GT and over would require compulsory insurance and incur compliance costs related to the Nairobi Convention. Again</w:t>
      </w:r>
      <w:r w:rsidR="00C966AC">
        <w:t>,</w:t>
      </w:r>
      <w:r>
        <w:t xml:space="preserve"> it is difficult to ascertain an exact number of recreational vessels over 300</w:t>
      </w:r>
      <w:r w:rsidR="003520EB">
        <w:t xml:space="preserve"> </w:t>
      </w:r>
      <w:r>
        <w:t>GT as:</w:t>
      </w:r>
    </w:p>
    <w:p w14:paraId="16FD33D0" w14:textId="48AFD8F1" w:rsidR="00211C87" w:rsidRDefault="00211C87" w:rsidP="00211C87">
      <w:pPr>
        <w:pStyle w:val="Bullet1"/>
      </w:pPr>
      <w:r>
        <w:t xml:space="preserve">only </w:t>
      </w:r>
      <w:r w:rsidR="00362B44">
        <w:rPr>
          <w:lang w:val="en-AU"/>
        </w:rPr>
        <w:t>2</w:t>
      </w:r>
      <w:r>
        <w:t xml:space="preserve"> states report on registered recreational vessel length</w:t>
      </w:r>
      <w:r>
        <w:rPr>
          <w:lang w:val="en-AU"/>
        </w:rPr>
        <w:t xml:space="preserve"> (as reflected in Table 3)</w:t>
      </w:r>
    </w:p>
    <w:p w14:paraId="0AB97CF8" w14:textId="77777777" w:rsidR="00211C87" w:rsidRDefault="00211C87" w:rsidP="00211C87">
      <w:pPr>
        <w:pStyle w:val="Bullet1"/>
      </w:pPr>
      <w:r>
        <w:rPr>
          <w:lang w:val="en-AU"/>
        </w:rPr>
        <w:t xml:space="preserve">the data is based </w:t>
      </w:r>
      <w:r>
        <w:t>on the length of the vessel not the GT</w:t>
      </w:r>
    </w:p>
    <w:p w14:paraId="08FBF7BC" w14:textId="639A4B8A" w:rsidR="00211C87" w:rsidRDefault="00211C87" w:rsidP="00211C87">
      <w:pPr>
        <w:pStyle w:val="Bullet1"/>
      </w:pPr>
      <w:r>
        <w:t>the largest cohort reported is 25 meters and over – ships</w:t>
      </w:r>
      <w:r>
        <w:rPr>
          <w:lang w:val="en-AU"/>
        </w:rPr>
        <w:t xml:space="preserve"> over </w:t>
      </w:r>
      <w:r>
        <w:t xml:space="preserve">35 meters in length </w:t>
      </w:r>
      <w:r>
        <w:rPr>
          <w:lang w:val="en-AU"/>
        </w:rPr>
        <w:t xml:space="preserve">are generally considered to </w:t>
      </w:r>
      <w:r>
        <w:t>weigh 300 GT</w:t>
      </w:r>
      <w:r>
        <w:rPr>
          <w:lang w:val="en-AU"/>
        </w:rPr>
        <w:t>.</w:t>
      </w:r>
    </w:p>
    <w:p w14:paraId="66F9E7D7" w14:textId="676EE238" w:rsidR="00211C87" w:rsidRDefault="00C049A7" w:rsidP="005B455A">
      <w:r>
        <w:t xml:space="preserve">It </w:t>
      </w:r>
      <w:r w:rsidR="00027346">
        <w:t>is understood 130</w:t>
      </w:r>
      <w:r w:rsidR="00211C87">
        <w:t xml:space="preserve"> </w:t>
      </w:r>
      <w:r>
        <w:t>recreational</w:t>
      </w:r>
      <w:r w:rsidR="00211C87">
        <w:t xml:space="preserve"> vessels may be impacted by Australia’s accession to the Nairobi Convention. This is based on</w:t>
      </w:r>
      <w:r>
        <w:t xml:space="preserve"> conservative</w:t>
      </w:r>
      <w:r w:rsidR="00211C87">
        <w:t xml:space="preserve"> assumptions that a</w:t>
      </w:r>
      <w:r w:rsidR="00660695">
        <w:t>ll recreational vessels over 25 </w:t>
      </w:r>
      <w:r w:rsidR="00211C87">
        <w:t xml:space="preserve">meters </w:t>
      </w:r>
      <w:r w:rsidR="00660695">
        <w:t>weigh</w:t>
      </w:r>
      <w:r w:rsidR="00211C87">
        <w:t xml:space="preserve"> 300 GT </w:t>
      </w:r>
      <w:r w:rsidR="00660695">
        <w:t xml:space="preserve">and over and </w:t>
      </w:r>
      <w:r w:rsidR="00027346">
        <w:t xml:space="preserve">that </w:t>
      </w:r>
      <w:r w:rsidR="00660695">
        <w:t>0.015 </w:t>
      </w:r>
      <w:r w:rsidR="00211C87">
        <w:t>per</w:t>
      </w:r>
      <w:r w:rsidR="00720F35">
        <w:t> </w:t>
      </w:r>
      <w:r w:rsidR="00211C87">
        <w:t xml:space="preserve">cent of the </w:t>
      </w:r>
      <w:r w:rsidR="00211C87" w:rsidRPr="005D1EC5">
        <w:t>866,808</w:t>
      </w:r>
      <w:r w:rsidR="00211C87">
        <w:t xml:space="preserve"> vessels will be 25</w:t>
      </w:r>
      <w:r w:rsidR="00660695" w:rsidRPr="00660695">
        <w:t xml:space="preserve"> </w:t>
      </w:r>
      <w:r w:rsidR="00660695">
        <w:t>meters</w:t>
      </w:r>
      <w:r w:rsidR="00211C87">
        <w:t xml:space="preserve"> in length - the </w:t>
      </w:r>
      <w:r w:rsidR="00660695">
        <w:t>average</w:t>
      </w:r>
      <w:r w:rsidR="00211C87">
        <w:t xml:space="preserve"> percentage of registered recreational vessels 25 m in length as outlined in Table 3.</w:t>
      </w:r>
    </w:p>
    <w:p w14:paraId="199DCD0D" w14:textId="77777777" w:rsidR="00C049A7" w:rsidRPr="00B703F0" w:rsidRDefault="00C049A7" w:rsidP="00C049A7">
      <w:pPr>
        <w:pStyle w:val="Caption"/>
      </w:pPr>
      <w:bookmarkStart w:id="129" w:name="_Toc105060761"/>
      <w:r w:rsidRPr="00B703F0">
        <w:t xml:space="preserve">Table </w:t>
      </w:r>
      <w:r>
        <w:rPr>
          <w:noProof/>
        </w:rPr>
        <w:t>3</w:t>
      </w:r>
      <w:r>
        <w:t>: Overview of recreational vessel numbers</w:t>
      </w:r>
      <w:bookmarkEnd w:id="129"/>
    </w:p>
    <w:tbl>
      <w:tblPr>
        <w:tblStyle w:val="DefaultTable1"/>
        <w:tblW w:w="9640" w:type="dxa"/>
        <w:tblInd w:w="-142" w:type="dxa"/>
        <w:tblLook w:val="06A0" w:firstRow="1" w:lastRow="0" w:firstColumn="1" w:lastColumn="0" w:noHBand="1" w:noVBand="1"/>
      </w:tblPr>
      <w:tblGrid>
        <w:gridCol w:w="1843"/>
        <w:gridCol w:w="2127"/>
        <w:gridCol w:w="2835"/>
        <w:gridCol w:w="2835"/>
      </w:tblGrid>
      <w:tr w:rsidR="00C049A7" w14:paraId="63B068A7" w14:textId="77777777" w:rsidTr="005B45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55D019F4" w14:textId="77777777" w:rsidR="00C049A7" w:rsidRDefault="00C049A7" w:rsidP="005B455A">
            <w:r>
              <w:t>Jurisdiction</w:t>
            </w:r>
          </w:p>
        </w:tc>
        <w:tc>
          <w:tcPr>
            <w:tcW w:w="2127" w:type="dxa"/>
          </w:tcPr>
          <w:p w14:paraId="2B808241" w14:textId="77777777" w:rsidR="00C049A7" w:rsidRDefault="00C049A7" w:rsidP="005B455A">
            <w:pPr>
              <w:cnfStyle w:val="100000000000" w:firstRow="1" w:lastRow="0" w:firstColumn="0" w:lastColumn="0" w:oddVBand="0" w:evenVBand="0" w:oddHBand="0" w:evenHBand="0" w:firstRowFirstColumn="0" w:firstRowLastColumn="0" w:lastRowFirstColumn="0" w:lastRowLastColumn="0"/>
            </w:pPr>
            <w:r>
              <w:t>Number of Registered Recreational Vessels</w:t>
            </w:r>
          </w:p>
        </w:tc>
        <w:tc>
          <w:tcPr>
            <w:tcW w:w="2835" w:type="dxa"/>
          </w:tcPr>
          <w:p w14:paraId="7C11BE91" w14:textId="77777777" w:rsidR="00C049A7" w:rsidRDefault="00C049A7" w:rsidP="005B455A">
            <w:pPr>
              <w:cnfStyle w:val="100000000000" w:firstRow="1" w:lastRow="0" w:firstColumn="0" w:lastColumn="0" w:oddVBand="0" w:evenVBand="0" w:oddHBand="0" w:evenHBand="0" w:firstRowFirstColumn="0" w:firstRowLastColumn="0" w:lastRowFirstColumn="0" w:lastRowLastColumn="0"/>
            </w:pPr>
            <w:r>
              <w:t>Number of Registered Recreational Vessels over 25m</w:t>
            </w:r>
          </w:p>
        </w:tc>
        <w:tc>
          <w:tcPr>
            <w:tcW w:w="2835" w:type="dxa"/>
          </w:tcPr>
          <w:p w14:paraId="4FC8C167" w14:textId="77777777" w:rsidR="00C049A7" w:rsidRDefault="00C049A7" w:rsidP="005B455A">
            <w:pPr>
              <w:cnfStyle w:val="100000000000" w:firstRow="1" w:lastRow="0" w:firstColumn="0" w:lastColumn="0" w:oddVBand="0" w:evenVBand="0" w:oddHBand="0" w:evenHBand="0" w:firstRowFirstColumn="0" w:firstRowLastColumn="0" w:lastRowFirstColumn="0" w:lastRowLastColumn="0"/>
            </w:pPr>
            <w:r>
              <w:t>Percentage of Registered Recreational Vessels over 25m</w:t>
            </w:r>
          </w:p>
        </w:tc>
      </w:tr>
      <w:tr w:rsidR="00C049A7" w14:paraId="05D9ED6A" w14:textId="77777777" w:rsidTr="005B455A">
        <w:tc>
          <w:tcPr>
            <w:cnfStyle w:val="001000000000" w:firstRow="0" w:lastRow="0" w:firstColumn="1" w:lastColumn="0" w:oddVBand="0" w:evenVBand="0" w:oddHBand="0" w:evenHBand="0" w:firstRowFirstColumn="0" w:firstRowLastColumn="0" w:lastRowFirstColumn="0" w:lastRowLastColumn="0"/>
            <w:tcW w:w="1843" w:type="dxa"/>
          </w:tcPr>
          <w:p w14:paraId="01ABBF84" w14:textId="77777777" w:rsidR="00C049A7" w:rsidRDefault="00C049A7" w:rsidP="005B455A">
            <w:r>
              <w:t>New South Wales</w:t>
            </w:r>
            <w:r>
              <w:rPr>
                <w:rStyle w:val="FootnoteReference"/>
              </w:rPr>
              <w:footnoteReference w:id="69"/>
            </w:r>
          </w:p>
        </w:tc>
        <w:tc>
          <w:tcPr>
            <w:tcW w:w="2127" w:type="dxa"/>
          </w:tcPr>
          <w:p w14:paraId="34DECD32" w14:textId="77777777" w:rsidR="00C049A7" w:rsidRDefault="00C049A7" w:rsidP="005B455A">
            <w:pPr>
              <w:jc w:val="center"/>
              <w:cnfStyle w:val="000000000000" w:firstRow="0" w:lastRow="0" w:firstColumn="0" w:lastColumn="0" w:oddVBand="0" w:evenVBand="0" w:oddHBand="0" w:evenHBand="0" w:firstRowFirstColumn="0" w:firstRowLastColumn="0" w:lastRowFirstColumn="0" w:lastRowLastColumn="0"/>
            </w:pPr>
            <w:r>
              <w:t>220,129 (2022)</w:t>
            </w:r>
          </w:p>
        </w:tc>
        <w:tc>
          <w:tcPr>
            <w:tcW w:w="2835" w:type="dxa"/>
          </w:tcPr>
          <w:p w14:paraId="6272D161" w14:textId="77777777" w:rsidR="00C049A7" w:rsidRDefault="00C049A7" w:rsidP="005B455A">
            <w:pPr>
              <w:jc w:val="center"/>
              <w:cnfStyle w:val="000000000000" w:firstRow="0" w:lastRow="0" w:firstColumn="0" w:lastColumn="0" w:oddVBand="0" w:evenVBand="0" w:oddHBand="0" w:evenHBand="0" w:firstRowFirstColumn="0" w:firstRowLastColumn="0" w:lastRowFirstColumn="0" w:lastRowLastColumn="0"/>
            </w:pPr>
            <w:r>
              <w:t>N/A</w:t>
            </w:r>
          </w:p>
        </w:tc>
        <w:tc>
          <w:tcPr>
            <w:tcW w:w="2835" w:type="dxa"/>
          </w:tcPr>
          <w:p w14:paraId="69D75B64" w14:textId="77777777" w:rsidR="00C049A7" w:rsidRDefault="00C049A7" w:rsidP="005B455A">
            <w:pPr>
              <w:jc w:val="center"/>
              <w:cnfStyle w:val="000000000000" w:firstRow="0" w:lastRow="0" w:firstColumn="0" w:lastColumn="0" w:oddVBand="0" w:evenVBand="0" w:oddHBand="0" w:evenHBand="0" w:firstRowFirstColumn="0" w:firstRowLastColumn="0" w:lastRowFirstColumn="0" w:lastRowLastColumn="0"/>
            </w:pPr>
            <w:r>
              <w:t>N/A</w:t>
            </w:r>
          </w:p>
        </w:tc>
      </w:tr>
      <w:tr w:rsidR="00C049A7" w14:paraId="168B7D23" w14:textId="77777777" w:rsidTr="005B455A">
        <w:tc>
          <w:tcPr>
            <w:cnfStyle w:val="001000000000" w:firstRow="0" w:lastRow="0" w:firstColumn="1" w:lastColumn="0" w:oddVBand="0" w:evenVBand="0" w:oddHBand="0" w:evenHBand="0" w:firstRowFirstColumn="0" w:firstRowLastColumn="0" w:lastRowFirstColumn="0" w:lastRowLastColumn="0"/>
            <w:tcW w:w="1843" w:type="dxa"/>
          </w:tcPr>
          <w:p w14:paraId="1475A612" w14:textId="77777777" w:rsidR="00C049A7" w:rsidRDefault="00C049A7" w:rsidP="005B455A">
            <w:r>
              <w:t>Northern Territory</w:t>
            </w:r>
          </w:p>
        </w:tc>
        <w:tc>
          <w:tcPr>
            <w:tcW w:w="2127" w:type="dxa"/>
          </w:tcPr>
          <w:p w14:paraId="0070BA9D" w14:textId="77777777" w:rsidR="00C049A7" w:rsidRDefault="00C049A7" w:rsidP="005B455A">
            <w:pPr>
              <w:jc w:val="center"/>
              <w:cnfStyle w:val="000000000000" w:firstRow="0" w:lastRow="0" w:firstColumn="0" w:lastColumn="0" w:oddVBand="0" w:evenVBand="0" w:oddHBand="0" w:evenHBand="0" w:firstRowFirstColumn="0" w:firstRowLastColumn="0" w:lastRowFirstColumn="0" w:lastRowLastColumn="0"/>
            </w:pPr>
            <w:r>
              <w:t xml:space="preserve">N/A </w:t>
            </w:r>
          </w:p>
        </w:tc>
        <w:tc>
          <w:tcPr>
            <w:tcW w:w="2835" w:type="dxa"/>
          </w:tcPr>
          <w:p w14:paraId="7FB3C3BE" w14:textId="77777777" w:rsidR="00C049A7" w:rsidRDefault="00C049A7" w:rsidP="005B455A">
            <w:pPr>
              <w:jc w:val="center"/>
              <w:cnfStyle w:val="000000000000" w:firstRow="0" w:lastRow="0" w:firstColumn="0" w:lastColumn="0" w:oddVBand="0" w:evenVBand="0" w:oddHBand="0" w:evenHBand="0" w:firstRowFirstColumn="0" w:firstRowLastColumn="0" w:lastRowFirstColumn="0" w:lastRowLastColumn="0"/>
            </w:pPr>
            <w:r>
              <w:t>N/A</w:t>
            </w:r>
          </w:p>
        </w:tc>
        <w:tc>
          <w:tcPr>
            <w:tcW w:w="2835" w:type="dxa"/>
          </w:tcPr>
          <w:p w14:paraId="2E693E65" w14:textId="77777777" w:rsidR="00C049A7" w:rsidRDefault="00C049A7" w:rsidP="005B455A">
            <w:pPr>
              <w:jc w:val="center"/>
              <w:cnfStyle w:val="000000000000" w:firstRow="0" w:lastRow="0" w:firstColumn="0" w:lastColumn="0" w:oddVBand="0" w:evenVBand="0" w:oddHBand="0" w:evenHBand="0" w:firstRowFirstColumn="0" w:firstRowLastColumn="0" w:lastRowFirstColumn="0" w:lastRowLastColumn="0"/>
            </w:pPr>
            <w:r>
              <w:t>N/A</w:t>
            </w:r>
          </w:p>
        </w:tc>
      </w:tr>
      <w:tr w:rsidR="00C049A7" w14:paraId="16340ADF" w14:textId="77777777" w:rsidTr="005B455A">
        <w:tc>
          <w:tcPr>
            <w:cnfStyle w:val="001000000000" w:firstRow="0" w:lastRow="0" w:firstColumn="1" w:lastColumn="0" w:oddVBand="0" w:evenVBand="0" w:oddHBand="0" w:evenHBand="0" w:firstRowFirstColumn="0" w:firstRowLastColumn="0" w:lastRowFirstColumn="0" w:lastRowLastColumn="0"/>
            <w:tcW w:w="1843" w:type="dxa"/>
            <w:shd w:val="clear" w:color="auto" w:fill="F2F2F2" w:themeFill="background1" w:themeFillShade="F2"/>
          </w:tcPr>
          <w:p w14:paraId="004C7665" w14:textId="77777777" w:rsidR="00C049A7" w:rsidRDefault="00C049A7" w:rsidP="005B455A">
            <w:r>
              <w:t>Queensland</w:t>
            </w:r>
            <w:r>
              <w:rPr>
                <w:rStyle w:val="FootnoteReference"/>
              </w:rPr>
              <w:footnoteReference w:id="70"/>
            </w:r>
          </w:p>
        </w:tc>
        <w:tc>
          <w:tcPr>
            <w:tcW w:w="2127" w:type="dxa"/>
            <w:shd w:val="clear" w:color="auto" w:fill="F2F2F2" w:themeFill="background1" w:themeFillShade="F2"/>
          </w:tcPr>
          <w:p w14:paraId="1066A988" w14:textId="77777777" w:rsidR="00C049A7" w:rsidRDefault="00C049A7" w:rsidP="005B455A">
            <w:pPr>
              <w:jc w:val="center"/>
              <w:cnfStyle w:val="000000000000" w:firstRow="0" w:lastRow="0" w:firstColumn="0" w:lastColumn="0" w:oddVBand="0" w:evenVBand="0" w:oddHBand="0" w:evenHBand="0" w:firstRowFirstColumn="0" w:firstRowLastColumn="0" w:lastRowFirstColumn="0" w:lastRowLastColumn="0"/>
            </w:pPr>
            <w:r w:rsidRPr="000A3F54">
              <w:t xml:space="preserve">264,547 </w:t>
            </w:r>
            <w:r>
              <w:t>(2018)</w:t>
            </w:r>
          </w:p>
        </w:tc>
        <w:tc>
          <w:tcPr>
            <w:tcW w:w="2835" w:type="dxa"/>
            <w:shd w:val="clear" w:color="auto" w:fill="F2F2F2" w:themeFill="background1" w:themeFillShade="F2"/>
          </w:tcPr>
          <w:p w14:paraId="4D8279A8" w14:textId="77777777" w:rsidR="00C049A7" w:rsidRDefault="00C049A7" w:rsidP="005B455A">
            <w:pPr>
              <w:jc w:val="center"/>
              <w:cnfStyle w:val="000000000000" w:firstRow="0" w:lastRow="0" w:firstColumn="0" w:lastColumn="0" w:oddVBand="0" w:evenVBand="0" w:oddHBand="0" w:evenHBand="0" w:firstRowFirstColumn="0" w:firstRowLastColumn="0" w:lastRowFirstColumn="0" w:lastRowLastColumn="0"/>
            </w:pPr>
            <w:r>
              <w:t>43</w:t>
            </w:r>
          </w:p>
        </w:tc>
        <w:tc>
          <w:tcPr>
            <w:tcW w:w="2835" w:type="dxa"/>
            <w:shd w:val="clear" w:color="auto" w:fill="F2F2F2" w:themeFill="background1" w:themeFillShade="F2"/>
          </w:tcPr>
          <w:p w14:paraId="21821388" w14:textId="77777777" w:rsidR="00C049A7" w:rsidRDefault="00C049A7" w:rsidP="005B455A">
            <w:pPr>
              <w:jc w:val="center"/>
              <w:cnfStyle w:val="000000000000" w:firstRow="0" w:lastRow="0" w:firstColumn="0" w:lastColumn="0" w:oddVBand="0" w:evenVBand="0" w:oddHBand="0" w:evenHBand="0" w:firstRowFirstColumn="0" w:firstRowLastColumn="0" w:lastRowFirstColumn="0" w:lastRowLastColumn="0"/>
            </w:pPr>
            <w:r>
              <w:t>0.02%</w:t>
            </w:r>
          </w:p>
        </w:tc>
      </w:tr>
      <w:tr w:rsidR="00C049A7" w14:paraId="3DF66285" w14:textId="77777777" w:rsidTr="005B455A">
        <w:tc>
          <w:tcPr>
            <w:cnfStyle w:val="001000000000" w:firstRow="0" w:lastRow="0" w:firstColumn="1" w:lastColumn="0" w:oddVBand="0" w:evenVBand="0" w:oddHBand="0" w:evenHBand="0" w:firstRowFirstColumn="0" w:firstRowLastColumn="0" w:lastRowFirstColumn="0" w:lastRowLastColumn="0"/>
            <w:tcW w:w="1843" w:type="dxa"/>
          </w:tcPr>
          <w:p w14:paraId="6591C4E8" w14:textId="77777777" w:rsidR="00C049A7" w:rsidRDefault="00C049A7" w:rsidP="005B455A">
            <w:r>
              <w:t>South Australia</w:t>
            </w:r>
            <w:r>
              <w:rPr>
                <w:rStyle w:val="FootnoteReference"/>
              </w:rPr>
              <w:footnoteReference w:id="71"/>
            </w:r>
          </w:p>
        </w:tc>
        <w:tc>
          <w:tcPr>
            <w:tcW w:w="2127" w:type="dxa"/>
          </w:tcPr>
          <w:p w14:paraId="243BE574" w14:textId="77777777" w:rsidR="00C049A7" w:rsidRDefault="00C049A7" w:rsidP="005B455A">
            <w:pPr>
              <w:jc w:val="center"/>
              <w:cnfStyle w:val="000000000000" w:firstRow="0" w:lastRow="0" w:firstColumn="0" w:lastColumn="0" w:oddVBand="0" w:evenVBand="0" w:oddHBand="0" w:evenHBand="0" w:firstRowFirstColumn="0" w:firstRowLastColumn="0" w:lastRowFirstColumn="0" w:lastRowLastColumn="0"/>
            </w:pPr>
            <w:r w:rsidRPr="00FD4921">
              <w:t>54</w:t>
            </w:r>
            <w:r>
              <w:t>,</w:t>
            </w:r>
            <w:r w:rsidRPr="00FD4921">
              <w:t>225</w:t>
            </w:r>
            <w:r>
              <w:t xml:space="preserve"> (2021)</w:t>
            </w:r>
          </w:p>
        </w:tc>
        <w:tc>
          <w:tcPr>
            <w:tcW w:w="2835" w:type="dxa"/>
          </w:tcPr>
          <w:p w14:paraId="28DE5F92" w14:textId="77777777" w:rsidR="00C049A7" w:rsidRDefault="00C049A7" w:rsidP="005B455A">
            <w:pPr>
              <w:jc w:val="center"/>
              <w:cnfStyle w:val="000000000000" w:firstRow="0" w:lastRow="0" w:firstColumn="0" w:lastColumn="0" w:oddVBand="0" w:evenVBand="0" w:oddHBand="0" w:evenHBand="0" w:firstRowFirstColumn="0" w:firstRowLastColumn="0" w:lastRowFirstColumn="0" w:lastRowLastColumn="0"/>
            </w:pPr>
            <w:r>
              <w:t>3</w:t>
            </w:r>
          </w:p>
        </w:tc>
        <w:tc>
          <w:tcPr>
            <w:tcW w:w="2835" w:type="dxa"/>
          </w:tcPr>
          <w:p w14:paraId="76052200" w14:textId="77777777" w:rsidR="00C049A7" w:rsidRDefault="00C049A7" w:rsidP="005B455A">
            <w:pPr>
              <w:jc w:val="center"/>
              <w:cnfStyle w:val="000000000000" w:firstRow="0" w:lastRow="0" w:firstColumn="0" w:lastColumn="0" w:oddVBand="0" w:evenVBand="0" w:oddHBand="0" w:evenHBand="0" w:firstRowFirstColumn="0" w:firstRowLastColumn="0" w:lastRowFirstColumn="0" w:lastRowLastColumn="0"/>
            </w:pPr>
            <w:r>
              <w:t>0.01%</w:t>
            </w:r>
          </w:p>
        </w:tc>
      </w:tr>
      <w:tr w:rsidR="00C049A7" w14:paraId="199F385F" w14:textId="77777777" w:rsidTr="005B455A">
        <w:tc>
          <w:tcPr>
            <w:cnfStyle w:val="001000000000" w:firstRow="0" w:lastRow="0" w:firstColumn="1" w:lastColumn="0" w:oddVBand="0" w:evenVBand="0" w:oddHBand="0" w:evenHBand="0" w:firstRowFirstColumn="0" w:firstRowLastColumn="0" w:lastRowFirstColumn="0" w:lastRowLastColumn="0"/>
            <w:tcW w:w="1843" w:type="dxa"/>
            <w:shd w:val="clear" w:color="auto" w:fill="F2F2F2" w:themeFill="background1" w:themeFillShade="F2"/>
          </w:tcPr>
          <w:p w14:paraId="302E605C" w14:textId="77777777" w:rsidR="00C049A7" w:rsidRDefault="00C049A7" w:rsidP="005B455A">
            <w:r>
              <w:t>Tasmania</w:t>
            </w:r>
            <w:r>
              <w:rPr>
                <w:rStyle w:val="FootnoteReference"/>
              </w:rPr>
              <w:footnoteReference w:id="72"/>
            </w:r>
          </w:p>
        </w:tc>
        <w:tc>
          <w:tcPr>
            <w:tcW w:w="2127" w:type="dxa"/>
            <w:shd w:val="clear" w:color="auto" w:fill="F2F2F2" w:themeFill="background1" w:themeFillShade="F2"/>
          </w:tcPr>
          <w:p w14:paraId="7E336D4E" w14:textId="77777777" w:rsidR="00C049A7" w:rsidRDefault="00C049A7" w:rsidP="005B455A">
            <w:pPr>
              <w:jc w:val="center"/>
              <w:cnfStyle w:val="000000000000" w:firstRow="0" w:lastRow="0" w:firstColumn="0" w:lastColumn="0" w:oddVBand="0" w:evenVBand="0" w:oddHBand="0" w:evenHBand="0" w:firstRowFirstColumn="0" w:firstRowLastColumn="0" w:lastRowFirstColumn="0" w:lastRowLastColumn="0"/>
            </w:pPr>
            <w:r>
              <w:t>30,907 (2020)</w:t>
            </w:r>
          </w:p>
        </w:tc>
        <w:tc>
          <w:tcPr>
            <w:tcW w:w="2835" w:type="dxa"/>
            <w:shd w:val="clear" w:color="auto" w:fill="F2F2F2" w:themeFill="background1" w:themeFillShade="F2"/>
          </w:tcPr>
          <w:p w14:paraId="15F538E8" w14:textId="77777777" w:rsidR="00C049A7" w:rsidRDefault="00C049A7" w:rsidP="005B455A">
            <w:pPr>
              <w:jc w:val="center"/>
              <w:cnfStyle w:val="000000000000" w:firstRow="0" w:lastRow="0" w:firstColumn="0" w:lastColumn="0" w:oddVBand="0" w:evenVBand="0" w:oddHBand="0" w:evenHBand="0" w:firstRowFirstColumn="0" w:firstRowLastColumn="0" w:lastRowFirstColumn="0" w:lastRowLastColumn="0"/>
            </w:pPr>
            <w:r w:rsidRPr="006712E0">
              <w:t>N/A</w:t>
            </w:r>
          </w:p>
        </w:tc>
        <w:tc>
          <w:tcPr>
            <w:tcW w:w="2835" w:type="dxa"/>
            <w:shd w:val="clear" w:color="auto" w:fill="F2F2F2" w:themeFill="background1" w:themeFillShade="F2"/>
          </w:tcPr>
          <w:p w14:paraId="7B94E196" w14:textId="77777777" w:rsidR="00C049A7" w:rsidRDefault="00C049A7" w:rsidP="005B455A">
            <w:pPr>
              <w:jc w:val="center"/>
              <w:cnfStyle w:val="000000000000" w:firstRow="0" w:lastRow="0" w:firstColumn="0" w:lastColumn="0" w:oddVBand="0" w:evenVBand="0" w:oddHBand="0" w:evenHBand="0" w:firstRowFirstColumn="0" w:firstRowLastColumn="0" w:lastRowFirstColumn="0" w:lastRowLastColumn="0"/>
            </w:pPr>
            <w:r w:rsidRPr="006712E0">
              <w:t>N/A</w:t>
            </w:r>
          </w:p>
        </w:tc>
      </w:tr>
      <w:tr w:rsidR="00C049A7" w14:paraId="1B3D96F4" w14:textId="77777777" w:rsidTr="005B455A">
        <w:tc>
          <w:tcPr>
            <w:cnfStyle w:val="001000000000" w:firstRow="0" w:lastRow="0" w:firstColumn="1" w:lastColumn="0" w:oddVBand="0" w:evenVBand="0" w:oddHBand="0" w:evenHBand="0" w:firstRowFirstColumn="0" w:firstRowLastColumn="0" w:lastRowFirstColumn="0" w:lastRowLastColumn="0"/>
            <w:tcW w:w="1843" w:type="dxa"/>
          </w:tcPr>
          <w:p w14:paraId="0C42582D" w14:textId="77777777" w:rsidR="00C049A7" w:rsidRDefault="00C049A7" w:rsidP="005B455A">
            <w:r>
              <w:t>Victoria</w:t>
            </w:r>
            <w:r>
              <w:rPr>
                <w:rStyle w:val="FootnoteReference"/>
              </w:rPr>
              <w:footnoteReference w:id="73"/>
            </w:r>
          </w:p>
        </w:tc>
        <w:tc>
          <w:tcPr>
            <w:tcW w:w="2127" w:type="dxa"/>
          </w:tcPr>
          <w:p w14:paraId="683D6AA5" w14:textId="77777777" w:rsidR="00C049A7" w:rsidRDefault="00C049A7" w:rsidP="005B455A">
            <w:pPr>
              <w:jc w:val="center"/>
              <w:cnfStyle w:val="000000000000" w:firstRow="0" w:lastRow="0" w:firstColumn="0" w:lastColumn="0" w:oddVBand="0" w:evenVBand="0" w:oddHBand="0" w:evenHBand="0" w:firstRowFirstColumn="0" w:firstRowLastColumn="0" w:lastRowFirstColumn="0" w:lastRowLastColumn="0"/>
            </w:pPr>
            <w:r w:rsidRPr="00F13EFC">
              <w:t>197,000 (2019)</w:t>
            </w:r>
          </w:p>
        </w:tc>
        <w:tc>
          <w:tcPr>
            <w:tcW w:w="2835" w:type="dxa"/>
          </w:tcPr>
          <w:p w14:paraId="173133E8" w14:textId="77777777" w:rsidR="00C049A7" w:rsidRDefault="00C049A7" w:rsidP="005B455A">
            <w:pPr>
              <w:jc w:val="center"/>
              <w:cnfStyle w:val="000000000000" w:firstRow="0" w:lastRow="0" w:firstColumn="0" w:lastColumn="0" w:oddVBand="0" w:evenVBand="0" w:oddHBand="0" w:evenHBand="0" w:firstRowFirstColumn="0" w:firstRowLastColumn="0" w:lastRowFirstColumn="0" w:lastRowLastColumn="0"/>
            </w:pPr>
            <w:r>
              <w:t>N/A</w:t>
            </w:r>
          </w:p>
        </w:tc>
        <w:tc>
          <w:tcPr>
            <w:tcW w:w="2835" w:type="dxa"/>
          </w:tcPr>
          <w:p w14:paraId="55A0F757" w14:textId="77777777" w:rsidR="00C049A7" w:rsidRDefault="00C049A7" w:rsidP="005B455A">
            <w:pPr>
              <w:jc w:val="center"/>
              <w:cnfStyle w:val="000000000000" w:firstRow="0" w:lastRow="0" w:firstColumn="0" w:lastColumn="0" w:oddVBand="0" w:evenVBand="0" w:oddHBand="0" w:evenHBand="0" w:firstRowFirstColumn="0" w:firstRowLastColumn="0" w:lastRowFirstColumn="0" w:lastRowLastColumn="0"/>
            </w:pPr>
            <w:r>
              <w:t>N/A</w:t>
            </w:r>
          </w:p>
        </w:tc>
      </w:tr>
      <w:tr w:rsidR="00C049A7" w14:paraId="314D39E7" w14:textId="77777777" w:rsidTr="005B455A">
        <w:tc>
          <w:tcPr>
            <w:cnfStyle w:val="001000000000" w:firstRow="0" w:lastRow="0" w:firstColumn="1" w:lastColumn="0" w:oddVBand="0" w:evenVBand="0" w:oddHBand="0" w:evenHBand="0" w:firstRowFirstColumn="0" w:firstRowLastColumn="0" w:lastRowFirstColumn="0" w:lastRowLastColumn="0"/>
            <w:tcW w:w="1843" w:type="dxa"/>
            <w:shd w:val="clear" w:color="auto" w:fill="F2F2F2" w:themeFill="background1" w:themeFillShade="F2"/>
          </w:tcPr>
          <w:p w14:paraId="24D4DA05" w14:textId="77777777" w:rsidR="00C049A7" w:rsidRDefault="00C049A7" w:rsidP="005B455A">
            <w:r>
              <w:t>Western Australia</w:t>
            </w:r>
            <w:r>
              <w:rPr>
                <w:rStyle w:val="FootnoteReference"/>
              </w:rPr>
              <w:footnoteReference w:id="74"/>
            </w:r>
          </w:p>
        </w:tc>
        <w:tc>
          <w:tcPr>
            <w:tcW w:w="2127" w:type="dxa"/>
            <w:shd w:val="clear" w:color="auto" w:fill="F2F2F2" w:themeFill="background1" w:themeFillShade="F2"/>
          </w:tcPr>
          <w:p w14:paraId="14BCC151" w14:textId="77777777" w:rsidR="00C049A7" w:rsidRDefault="00C049A7" w:rsidP="005B455A">
            <w:pPr>
              <w:jc w:val="center"/>
              <w:cnfStyle w:val="000000000000" w:firstRow="0" w:lastRow="0" w:firstColumn="0" w:lastColumn="0" w:oddVBand="0" w:evenVBand="0" w:oddHBand="0" w:evenHBand="0" w:firstRowFirstColumn="0" w:firstRowLastColumn="0" w:lastRowFirstColumn="0" w:lastRowLastColumn="0"/>
            </w:pPr>
            <w:r>
              <w:t xml:space="preserve">100,000 (2022) </w:t>
            </w:r>
          </w:p>
        </w:tc>
        <w:tc>
          <w:tcPr>
            <w:tcW w:w="2835" w:type="dxa"/>
            <w:shd w:val="clear" w:color="auto" w:fill="F2F2F2" w:themeFill="background1" w:themeFillShade="F2"/>
          </w:tcPr>
          <w:p w14:paraId="28510F8D" w14:textId="77777777" w:rsidR="00C049A7" w:rsidRDefault="00C049A7" w:rsidP="005B455A">
            <w:pPr>
              <w:jc w:val="center"/>
              <w:cnfStyle w:val="000000000000" w:firstRow="0" w:lastRow="0" w:firstColumn="0" w:lastColumn="0" w:oddVBand="0" w:evenVBand="0" w:oddHBand="0" w:evenHBand="0" w:firstRowFirstColumn="0" w:firstRowLastColumn="0" w:lastRowFirstColumn="0" w:lastRowLastColumn="0"/>
            </w:pPr>
            <w:r>
              <w:t>N/A</w:t>
            </w:r>
          </w:p>
        </w:tc>
        <w:tc>
          <w:tcPr>
            <w:tcW w:w="2835" w:type="dxa"/>
            <w:shd w:val="clear" w:color="auto" w:fill="F2F2F2" w:themeFill="background1" w:themeFillShade="F2"/>
          </w:tcPr>
          <w:p w14:paraId="48CE66DE" w14:textId="77777777" w:rsidR="00C049A7" w:rsidRDefault="00C049A7" w:rsidP="005B455A">
            <w:pPr>
              <w:jc w:val="center"/>
              <w:cnfStyle w:val="000000000000" w:firstRow="0" w:lastRow="0" w:firstColumn="0" w:lastColumn="0" w:oddVBand="0" w:evenVBand="0" w:oddHBand="0" w:evenHBand="0" w:firstRowFirstColumn="0" w:firstRowLastColumn="0" w:lastRowFirstColumn="0" w:lastRowLastColumn="0"/>
            </w:pPr>
            <w:r>
              <w:t>N/A</w:t>
            </w:r>
          </w:p>
        </w:tc>
      </w:tr>
      <w:tr w:rsidR="00C049A7" w:rsidRPr="00960B31" w14:paraId="47F0B921" w14:textId="77777777" w:rsidTr="005B455A">
        <w:tc>
          <w:tcPr>
            <w:cnfStyle w:val="001000000000" w:firstRow="0" w:lastRow="0" w:firstColumn="1" w:lastColumn="0" w:oddVBand="0" w:evenVBand="0" w:oddHBand="0" w:evenHBand="0" w:firstRowFirstColumn="0" w:firstRowLastColumn="0" w:lastRowFirstColumn="0" w:lastRowLastColumn="0"/>
            <w:tcW w:w="1843" w:type="dxa"/>
            <w:shd w:val="clear" w:color="auto" w:fill="F2F2F2" w:themeFill="background1" w:themeFillShade="F2"/>
          </w:tcPr>
          <w:p w14:paraId="7AB311EE" w14:textId="77777777" w:rsidR="00C049A7" w:rsidRPr="00960B31" w:rsidRDefault="00C049A7" w:rsidP="005B455A">
            <w:pPr>
              <w:jc w:val="right"/>
            </w:pPr>
            <w:r w:rsidRPr="00960B31">
              <w:t>TOTAL</w:t>
            </w:r>
          </w:p>
        </w:tc>
        <w:tc>
          <w:tcPr>
            <w:tcW w:w="2127" w:type="dxa"/>
            <w:shd w:val="clear" w:color="auto" w:fill="F2F2F2" w:themeFill="background1" w:themeFillShade="F2"/>
          </w:tcPr>
          <w:p w14:paraId="42C3CE72" w14:textId="77777777" w:rsidR="00C049A7" w:rsidRPr="00F13EFC" w:rsidRDefault="00C049A7" w:rsidP="005B455A">
            <w:pPr>
              <w:jc w:val="center"/>
              <w:cnfStyle w:val="000000000000" w:firstRow="0" w:lastRow="0" w:firstColumn="0" w:lastColumn="0" w:oddVBand="0" w:evenVBand="0" w:oddHBand="0" w:evenHBand="0" w:firstRowFirstColumn="0" w:firstRowLastColumn="0" w:lastRowFirstColumn="0" w:lastRowLastColumn="0"/>
              <w:rPr>
                <w:b/>
              </w:rPr>
            </w:pPr>
            <w:r>
              <w:rPr>
                <w:b/>
              </w:rPr>
              <w:t>866,808</w:t>
            </w:r>
          </w:p>
        </w:tc>
        <w:tc>
          <w:tcPr>
            <w:tcW w:w="2835" w:type="dxa"/>
            <w:shd w:val="clear" w:color="auto" w:fill="F2F2F2" w:themeFill="background1" w:themeFillShade="F2"/>
          </w:tcPr>
          <w:p w14:paraId="6CD3D656" w14:textId="77777777" w:rsidR="00C049A7" w:rsidRPr="00F13EFC" w:rsidRDefault="00C049A7" w:rsidP="005B455A">
            <w:pPr>
              <w:jc w:val="center"/>
              <w:cnfStyle w:val="000000000000" w:firstRow="0" w:lastRow="0" w:firstColumn="0" w:lastColumn="0" w:oddVBand="0" w:evenVBand="0" w:oddHBand="0" w:evenHBand="0" w:firstRowFirstColumn="0" w:firstRowLastColumn="0" w:lastRowFirstColumn="0" w:lastRowLastColumn="0"/>
              <w:rPr>
                <w:b/>
              </w:rPr>
            </w:pPr>
            <w:r>
              <w:rPr>
                <w:b/>
              </w:rPr>
              <w:t>46</w:t>
            </w:r>
          </w:p>
        </w:tc>
        <w:tc>
          <w:tcPr>
            <w:tcW w:w="2835" w:type="dxa"/>
            <w:shd w:val="clear" w:color="auto" w:fill="F2F2F2" w:themeFill="background1" w:themeFillShade="F2"/>
          </w:tcPr>
          <w:p w14:paraId="15D282CD" w14:textId="2FA107A4" w:rsidR="00C049A7" w:rsidRPr="00F13EFC" w:rsidRDefault="00665831" w:rsidP="005B455A">
            <w:pPr>
              <w:jc w:val="center"/>
              <w:cnfStyle w:val="000000000000" w:firstRow="0" w:lastRow="0" w:firstColumn="0" w:lastColumn="0" w:oddVBand="0" w:evenVBand="0" w:oddHBand="0" w:evenHBand="0" w:firstRowFirstColumn="0" w:firstRowLastColumn="0" w:lastRowFirstColumn="0" w:lastRowLastColumn="0"/>
              <w:rPr>
                <w:b/>
              </w:rPr>
            </w:pPr>
            <w:r>
              <w:rPr>
                <w:b/>
              </w:rPr>
              <w:t>0.015%</w:t>
            </w:r>
            <w:r w:rsidR="007969AD">
              <w:rPr>
                <w:b/>
              </w:rPr>
              <w:t xml:space="preserve"> (average)</w:t>
            </w:r>
          </w:p>
        </w:tc>
      </w:tr>
    </w:tbl>
    <w:p w14:paraId="541861D1" w14:textId="590B161B" w:rsidR="00D92CA1" w:rsidRDefault="00D92CA1" w:rsidP="00D92CA1">
      <w:r>
        <w:lastRenderedPageBreak/>
        <w:t>There is no way to distinguish between DCVs and recreational vessels that travel in the EEZ and territorial sea, or only the territorial sea. Therefore, all DCVs and recreational vessels 300</w:t>
      </w:r>
      <w:r w:rsidR="003520EB">
        <w:t xml:space="preserve"> </w:t>
      </w:r>
      <w:r>
        <w:t xml:space="preserve">GT and over will be considered </w:t>
      </w:r>
      <w:r w:rsidR="001B3915">
        <w:t xml:space="preserve">to be </w:t>
      </w:r>
      <w:r>
        <w:t xml:space="preserve">impacted by Australia’s accession to the Nairobi Convention for both Options 3 and 4.  </w:t>
      </w:r>
    </w:p>
    <w:p w14:paraId="1B51B3BF" w14:textId="6630E206" w:rsidR="00AA3262" w:rsidRPr="00B703F0" w:rsidRDefault="00AA3262" w:rsidP="00AA3262">
      <w:r w:rsidRPr="00A816D0">
        <w:t xml:space="preserve">Table </w:t>
      </w:r>
      <w:r>
        <w:t>4</w:t>
      </w:r>
      <w:r w:rsidRPr="00A816D0">
        <w:t xml:space="preserve"> presents the anticipated compliance costs for </w:t>
      </w:r>
      <w:r>
        <w:t>DCVs and foreign vessels</w:t>
      </w:r>
      <w:r w:rsidRPr="00A816D0">
        <w:t xml:space="preserve"> under Options 3 and 4, with details regarding the calculations provided in the following </w:t>
      </w:r>
      <w:r w:rsidR="001D0478">
        <w:t>chapters</w:t>
      </w:r>
      <w:r w:rsidRPr="00A816D0">
        <w:t>. In total, compliance costs under Option 3 and 4, relative to Op</w:t>
      </w:r>
      <w:r w:rsidR="007969AD">
        <w:t>tion 1, are estimated to be $2.07</w:t>
      </w:r>
      <w:r w:rsidRPr="00A816D0">
        <w:t xml:space="preserve"> million and $</w:t>
      </w:r>
      <w:r w:rsidR="00B63E7B">
        <w:t>1.07</w:t>
      </w:r>
      <w:r w:rsidRPr="00A816D0">
        <w:t xml:space="preserve"> million</w:t>
      </w:r>
      <w:r w:rsidR="007969AD">
        <w:t xml:space="preserve"> per year</w:t>
      </w:r>
      <w:r w:rsidRPr="00A816D0">
        <w:t>, respectively</w:t>
      </w:r>
      <w:r w:rsidR="007969AD">
        <w:t>.</w:t>
      </w:r>
      <w:r w:rsidR="00D92CA1" w:rsidRPr="00D92CA1">
        <w:t xml:space="preserve"> </w:t>
      </w:r>
    </w:p>
    <w:p w14:paraId="68289D8F" w14:textId="69F2A939" w:rsidR="00AA3262" w:rsidRPr="00B703F0" w:rsidRDefault="00AA3262" w:rsidP="00027346">
      <w:pPr>
        <w:pStyle w:val="Caption"/>
        <w:keepNext/>
      </w:pPr>
      <w:bookmarkStart w:id="130" w:name="_Toc105060762"/>
      <w:r w:rsidRPr="00B703F0">
        <w:t xml:space="preserve">Table </w:t>
      </w:r>
      <w:r>
        <w:rPr>
          <w:noProof/>
        </w:rPr>
        <w:t>4</w:t>
      </w:r>
      <w:r w:rsidRPr="00B703F0">
        <w:t>: Estimated compliance costs annual</w:t>
      </w:r>
      <w:r>
        <w:t>ly for DCVs and recreational vessels</w:t>
      </w:r>
      <w:r w:rsidR="008E3DFE">
        <w:t xml:space="preserve"> under Options 3 and 4</w:t>
      </w:r>
      <w:r w:rsidR="00C341EB" w:rsidRPr="00C341EB">
        <w:t xml:space="preserve"> </w:t>
      </w:r>
      <w:r w:rsidR="00C341EB" w:rsidRPr="00B703F0">
        <w:t xml:space="preserve">over a </w:t>
      </w:r>
      <w:r w:rsidR="00C341EB">
        <w:t>10</w:t>
      </w:r>
      <w:r w:rsidR="00C341EB" w:rsidRPr="00B703F0">
        <w:t>-year period</w:t>
      </w:r>
      <w:r w:rsidR="00C341EB" w:rsidRPr="00B703F0">
        <w:rPr>
          <w:rStyle w:val="FootnoteReference"/>
        </w:rPr>
        <w:t xml:space="preserve"> </w:t>
      </w:r>
      <w:r w:rsidRPr="00B703F0">
        <w:rPr>
          <w:rStyle w:val="FootnoteReference"/>
        </w:rPr>
        <w:footnoteReference w:id="75"/>
      </w:r>
      <w:bookmarkEnd w:id="130"/>
    </w:p>
    <w:tbl>
      <w:tblPr>
        <w:tblStyle w:val="DefaultTable1"/>
        <w:tblW w:w="9459" w:type="dxa"/>
        <w:tblLook w:val="04E0" w:firstRow="1" w:lastRow="1" w:firstColumn="1" w:lastColumn="0" w:noHBand="0" w:noVBand="1"/>
      </w:tblPr>
      <w:tblGrid>
        <w:gridCol w:w="4125"/>
        <w:gridCol w:w="2512"/>
        <w:gridCol w:w="2822"/>
      </w:tblGrid>
      <w:tr w:rsidR="00C225ED" w:rsidRPr="00211C87" w14:paraId="2CDB9CAA" w14:textId="77777777" w:rsidTr="00027346">
        <w:trPr>
          <w:cnfStyle w:val="100000000000" w:firstRow="1" w:lastRow="0" w:firstColumn="0" w:lastColumn="0" w:oddVBand="0" w:evenVBand="0" w:oddHBand="0"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4125" w:type="dxa"/>
          </w:tcPr>
          <w:p w14:paraId="4A75B8F6" w14:textId="77777777" w:rsidR="00C225ED" w:rsidRPr="00A816D0" w:rsidRDefault="00C225ED" w:rsidP="005B455A">
            <w:r w:rsidRPr="00A816D0">
              <w:t>Costs</w:t>
            </w:r>
          </w:p>
        </w:tc>
        <w:tc>
          <w:tcPr>
            <w:tcW w:w="2512" w:type="dxa"/>
          </w:tcPr>
          <w:p w14:paraId="214597AD" w14:textId="031DD6E8" w:rsidR="00C225ED" w:rsidRPr="00A816D0" w:rsidRDefault="00C225ED" w:rsidP="005B455A">
            <w:pPr>
              <w:cnfStyle w:val="100000000000" w:firstRow="1" w:lastRow="0" w:firstColumn="0" w:lastColumn="0" w:oddVBand="0" w:evenVBand="0" w:oddHBand="0" w:evenHBand="0" w:firstRowFirstColumn="0" w:firstRowLastColumn="0" w:lastRowFirstColumn="0" w:lastRowLastColumn="0"/>
            </w:pPr>
            <w:r>
              <w:t>DCVs</w:t>
            </w:r>
          </w:p>
        </w:tc>
        <w:tc>
          <w:tcPr>
            <w:tcW w:w="2822" w:type="dxa"/>
          </w:tcPr>
          <w:p w14:paraId="5ECBDC21" w14:textId="7EAE677C" w:rsidR="00C225ED" w:rsidRPr="00A816D0" w:rsidRDefault="00C225ED" w:rsidP="005B455A">
            <w:pPr>
              <w:cnfStyle w:val="100000000000" w:firstRow="1" w:lastRow="0" w:firstColumn="0" w:lastColumn="0" w:oddVBand="0" w:evenVBand="0" w:oddHBand="0" w:evenHBand="0" w:firstRowFirstColumn="0" w:firstRowLastColumn="0" w:lastRowFirstColumn="0" w:lastRowLastColumn="0"/>
            </w:pPr>
            <w:r>
              <w:t>Recreational vessels</w:t>
            </w:r>
          </w:p>
        </w:tc>
      </w:tr>
      <w:tr w:rsidR="00C225ED" w:rsidRPr="00211C87" w14:paraId="18A3B345" w14:textId="77777777" w:rsidTr="00027346">
        <w:trPr>
          <w:trHeight w:val="465"/>
        </w:trPr>
        <w:tc>
          <w:tcPr>
            <w:cnfStyle w:val="001000000000" w:firstRow="0" w:lastRow="0" w:firstColumn="1" w:lastColumn="0" w:oddVBand="0" w:evenVBand="0" w:oddHBand="0" w:evenHBand="0" w:firstRowFirstColumn="0" w:firstRowLastColumn="0" w:lastRowFirstColumn="0" w:lastRowLastColumn="0"/>
            <w:tcW w:w="4125" w:type="dxa"/>
          </w:tcPr>
          <w:p w14:paraId="261E5A4E" w14:textId="77777777" w:rsidR="00C225ED" w:rsidRPr="00A816D0" w:rsidRDefault="00C225ED" w:rsidP="005B455A"/>
        </w:tc>
        <w:tc>
          <w:tcPr>
            <w:tcW w:w="2512" w:type="dxa"/>
          </w:tcPr>
          <w:p w14:paraId="757B3B59" w14:textId="77777777" w:rsidR="00C225ED" w:rsidRPr="00A816D0" w:rsidRDefault="00C225ED" w:rsidP="005B455A">
            <w:pPr>
              <w:cnfStyle w:val="000000000000" w:firstRow="0" w:lastRow="0" w:firstColumn="0" w:lastColumn="0" w:oddVBand="0" w:evenVBand="0" w:oddHBand="0" w:evenHBand="0" w:firstRowFirstColumn="0" w:firstRowLastColumn="0" w:lastRowFirstColumn="0" w:lastRowLastColumn="0"/>
            </w:pPr>
            <w:r w:rsidRPr="00A816D0">
              <w:t>2020 real $m</w:t>
            </w:r>
          </w:p>
        </w:tc>
        <w:tc>
          <w:tcPr>
            <w:tcW w:w="2822" w:type="dxa"/>
          </w:tcPr>
          <w:p w14:paraId="1890787C" w14:textId="77777777" w:rsidR="00C225ED" w:rsidRPr="00A816D0" w:rsidRDefault="00C225ED" w:rsidP="005B455A">
            <w:pPr>
              <w:cnfStyle w:val="000000000000" w:firstRow="0" w:lastRow="0" w:firstColumn="0" w:lastColumn="0" w:oddVBand="0" w:evenVBand="0" w:oddHBand="0" w:evenHBand="0" w:firstRowFirstColumn="0" w:firstRowLastColumn="0" w:lastRowFirstColumn="0" w:lastRowLastColumn="0"/>
            </w:pPr>
            <w:r w:rsidRPr="00A816D0">
              <w:t>2020 real $m</w:t>
            </w:r>
          </w:p>
        </w:tc>
      </w:tr>
      <w:tr w:rsidR="00C225ED" w:rsidRPr="00211C87" w14:paraId="1D9405EF" w14:textId="77777777" w:rsidTr="00027346">
        <w:trPr>
          <w:cnfStyle w:val="000000010000" w:firstRow="0" w:lastRow="0" w:firstColumn="0" w:lastColumn="0" w:oddVBand="0" w:evenVBand="0" w:oddHBand="0" w:evenHBand="1"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4125" w:type="dxa"/>
          </w:tcPr>
          <w:p w14:paraId="5B2126F8" w14:textId="77777777" w:rsidR="00C225ED" w:rsidRPr="00A816D0" w:rsidRDefault="00C225ED" w:rsidP="00C225ED">
            <w:pPr>
              <w:rPr>
                <w:b w:val="0"/>
              </w:rPr>
            </w:pPr>
            <w:r w:rsidRPr="00A816D0">
              <w:t>Administration costs</w:t>
            </w:r>
          </w:p>
        </w:tc>
        <w:tc>
          <w:tcPr>
            <w:tcW w:w="2512" w:type="dxa"/>
          </w:tcPr>
          <w:p w14:paraId="21E0EE2F" w14:textId="59A81D3D" w:rsidR="00C225ED" w:rsidRPr="00A816D0" w:rsidRDefault="00C341EB" w:rsidP="00C341EB">
            <w:pPr>
              <w:jc w:val="right"/>
              <w:cnfStyle w:val="000000010000" w:firstRow="0" w:lastRow="0" w:firstColumn="0" w:lastColumn="0" w:oddVBand="0" w:evenVBand="0" w:oddHBand="0" w:evenHBand="1" w:firstRowFirstColumn="0" w:firstRowLastColumn="0" w:lastRowFirstColumn="0" w:lastRowLastColumn="0"/>
            </w:pPr>
            <w:r>
              <w:rPr>
                <w:color w:val="auto"/>
              </w:rPr>
              <w:t>1</w:t>
            </w:r>
            <w:r w:rsidR="00C225ED" w:rsidRPr="00A816D0">
              <w:rPr>
                <w:color w:val="auto"/>
              </w:rPr>
              <w:t>.0</w:t>
            </w:r>
          </w:p>
        </w:tc>
        <w:tc>
          <w:tcPr>
            <w:tcW w:w="2822" w:type="dxa"/>
          </w:tcPr>
          <w:p w14:paraId="1C59C54F" w14:textId="191B50B5" w:rsidR="00C225ED" w:rsidRPr="00A816D0" w:rsidRDefault="008E3DFE" w:rsidP="00C341EB">
            <w:pPr>
              <w:jc w:val="right"/>
              <w:cnfStyle w:val="000000010000" w:firstRow="0" w:lastRow="0" w:firstColumn="0" w:lastColumn="0" w:oddVBand="0" w:evenVBand="0" w:oddHBand="0" w:evenHBand="1" w:firstRowFirstColumn="0" w:firstRowLastColumn="0" w:lastRowFirstColumn="0" w:lastRowLastColumn="0"/>
            </w:pPr>
            <w:r>
              <w:rPr>
                <w:color w:val="auto"/>
              </w:rPr>
              <w:t>0.5</w:t>
            </w:r>
          </w:p>
        </w:tc>
      </w:tr>
      <w:tr w:rsidR="00C225ED" w:rsidRPr="00211C87" w14:paraId="50EBC012" w14:textId="77777777" w:rsidTr="00027346">
        <w:trPr>
          <w:trHeight w:val="465"/>
        </w:trPr>
        <w:tc>
          <w:tcPr>
            <w:cnfStyle w:val="001000000000" w:firstRow="0" w:lastRow="0" w:firstColumn="1" w:lastColumn="0" w:oddVBand="0" w:evenVBand="0" w:oddHBand="0" w:evenHBand="0" w:firstRowFirstColumn="0" w:firstRowLastColumn="0" w:lastRowFirstColumn="0" w:lastRowLastColumn="0"/>
            <w:tcW w:w="4125" w:type="dxa"/>
          </w:tcPr>
          <w:p w14:paraId="52B45AFE" w14:textId="77777777" w:rsidR="00C225ED" w:rsidRPr="00A816D0" w:rsidRDefault="00C225ED" w:rsidP="00C225ED">
            <w:pPr>
              <w:rPr>
                <w:b w:val="0"/>
              </w:rPr>
            </w:pPr>
            <w:r w:rsidRPr="00A816D0">
              <w:t>Certificate costs</w:t>
            </w:r>
          </w:p>
        </w:tc>
        <w:tc>
          <w:tcPr>
            <w:tcW w:w="2512" w:type="dxa"/>
          </w:tcPr>
          <w:p w14:paraId="6C13B2D0" w14:textId="7D879909" w:rsidR="00C225ED" w:rsidRPr="00A816D0" w:rsidRDefault="00C341EB" w:rsidP="00C225ED">
            <w:pPr>
              <w:jc w:val="right"/>
              <w:cnfStyle w:val="000000000000" w:firstRow="0" w:lastRow="0" w:firstColumn="0" w:lastColumn="0" w:oddVBand="0" w:evenVBand="0" w:oddHBand="0" w:evenHBand="0" w:firstRowFirstColumn="0" w:firstRowLastColumn="0" w:lastRowFirstColumn="0" w:lastRowLastColumn="0"/>
            </w:pPr>
            <w:r>
              <w:rPr>
                <w:color w:val="auto"/>
              </w:rPr>
              <w:t>2.</w:t>
            </w:r>
            <w:r w:rsidR="00C225ED" w:rsidRPr="00A816D0">
              <w:rPr>
                <w:color w:val="auto"/>
              </w:rPr>
              <w:t>7</w:t>
            </w:r>
          </w:p>
        </w:tc>
        <w:tc>
          <w:tcPr>
            <w:tcW w:w="2822" w:type="dxa"/>
          </w:tcPr>
          <w:p w14:paraId="3B75DD97" w14:textId="78025C6F" w:rsidR="00C225ED" w:rsidRPr="00A816D0" w:rsidRDefault="00C225ED" w:rsidP="00D62A8E">
            <w:pPr>
              <w:jc w:val="right"/>
              <w:cnfStyle w:val="000000000000" w:firstRow="0" w:lastRow="0" w:firstColumn="0" w:lastColumn="0" w:oddVBand="0" w:evenVBand="0" w:oddHBand="0" w:evenHBand="0" w:firstRowFirstColumn="0" w:firstRowLastColumn="0" w:lastRowFirstColumn="0" w:lastRowLastColumn="0"/>
            </w:pPr>
            <w:r w:rsidRPr="00A816D0">
              <w:rPr>
                <w:color w:val="auto"/>
              </w:rPr>
              <w:t>1</w:t>
            </w:r>
            <w:r w:rsidR="00C341EB">
              <w:rPr>
                <w:color w:val="auto"/>
              </w:rPr>
              <w:t>.</w:t>
            </w:r>
            <w:r w:rsidR="00D62A8E">
              <w:rPr>
                <w:color w:val="auto"/>
              </w:rPr>
              <w:t>4</w:t>
            </w:r>
          </w:p>
        </w:tc>
      </w:tr>
      <w:tr w:rsidR="00C225ED" w:rsidRPr="00211C87" w14:paraId="3B856898" w14:textId="77777777" w:rsidTr="00027346">
        <w:trPr>
          <w:cnfStyle w:val="000000010000" w:firstRow="0" w:lastRow="0" w:firstColumn="0" w:lastColumn="0" w:oddVBand="0" w:evenVBand="0" w:oddHBand="0" w:evenHBand="1"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4125" w:type="dxa"/>
          </w:tcPr>
          <w:p w14:paraId="7F3448B4" w14:textId="77777777" w:rsidR="00C225ED" w:rsidRPr="00A816D0" w:rsidRDefault="00C225ED" w:rsidP="00C225ED">
            <w:pPr>
              <w:rPr>
                <w:b w:val="0"/>
              </w:rPr>
            </w:pPr>
            <w:r w:rsidRPr="00A816D0">
              <w:t>Mandatory insurance costs</w:t>
            </w:r>
          </w:p>
        </w:tc>
        <w:tc>
          <w:tcPr>
            <w:tcW w:w="2512" w:type="dxa"/>
          </w:tcPr>
          <w:p w14:paraId="13D61D40" w14:textId="543288C8" w:rsidR="00C225ED" w:rsidRPr="00A816D0" w:rsidRDefault="00C225ED" w:rsidP="00C341EB">
            <w:pPr>
              <w:jc w:val="right"/>
              <w:cnfStyle w:val="000000010000" w:firstRow="0" w:lastRow="0" w:firstColumn="0" w:lastColumn="0" w:oddVBand="0" w:evenVBand="0" w:oddHBand="0" w:evenHBand="1" w:firstRowFirstColumn="0" w:firstRowLastColumn="0" w:lastRowFirstColumn="0" w:lastRowLastColumn="0"/>
            </w:pPr>
            <w:r w:rsidRPr="00A816D0">
              <w:rPr>
                <w:color w:val="auto"/>
              </w:rPr>
              <w:t>1.7</w:t>
            </w:r>
          </w:p>
        </w:tc>
        <w:tc>
          <w:tcPr>
            <w:tcW w:w="2822" w:type="dxa"/>
          </w:tcPr>
          <w:p w14:paraId="0C39076F" w14:textId="3B17BF9B" w:rsidR="00C225ED" w:rsidRPr="00A816D0" w:rsidRDefault="00C8570B" w:rsidP="00C225ED">
            <w:pPr>
              <w:jc w:val="right"/>
              <w:cnfStyle w:val="000000010000" w:firstRow="0" w:lastRow="0" w:firstColumn="0" w:lastColumn="0" w:oddVBand="0" w:evenVBand="0" w:oddHBand="0" w:evenHBand="1" w:firstRowFirstColumn="0" w:firstRowLastColumn="0" w:lastRowFirstColumn="0" w:lastRowLastColumn="0"/>
            </w:pPr>
            <w:r>
              <w:rPr>
                <w:color w:val="auto"/>
              </w:rPr>
              <w:t>0.88</w:t>
            </w:r>
          </w:p>
        </w:tc>
      </w:tr>
      <w:tr w:rsidR="00C225ED" w:rsidRPr="00C225ED" w14:paraId="10B64296" w14:textId="77777777" w:rsidTr="00027346">
        <w:trPr>
          <w:cnfStyle w:val="010000000000" w:firstRow="0" w:lastRow="1" w:firstColumn="0" w:lastColumn="0" w:oddVBand="0" w:evenVBand="0" w:oddHBand="0"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4125" w:type="dxa"/>
            <w:shd w:val="clear" w:color="auto" w:fill="auto"/>
          </w:tcPr>
          <w:p w14:paraId="080A5D86" w14:textId="77777777" w:rsidR="00C225ED" w:rsidRPr="005B455A" w:rsidRDefault="00C225ED" w:rsidP="00C225ED">
            <w:r w:rsidRPr="005B455A">
              <w:t>Total compliance costs</w:t>
            </w:r>
          </w:p>
        </w:tc>
        <w:tc>
          <w:tcPr>
            <w:tcW w:w="2512" w:type="dxa"/>
            <w:shd w:val="clear" w:color="auto" w:fill="auto"/>
          </w:tcPr>
          <w:p w14:paraId="10B2A10B" w14:textId="45DCF98F" w:rsidR="00C225ED" w:rsidRPr="005B455A" w:rsidRDefault="00C341EB" w:rsidP="00C225ED">
            <w:pPr>
              <w:jc w:val="right"/>
              <w:cnfStyle w:val="010000000000" w:firstRow="0" w:lastRow="1" w:firstColumn="0" w:lastColumn="0" w:oddVBand="0" w:evenVBand="0" w:oddHBand="0" w:evenHBand="0" w:firstRowFirstColumn="0" w:firstRowLastColumn="0" w:lastRowFirstColumn="0" w:lastRowLastColumn="0"/>
            </w:pPr>
            <w:r>
              <w:rPr>
                <w:color w:val="auto"/>
              </w:rPr>
              <w:t>5.4</w:t>
            </w:r>
          </w:p>
        </w:tc>
        <w:tc>
          <w:tcPr>
            <w:tcW w:w="2822" w:type="dxa"/>
            <w:shd w:val="clear" w:color="auto" w:fill="auto"/>
          </w:tcPr>
          <w:p w14:paraId="2E5ABE1A" w14:textId="3545F488" w:rsidR="00C225ED" w:rsidRPr="005B455A" w:rsidRDefault="00C341EB" w:rsidP="00C225ED">
            <w:pPr>
              <w:jc w:val="right"/>
              <w:cnfStyle w:val="010000000000" w:firstRow="0" w:lastRow="1" w:firstColumn="0" w:lastColumn="0" w:oddVBand="0" w:evenVBand="0" w:oddHBand="0" w:evenHBand="0" w:firstRowFirstColumn="0" w:firstRowLastColumn="0" w:lastRowFirstColumn="0" w:lastRowLastColumn="0"/>
            </w:pPr>
            <w:r>
              <w:rPr>
                <w:color w:val="auto"/>
              </w:rPr>
              <w:t>2.78</w:t>
            </w:r>
          </w:p>
        </w:tc>
      </w:tr>
    </w:tbl>
    <w:p w14:paraId="613EA250" w14:textId="404D8C0D" w:rsidR="00C225ED" w:rsidRPr="00B703F0" w:rsidRDefault="008E3DFE" w:rsidP="00C225ED">
      <w:pPr>
        <w:pStyle w:val="Sourcenotes"/>
        <w:keepNext/>
        <w:rPr>
          <w:lang w:val="en-AU"/>
        </w:rPr>
      </w:pPr>
      <w:r>
        <w:rPr>
          <w:lang w:val="en-AU"/>
        </w:rPr>
        <w:t>Source: ACIL Allen estimates f</w:t>
      </w:r>
      <w:r w:rsidR="00C225ED" w:rsidRPr="00B703F0">
        <w:rPr>
          <w:lang w:val="en-AU"/>
        </w:rPr>
        <w:t>r</w:t>
      </w:r>
      <w:r>
        <w:rPr>
          <w:lang w:val="en-AU"/>
        </w:rPr>
        <w:t>o</w:t>
      </w:r>
      <w:r w:rsidR="00C225ED" w:rsidRPr="00B703F0">
        <w:rPr>
          <w:lang w:val="en-AU"/>
        </w:rPr>
        <w:t>m various assumptions</w:t>
      </w:r>
      <w:r w:rsidR="00C225ED">
        <w:rPr>
          <w:lang w:val="en-AU"/>
        </w:rPr>
        <w:t xml:space="preserve"> and DITRDC</w:t>
      </w:r>
    </w:p>
    <w:p w14:paraId="7982E149" w14:textId="1DE48624" w:rsidR="00CC73F3" w:rsidRPr="00E46EA5" w:rsidRDefault="00CC73F3" w:rsidP="00E46EA5">
      <w:pPr>
        <w:pStyle w:val="Heading4Numbered"/>
        <w:numPr>
          <w:ilvl w:val="0"/>
          <w:numId w:val="0"/>
        </w:numPr>
        <w:ind w:left="1134" w:hanging="1134"/>
        <w:jc w:val="both"/>
      </w:pPr>
      <w:r w:rsidRPr="00E46EA5">
        <w:t>Administrative Costs</w:t>
      </w:r>
      <w:bookmarkEnd w:id="127"/>
      <w:bookmarkEnd w:id="128"/>
    </w:p>
    <w:p w14:paraId="058D61D7" w14:textId="363D3A95" w:rsidR="005B455A" w:rsidRDefault="007F05BA" w:rsidP="005B455A">
      <w:r w:rsidRPr="00B703F0">
        <w:t>Under the Nairobi Convention, all ship</w:t>
      </w:r>
      <w:r>
        <w:t xml:space="preserve"> </w:t>
      </w:r>
      <w:r w:rsidRPr="00B703F0">
        <w:t xml:space="preserve">owners would be liable for costs associated with locating, marking and removing wrecks. However, the compulsory insurance provisions would apply only to ships of 300 GT and above. </w:t>
      </w:r>
      <w:r>
        <w:t>The owners of s</w:t>
      </w:r>
      <w:r w:rsidR="005B455A">
        <w:t xml:space="preserve">hips </w:t>
      </w:r>
      <w:r w:rsidR="002D3723">
        <w:t>300</w:t>
      </w:r>
      <w:r w:rsidR="003520EB">
        <w:t xml:space="preserve"> </w:t>
      </w:r>
      <w:r w:rsidR="002D3723">
        <w:t xml:space="preserve">GT and over </w:t>
      </w:r>
      <w:r w:rsidR="005B455A">
        <w:t xml:space="preserve">are </w:t>
      </w:r>
      <w:r w:rsidR="005B455A" w:rsidRPr="00B703F0">
        <w:t xml:space="preserve">assumed to incur additional administrative expenses of </w:t>
      </w:r>
      <w:r w:rsidR="00362B44">
        <w:t>7</w:t>
      </w:r>
      <w:r w:rsidR="005B455A" w:rsidRPr="00B703F0">
        <w:t xml:space="preserve"> hours per year to understand and demonstrate compliance with the Nairobi Convention </w:t>
      </w:r>
      <w:r w:rsidR="005B455A">
        <w:t>requirements</w:t>
      </w:r>
      <w:r w:rsidR="002D3723">
        <w:t>, including sourcing appropriate wreck removal insurance</w:t>
      </w:r>
      <w:r w:rsidR="005B455A" w:rsidRPr="00B703F0">
        <w:t>.</w:t>
      </w:r>
      <w:r w:rsidR="005B455A" w:rsidRPr="005B455A">
        <w:t xml:space="preserve"> </w:t>
      </w:r>
      <w:r w:rsidR="005B455A" w:rsidRPr="00B703F0">
        <w:t xml:space="preserve">At the average wage rate assumed in Table 3.6 of </w:t>
      </w:r>
      <w:r w:rsidR="005B455A" w:rsidRPr="006905CA">
        <w:rPr>
          <w:b/>
          <w:u w:val="single"/>
        </w:rPr>
        <w:t>Appendix C</w:t>
      </w:r>
      <w:r w:rsidR="005B455A" w:rsidRPr="00B703F0">
        <w:t>, this implies an additional administrative cost burden to ship</w:t>
      </w:r>
      <w:r w:rsidR="005B455A">
        <w:t xml:space="preserve"> </w:t>
      </w:r>
      <w:r w:rsidR="005B455A" w:rsidRPr="00B703F0">
        <w:t xml:space="preserve">owners of $396 per ship per year. This cost applies to both Option 3 and </w:t>
      </w:r>
      <w:r w:rsidR="005B455A">
        <w:t>4</w:t>
      </w:r>
      <w:r w:rsidR="005B455A" w:rsidRPr="00B703F0">
        <w:t>.</w:t>
      </w:r>
    </w:p>
    <w:p w14:paraId="6BF9414B" w14:textId="4A27B162" w:rsidR="002D3723" w:rsidRPr="00B703F0" w:rsidRDefault="00720F35" w:rsidP="005B455A">
      <w:r>
        <w:t xml:space="preserve">Conservatively using the levy data, this is considered </w:t>
      </w:r>
      <w:r w:rsidR="002D3723">
        <w:t xml:space="preserve">a new cost to Australian ships and foreign vessels not flagged to a State Party of the Nairobi Convention. </w:t>
      </w:r>
      <w:r>
        <w:t xml:space="preserve">It is possible where those ships have voyaged to a Nairobi Convention State Party they will already have wreck-related insurance. </w:t>
      </w:r>
    </w:p>
    <w:p w14:paraId="2E234A1C" w14:textId="3042E8EA" w:rsidR="00CC73F3" w:rsidRPr="00E46EA5" w:rsidRDefault="005149E0" w:rsidP="00E46EA5">
      <w:pPr>
        <w:pStyle w:val="Heading4Numbered"/>
        <w:numPr>
          <w:ilvl w:val="0"/>
          <w:numId w:val="0"/>
        </w:numPr>
        <w:ind w:left="1134" w:hanging="1134"/>
        <w:jc w:val="both"/>
      </w:pPr>
      <w:bookmarkStart w:id="131" w:name="_Toc89938416"/>
      <w:bookmarkStart w:id="132" w:name="_Toc96354506"/>
      <w:r w:rsidRPr="00E46EA5">
        <w:t>Certificate</w:t>
      </w:r>
      <w:r w:rsidR="00CC73F3" w:rsidRPr="00E46EA5">
        <w:t xml:space="preserve"> costs</w:t>
      </w:r>
      <w:bookmarkEnd w:id="131"/>
      <w:bookmarkEnd w:id="132"/>
    </w:p>
    <w:p w14:paraId="4754E2D7" w14:textId="2116BE5C" w:rsidR="002D5A84" w:rsidRDefault="002D5A84" w:rsidP="002D5A84">
      <w:r w:rsidRPr="00B703F0">
        <w:t xml:space="preserve">The owners of ships of 300 GT and above must maintain insurance or other financial security to cover their liabilities in the event of wreck and obtain a certificate </w:t>
      </w:r>
      <w:r w:rsidR="00F92D8F">
        <w:t xml:space="preserve">from a </w:t>
      </w:r>
      <w:r w:rsidR="000F4063">
        <w:t>State Party</w:t>
      </w:r>
      <w:r w:rsidR="00F92D8F">
        <w:t xml:space="preserve"> </w:t>
      </w:r>
      <w:r w:rsidRPr="00B703F0">
        <w:t>attesting to the effectiveness of the insurance or financial security.</w:t>
      </w:r>
    </w:p>
    <w:p w14:paraId="1C7CE7DA" w14:textId="07AB06FA" w:rsidR="00D04A2D" w:rsidRDefault="00D04A2D" w:rsidP="00850645">
      <w:r>
        <w:t xml:space="preserve">For Australian ships and foreign vessels not flagged in counties who are a State Party </w:t>
      </w:r>
      <w:r w:rsidR="00EB7ADE" w:rsidRPr="00F92D8F">
        <w:t>to the Nairobi Con</w:t>
      </w:r>
      <w:r w:rsidR="00AC5FBC">
        <w:t>vention</w:t>
      </w:r>
      <w:r w:rsidR="00EB7ADE" w:rsidRPr="00F92D8F">
        <w:t xml:space="preserve">, they will need to obtain </w:t>
      </w:r>
      <w:r w:rsidR="007001E3">
        <w:t xml:space="preserve">a certificate </w:t>
      </w:r>
      <w:r w:rsidR="00287587">
        <w:t xml:space="preserve">of insurance </w:t>
      </w:r>
      <w:r w:rsidR="007001E3">
        <w:t xml:space="preserve">from a </w:t>
      </w:r>
      <w:r w:rsidR="000F4063">
        <w:t xml:space="preserve">State </w:t>
      </w:r>
      <w:r w:rsidR="00C966AC">
        <w:t>Party</w:t>
      </w:r>
      <w:r w:rsidR="00C966AC" w:rsidRPr="00F92D8F">
        <w:t>.</w:t>
      </w:r>
      <w:r w:rsidR="00EB7ADE" w:rsidRPr="00F92D8F">
        <w:t xml:space="preserve"> </w:t>
      </w:r>
    </w:p>
    <w:p w14:paraId="42681E5B" w14:textId="2900C2FB" w:rsidR="00CC73F3" w:rsidRPr="00B703F0" w:rsidRDefault="00CC73F3" w:rsidP="00850645">
      <w:r w:rsidRPr="00F92D8F">
        <w:t>As noted in assumptions</w:t>
      </w:r>
      <w:r w:rsidRPr="00B703F0">
        <w:t xml:space="preserve"> Table 3.6</w:t>
      </w:r>
      <w:r w:rsidR="00081BA3" w:rsidRPr="00B703F0">
        <w:t xml:space="preserve"> in </w:t>
      </w:r>
      <w:r w:rsidR="00FA6155" w:rsidRPr="006905CA">
        <w:rPr>
          <w:b/>
          <w:u w:val="single"/>
        </w:rPr>
        <w:t>Appendix C</w:t>
      </w:r>
      <w:r w:rsidRPr="00B703F0">
        <w:t xml:space="preserve">, it is likely they would be between $40 for renewing and $70 for a new </w:t>
      </w:r>
      <w:r w:rsidR="00F92D8F">
        <w:t>card</w:t>
      </w:r>
      <w:r w:rsidRPr="00B703F0">
        <w:t xml:space="preserve"> similar to the </w:t>
      </w:r>
      <w:r w:rsidR="000D02D6">
        <w:t xml:space="preserve">certificates issued by AMSA to show compliance with the insurance requirements in the </w:t>
      </w:r>
      <w:r w:rsidR="00E65CA4">
        <w:rPr>
          <w:iCs/>
        </w:rPr>
        <w:t>Bunker Convention</w:t>
      </w:r>
      <w:r w:rsidR="000D02D6" w:rsidRPr="000D02D6">
        <w:rPr>
          <w:i/>
          <w:iCs/>
        </w:rPr>
        <w:t>.</w:t>
      </w:r>
      <w:r w:rsidR="000D02D6">
        <w:rPr>
          <w:rStyle w:val="Emphasis"/>
          <w:rFonts w:ascii="Open Sans" w:hAnsi="Open Sans"/>
          <w:color w:val="333333"/>
          <w:sz w:val="21"/>
          <w:szCs w:val="21"/>
          <w:shd w:val="clear" w:color="auto" w:fill="FFFFFF"/>
        </w:rPr>
        <w:t xml:space="preserve"> </w:t>
      </w:r>
      <w:r w:rsidRPr="00B703F0">
        <w:t xml:space="preserve">For calculation purposes, a new </w:t>
      </w:r>
      <w:r w:rsidR="007001E3">
        <w:t xml:space="preserve">certificate </w:t>
      </w:r>
      <w:r w:rsidR="00287587">
        <w:t xml:space="preserve">of insurance </w:t>
      </w:r>
      <w:r w:rsidRPr="00B703F0">
        <w:t xml:space="preserve">is assumed to be issued to all </w:t>
      </w:r>
      <w:r w:rsidR="00850645">
        <w:t xml:space="preserve">ships 300 GT and over </w:t>
      </w:r>
      <w:r w:rsidRPr="00B703F0">
        <w:t>for $70 in the first year, with all of these ships paying a renewal fee of $40 (in real terms) in following years. This cost applies to bot</w:t>
      </w:r>
      <w:r w:rsidR="001320D3" w:rsidRPr="00B703F0">
        <w:t xml:space="preserve">h Option 3 and </w:t>
      </w:r>
      <w:r w:rsidR="001E1ED5">
        <w:t>4</w:t>
      </w:r>
      <w:r w:rsidRPr="00B703F0">
        <w:t>.</w:t>
      </w:r>
    </w:p>
    <w:p w14:paraId="2F615783" w14:textId="77777777" w:rsidR="00CC73F3" w:rsidRPr="00E46EA5" w:rsidRDefault="00CC73F3" w:rsidP="00E46EA5">
      <w:pPr>
        <w:pStyle w:val="Heading4Numbered"/>
        <w:numPr>
          <w:ilvl w:val="0"/>
          <w:numId w:val="0"/>
        </w:numPr>
        <w:ind w:left="1134" w:hanging="1134"/>
        <w:jc w:val="both"/>
      </w:pPr>
      <w:bookmarkStart w:id="133" w:name="_Toc89938417"/>
      <w:bookmarkStart w:id="134" w:name="_Toc96354507"/>
      <w:r w:rsidRPr="00E46EA5">
        <w:t>Compulsory insurance costs</w:t>
      </w:r>
      <w:bookmarkEnd w:id="133"/>
      <w:bookmarkEnd w:id="134"/>
    </w:p>
    <w:p w14:paraId="4A445853" w14:textId="666EDF0A" w:rsidR="00251E73" w:rsidRPr="00B703F0" w:rsidRDefault="000D03C7" w:rsidP="00EB7ADE">
      <w:r w:rsidRPr="00B703F0">
        <w:t>Under Option 3</w:t>
      </w:r>
      <w:r w:rsidR="00CC73F3" w:rsidRPr="00B703F0">
        <w:t xml:space="preserve">, </w:t>
      </w:r>
      <w:r w:rsidR="000C49F7">
        <w:t>a</w:t>
      </w:r>
      <w:r w:rsidR="00D11BB3">
        <w:t>ll ships</w:t>
      </w:r>
      <w:r w:rsidR="00CC73F3" w:rsidRPr="00B703F0">
        <w:t xml:space="preserve"> over 300 GT and </w:t>
      </w:r>
      <w:r w:rsidR="00D11BB3">
        <w:t xml:space="preserve">that </w:t>
      </w:r>
      <w:r w:rsidR="00CC73F3" w:rsidRPr="00B703F0">
        <w:t xml:space="preserve">operate in the EEZ would require </w:t>
      </w:r>
      <w:r w:rsidRPr="00B703F0">
        <w:t>wreck</w:t>
      </w:r>
      <w:r w:rsidR="00C94CD4">
        <w:t xml:space="preserve">-related </w:t>
      </w:r>
      <w:r w:rsidR="00CC73F3" w:rsidRPr="00B703F0">
        <w:t xml:space="preserve">insurance </w:t>
      </w:r>
      <w:r w:rsidR="00635073" w:rsidRPr="00B703F0">
        <w:t xml:space="preserve">if intending to </w:t>
      </w:r>
      <w:r w:rsidR="00E17F46" w:rsidRPr="00B703F0">
        <w:t>visit</w:t>
      </w:r>
      <w:r w:rsidR="00635073" w:rsidRPr="00B703F0">
        <w:t xml:space="preserve"> an Australian port or offshore facility in the territorial sea</w:t>
      </w:r>
      <w:r w:rsidR="00CC73F3" w:rsidRPr="00B703F0">
        <w:t xml:space="preserve">. </w:t>
      </w:r>
    </w:p>
    <w:p w14:paraId="7BD23183" w14:textId="387BAE54" w:rsidR="000C49F7" w:rsidRDefault="00E17F46" w:rsidP="00EB7ADE">
      <w:r w:rsidRPr="00B703F0">
        <w:lastRenderedPageBreak/>
        <w:t xml:space="preserve">Stakeholder discussions and a </w:t>
      </w:r>
      <w:r w:rsidR="00251E73" w:rsidRPr="00B703F0">
        <w:t xml:space="preserve">review of literature on similar international conventions, such as the </w:t>
      </w:r>
      <w:r w:rsidR="00251E73" w:rsidRPr="00CE032A">
        <w:t>Bunker Convention,</w:t>
      </w:r>
      <w:r w:rsidR="00251E73" w:rsidRPr="00B703F0">
        <w:t xml:space="preserve"> suggest</w:t>
      </w:r>
      <w:r w:rsidRPr="00B703F0">
        <w:t xml:space="preserve"> that </w:t>
      </w:r>
      <w:r w:rsidR="00251E73" w:rsidRPr="00B703F0">
        <w:t xml:space="preserve">all </w:t>
      </w:r>
      <w:r w:rsidR="00AC5FBC">
        <w:t>ships</w:t>
      </w:r>
      <w:r w:rsidR="00CC73F3" w:rsidRPr="00B703F0">
        <w:t xml:space="preserve"> over 1,000 GT </w:t>
      </w:r>
      <w:r w:rsidR="00251E73" w:rsidRPr="00B703F0">
        <w:t xml:space="preserve">entering or leaving Australian ports </w:t>
      </w:r>
      <w:r w:rsidR="00CC73F3" w:rsidRPr="00B703F0">
        <w:t xml:space="preserve">already have coverage </w:t>
      </w:r>
      <w:r w:rsidR="00535D22" w:rsidRPr="00B703F0">
        <w:t>for</w:t>
      </w:r>
      <w:r w:rsidR="00CC73F3" w:rsidRPr="00B703F0">
        <w:t xml:space="preserve"> wreck removal in their insurance. </w:t>
      </w:r>
      <w:r w:rsidR="00995DDE" w:rsidRPr="00B703F0">
        <w:t>Therefore, the only ships likely to not already hold wreck</w:t>
      </w:r>
      <w:r w:rsidR="00C94CD4">
        <w:t xml:space="preserve">-related </w:t>
      </w:r>
      <w:r w:rsidR="00995DDE" w:rsidRPr="00B703F0">
        <w:t xml:space="preserve">insurance would be </w:t>
      </w:r>
      <w:r w:rsidR="00AC5FBC">
        <w:t>ships</w:t>
      </w:r>
      <w:r w:rsidR="00995DDE" w:rsidRPr="00B703F0">
        <w:t xml:space="preserve"> between 300 GT and 1,000 GT. </w:t>
      </w:r>
      <w:r w:rsidR="00CC73F3" w:rsidRPr="00B703F0">
        <w:t xml:space="preserve">Consequently, most of the foreign vessels that called at Australian ports would already have </w:t>
      </w:r>
      <w:r w:rsidR="00535D22" w:rsidRPr="00B703F0">
        <w:t xml:space="preserve">the required </w:t>
      </w:r>
      <w:r w:rsidR="00CC73F3" w:rsidRPr="00B703F0">
        <w:t xml:space="preserve">insurance since they are more than 1,000 GT and most of them are State Parties under the Nairobi Convention. Therefore, it is considered that the number of </w:t>
      </w:r>
      <w:r w:rsidR="00AC5FBC">
        <w:t>ships</w:t>
      </w:r>
      <w:r w:rsidR="00CC73F3" w:rsidRPr="00B703F0">
        <w:t xml:space="preserve"> which will require additional insurance wo</w:t>
      </w:r>
      <w:r w:rsidR="00535D22" w:rsidRPr="00B703F0">
        <w:t>uld be negligible under Option 3</w:t>
      </w:r>
      <w:r w:rsidR="00CC73F3" w:rsidRPr="00B703F0">
        <w:t>.</w:t>
      </w:r>
      <w:r w:rsidR="000C49F7">
        <w:t xml:space="preserve"> </w:t>
      </w:r>
      <w:r w:rsidR="00CC73F3" w:rsidRPr="00B703F0">
        <w:t xml:space="preserve">There are currently around </w:t>
      </w:r>
      <w:r w:rsidR="00CC73F3" w:rsidRPr="007E59E2">
        <w:t xml:space="preserve">31 </w:t>
      </w:r>
      <w:r w:rsidR="00CC73F3" w:rsidRPr="002C317C">
        <w:t xml:space="preserve">Australian owned </w:t>
      </w:r>
      <w:r w:rsidR="00956376" w:rsidRPr="002C317C">
        <w:t xml:space="preserve">general cargo </w:t>
      </w:r>
      <w:r w:rsidR="00AC5FBC" w:rsidRPr="002C317C">
        <w:t>ships</w:t>
      </w:r>
      <w:r w:rsidR="00CC73F3" w:rsidRPr="002C317C">
        <w:t xml:space="preserve"> which </w:t>
      </w:r>
      <w:r w:rsidR="00950682" w:rsidRPr="002C317C">
        <w:t xml:space="preserve">are not </w:t>
      </w:r>
      <w:r w:rsidR="007F05BA" w:rsidRPr="002C317C">
        <w:t xml:space="preserve">currently </w:t>
      </w:r>
      <w:r w:rsidR="00950682" w:rsidRPr="002C317C">
        <w:t xml:space="preserve">subject to </w:t>
      </w:r>
      <w:r w:rsidR="00CC73F3" w:rsidRPr="002C317C">
        <w:t xml:space="preserve">compulsory insurance requirements. Whether these </w:t>
      </w:r>
      <w:r w:rsidR="00AC5FBC" w:rsidRPr="002C317C">
        <w:t>ships</w:t>
      </w:r>
      <w:r w:rsidR="00CC73F3" w:rsidRPr="002C317C">
        <w:t xml:space="preserve"> currently have maritime liability insurance</w:t>
      </w:r>
      <w:r w:rsidR="002D5A84" w:rsidRPr="002C317C">
        <w:t xml:space="preserve"> that includes wreck removal is unknown.</w:t>
      </w:r>
      <w:r w:rsidR="002D5A84" w:rsidRPr="00B703F0">
        <w:t xml:space="preserve"> </w:t>
      </w:r>
    </w:p>
    <w:p w14:paraId="297322D4" w14:textId="123D58F2" w:rsidR="000C49F7" w:rsidRDefault="000C49F7" w:rsidP="00EB7ADE">
      <w:r>
        <w:t>All DCVs and recreational vessels 300</w:t>
      </w:r>
      <w:r w:rsidR="003520EB">
        <w:t xml:space="preserve"> </w:t>
      </w:r>
      <w:r>
        <w:t xml:space="preserve">GT and over are presumed to require </w:t>
      </w:r>
      <w:r w:rsidR="00805E9B">
        <w:t xml:space="preserve">wreck removal insurance, even though it is possible some ship owners already have this insurance as they have undertaken overseas voyages. </w:t>
      </w:r>
    </w:p>
    <w:p w14:paraId="19F4C593" w14:textId="09028930" w:rsidR="00D76801" w:rsidRPr="00B703F0" w:rsidRDefault="002D5A84" w:rsidP="00EB7ADE">
      <w:r w:rsidRPr="00B703F0">
        <w:t xml:space="preserve">For the purposes of </w:t>
      </w:r>
      <w:r w:rsidR="00950682">
        <w:t xml:space="preserve">these </w:t>
      </w:r>
      <w:r w:rsidRPr="00B703F0">
        <w:t xml:space="preserve">calculations, it has been conservatively assumed that, under Option </w:t>
      </w:r>
      <w:r w:rsidR="006B4725">
        <w:t>4</w:t>
      </w:r>
      <w:r w:rsidRPr="00B703F0">
        <w:t xml:space="preserve">, all of these </w:t>
      </w:r>
      <w:r w:rsidR="00AC5FBC">
        <w:t>ships</w:t>
      </w:r>
      <w:r w:rsidRPr="00B703F0">
        <w:t xml:space="preserve"> will have to acquire additional insurance at a real cost of $2.3/GT (see </w:t>
      </w:r>
      <w:r w:rsidR="007F05BA" w:rsidRPr="001D7737">
        <w:rPr>
          <w:b/>
          <w:u w:val="single"/>
        </w:rPr>
        <w:t>Appendix C</w:t>
      </w:r>
      <w:r w:rsidRPr="00B703F0">
        <w:t xml:space="preserve">). This implies a total cost to </w:t>
      </w:r>
      <w:r w:rsidR="000C49F7">
        <w:t xml:space="preserve">RAV and foreign vessel </w:t>
      </w:r>
      <w:r w:rsidRPr="00B703F0">
        <w:t>ship</w:t>
      </w:r>
      <w:r w:rsidR="002E4021">
        <w:t xml:space="preserve"> </w:t>
      </w:r>
      <w:r w:rsidRPr="00B703F0">
        <w:t xml:space="preserve">owners under Option </w:t>
      </w:r>
      <w:r w:rsidR="006B4725">
        <w:t>4</w:t>
      </w:r>
      <w:r w:rsidRPr="00B703F0">
        <w:t xml:space="preserve"> of $0.4 million, undiscounted, over the first 10 years.</w:t>
      </w:r>
    </w:p>
    <w:p w14:paraId="697ED667" w14:textId="7F4D1DEB" w:rsidR="002718EA" w:rsidRPr="00B703F0" w:rsidRDefault="002718EA" w:rsidP="00BB4252">
      <w:pPr>
        <w:pStyle w:val="Heading2Numbered"/>
      </w:pPr>
      <w:bookmarkStart w:id="135" w:name="_Toc96354508"/>
      <w:bookmarkStart w:id="136" w:name="_Toc105060783"/>
      <w:r w:rsidRPr="00B703F0">
        <w:t>Costs and benefits in the event of an incident</w:t>
      </w:r>
      <w:bookmarkEnd w:id="135"/>
      <w:bookmarkEnd w:id="136"/>
      <w:r w:rsidRPr="00B703F0">
        <w:t xml:space="preserve"> </w:t>
      </w:r>
    </w:p>
    <w:p w14:paraId="5BF6E79C" w14:textId="0EFBB5EC" w:rsidR="00280CA1" w:rsidRPr="00B703F0" w:rsidRDefault="00280CA1" w:rsidP="00BB4252">
      <w:pPr>
        <w:pStyle w:val="Heading3Numbered"/>
      </w:pPr>
      <w:bookmarkStart w:id="137" w:name="_Toc89938419"/>
      <w:bookmarkStart w:id="138" w:name="_Toc96354509"/>
      <w:bookmarkStart w:id="139" w:name="_Toc105060784"/>
      <w:r w:rsidRPr="00B703F0">
        <w:t>Option 1 (counterfactual) costs</w:t>
      </w:r>
      <w:bookmarkEnd w:id="137"/>
      <w:bookmarkEnd w:id="138"/>
      <w:bookmarkEnd w:id="139"/>
    </w:p>
    <w:p w14:paraId="48875886" w14:textId="77777777" w:rsidR="00B81BED" w:rsidRPr="00B703F0" w:rsidRDefault="00280CA1" w:rsidP="00280CA1">
      <w:r w:rsidRPr="00B703F0">
        <w:t xml:space="preserve">If an incident happens </w:t>
      </w:r>
      <w:r w:rsidR="00832B55" w:rsidRPr="00B703F0">
        <w:t xml:space="preserve">under </w:t>
      </w:r>
      <w:r w:rsidRPr="00B703F0">
        <w:t xml:space="preserve">the current regulatory regime that results in a legal dispute, a number of hidden costs will be incurred both by the Australian Government and </w:t>
      </w:r>
      <w:r w:rsidR="00B81BED" w:rsidRPr="00B703F0">
        <w:t xml:space="preserve">the vessel and legal </w:t>
      </w:r>
      <w:r w:rsidRPr="00B703F0">
        <w:t>owners.</w:t>
      </w:r>
    </w:p>
    <w:p w14:paraId="077624D6" w14:textId="096DDF4C" w:rsidR="002B1C30" w:rsidRPr="00B703F0" w:rsidRDefault="00280CA1" w:rsidP="009D17CE">
      <w:r w:rsidRPr="00B703F0">
        <w:t>Foreign vessel owners may have to provide a financial security of some sort while the legal disput</w:t>
      </w:r>
      <w:r w:rsidR="00A16BD4" w:rsidRPr="00B703F0">
        <w:t>e is being resolved, which would incur costs over and above those related to the wreck removal.</w:t>
      </w:r>
      <w:r w:rsidR="002B1C30" w:rsidRPr="00B703F0">
        <w:t xml:space="preserve"> </w:t>
      </w:r>
      <w:r w:rsidRPr="00B703F0">
        <w:t>In some</w:t>
      </w:r>
      <w:r w:rsidR="008145B9" w:rsidRPr="00B703F0">
        <w:t xml:space="preserve"> incidents, </w:t>
      </w:r>
      <w:r w:rsidR="00956376">
        <w:t xml:space="preserve">the </w:t>
      </w:r>
      <w:r w:rsidR="00812CA4">
        <w:t>g</w:t>
      </w:r>
      <w:r w:rsidRPr="00B703F0">
        <w:t xml:space="preserve">overnment </w:t>
      </w:r>
      <w:r w:rsidR="00A16BD4" w:rsidRPr="00B703F0">
        <w:t>may</w:t>
      </w:r>
      <w:r w:rsidRPr="00B703F0">
        <w:t xml:space="preserve"> not be able to find an appropriate financial security in Australia’s legal jurisdiction. This occurred</w:t>
      </w:r>
      <w:r w:rsidR="00C966AC">
        <w:t xml:space="preserve"> </w:t>
      </w:r>
      <w:r w:rsidRPr="00B703F0">
        <w:t xml:space="preserve">in the </w:t>
      </w:r>
      <w:r w:rsidRPr="002F195F">
        <w:rPr>
          <w:i/>
        </w:rPr>
        <w:t>MV Tycoon</w:t>
      </w:r>
      <w:r w:rsidRPr="00B703F0">
        <w:t xml:space="preserve"> incident at Christmas Island in 2012.</w:t>
      </w:r>
    </w:p>
    <w:p w14:paraId="00DF26EF" w14:textId="0192D6F4" w:rsidR="002B1C30" w:rsidRPr="00B703F0" w:rsidRDefault="002B1C30" w:rsidP="009D17CE">
      <w:r w:rsidRPr="00B703F0">
        <w:t xml:space="preserve">In these circumstances the </w:t>
      </w:r>
      <w:r w:rsidR="00812CA4">
        <w:t>g</w:t>
      </w:r>
      <w:r w:rsidR="00280CA1" w:rsidRPr="00B703F0">
        <w:t xml:space="preserve">overnment would still </w:t>
      </w:r>
      <w:r w:rsidRPr="00B703F0">
        <w:t xml:space="preserve">remove the wreck with costs being paid by </w:t>
      </w:r>
      <w:r w:rsidR="00AC11A5">
        <w:t>consolidated revenue</w:t>
      </w:r>
      <w:r w:rsidR="00AC11A5" w:rsidRPr="00B703F0">
        <w:t xml:space="preserve"> </w:t>
      </w:r>
      <w:r w:rsidRPr="00B703F0">
        <w:t xml:space="preserve">or through the Protection of the Sea </w:t>
      </w:r>
      <w:r w:rsidR="00B85C39">
        <w:t>L</w:t>
      </w:r>
      <w:r w:rsidRPr="00B703F0">
        <w:t xml:space="preserve">evy if the incident created marine pollution. </w:t>
      </w:r>
      <w:r w:rsidR="001A1FA6">
        <w:t xml:space="preserve">Further information on the Protection of the Sea Levy is in </w:t>
      </w:r>
      <w:r w:rsidR="001A1FA6" w:rsidRPr="002F195F">
        <w:rPr>
          <w:b/>
          <w:u w:val="single"/>
        </w:rPr>
        <w:t>Appendix C</w:t>
      </w:r>
      <w:r w:rsidR="001A1FA6">
        <w:t xml:space="preserve">. </w:t>
      </w:r>
    </w:p>
    <w:p w14:paraId="1D10FF1E" w14:textId="4B550832" w:rsidR="00F57FFE" w:rsidRPr="00B703F0" w:rsidRDefault="00280CA1" w:rsidP="009D17CE">
      <w:r w:rsidRPr="00B703F0">
        <w:t>Retaining the existing framework would continually incur the following costs:</w:t>
      </w:r>
    </w:p>
    <w:p w14:paraId="11A4F3D5" w14:textId="17B0A918" w:rsidR="00F57FFE" w:rsidRPr="00B703F0" w:rsidRDefault="00117F50" w:rsidP="00F57FFE">
      <w:pPr>
        <w:pStyle w:val="Bullet1"/>
        <w:rPr>
          <w:lang w:val="en-AU"/>
        </w:rPr>
      </w:pPr>
      <w:r w:rsidRPr="00B703F0">
        <w:rPr>
          <w:lang w:val="en-AU"/>
        </w:rPr>
        <w:t>judicial</w:t>
      </w:r>
      <w:r w:rsidR="00280CA1" w:rsidRPr="00B703F0">
        <w:rPr>
          <w:lang w:val="en-AU"/>
        </w:rPr>
        <w:t>, legal and court related costs to both the Australian</w:t>
      </w:r>
      <w:r w:rsidR="00812CA4">
        <w:rPr>
          <w:lang w:val="en-AU"/>
        </w:rPr>
        <w:t>, state or territory g</w:t>
      </w:r>
      <w:r w:rsidR="00280CA1" w:rsidRPr="00B703F0">
        <w:rPr>
          <w:lang w:val="en-AU"/>
        </w:rPr>
        <w:t xml:space="preserve">overnment and the </w:t>
      </w:r>
      <w:r w:rsidRPr="00B703F0">
        <w:rPr>
          <w:lang w:val="en-AU"/>
        </w:rPr>
        <w:t>ship owner</w:t>
      </w:r>
      <w:r w:rsidR="00280CA1" w:rsidRPr="00B703F0">
        <w:rPr>
          <w:lang w:val="en-AU"/>
        </w:rPr>
        <w:t xml:space="preserve">s, can extend more than </w:t>
      </w:r>
      <w:r w:rsidR="00362B44">
        <w:rPr>
          <w:lang w:val="en-AU"/>
        </w:rPr>
        <w:t>6</w:t>
      </w:r>
      <w:r w:rsidR="00280CA1" w:rsidRPr="00B703F0">
        <w:rPr>
          <w:lang w:val="en-AU"/>
        </w:rPr>
        <w:t xml:space="preserve"> years (ongoing costs).</w:t>
      </w:r>
    </w:p>
    <w:p w14:paraId="030E5B36" w14:textId="307D609F" w:rsidR="00280CA1" w:rsidRPr="00B703F0" w:rsidRDefault="00117F50" w:rsidP="009D17CE">
      <w:pPr>
        <w:pStyle w:val="Bullet1"/>
        <w:rPr>
          <w:lang w:val="en-AU"/>
        </w:rPr>
      </w:pPr>
      <w:r w:rsidRPr="00B703F0">
        <w:rPr>
          <w:lang w:val="en-AU"/>
        </w:rPr>
        <w:t xml:space="preserve">financial security costs to foreign vessel owners involved in disputes. </w:t>
      </w:r>
    </w:p>
    <w:p w14:paraId="54F08E59" w14:textId="601ECF8D" w:rsidR="00117F50" w:rsidRPr="00B703F0" w:rsidRDefault="00117F50" w:rsidP="002925B6">
      <w:pPr>
        <w:pStyle w:val="Bullet1"/>
        <w:rPr>
          <w:lang w:val="en-AU"/>
        </w:rPr>
      </w:pPr>
      <w:r w:rsidRPr="00B703F0">
        <w:rPr>
          <w:lang w:val="en-AU"/>
        </w:rPr>
        <w:t xml:space="preserve">wreck removal costs not recovered from ship owners and </w:t>
      </w:r>
      <w:r w:rsidR="002925B6" w:rsidRPr="00B703F0">
        <w:rPr>
          <w:lang w:val="en-AU"/>
        </w:rPr>
        <w:t xml:space="preserve">potentially </w:t>
      </w:r>
      <w:r w:rsidRPr="00B703F0">
        <w:rPr>
          <w:lang w:val="en-AU"/>
        </w:rPr>
        <w:t>borne by the shipping industry</w:t>
      </w:r>
      <w:r w:rsidR="002925B6" w:rsidRPr="00B703F0">
        <w:rPr>
          <w:lang w:val="en-AU"/>
        </w:rPr>
        <w:t>.</w:t>
      </w:r>
    </w:p>
    <w:p w14:paraId="58CDCF87" w14:textId="17EF0A12" w:rsidR="00280CA1" w:rsidRPr="00B703F0" w:rsidRDefault="002925B6" w:rsidP="00BB4252">
      <w:pPr>
        <w:pStyle w:val="Heading3Numbered"/>
      </w:pPr>
      <w:bookmarkStart w:id="140" w:name="_Toc89938420"/>
      <w:bookmarkStart w:id="141" w:name="_Toc96354510"/>
      <w:bookmarkStart w:id="142" w:name="_Toc105060785"/>
      <w:r w:rsidRPr="00B703F0">
        <w:t>Option 3</w:t>
      </w:r>
      <w:r w:rsidR="00280CA1" w:rsidRPr="00B703F0">
        <w:t xml:space="preserve"> relative to Option 1</w:t>
      </w:r>
      <w:bookmarkEnd w:id="140"/>
      <w:bookmarkEnd w:id="141"/>
      <w:bookmarkEnd w:id="142"/>
    </w:p>
    <w:p w14:paraId="6A9F4EA0" w14:textId="38BD1157" w:rsidR="00280CA1" w:rsidRPr="00B703F0" w:rsidRDefault="00280CA1" w:rsidP="00F5436E">
      <w:r w:rsidRPr="00B703F0">
        <w:t xml:space="preserve">Accession to the Nairobi Convention would reduce or eliminate the costs reported in </w:t>
      </w:r>
      <w:r w:rsidR="001B199A" w:rsidRPr="001B199A">
        <w:rPr>
          <w:b/>
          <w:u w:val="single"/>
        </w:rPr>
        <w:t>Appendix C</w:t>
      </w:r>
      <w:r w:rsidRPr="00B703F0">
        <w:t>. These avoided costs would be benefits of accession to the Nairobi Convention.</w:t>
      </w:r>
    </w:p>
    <w:p w14:paraId="7C984622" w14:textId="77777777" w:rsidR="00280CA1" w:rsidRPr="00B703F0" w:rsidRDefault="00280CA1" w:rsidP="00F5436E">
      <w:pPr>
        <w:pStyle w:val="Heading5"/>
        <w:rPr>
          <w:rFonts w:eastAsia="Arial Narrow"/>
        </w:rPr>
      </w:pPr>
      <w:r w:rsidRPr="00B703F0">
        <w:rPr>
          <w:rFonts w:eastAsia="Arial Narrow"/>
        </w:rPr>
        <w:t>Avoided legal costs</w:t>
      </w:r>
    </w:p>
    <w:p w14:paraId="78C789C6" w14:textId="70982C0F" w:rsidR="00280CA1" w:rsidRPr="00B703F0" w:rsidRDefault="00280CA1" w:rsidP="00F5436E">
      <w:r w:rsidRPr="00B703F0">
        <w:t>Both the Australian</w:t>
      </w:r>
      <w:r w:rsidR="00E07B46">
        <w:t>, state or territory</w:t>
      </w:r>
      <w:r w:rsidRPr="00B703F0">
        <w:t xml:space="preserve"> </w:t>
      </w:r>
      <w:r w:rsidR="00E07B46">
        <w:t>g</w:t>
      </w:r>
      <w:r w:rsidRPr="00B703F0">
        <w:t>overnment</w:t>
      </w:r>
      <w:r w:rsidR="00E07B46">
        <w:t>s</w:t>
      </w:r>
      <w:r w:rsidRPr="00B703F0">
        <w:t xml:space="preserve"> and the </w:t>
      </w:r>
      <w:r w:rsidR="00117F50" w:rsidRPr="00B703F0">
        <w:t>ship owner</w:t>
      </w:r>
      <w:r w:rsidRPr="00B703F0">
        <w:t xml:space="preserve"> incur legal costs if a dispute arises under current regulatory arrangements</w:t>
      </w:r>
      <w:r w:rsidR="00950682">
        <w:t xml:space="preserve">. </w:t>
      </w:r>
      <w:r w:rsidRPr="00B703F0">
        <w:t>These costs have been assumed to be proportional to the value of the wreck removal costs which differ based on vessel type</w:t>
      </w:r>
      <w:r w:rsidR="00E07B46">
        <w:t xml:space="preserve">, </w:t>
      </w:r>
      <w:r w:rsidRPr="00B703F0">
        <w:t xml:space="preserve">location </w:t>
      </w:r>
      <w:r w:rsidR="00B73251">
        <w:t xml:space="preserve">and scale </w:t>
      </w:r>
      <w:r w:rsidRPr="00B703F0">
        <w:t>of the incident.</w:t>
      </w:r>
    </w:p>
    <w:p w14:paraId="19FD61D9" w14:textId="5A6BD9AB" w:rsidR="00280CA1" w:rsidRPr="00B703F0" w:rsidRDefault="00280CA1" w:rsidP="00F501A7">
      <w:r w:rsidRPr="00B703F0">
        <w:t>As per assumptions in Table 3.6</w:t>
      </w:r>
      <w:r w:rsidR="00F5436E" w:rsidRPr="00B703F0">
        <w:t xml:space="preserve"> in </w:t>
      </w:r>
      <w:r w:rsidR="00FA6155" w:rsidRPr="006905CA">
        <w:rPr>
          <w:b/>
          <w:u w:val="single"/>
        </w:rPr>
        <w:t>Appendix C</w:t>
      </w:r>
      <w:r w:rsidRPr="006905CA">
        <w:t>,</w:t>
      </w:r>
      <w:r w:rsidRPr="00B703F0">
        <w:t xml:space="preserve"> the estimated legal costs under Option </w:t>
      </w:r>
      <w:r w:rsidR="000F2A77">
        <w:t>3</w:t>
      </w:r>
      <w:r w:rsidRPr="00B703F0">
        <w:t xml:space="preserve"> are calculated as 2.5</w:t>
      </w:r>
      <w:r w:rsidR="00CA688C">
        <w:t xml:space="preserve"> per cent</w:t>
      </w:r>
      <w:r w:rsidRPr="00B703F0">
        <w:t xml:space="preserve"> of the wreck removal costs each year for </w:t>
      </w:r>
      <w:r w:rsidR="00362B44">
        <w:t>6</w:t>
      </w:r>
      <w:r w:rsidR="00362B44" w:rsidRPr="00B703F0">
        <w:t xml:space="preserve"> </w:t>
      </w:r>
      <w:r w:rsidRPr="00B703F0">
        <w:t xml:space="preserve">years after the incident. </w:t>
      </w:r>
      <w:r w:rsidR="00E07B46">
        <w:t>I</w:t>
      </w:r>
      <w:r w:rsidRPr="00B703F0">
        <w:t xml:space="preserve">t is assumed that the legal costs are equally borne by </w:t>
      </w:r>
      <w:r w:rsidR="00E07B46">
        <w:t>g</w:t>
      </w:r>
      <w:r w:rsidRPr="00B703F0">
        <w:t xml:space="preserve">overnment and the </w:t>
      </w:r>
      <w:r w:rsidR="00117F50" w:rsidRPr="00B703F0">
        <w:t>ship owner</w:t>
      </w:r>
      <w:r w:rsidRPr="00B703F0">
        <w:t>. For example, wreck removal costs of a container vessel in the EEZ are assumed to a</w:t>
      </w:r>
      <w:r w:rsidR="00F501A7" w:rsidRPr="00B703F0">
        <w:t xml:space="preserve">verage around $24 million. </w:t>
      </w:r>
      <w:r w:rsidRPr="00B703F0">
        <w:t>Total avoided legal costs unde</w:t>
      </w:r>
      <w:r w:rsidR="00BE7814">
        <w:t xml:space="preserve">r Option </w:t>
      </w:r>
      <w:r w:rsidR="000F2A77">
        <w:t>3</w:t>
      </w:r>
      <w:r w:rsidR="00BE7814">
        <w:t xml:space="preserve"> are therefore $0.60 </w:t>
      </w:r>
      <w:r w:rsidRPr="00B703F0">
        <w:t>million per year</w:t>
      </w:r>
      <w:r w:rsidR="00E07B46">
        <w:t xml:space="preserve"> – </w:t>
      </w:r>
      <w:r w:rsidRPr="00B703F0">
        <w:t>of which $0.3</w:t>
      </w:r>
      <w:r w:rsidR="00E07B46">
        <w:t> </w:t>
      </w:r>
      <w:r w:rsidRPr="00B703F0">
        <w:t>million per year is avoided legal cost by the</w:t>
      </w:r>
      <w:r w:rsidR="00BE7814">
        <w:t xml:space="preserve"> Australian Government and $0.3 </w:t>
      </w:r>
      <w:r w:rsidRPr="00B703F0">
        <w:t xml:space="preserve">million per year is avoided legal costs by the </w:t>
      </w:r>
      <w:r w:rsidR="00117F50" w:rsidRPr="00B703F0">
        <w:t>ship owner</w:t>
      </w:r>
      <w:r w:rsidRPr="00B703F0">
        <w:t>. Over the assessment period for this study, this gives total avoided legal costs of $3.6 million (undiscounted), split equally between the Australian</w:t>
      </w:r>
      <w:r w:rsidR="00E07B46">
        <w:t>, state or territory</w:t>
      </w:r>
      <w:r w:rsidR="00E07B46" w:rsidRPr="00B703F0">
        <w:t xml:space="preserve"> </w:t>
      </w:r>
      <w:r w:rsidR="00E07B46">
        <w:t>g</w:t>
      </w:r>
      <w:r w:rsidR="00E07B46" w:rsidRPr="00B703F0">
        <w:t>overnment</w:t>
      </w:r>
      <w:r w:rsidR="00E07B46">
        <w:t>s</w:t>
      </w:r>
      <w:r w:rsidR="00E07B46" w:rsidRPr="00B703F0">
        <w:t xml:space="preserve"> </w:t>
      </w:r>
      <w:r w:rsidRPr="00B703F0">
        <w:t xml:space="preserve">and the </w:t>
      </w:r>
      <w:r w:rsidR="00117F50" w:rsidRPr="00B703F0">
        <w:t>ship owner</w:t>
      </w:r>
      <w:r w:rsidRPr="00B703F0">
        <w:t>.</w:t>
      </w:r>
    </w:p>
    <w:p w14:paraId="289F917C" w14:textId="77777777" w:rsidR="00280CA1" w:rsidRPr="00B703F0" w:rsidRDefault="00280CA1" w:rsidP="00F501A7">
      <w:pPr>
        <w:pStyle w:val="Heading5"/>
        <w:rPr>
          <w:rFonts w:eastAsia="Arial Narrow"/>
        </w:rPr>
      </w:pPr>
      <w:r w:rsidRPr="00B703F0">
        <w:rPr>
          <w:rFonts w:eastAsia="Arial Narrow"/>
        </w:rPr>
        <w:lastRenderedPageBreak/>
        <w:t>Financial security benefits</w:t>
      </w:r>
    </w:p>
    <w:p w14:paraId="69EF3C04" w14:textId="6AECE753" w:rsidR="008E71BC" w:rsidRDefault="008E71BC" w:rsidP="00F57FFE">
      <w:r>
        <w:t xml:space="preserve">Based on the Australian Government’s use of </w:t>
      </w:r>
      <w:r w:rsidR="00155001">
        <w:t xml:space="preserve">detention </w:t>
      </w:r>
      <w:r>
        <w:t xml:space="preserve">powers </w:t>
      </w:r>
      <w:r w:rsidR="0047140B">
        <w:t xml:space="preserve">in </w:t>
      </w:r>
      <w:r w:rsidR="00155001">
        <w:t xml:space="preserve">connection to </w:t>
      </w:r>
      <w:r w:rsidR="0047140B">
        <w:t>previous wreck incidents, i</w:t>
      </w:r>
      <w:r w:rsidR="00280CA1" w:rsidRPr="00B703F0">
        <w:t>t is assumed</w:t>
      </w:r>
      <w:r w:rsidR="0047140B">
        <w:t xml:space="preserve"> for the cost benefit analysis </w:t>
      </w:r>
      <w:r w:rsidR="00280CA1" w:rsidRPr="00B703F0">
        <w:t xml:space="preserve">that </w:t>
      </w:r>
      <w:r w:rsidR="00362B44">
        <w:t>1</w:t>
      </w:r>
      <w:r w:rsidR="00280CA1" w:rsidRPr="00B703F0">
        <w:t xml:space="preserve"> in </w:t>
      </w:r>
      <w:r w:rsidR="00362B44">
        <w:t>2</w:t>
      </w:r>
      <w:r w:rsidR="00280CA1" w:rsidRPr="00B703F0">
        <w:t xml:space="preserve"> wreck incidents will</w:t>
      </w:r>
      <w:r w:rsidR="00F57FFE" w:rsidRPr="00B703F0">
        <w:t xml:space="preserve"> result in the seeking </w:t>
      </w:r>
      <w:r w:rsidR="00745526">
        <w:t xml:space="preserve">of </w:t>
      </w:r>
      <w:r w:rsidR="00F57FFE" w:rsidRPr="00B703F0">
        <w:t>financial security from a ship owner</w:t>
      </w:r>
      <w:r w:rsidR="00492003" w:rsidRPr="00B703F0">
        <w:t xml:space="preserve">, which </w:t>
      </w:r>
      <w:r w:rsidR="00280CA1" w:rsidRPr="00B703F0">
        <w:t xml:space="preserve">would incur an opportunity cost </w:t>
      </w:r>
      <w:r w:rsidR="00492003" w:rsidRPr="00B703F0">
        <w:t>for that</w:t>
      </w:r>
      <w:r w:rsidR="00280CA1" w:rsidRPr="00B703F0">
        <w:t xml:space="preserve"> </w:t>
      </w:r>
      <w:r w:rsidR="00117F50" w:rsidRPr="00B703F0">
        <w:t>ship owner</w:t>
      </w:r>
      <w:r w:rsidR="00280CA1" w:rsidRPr="00B703F0">
        <w:t xml:space="preserve"> of 10</w:t>
      </w:r>
      <w:r w:rsidR="00CA688C">
        <w:t xml:space="preserve"> per cent</w:t>
      </w:r>
      <w:r w:rsidR="00280CA1" w:rsidRPr="00B703F0">
        <w:t xml:space="preserve"> per year. </w:t>
      </w:r>
      <w:r w:rsidR="00745526" w:rsidRPr="00B703F0">
        <w:t xml:space="preserve">It is assumed that the financial security is held by the Australian Government for </w:t>
      </w:r>
      <w:r w:rsidR="00362B44">
        <w:t>3</w:t>
      </w:r>
      <w:r w:rsidR="00362B44" w:rsidRPr="00B703F0">
        <w:t xml:space="preserve"> </w:t>
      </w:r>
      <w:r w:rsidR="00745526" w:rsidRPr="00B703F0">
        <w:t xml:space="preserve">years. </w:t>
      </w:r>
      <w:r>
        <w:t xml:space="preserve">Further information on financial security costs are in </w:t>
      </w:r>
      <w:r w:rsidRPr="002F195F">
        <w:rPr>
          <w:b/>
          <w:u w:val="single"/>
        </w:rPr>
        <w:t>Appendix</w:t>
      </w:r>
      <w:r w:rsidR="00B63E7B">
        <w:rPr>
          <w:b/>
          <w:u w:val="single"/>
        </w:rPr>
        <w:t> </w:t>
      </w:r>
      <w:r w:rsidRPr="002F195F">
        <w:rPr>
          <w:b/>
          <w:u w:val="single"/>
        </w:rPr>
        <w:t>C</w:t>
      </w:r>
      <w:r>
        <w:t xml:space="preserve">. </w:t>
      </w:r>
    </w:p>
    <w:p w14:paraId="0C9CF8BF" w14:textId="1D734A93" w:rsidR="00280CA1" w:rsidRPr="00B703F0" w:rsidRDefault="00280CA1" w:rsidP="00F57FFE">
      <w:r w:rsidRPr="00B703F0">
        <w:t>These costs would be avoided under accession to the N</w:t>
      </w:r>
      <w:r w:rsidR="00492003" w:rsidRPr="00B703F0">
        <w:t>airobi Convention under Option 3</w:t>
      </w:r>
      <w:r w:rsidRPr="00B703F0">
        <w:t>. For example, wreck removal costs of a container vessel in the EEZ are assumed to be $24 million as reported in Table 3.6</w:t>
      </w:r>
      <w:r w:rsidR="00F501A7" w:rsidRPr="00B703F0">
        <w:t xml:space="preserve"> in </w:t>
      </w:r>
      <w:r w:rsidR="00FA6155" w:rsidRPr="006905CA">
        <w:rPr>
          <w:b/>
          <w:u w:val="single"/>
        </w:rPr>
        <w:t>Appendix C</w:t>
      </w:r>
      <w:r w:rsidRPr="00B703F0">
        <w:t>. Total avoided financial security costs are ther</w:t>
      </w:r>
      <w:r w:rsidR="00CA688C">
        <w:t>efore $1.2 million per year (50 per cent x 10 per cent</w:t>
      </w:r>
      <w:r w:rsidRPr="00B703F0">
        <w:t xml:space="preserve"> x $24 million). Over the assessment period, this gives a total avoided </w:t>
      </w:r>
      <w:r w:rsidR="00CA688C">
        <w:t>financial security cost of $3.6 </w:t>
      </w:r>
      <w:r w:rsidRPr="00B703F0">
        <w:t xml:space="preserve">million (undiscounted), which accrues directly to the </w:t>
      </w:r>
      <w:r w:rsidR="00117F50" w:rsidRPr="00B703F0">
        <w:t>ship owner</w:t>
      </w:r>
      <w:r w:rsidRPr="00B703F0">
        <w:t>.</w:t>
      </w:r>
    </w:p>
    <w:p w14:paraId="7CFF81CA" w14:textId="77777777" w:rsidR="00280CA1" w:rsidRPr="00B703F0" w:rsidRDefault="00280CA1" w:rsidP="00F501A7">
      <w:pPr>
        <w:pStyle w:val="Heading5"/>
        <w:rPr>
          <w:rFonts w:eastAsia="Arial Narrow"/>
        </w:rPr>
      </w:pPr>
      <w:r w:rsidRPr="00B703F0">
        <w:rPr>
          <w:rFonts w:eastAsia="Arial Narrow"/>
        </w:rPr>
        <w:t>Cost recovery transfers</w:t>
      </w:r>
    </w:p>
    <w:p w14:paraId="6660FF73" w14:textId="1524C9C0" w:rsidR="00280CA1" w:rsidRPr="00B703F0" w:rsidRDefault="00280CA1" w:rsidP="00F501A7">
      <w:r w:rsidRPr="00B703F0">
        <w:t>Consistent with stakeholder consultations, it is</w:t>
      </w:r>
      <w:r w:rsidR="00B73251">
        <w:t xml:space="preserve"> conservatively</w:t>
      </w:r>
      <w:r w:rsidRPr="00B703F0">
        <w:t xml:space="preserve"> assumed that the Australian</w:t>
      </w:r>
      <w:r w:rsidR="001E7839">
        <w:t>, state and territory governments</w:t>
      </w:r>
      <w:r w:rsidRPr="00B703F0">
        <w:t xml:space="preserve"> will improve </w:t>
      </w:r>
      <w:r w:rsidR="001E7839">
        <w:t>their ability to</w:t>
      </w:r>
      <w:r w:rsidR="001E7839" w:rsidRPr="00B703F0">
        <w:t xml:space="preserve"> </w:t>
      </w:r>
      <w:r w:rsidRPr="00B703F0">
        <w:t xml:space="preserve">cost recover directly from the </w:t>
      </w:r>
      <w:r w:rsidR="00117F50" w:rsidRPr="00B703F0">
        <w:t>ship owner</w:t>
      </w:r>
      <w:r w:rsidRPr="00B703F0">
        <w:t xml:space="preserve"> involved in the incident from 70</w:t>
      </w:r>
      <w:r w:rsidR="001E7839">
        <w:t> </w:t>
      </w:r>
      <w:r w:rsidR="00CA688C">
        <w:t>per cent</w:t>
      </w:r>
      <w:r w:rsidRPr="00B703F0">
        <w:t xml:space="preserve"> under current regulatory arrangements to 80</w:t>
      </w:r>
      <w:r w:rsidR="00CA688C">
        <w:t xml:space="preserve"> per cent</w:t>
      </w:r>
      <w:r w:rsidR="000F2A77">
        <w:t xml:space="preserve"> under Option 3</w:t>
      </w:r>
      <w:r w:rsidRPr="00B703F0">
        <w:t xml:space="preserve">. </w:t>
      </w:r>
      <w:r w:rsidR="00C5521A" w:rsidRPr="00B703F0">
        <w:t xml:space="preserve">This cost recovery is largely a </w:t>
      </w:r>
      <w:r w:rsidRPr="00B703F0">
        <w:t xml:space="preserve">reduction in the amount of transfers from the general shipping industry rather than a financial benefit to </w:t>
      </w:r>
      <w:r w:rsidR="0035179B">
        <w:t>g</w:t>
      </w:r>
      <w:r w:rsidRPr="00B703F0">
        <w:t>overnment or the Australian taxpayer.</w:t>
      </w:r>
    </w:p>
    <w:p w14:paraId="3234BC4A" w14:textId="3F5C89EA" w:rsidR="00280CA1" w:rsidRPr="00B703F0" w:rsidRDefault="00280CA1" w:rsidP="00F501A7">
      <w:r w:rsidRPr="00B703F0">
        <w:t xml:space="preserve">Based on the assumed cost recovery rates, for a wreck incident involving a container vessel, </w:t>
      </w:r>
      <w:r w:rsidR="00C5521A" w:rsidRPr="00B703F0">
        <w:t xml:space="preserve">the </w:t>
      </w:r>
      <w:r w:rsidRPr="00B703F0">
        <w:t xml:space="preserve">responsible </w:t>
      </w:r>
      <w:r w:rsidR="00117F50" w:rsidRPr="00B703F0">
        <w:t>ship owner</w:t>
      </w:r>
      <w:r w:rsidRPr="00B703F0">
        <w:t xml:space="preserve"> will pay an additional $2.4 million with the general shipping industry receiving a benefit of $2.4 million as a result of accession to the Na</w:t>
      </w:r>
      <w:r w:rsidR="00C5521A" w:rsidRPr="00B703F0">
        <w:t>irobi Convention under Option 3</w:t>
      </w:r>
      <w:r w:rsidRPr="00B703F0">
        <w:t>. That is, in net terms, there is no economic benefit. Rather there is a distributional effect.</w:t>
      </w:r>
    </w:p>
    <w:p w14:paraId="2C2830BC" w14:textId="60D3015B" w:rsidR="00280CA1" w:rsidRPr="00B703F0" w:rsidRDefault="00280CA1" w:rsidP="00F501A7">
      <w:r w:rsidRPr="00B703F0">
        <w:t>An e</w:t>
      </w:r>
      <w:r w:rsidR="00310F8E" w:rsidRPr="00B703F0">
        <w:t>stimated net benefit of Option 3</w:t>
      </w:r>
      <w:r w:rsidRPr="00B703F0">
        <w:t xml:space="preserve"> relative to Option 1 is summarised in </w:t>
      </w:r>
      <w:r w:rsidR="00FA6155" w:rsidRPr="00B703F0">
        <w:t>Figure 5</w:t>
      </w:r>
      <w:r w:rsidRPr="00B703F0">
        <w:t>. This indicates if a wreck incident happens to a vessel in Year 1 in the EEZ, the estimated net benefits of accession to the N</w:t>
      </w:r>
      <w:r w:rsidR="00696B31">
        <w:t>airobi Convention under Option 3</w:t>
      </w:r>
      <w:r w:rsidRPr="00B703F0">
        <w:t xml:space="preserve"> relative to Option 1 for Bulk carriers would be around $33.4 million ($27.3 million at 7</w:t>
      </w:r>
      <w:r w:rsidR="00CA688C">
        <w:t xml:space="preserve"> per cent</w:t>
      </w:r>
      <w:r w:rsidRPr="00B703F0">
        <w:t xml:space="preserve"> discount rate) and for </w:t>
      </w:r>
      <w:r w:rsidR="009B39DE">
        <w:t>c</w:t>
      </w:r>
      <w:r w:rsidRPr="00B703F0">
        <w:t>ontainer carriers would be around $4.6 million ($4 milli</w:t>
      </w:r>
      <w:r w:rsidR="00CA688C">
        <w:t>on at 7 per cent</w:t>
      </w:r>
      <w:r w:rsidRPr="00B703F0">
        <w:t xml:space="preserve"> discount rate). As can be seen, a disputed incident involving all vessel types are expected to result in a net benefit to the economy.</w:t>
      </w:r>
    </w:p>
    <w:p w14:paraId="17F46A92" w14:textId="479AF5E3" w:rsidR="00FE198B" w:rsidRPr="00B703F0" w:rsidRDefault="005D61E0" w:rsidP="00310F8E">
      <w:pPr>
        <w:jc w:val="center"/>
      </w:pPr>
      <w:r>
        <w:rPr>
          <w:noProof/>
          <w:lang w:eastAsia="en-AU"/>
        </w:rPr>
        <w:drawing>
          <wp:inline distT="0" distB="0" distL="0" distR="0" wp14:anchorId="1ED7E693" wp14:editId="1F03C128">
            <wp:extent cx="5391593" cy="2265792"/>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13166" cy="2274858"/>
                    </a:xfrm>
                    <a:prstGeom prst="rect">
                      <a:avLst/>
                    </a:prstGeom>
                  </pic:spPr>
                </pic:pic>
              </a:graphicData>
            </a:graphic>
          </wp:inline>
        </w:drawing>
      </w:r>
      <w:r w:rsidR="007B1922" w:rsidRPr="00B703F0">
        <w:rPr>
          <w:noProof/>
          <w:lang w:eastAsia="en-AU"/>
        </w:rPr>
        <w:t xml:space="preserve"> </w:t>
      </w:r>
    </w:p>
    <w:p w14:paraId="5660F418" w14:textId="0D9E5E38" w:rsidR="008B4708" w:rsidRPr="00B703F0" w:rsidRDefault="008B4708" w:rsidP="008B4708">
      <w:pPr>
        <w:pStyle w:val="Caption"/>
        <w:jc w:val="center"/>
      </w:pPr>
      <w:bookmarkStart w:id="143" w:name="_Toc76120255"/>
      <w:bookmarkStart w:id="144" w:name="_Toc96343140"/>
      <w:bookmarkStart w:id="145" w:name="_Toc105060763"/>
      <w:r w:rsidRPr="00B703F0">
        <w:t xml:space="preserve">Figure </w:t>
      </w:r>
      <w:r w:rsidR="006A20A6">
        <w:rPr>
          <w:noProof/>
        </w:rPr>
        <w:t>5</w:t>
      </w:r>
      <w:r w:rsidRPr="00B703F0">
        <w:t>: Net benefits of Option 3</w:t>
      </w:r>
      <w:r w:rsidR="008246EA">
        <w:t xml:space="preserve"> relative to Option 1 over a 10</w:t>
      </w:r>
      <w:r w:rsidRPr="00B703F0">
        <w:t>-year period</w:t>
      </w:r>
      <w:r w:rsidRPr="00B703F0">
        <w:rPr>
          <w:rStyle w:val="FootnoteReference"/>
        </w:rPr>
        <w:footnoteReference w:id="76"/>
      </w:r>
      <w:bookmarkEnd w:id="143"/>
      <w:bookmarkEnd w:id="144"/>
      <w:bookmarkEnd w:id="145"/>
    </w:p>
    <w:p w14:paraId="3C2CBBF6" w14:textId="3686BC75" w:rsidR="0098155C" w:rsidRPr="00B703F0" w:rsidRDefault="0098155C" w:rsidP="00986730">
      <w:r w:rsidRPr="00B703F0">
        <w:t>The estimated incidence of</w:t>
      </w:r>
      <w:r w:rsidR="00986730" w:rsidRPr="00B703F0">
        <w:t xml:space="preserve"> costs and benefits of Option 3</w:t>
      </w:r>
      <w:r w:rsidRPr="00B703F0">
        <w:t xml:space="preserve"> relative to Option 1 are summarised in </w:t>
      </w:r>
      <w:r w:rsidR="00585E93" w:rsidRPr="00027346">
        <w:rPr>
          <w:b/>
          <w:u w:val="single"/>
        </w:rPr>
        <w:t>Appendix 3</w:t>
      </w:r>
      <w:r w:rsidR="00585E93">
        <w:t xml:space="preserve">. </w:t>
      </w:r>
      <w:r w:rsidRPr="00B703F0">
        <w:t xml:space="preserve">A key distributional benefit is that the direct </w:t>
      </w:r>
      <w:r w:rsidR="00117F50" w:rsidRPr="00B703F0">
        <w:t>ship owner</w:t>
      </w:r>
      <w:r w:rsidRPr="00B703F0">
        <w:t>s (or their insurers) involved in the incident are expected to directly bear the cost of clean-up operations rather than these costs being borne by the shipping industry more generally.</w:t>
      </w:r>
    </w:p>
    <w:p w14:paraId="28004AFB" w14:textId="008802B6" w:rsidR="0098155C" w:rsidRPr="00B703F0" w:rsidRDefault="0098155C" w:rsidP="00986730">
      <w:r w:rsidRPr="00B703F0">
        <w:t>Due to the avoided legal costs, the Australian Government is expected to be a net beneficiary of accession to the Na</w:t>
      </w:r>
      <w:r w:rsidR="009047D6" w:rsidRPr="00B703F0">
        <w:t>irobi Convention under Option 3</w:t>
      </w:r>
      <w:r w:rsidRPr="00B703F0">
        <w:t>, relative to Option 1.</w:t>
      </w:r>
      <w:r w:rsidR="009047D6" w:rsidRPr="00B703F0">
        <w:t xml:space="preserve"> </w:t>
      </w:r>
      <w:r w:rsidRPr="00B703F0">
        <w:t xml:space="preserve">Similarly, due to the avoided legal costs </w:t>
      </w:r>
      <w:r w:rsidR="009047D6" w:rsidRPr="00B703F0">
        <w:t>and</w:t>
      </w:r>
      <w:r w:rsidRPr="00B703F0">
        <w:t xml:space="preserve"> the financial security benefits, the shipping industry is expected to be a net beneficiary of accession to the Na</w:t>
      </w:r>
      <w:r w:rsidR="00546A5C">
        <w:t>irobi Convention under Option </w:t>
      </w:r>
      <w:r w:rsidR="009047D6" w:rsidRPr="00B703F0">
        <w:t>3</w:t>
      </w:r>
      <w:r w:rsidRPr="00B703F0">
        <w:t xml:space="preserve">, </w:t>
      </w:r>
      <w:r w:rsidRPr="00B703F0">
        <w:lastRenderedPageBreak/>
        <w:t>relative to Option 1. However, there will be some transfers from specific shipping owners involved in incidents to the shipping industry in general.</w:t>
      </w:r>
    </w:p>
    <w:p w14:paraId="2E493476" w14:textId="4DEDD9EB" w:rsidR="0098155C" w:rsidRPr="00B703F0" w:rsidRDefault="0098155C" w:rsidP="00986730">
      <w:r w:rsidRPr="00B703F0">
        <w:t xml:space="preserve">The estimated quantifiable </w:t>
      </w:r>
      <w:r w:rsidRPr="00175FEF">
        <w:t>Benefit Cost Ratio (BCR) varies</w:t>
      </w:r>
      <w:r w:rsidRPr="00B703F0">
        <w:t xml:space="preserve"> between 1.4 and 13.9 (undiscounted), depending on the nature of the vessel involved in the disputed incident.</w:t>
      </w:r>
    </w:p>
    <w:p w14:paraId="44EDB505" w14:textId="77777777" w:rsidR="00A047E8" w:rsidRPr="001D7737" w:rsidRDefault="00A047E8" w:rsidP="00377B8C">
      <w:pPr>
        <w:pStyle w:val="Heading5"/>
      </w:pPr>
      <w:r w:rsidRPr="001D7737">
        <w:t>Sensitivity analysis</w:t>
      </w:r>
    </w:p>
    <w:p w14:paraId="6E4657F5" w14:textId="17F5E3F8" w:rsidR="00A047E8" w:rsidRPr="00B703F0" w:rsidRDefault="00A047E8" w:rsidP="00377B8C">
      <w:r w:rsidRPr="00B703F0">
        <w:t xml:space="preserve">As discussed </w:t>
      </w:r>
      <w:r w:rsidR="00377B8C" w:rsidRPr="00B703F0">
        <w:t xml:space="preserve">earlier, </w:t>
      </w:r>
      <w:r w:rsidRPr="00B703F0">
        <w:t>the complianc</w:t>
      </w:r>
      <w:r w:rsidR="00377B8C" w:rsidRPr="00B703F0">
        <w:t>e costs associated with Option 3</w:t>
      </w:r>
      <w:r w:rsidRPr="00B703F0">
        <w:t xml:space="preserve"> have been estimated with medium to high certainty, and these will happen on a recurring basis. There is, however, high uncertainty around the key sources of economic benefit (namely the financial security </w:t>
      </w:r>
      <w:r w:rsidR="00C40B95" w:rsidRPr="00B703F0">
        <w:t>benefits</w:t>
      </w:r>
      <w:r w:rsidRPr="00B703F0">
        <w:t xml:space="preserve"> and the avoided legal costs), particularly because these are linked to specific circumstances of a wreck incident</w:t>
      </w:r>
      <w:r w:rsidR="00585E93">
        <w:t>,</w:t>
      </w:r>
      <w:r w:rsidRPr="00B703F0">
        <w:t xml:space="preserve"> which result in a </w:t>
      </w:r>
      <w:r w:rsidR="00117F50" w:rsidRPr="00B703F0">
        <w:t>ship owner</w:t>
      </w:r>
      <w:r w:rsidRPr="00B703F0">
        <w:t xml:space="preserve"> disputing the </w:t>
      </w:r>
      <w:r w:rsidR="00585E93">
        <w:t>g</w:t>
      </w:r>
      <w:r w:rsidRPr="00B703F0">
        <w:t xml:space="preserve">overnment’s right to force payment for </w:t>
      </w:r>
      <w:r w:rsidR="0061371C">
        <w:t>wreck-related costs</w:t>
      </w:r>
      <w:r w:rsidRPr="00B703F0">
        <w:t>.</w:t>
      </w:r>
    </w:p>
    <w:p w14:paraId="046A74A7" w14:textId="4FFC8E87" w:rsidR="00B73251" w:rsidRDefault="00A047E8" w:rsidP="00377B8C">
      <w:r w:rsidRPr="00B703F0">
        <w:t>Based on a single incident occurring, the above analysis calculates that accession to the Nairobi Convention is broadly economically beneficial. Separate to whether there is a net economic benefit, the distributional analysis of accession, is showing that there will be a beneficial social impact in terms of</w:t>
      </w:r>
      <w:r w:rsidR="005F1B92">
        <w:t xml:space="preserve"> holding </w:t>
      </w:r>
      <w:r w:rsidR="005F1B92">
        <w:rPr>
          <w:color w:val="auto"/>
        </w:rPr>
        <w:t>polluters</w:t>
      </w:r>
      <w:r w:rsidR="005F1B92" w:rsidRPr="005F1B92">
        <w:rPr>
          <w:color w:val="auto"/>
        </w:rPr>
        <w:t xml:space="preserve"> </w:t>
      </w:r>
      <w:r w:rsidR="005F1B92">
        <w:rPr>
          <w:color w:val="auto"/>
        </w:rPr>
        <w:t>financially responsible when their actions threaten navigational safety, Australia’s unique marine environment or maritime industries.</w:t>
      </w:r>
    </w:p>
    <w:p w14:paraId="4570DEDE" w14:textId="4F376594" w:rsidR="00A047E8" w:rsidRDefault="00A047E8" w:rsidP="00CA688C">
      <w:r w:rsidRPr="00B703F0">
        <w:t>If there are multiple disputed incidents or an incident with a high cost, the estimated benefits would be much larger without a concomitant change in the compliance costs. Similarly, if the assumed c</w:t>
      </w:r>
      <w:r w:rsidR="00CA688C">
        <w:t>ost recovery increases above 80 per cent</w:t>
      </w:r>
      <w:r w:rsidRPr="00B703F0">
        <w:t>, the estimated benefits will be much larger than the estimated compliance costs. This im</w:t>
      </w:r>
      <w:r w:rsidR="00696B31">
        <w:t>plies the finding that Option 3</w:t>
      </w:r>
      <w:r w:rsidRPr="00B703F0">
        <w:t xml:space="preserve"> will result in a net economic and social benefit should be reasonably robust.</w:t>
      </w:r>
      <w:r w:rsidR="0019463F">
        <w:t xml:space="preserve"> A full sensitivity analysis is in </w:t>
      </w:r>
      <w:r w:rsidR="0019463F" w:rsidRPr="003A4FD0">
        <w:rPr>
          <w:b/>
          <w:u w:val="single"/>
        </w:rPr>
        <w:t>Appendix 3</w:t>
      </w:r>
      <w:r w:rsidR="0019463F">
        <w:t xml:space="preserve">. </w:t>
      </w:r>
    </w:p>
    <w:p w14:paraId="3E22C342" w14:textId="7DD868BC" w:rsidR="00593768" w:rsidRDefault="00593768" w:rsidP="003A4FD0">
      <w:pPr>
        <w:pStyle w:val="Heading5"/>
      </w:pPr>
      <w:r>
        <w:t>DCVs and recreational vessels</w:t>
      </w:r>
    </w:p>
    <w:p w14:paraId="10715F36" w14:textId="7C47F68A" w:rsidR="004069C4" w:rsidRDefault="004069C4" w:rsidP="004069C4">
      <w:r w:rsidRPr="00B703F0">
        <w:t>There is no information available regarding the current extent of legal disputes</w:t>
      </w:r>
      <w:r>
        <w:t xml:space="preserve"> relating to wreck-related costs </w:t>
      </w:r>
      <w:r w:rsidRPr="00B703F0">
        <w:t>or the potential reduction in legal disputes that may occur with moving</w:t>
      </w:r>
      <w:r>
        <w:t xml:space="preserve"> to a </w:t>
      </w:r>
      <w:r w:rsidR="001C6D9B">
        <w:t>Nairobi Convention</w:t>
      </w:r>
      <w:r>
        <w:t xml:space="preserve"> wreck removal framework. </w:t>
      </w:r>
      <w:r w:rsidRPr="00B703F0">
        <w:t>Similarly, it is uncertain whether there will be any additional cost recovery benefits associated with</w:t>
      </w:r>
      <w:r>
        <w:t xml:space="preserve"> this</w:t>
      </w:r>
      <w:r w:rsidRPr="00B703F0">
        <w:t xml:space="preserve"> Option compared to the current regulatory regimes. </w:t>
      </w:r>
      <w:r>
        <w:t xml:space="preserve">It is </w:t>
      </w:r>
      <w:r w:rsidR="00566D32">
        <w:t>assumed</w:t>
      </w:r>
      <w:r>
        <w:t xml:space="preserve"> </w:t>
      </w:r>
      <w:r w:rsidR="00280A93">
        <w:t>the be</w:t>
      </w:r>
      <w:r w:rsidR="00177AD6">
        <w:t>nefi</w:t>
      </w:r>
      <w:r>
        <w:t>t</w:t>
      </w:r>
      <w:r w:rsidR="00177AD6">
        <w:t>s will</w:t>
      </w:r>
      <w:r>
        <w:t xml:space="preserve"> be</w:t>
      </w:r>
      <w:r w:rsidR="001B7C02">
        <w:t xml:space="preserve"> of a </w:t>
      </w:r>
      <w:r w:rsidR="00D85238">
        <w:t>proportion</w:t>
      </w:r>
      <w:r>
        <w:t xml:space="preserve"> to RAVs and foreign vessels. </w:t>
      </w:r>
    </w:p>
    <w:p w14:paraId="5D27D52F" w14:textId="5462F55A" w:rsidR="004B490F" w:rsidRPr="00B703F0" w:rsidRDefault="00696B31" w:rsidP="00BB4252">
      <w:pPr>
        <w:pStyle w:val="Heading3Numbered"/>
      </w:pPr>
      <w:bookmarkStart w:id="146" w:name="_Toc96505450"/>
      <w:bookmarkStart w:id="147" w:name="_Toc96506020"/>
      <w:bookmarkStart w:id="148" w:name="_Toc96518279"/>
      <w:bookmarkStart w:id="149" w:name="_Toc96518825"/>
      <w:bookmarkStart w:id="150" w:name="_Toc96069294"/>
      <w:bookmarkStart w:id="151" w:name="_Toc96353957"/>
      <w:bookmarkStart w:id="152" w:name="_Toc96354511"/>
      <w:bookmarkStart w:id="153" w:name="_Toc96505451"/>
      <w:bookmarkStart w:id="154" w:name="_Toc96506021"/>
      <w:bookmarkStart w:id="155" w:name="_Toc96518280"/>
      <w:bookmarkStart w:id="156" w:name="_Toc96518826"/>
      <w:bookmarkStart w:id="157" w:name="_Toc96069295"/>
      <w:bookmarkStart w:id="158" w:name="_Toc96353958"/>
      <w:bookmarkStart w:id="159" w:name="_Toc96354512"/>
      <w:bookmarkStart w:id="160" w:name="_Toc96505452"/>
      <w:bookmarkStart w:id="161" w:name="_Toc96506022"/>
      <w:bookmarkStart w:id="162" w:name="_Toc96518281"/>
      <w:bookmarkStart w:id="163" w:name="_Toc96518827"/>
      <w:bookmarkStart w:id="164" w:name="_Toc96069306"/>
      <w:bookmarkStart w:id="165" w:name="_Toc96353969"/>
      <w:bookmarkStart w:id="166" w:name="_Toc96354523"/>
      <w:bookmarkStart w:id="167" w:name="_Toc96505463"/>
      <w:bookmarkStart w:id="168" w:name="_Toc96506033"/>
      <w:bookmarkStart w:id="169" w:name="_Toc96518292"/>
      <w:bookmarkStart w:id="170" w:name="_Toc96518838"/>
      <w:bookmarkStart w:id="171" w:name="_Toc96069533"/>
      <w:bookmarkStart w:id="172" w:name="_Toc96354196"/>
      <w:bookmarkStart w:id="173" w:name="_Toc96354750"/>
      <w:bookmarkStart w:id="174" w:name="_Toc96505690"/>
      <w:bookmarkStart w:id="175" w:name="_Toc96506260"/>
      <w:bookmarkStart w:id="176" w:name="_Toc96518519"/>
      <w:bookmarkStart w:id="177" w:name="_Toc96519065"/>
      <w:bookmarkStart w:id="178" w:name="_Toc96069534"/>
      <w:bookmarkStart w:id="179" w:name="_Toc96354197"/>
      <w:bookmarkStart w:id="180" w:name="_Toc96354751"/>
      <w:bookmarkStart w:id="181" w:name="_Toc96505691"/>
      <w:bookmarkStart w:id="182" w:name="_Toc96506261"/>
      <w:bookmarkStart w:id="183" w:name="_Toc96518520"/>
      <w:bookmarkStart w:id="184" w:name="_Toc96519066"/>
      <w:bookmarkStart w:id="185" w:name="_Toc89938421"/>
      <w:bookmarkStart w:id="186" w:name="_Toc96354752"/>
      <w:bookmarkStart w:id="187" w:name="_Toc105060786"/>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r>
        <w:t xml:space="preserve">Option </w:t>
      </w:r>
      <w:r w:rsidR="00086D92">
        <w:t>4</w:t>
      </w:r>
      <w:r w:rsidR="004B490F" w:rsidRPr="00B703F0">
        <w:t xml:space="preserve"> relative to Option1</w:t>
      </w:r>
      <w:bookmarkEnd w:id="185"/>
      <w:bookmarkEnd w:id="186"/>
      <w:bookmarkEnd w:id="187"/>
    </w:p>
    <w:p w14:paraId="05DC5842" w14:textId="57B4BD76" w:rsidR="004B490F" w:rsidRPr="00B703F0" w:rsidRDefault="004B490F" w:rsidP="004B490F">
      <w:r w:rsidRPr="00B703F0">
        <w:t xml:space="preserve">An estimated net benefit of Option </w:t>
      </w:r>
      <w:r w:rsidR="0019463F">
        <w:t>4</w:t>
      </w:r>
      <w:r w:rsidRPr="00B703F0">
        <w:t xml:space="preserve"> relative to the Option 1 is summarised in </w:t>
      </w:r>
      <w:r w:rsidR="00FA6155" w:rsidRPr="00B703F0">
        <w:t>Figure 6</w:t>
      </w:r>
      <w:r w:rsidRPr="00B703F0">
        <w:t xml:space="preserve">. The net benefits are </w:t>
      </w:r>
      <w:r w:rsidR="00E96909">
        <w:t>broadly similar to Option 3</w:t>
      </w:r>
      <w:r w:rsidRPr="00B703F0">
        <w:t>.</w:t>
      </w:r>
    </w:p>
    <w:p w14:paraId="7132930C" w14:textId="3F261271" w:rsidR="004B490F" w:rsidRPr="00B703F0" w:rsidRDefault="004B490F" w:rsidP="004B490F">
      <w:r w:rsidRPr="00B703F0">
        <w:t xml:space="preserve">This indicates if a wreck incident happens to a </w:t>
      </w:r>
      <w:r w:rsidR="00490DA2">
        <w:t>vessel</w:t>
      </w:r>
      <w:r w:rsidRPr="00B703F0">
        <w:t xml:space="preserve"> in Year 1 in either territorial sea or EEZ which results in a dispute, the estimated net benefits of accession to the Nairobi Convention under the Option </w:t>
      </w:r>
      <w:r w:rsidR="00490DA2">
        <w:t>4</w:t>
      </w:r>
      <w:r w:rsidRPr="00B703F0">
        <w:t xml:space="preserve"> relative to the Option 1 for bulk carriers would be around $48 milli</w:t>
      </w:r>
      <w:r w:rsidR="00CA688C">
        <w:t>on ($38.2 million at 7 per cent</w:t>
      </w:r>
      <w:r w:rsidRPr="00B703F0">
        <w:t xml:space="preserve"> discount rate) and container carriers would be around $7.2 million ($6 million at 7</w:t>
      </w:r>
      <w:r w:rsidR="00CA688C">
        <w:t xml:space="preserve"> per cent </w:t>
      </w:r>
      <w:r w:rsidRPr="00B703F0">
        <w:t xml:space="preserve">discount rate. As can be seen, on an undiscounted basis, a disputed incident involving </w:t>
      </w:r>
      <w:r w:rsidR="004F7F66">
        <w:t>any</w:t>
      </w:r>
      <w:r w:rsidRPr="00B703F0">
        <w:t xml:space="preserve"> vessel types are expected to result in a net benefit to the economy.</w:t>
      </w:r>
    </w:p>
    <w:p w14:paraId="1D8740F6" w14:textId="5F5B4A77" w:rsidR="00894BEE" w:rsidRPr="00B703F0" w:rsidRDefault="00995BBD" w:rsidP="001D7737">
      <w:pPr>
        <w:keepNext/>
        <w:jc w:val="center"/>
      </w:pPr>
      <w:r>
        <w:rPr>
          <w:noProof/>
          <w:lang w:eastAsia="en-AU"/>
        </w:rPr>
        <w:drawing>
          <wp:inline distT="0" distB="0" distL="0" distR="0" wp14:anchorId="0E28FE18" wp14:editId="6BF90579">
            <wp:extent cx="4071628" cy="1775302"/>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071628" cy="1775302"/>
                    </a:xfrm>
                    <a:prstGeom prst="rect">
                      <a:avLst/>
                    </a:prstGeom>
                  </pic:spPr>
                </pic:pic>
              </a:graphicData>
            </a:graphic>
          </wp:inline>
        </w:drawing>
      </w:r>
    </w:p>
    <w:p w14:paraId="213ED807" w14:textId="2B98FA39" w:rsidR="008B4708" w:rsidRPr="00B703F0" w:rsidRDefault="008B4708" w:rsidP="001D7737">
      <w:pPr>
        <w:pStyle w:val="Caption"/>
        <w:spacing w:before="120"/>
        <w:jc w:val="center"/>
      </w:pPr>
      <w:bookmarkStart w:id="188" w:name="_Toc76120258"/>
      <w:bookmarkStart w:id="189" w:name="_Toc96343141"/>
      <w:bookmarkStart w:id="190" w:name="_Toc105060764"/>
      <w:r w:rsidRPr="00B703F0">
        <w:t xml:space="preserve">Figure </w:t>
      </w:r>
      <w:r w:rsidR="006A20A6">
        <w:rPr>
          <w:noProof/>
        </w:rPr>
        <w:t>6</w:t>
      </w:r>
      <w:r w:rsidRPr="00B703F0">
        <w:t xml:space="preserve">: Net benefits of Option </w:t>
      </w:r>
      <w:r w:rsidR="00490DA2">
        <w:t>4</w:t>
      </w:r>
      <w:r w:rsidRPr="00B703F0">
        <w:t xml:space="preserve"> relative to Option 1 over a </w:t>
      </w:r>
      <w:r w:rsidR="00362B44">
        <w:t>10</w:t>
      </w:r>
      <w:r w:rsidRPr="00B703F0">
        <w:t>-year period</w:t>
      </w:r>
      <w:r w:rsidRPr="00B703F0">
        <w:rPr>
          <w:rStyle w:val="FootnoteReference"/>
        </w:rPr>
        <w:footnoteReference w:id="77"/>
      </w:r>
      <w:bookmarkEnd w:id="188"/>
      <w:bookmarkEnd w:id="189"/>
      <w:bookmarkEnd w:id="190"/>
    </w:p>
    <w:p w14:paraId="5DC0B20A" w14:textId="26B14ACC" w:rsidR="001C778D" w:rsidRDefault="001C778D" w:rsidP="00F97023">
      <w:r w:rsidRPr="00B703F0">
        <w:lastRenderedPageBreak/>
        <w:t xml:space="preserve">The estimated incidence of costs and benefits of Option </w:t>
      </w:r>
      <w:r w:rsidR="00490DA2">
        <w:t>4</w:t>
      </w:r>
      <w:r w:rsidRPr="00B703F0">
        <w:t xml:space="preserve"> relative to Opti</w:t>
      </w:r>
      <w:r w:rsidR="00C928B4">
        <w:t>on 1 are summarised in Table 5</w:t>
      </w:r>
      <w:r w:rsidRPr="00B703F0">
        <w:t>.</w:t>
      </w:r>
      <w:r w:rsidR="00365667" w:rsidRPr="00B703F0">
        <w:t xml:space="preserve"> </w:t>
      </w:r>
      <w:r w:rsidRPr="00B703F0">
        <w:t xml:space="preserve">The </w:t>
      </w:r>
      <w:r w:rsidR="00BC0EF3">
        <w:t>allocation</w:t>
      </w:r>
      <w:r w:rsidR="00BC0EF3" w:rsidRPr="00B703F0">
        <w:t xml:space="preserve"> </w:t>
      </w:r>
      <w:r w:rsidRPr="00B703F0">
        <w:t>of benefits between the Australian Government, ship</w:t>
      </w:r>
      <w:r w:rsidR="002E4021">
        <w:t xml:space="preserve"> </w:t>
      </w:r>
      <w:r w:rsidRPr="00B703F0">
        <w:t>owners and the general shipping industry ar</w:t>
      </w:r>
      <w:r w:rsidR="00365667" w:rsidRPr="00B703F0">
        <w:t>e unchanged relative to Option 3</w:t>
      </w:r>
      <w:r w:rsidRPr="00B703F0">
        <w:t>.</w:t>
      </w:r>
      <w:r w:rsidR="00365667" w:rsidRPr="00B703F0">
        <w:t xml:space="preserve"> </w:t>
      </w:r>
      <w:r w:rsidR="007F241B">
        <w:t xml:space="preserve">It is conservatively assumed the </w:t>
      </w:r>
      <w:r w:rsidR="00490DA2">
        <w:t>g</w:t>
      </w:r>
      <w:r w:rsidR="007F241B">
        <w:t xml:space="preserve">overnment’s ability to cost recover </w:t>
      </w:r>
      <w:r w:rsidR="00FD531E">
        <w:t xml:space="preserve">would slightly increase to 85 per cent, up from 80 percent under Option 3. </w:t>
      </w:r>
      <w:r w:rsidRPr="00B703F0">
        <w:t>A relatively higher economy-wide benefit occurs under this scenario due to the consisten</w:t>
      </w:r>
      <w:r w:rsidR="00365667" w:rsidRPr="00B703F0">
        <w:t>cy and uniformity laws for the territorial s</w:t>
      </w:r>
      <w:r w:rsidRPr="00B703F0">
        <w:t>ea and EEZ.</w:t>
      </w:r>
      <w:r w:rsidR="00365667" w:rsidRPr="00B703F0">
        <w:t xml:space="preserve"> </w:t>
      </w:r>
      <w:r w:rsidRPr="00B703F0">
        <w:t>The estimated quantifiable BCR varies between 1.7 and 17.2 (undiscounted), depending on the nature of the vessel involved in the disputed incident.</w:t>
      </w:r>
      <w:r w:rsidR="00490DA2">
        <w:t xml:space="preserve"> </w:t>
      </w:r>
    </w:p>
    <w:p w14:paraId="7B6BB649" w14:textId="6617B3FC" w:rsidR="00490DA2" w:rsidRPr="00B703F0" w:rsidRDefault="00490DA2" w:rsidP="001C778D">
      <w:r w:rsidRPr="00B703F0">
        <w:t>The estimated incidence of</w:t>
      </w:r>
      <w:r>
        <w:t xml:space="preserve"> costs and benefits of Option 4</w:t>
      </w:r>
      <w:r w:rsidRPr="00B703F0">
        <w:t xml:space="preserve"> relative to Option 1 are summarised in </w:t>
      </w:r>
      <w:r w:rsidRPr="00854C2F">
        <w:rPr>
          <w:b/>
          <w:u w:val="single"/>
        </w:rPr>
        <w:t>Appendix 3</w:t>
      </w:r>
      <w:r>
        <w:t>.</w:t>
      </w:r>
    </w:p>
    <w:p w14:paraId="7DE3A608" w14:textId="77777777" w:rsidR="009248E3" w:rsidRPr="00B703F0" w:rsidRDefault="009248E3" w:rsidP="009248E3">
      <w:pPr>
        <w:pStyle w:val="Heading5"/>
        <w:rPr>
          <w:rFonts w:eastAsiaTheme="minorHAnsi"/>
        </w:rPr>
      </w:pPr>
      <w:r w:rsidRPr="00B703F0">
        <w:rPr>
          <w:rFonts w:eastAsiaTheme="minorHAnsi"/>
        </w:rPr>
        <w:t>Sensitivity analysis</w:t>
      </w:r>
    </w:p>
    <w:p w14:paraId="216569F5" w14:textId="13A185A7" w:rsidR="009248E3" w:rsidRPr="00B703F0" w:rsidRDefault="009248E3" w:rsidP="009248E3">
      <w:r w:rsidRPr="00B703F0">
        <w:t xml:space="preserve">As per the sensitivity analysis for Option 3, the compliance costs associated with Option </w:t>
      </w:r>
      <w:r w:rsidR="00490DA2">
        <w:t>4</w:t>
      </w:r>
      <w:r w:rsidRPr="00B703F0">
        <w:t xml:space="preserve"> have been estimated with medium to high certainty, and these will happen on a recurring basis. There is, however, high uncertainty around the key </w:t>
      </w:r>
      <w:r w:rsidR="00E928B6" w:rsidRPr="00B703F0">
        <w:t xml:space="preserve">sources of economic benefit, </w:t>
      </w:r>
      <w:r w:rsidRPr="00B703F0">
        <w:t xml:space="preserve">namely the financial security </w:t>
      </w:r>
      <w:r w:rsidR="00AC5FBC" w:rsidRPr="00B703F0">
        <w:t>benefits</w:t>
      </w:r>
      <w:r w:rsidRPr="00B703F0">
        <w:t xml:space="preserve"> and the avoided legal costs, because these are linked to specific circumstances of a wreck incident which result in a ship</w:t>
      </w:r>
      <w:r w:rsidR="002E4021">
        <w:t xml:space="preserve"> </w:t>
      </w:r>
      <w:r w:rsidRPr="00B703F0">
        <w:t>owner disputing the Australian Government’s right to force payment for clean-up.</w:t>
      </w:r>
    </w:p>
    <w:p w14:paraId="4A9EA8F4" w14:textId="7445E90B" w:rsidR="009248E3" w:rsidRPr="00B703F0" w:rsidRDefault="00E928B6" w:rsidP="009248E3">
      <w:r w:rsidRPr="00B703F0">
        <w:t>As per the Option 3</w:t>
      </w:r>
      <w:r w:rsidR="009248E3" w:rsidRPr="00B703F0">
        <w:t xml:space="preserve"> findings, based on a single incident occurring, the above analysis calculates that accession to the Na</w:t>
      </w:r>
      <w:r w:rsidRPr="00B703F0">
        <w:t xml:space="preserve">irobi Convention under Option </w:t>
      </w:r>
      <w:r w:rsidR="00490DA2">
        <w:t>4</w:t>
      </w:r>
      <w:r w:rsidR="009248E3" w:rsidRPr="00B703F0">
        <w:t xml:space="preserve"> is broadly economically beneficial, with the distributional analysis showing that there will be a beneficial social impact in terms of </w:t>
      </w:r>
      <w:r w:rsidR="00A01BBB">
        <w:t xml:space="preserve">holding polluters financially responsible for the incidents they cause. </w:t>
      </w:r>
    </w:p>
    <w:p w14:paraId="4ADE0976" w14:textId="390A40DC" w:rsidR="00123F2D" w:rsidRDefault="009248E3" w:rsidP="009248E3">
      <w:r w:rsidRPr="00B703F0">
        <w:t>This im</w:t>
      </w:r>
      <w:r w:rsidR="00E928B6" w:rsidRPr="00B703F0">
        <w:t xml:space="preserve">plies the finding </w:t>
      </w:r>
      <w:r w:rsidR="00BC0EF3">
        <w:t>of</w:t>
      </w:r>
      <w:r w:rsidR="00BC0EF3" w:rsidRPr="00B703F0">
        <w:t xml:space="preserve"> </w:t>
      </w:r>
      <w:r w:rsidR="00E928B6" w:rsidRPr="00B703F0">
        <w:t xml:space="preserve">Option </w:t>
      </w:r>
      <w:r w:rsidR="00490DA2">
        <w:t>4</w:t>
      </w:r>
      <w:r w:rsidRPr="00B703F0">
        <w:t xml:space="preserve"> result</w:t>
      </w:r>
      <w:r w:rsidR="00BC0EF3">
        <w:t>ing</w:t>
      </w:r>
      <w:r w:rsidRPr="00B703F0">
        <w:t xml:space="preserve"> in a net economic and social benefit should be reasonably robust.</w:t>
      </w:r>
      <w:r w:rsidR="00123F2D" w:rsidRPr="00123F2D">
        <w:t xml:space="preserve"> </w:t>
      </w:r>
    </w:p>
    <w:p w14:paraId="43C48762" w14:textId="41ABAE74" w:rsidR="009248E3" w:rsidRDefault="00123F2D" w:rsidP="009248E3">
      <w:r>
        <w:t xml:space="preserve">A full sensitivity analysis is in </w:t>
      </w:r>
      <w:r w:rsidRPr="00854C2F">
        <w:rPr>
          <w:b/>
          <w:u w:val="single"/>
        </w:rPr>
        <w:t>Appendix 3</w:t>
      </w:r>
      <w:r>
        <w:t>.</w:t>
      </w:r>
    </w:p>
    <w:p w14:paraId="1F87A822" w14:textId="77777777" w:rsidR="00E60083" w:rsidRDefault="00E60083" w:rsidP="00E60083">
      <w:pPr>
        <w:pStyle w:val="Heading5"/>
      </w:pPr>
      <w:r>
        <w:t>DCVs and recreational vessels</w:t>
      </w:r>
    </w:p>
    <w:p w14:paraId="28C0993C" w14:textId="63651FE5" w:rsidR="00D85238" w:rsidRDefault="001978F5" w:rsidP="00D85238">
      <w:r>
        <w:t>As with Option 3, t</w:t>
      </w:r>
      <w:r w:rsidR="00D85238" w:rsidRPr="00B703F0">
        <w:t>here is no information available regarding the current extent of legal disputes</w:t>
      </w:r>
      <w:r w:rsidR="00D85238">
        <w:t xml:space="preserve"> relating to wreck-related costs </w:t>
      </w:r>
      <w:r w:rsidR="00D85238" w:rsidRPr="00B703F0">
        <w:t>or the potential reduction in legal disputes that may occur with moving</w:t>
      </w:r>
      <w:r w:rsidR="00D85238">
        <w:t xml:space="preserve"> to a Nairobi Convention wreck removal framework. </w:t>
      </w:r>
      <w:r w:rsidR="00D85238" w:rsidRPr="00B703F0">
        <w:t>Similarly, it is uncertain whether there will be any additional cost recovery benefits associated with</w:t>
      </w:r>
      <w:r w:rsidR="00D85238">
        <w:t xml:space="preserve"> this</w:t>
      </w:r>
      <w:r w:rsidR="00D85238" w:rsidRPr="00B703F0">
        <w:t xml:space="preserve"> Option compared to the current regulatory regimes. </w:t>
      </w:r>
      <w:r w:rsidR="00D85238">
        <w:t xml:space="preserve">It is assumed the benefits will be of a proportion to RAVs and foreign vessels. </w:t>
      </w:r>
    </w:p>
    <w:p w14:paraId="2833E572" w14:textId="4638CB19" w:rsidR="00FE198B" w:rsidRPr="00B703F0" w:rsidRDefault="00FE198B" w:rsidP="00FE198B">
      <w:pPr>
        <w:pStyle w:val="Heading2Numbered"/>
        <w:tabs>
          <w:tab w:val="num" w:pos="360"/>
        </w:tabs>
        <w:ind w:left="0" w:firstLine="0"/>
      </w:pPr>
      <w:bookmarkStart w:id="191" w:name="_Toc96505693"/>
      <w:bookmarkStart w:id="192" w:name="_Toc96506263"/>
      <w:bookmarkStart w:id="193" w:name="_Toc96518522"/>
      <w:bookmarkStart w:id="194" w:name="_Toc96519068"/>
      <w:bookmarkStart w:id="195" w:name="_Toc96505696"/>
      <w:bookmarkStart w:id="196" w:name="_Toc96506266"/>
      <w:bookmarkStart w:id="197" w:name="_Toc96518525"/>
      <w:bookmarkStart w:id="198" w:name="_Toc96519071"/>
      <w:bookmarkStart w:id="199" w:name="_Toc96505697"/>
      <w:bookmarkStart w:id="200" w:name="_Toc96506267"/>
      <w:bookmarkStart w:id="201" w:name="_Toc96518526"/>
      <w:bookmarkStart w:id="202" w:name="_Toc96519072"/>
      <w:bookmarkStart w:id="203" w:name="_Toc96069536"/>
      <w:bookmarkStart w:id="204" w:name="_Toc96354199"/>
      <w:bookmarkStart w:id="205" w:name="_Toc96354753"/>
      <w:bookmarkStart w:id="206" w:name="_Toc96505698"/>
      <w:bookmarkStart w:id="207" w:name="_Toc96506268"/>
      <w:bookmarkStart w:id="208" w:name="_Toc96518527"/>
      <w:bookmarkStart w:id="209" w:name="_Toc96519073"/>
      <w:bookmarkStart w:id="210" w:name="_Toc96069537"/>
      <w:bookmarkStart w:id="211" w:name="_Toc96354200"/>
      <w:bookmarkStart w:id="212" w:name="_Toc96354754"/>
      <w:bookmarkStart w:id="213" w:name="_Toc96505699"/>
      <w:bookmarkStart w:id="214" w:name="_Toc96506269"/>
      <w:bookmarkStart w:id="215" w:name="_Toc96518528"/>
      <w:bookmarkStart w:id="216" w:name="_Toc96519074"/>
      <w:bookmarkStart w:id="217" w:name="_Toc96069548"/>
      <w:bookmarkStart w:id="218" w:name="_Toc96354211"/>
      <w:bookmarkStart w:id="219" w:name="_Toc96354765"/>
      <w:bookmarkStart w:id="220" w:name="_Toc96505710"/>
      <w:bookmarkStart w:id="221" w:name="_Toc96506280"/>
      <w:bookmarkStart w:id="222" w:name="_Toc96518539"/>
      <w:bookmarkStart w:id="223" w:name="_Toc96519085"/>
      <w:bookmarkStart w:id="224" w:name="_Toc96354994"/>
      <w:bookmarkStart w:id="225" w:name="_Toc105060787"/>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r w:rsidRPr="00B703F0">
        <w:t>Environmental</w:t>
      </w:r>
      <w:r w:rsidR="00A82FBA">
        <w:t xml:space="preserve"> and social</w:t>
      </w:r>
      <w:r w:rsidRPr="00B703F0">
        <w:t xml:space="preserve"> impacts</w:t>
      </w:r>
      <w:bookmarkEnd w:id="224"/>
      <w:bookmarkEnd w:id="225"/>
    </w:p>
    <w:p w14:paraId="69F5FE3C" w14:textId="1617C3CD" w:rsidR="00FE198B" w:rsidRPr="00B703F0" w:rsidRDefault="00FE198B" w:rsidP="00FE198B">
      <w:r w:rsidRPr="00B703F0">
        <w:t xml:space="preserve">Wrecks can cause massive environmental damage </w:t>
      </w:r>
      <w:r w:rsidR="00A63E75">
        <w:t>by</w:t>
      </w:r>
      <w:r w:rsidR="00A63E75" w:rsidRPr="00B703F0">
        <w:t xml:space="preserve"> </w:t>
      </w:r>
      <w:r w:rsidRPr="00B703F0">
        <w:t>contamin</w:t>
      </w:r>
      <w:r w:rsidR="00A63E75">
        <w:t>ating</w:t>
      </w:r>
      <w:r w:rsidRPr="00B703F0">
        <w:t xml:space="preserve"> water</w:t>
      </w:r>
      <w:r w:rsidR="00A63E75">
        <w:t xml:space="preserve"> with polluting substances </w:t>
      </w:r>
      <w:r w:rsidR="00D71117" w:rsidRPr="00D71117">
        <w:t xml:space="preserve">and physical </w:t>
      </w:r>
      <w:r w:rsidR="00A63E75">
        <w:t>waste</w:t>
      </w:r>
      <w:r w:rsidR="0044462F">
        <w:t>,</w:t>
      </w:r>
      <w:r w:rsidR="00A63E75">
        <w:t xml:space="preserve"> </w:t>
      </w:r>
      <w:r w:rsidR="00D71117">
        <w:t>impact</w:t>
      </w:r>
      <w:r w:rsidR="00A63E75">
        <w:t xml:space="preserve">ing </w:t>
      </w:r>
      <w:r w:rsidR="00D71117" w:rsidRPr="00D71117">
        <w:t>marine environments</w:t>
      </w:r>
      <w:r w:rsidRPr="00B703F0">
        <w:t xml:space="preserve">. </w:t>
      </w:r>
      <w:r w:rsidR="00A82FBA">
        <w:t xml:space="preserve">Wrecks may also </w:t>
      </w:r>
      <w:r w:rsidR="0044462F">
        <w:t xml:space="preserve">burden </w:t>
      </w:r>
      <w:r w:rsidR="00A63E75">
        <w:t xml:space="preserve">communities </w:t>
      </w:r>
      <w:r w:rsidR="00A82FBA">
        <w:t>by closing beaches, creating unpleasant sights and smells, and impact recreational and commercial fishing. These cost</w:t>
      </w:r>
      <w:r w:rsidR="00A63E75">
        <w:t>s</w:t>
      </w:r>
      <w:r w:rsidR="00A82FBA">
        <w:t xml:space="preserve"> </w:t>
      </w:r>
      <w:r w:rsidRPr="00B703F0">
        <w:t xml:space="preserve">and avoided benefits are difficult to quantity and they depend on the number </w:t>
      </w:r>
      <w:r w:rsidR="00A63E75">
        <w:t xml:space="preserve">and severity </w:t>
      </w:r>
      <w:r w:rsidRPr="00B703F0">
        <w:t xml:space="preserve">of factors. AMSA is </w:t>
      </w:r>
      <w:r w:rsidR="00576BEF" w:rsidRPr="00B703F0">
        <w:t xml:space="preserve">the Australian Government agency </w:t>
      </w:r>
      <w:r w:rsidRPr="00B703F0">
        <w:t>responsible for minimising any such</w:t>
      </w:r>
      <w:r w:rsidR="00576BEF" w:rsidRPr="00B703F0">
        <w:t xml:space="preserve"> marine</w:t>
      </w:r>
      <w:r w:rsidRPr="00B703F0">
        <w:t xml:space="preserve"> costs and this responsibility</w:t>
      </w:r>
      <w:r w:rsidR="007430F5">
        <w:t xml:space="preserve"> </w:t>
      </w:r>
      <w:r w:rsidRPr="00B703F0">
        <w:t>will not change as a result of accession to the Nairobi Convention.</w:t>
      </w:r>
    </w:p>
    <w:p w14:paraId="0283128D" w14:textId="1ADE54D5" w:rsidR="00FE198B" w:rsidRPr="00B703F0" w:rsidRDefault="00FE198B" w:rsidP="00FE198B">
      <w:r w:rsidRPr="00B703F0">
        <w:t xml:space="preserve">Under the Nairobi Convention, a </w:t>
      </w:r>
      <w:r w:rsidR="00117F50" w:rsidRPr="00B703F0">
        <w:t>ship owner</w:t>
      </w:r>
      <w:r w:rsidRPr="00B703F0">
        <w:t xml:space="preserve"> must remove the wreck and AMSA may act when a wreck constitutes a hazard</w:t>
      </w:r>
      <w:r w:rsidR="00DE6CB5" w:rsidRPr="00B703F0">
        <w:t>,</w:t>
      </w:r>
      <w:r w:rsidRPr="00B703F0">
        <w:t xml:space="preserve"> which may reasonably be expected to result in major harmful consequences to the marine environment damage to coastal areas, port activities, fisheries, tourist activities and </w:t>
      </w:r>
      <w:r w:rsidR="00B06560">
        <w:t xml:space="preserve">impact </w:t>
      </w:r>
      <w:r w:rsidRPr="00B703F0">
        <w:t xml:space="preserve">other </w:t>
      </w:r>
      <w:r w:rsidR="00B06560">
        <w:t xml:space="preserve">areas of </w:t>
      </w:r>
      <w:r w:rsidRPr="00B703F0">
        <w:t>eco</w:t>
      </w:r>
      <w:r w:rsidR="00DE6CB5" w:rsidRPr="00B703F0">
        <w:t xml:space="preserve">nomic </w:t>
      </w:r>
      <w:r w:rsidR="00B06560">
        <w:t xml:space="preserve">and biological </w:t>
      </w:r>
      <w:r w:rsidR="00DE6CB5" w:rsidRPr="00B703F0">
        <w:t>interest</w:t>
      </w:r>
      <w:r w:rsidRPr="00B703F0">
        <w:t>.</w:t>
      </w:r>
      <w:r w:rsidR="00DE6CB5" w:rsidRPr="00B703F0">
        <w:t xml:space="preserve"> </w:t>
      </w:r>
      <w:r w:rsidRPr="00B703F0">
        <w:t>This wider definition under the Nairobi Convention would allow the Australian Government to have clear powers to act upon any threat to the environment</w:t>
      </w:r>
      <w:r w:rsidR="00D71117">
        <w:t xml:space="preserve">, where the </w:t>
      </w:r>
      <w:r w:rsidR="00155001">
        <w:t>Nairobi C</w:t>
      </w:r>
      <w:r w:rsidR="00D71117">
        <w:t>onvention thresholds were met</w:t>
      </w:r>
      <w:r w:rsidRPr="00B703F0">
        <w:t>. It would also allow the Australian Government to respond quickly to lessen the impacts</w:t>
      </w:r>
      <w:r w:rsidR="005B1579">
        <w:t>.</w:t>
      </w:r>
    </w:p>
    <w:p w14:paraId="796B68CF" w14:textId="1F585B32" w:rsidR="00FE198B" w:rsidRPr="00B703F0" w:rsidRDefault="00676E70" w:rsidP="00FE198B">
      <w:r>
        <w:t>S</w:t>
      </w:r>
      <w:r w:rsidR="00F86062">
        <w:t xml:space="preserve">takeholders </w:t>
      </w:r>
      <w:r>
        <w:t xml:space="preserve">collectively </w:t>
      </w:r>
      <w:r w:rsidR="00F86062">
        <w:t xml:space="preserve">expressed </w:t>
      </w:r>
      <w:r>
        <w:t xml:space="preserve">their disbelief that </w:t>
      </w:r>
      <w:r w:rsidR="00F86062">
        <w:t xml:space="preserve">accession to the Nairobi Convention would lead to significant change in shipping behaviour or reduce the incidence and frequency of wreck events. </w:t>
      </w:r>
    </w:p>
    <w:p w14:paraId="128D0170" w14:textId="211CB1B1" w:rsidR="00FE198B" w:rsidRPr="00B703F0" w:rsidRDefault="00FE198B" w:rsidP="00FE198B">
      <w:r w:rsidRPr="00B703F0">
        <w:t xml:space="preserve">Environmental </w:t>
      </w:r>
      <w:r w:rsidR="007430F5">
        <w:t xml:space="preserve">and social </w:t>
      </w:r>
      <w:r w:rsidRPr="00B703F0">
        <w:t>impacts are assumed to be the same between all Options</w:t>
      </w:r>
      <w:r w:rsidR="00001A02">
        <w:t xml:space="preserve"> involving change</w:t>
      </w:r>
      <w:r w:rsidRPr="00B703F0">
        <w:t xml:space="preserve"> </w:t>
      </w:r>
      <w:r w:rsidR="00F86062">
        <w:t xml:space="preserve">and </w:t>
      </w:r>
      <w:r w:rsidRPr="00B703F0">
        <w:t>so have not been quantified in this study</w:t>
      </w:r>
      <w:r w:rsidR="00DE6CB5" w:rsidRPr="00B703F0">
        <w:t>.</w:t>
      </w:r>
    </w:p>
    <w:p w14:paraId="7521226A" w14:textId="6E2972C6" w:rsidR="00DE6CB5" w:rsidRPr="00B703F0" w:rsidRDefault="00DE6CB5" w:rsidP="00DE6CB5">
      <w:pPr>
        <w:pStyle w:val="Heading2Numbered"/>
        <w:tabs>
          <w:tab w:val="num" w:pos="360"/>
        </w:tabs>
        <w:ind w:left="0" w:firstLine="0"/>
      </w:pPr>
      <w:bookmarkStart w:id="226" w:name="_Toc96354995"/>
      <w:bookmarkStart w:id="227" w:name="_Toc105060788"/>
      <w:r w:rsidRPr="00B703F0">
        <w:t>Caveats of analysis</w:t>
      </w:r>
      <w:bookmarkEnd w:id="226"/>
      <w:bookmarkEnd w:id="227"/>
      <w:r w:rsidRPr="00B703F0">
        <w:t xml:space="preserve"> </w:t>
      </w:r>
    </w:p>
    <w:p w14:paraId="5177D93E" w14:textId="09453C9B" w:rsidR="00DE6CB5" w:rsidRPr="00B703F0" w:rsidRDefault="00DE6CB5" w:rsidP="00DE6CB5">
      <w:r w:rsidRPr="00B703F0">
        <w:t xml:space="preserve">A key purpose of this RIS is to quantify potential impacts of Australia’s accession to Nairobi Convention under different </w:t>
      </w:r>
      <w:r w:rsidR="00B46B77">
        <w:t>o</w:t>
      </w:r>
      <w:r w:rsidRPr="00B703F0">
        <w:t>ptions. Based on the available data and assumptions, this study finds that there would be net benefits of Australia’s accession to the Nairobi Convention.</w:t>
      </w:r>
      <w:r w:rsidR="00F86062">
        <w:t xml:space="preserve"> </w:t>
      </w:r>
      <w:r w:rsidR="00A04590" w:rsidRPr="00B703F0">
        <w:t xml:space="preserve">Option </w:t>
      </w:r>
      <w:r w:rsidR="00593768">
        <w:t>4</w:t>
      </w:r>
      <w:r w:rsidRPr="00B703F0">
        <w:t xml:space="preserve"> is acceding to the Nairobi Convention </w:t>
      </w:r>
      <w:r w:rsidR="00CE032A">
        <w:t xml:space="preserve">and applying it to the EEZ and </w:t>
      </w:r>
      <w:r w:rsidR="00CE032A">
        <w:lastRenderedPageBreak/>
        <w:t>t</w:t>
      </w:r>
      <w:r w:rsidRPr="00B703F0">
        <w:t>erritorial Sea</w:t>
      </w:r>
      <w:r w:rsidR="003A6193">
        <w:t>,</w:t>
      </w:r>
      <w:r w:rsidRPr="00B703F0">
        <w:t xml:space="preserve"> replacing the current </w:t>
      </w:r>
      <w:r w:rsidR="00B24DBD">
        <w:t>regulatory</w:t>
      </w:r>
      <w:r w:rsidR="00B24DBD" w:rsidRPr="00B703F0">
        <w:t xml:space="preserve"> </w:t>
      </w:r>
      <w:r w:rsidRPr="00B703F0">
        <w:t xml:space="preserve">framework </w:t>
      </w:r>
      <w:r w:rsidR="003A6193">
        <w:t xml:space="preserve">and </w:t>
      </w:r>
      <w:r w:rsidRPr="00B703F0">
        <w:t>provid</w:t>
      </w:r>
      <w:r w:rsidR="003A6193">
        <w:t>ing</w:t>
      </w:r>
      <w:r w:rsidRPr="00B703F0">
        <w:t xml:space="preserve"> relatively more net benefits compared with Option 1 where the existing</w:t>
      </w:r>
      <w:r w:rsidR="00A04590" w:rsidRPr="00B703F0">
        <w:t xml:space="preserve"> framework remains and Option 3</w:t>
      </w:r>
      <w:r w:rsidRPr="00B703F0">
        <w:t xml:space="preserve"> where the existing fram</w:t>
      </w:r>
      <w:r w:rsidR="00CE032A">
        <w:t>ework remains in the t</w:t>
      </w:r>
      <w:r w:rsidRPr="00B703F0">
        <w:t>erritorial Sea.</w:t>
      </w:r>
    </w:p>
    <w:p w14:paraId="7DD61023" w14:textId="4032C65F" w:rsidR="00DE6CB5" w:rsidRPr="00B703F0" w:rsidRDefault="00DE6CB5" w:rsidP="00DE6CB5">
      <w:r w:rsidRPr="00B703F0">
        <w:t xml:space="preserve">The costs incurred in wreck removal operations in the future are very uncertain due to the high variation in the number and </w:t>
      </w:r>
      <w:r w:rsidR="00457BE0">
        <w:t>circumstances</w:t>
      </w:r>
      <w:r w:rsidR="00457BE0" w:rsidRPr="00B703F0">
        <w:t xml:space="preserve"> </w:t>
      </w:r>
      <w:r w:rsidRPr="00B703F0">
        <w:t xml:space="preserve">of wrecks in each </w:t>
      </w:r>
      <w:r w:rsidRPr="007E59E2">
        <w:t>year</w:t>
      </w:r>
      <w:r w:rsidRPr="002C317C">
        <w:t>. To provide an indicative illustrative analysis, this study employed ‘what if’ analysis. This ‘what if’ analysis is based on the assumption that if a wreck related to a particular type o</w:t>
      </w:r>
      <w:r w:rsidR="00CE032A" w:rsidRPr="002C317C">
        <w:t>f vessel happens in either the t</w:t>
      </w:r>
      <w:r w:rsidRPr="002C317C">
        <w:t xml:space="preserve">erritorial Sea or EEZ what would be the costs and benefits over a </w:t>
      </w:r>
      <w:r w:rsidR="00362B44" w:rsidRPr="002C317C">
        <w:t>10</w:t>
      </w:r>
      <w:r w:rsidRPr="002C317C">
        <w:t>-year period. The estimates of the monetised costs and benefits are very sensitive to the assumptions and should therefore be treated as illustrative orders of magnitude.</w:t>
      </w:r>
    </w:p>
    <w:p w14:paraId="18360F25" w14:textId="58FC9A13" w:rsidR="00DE6CB5" w:rsidRPr="00B703F0" w:rsidRDefault="00457BE0" w:rsidP="00DE6CB5">
      <w:r>
        <w:t>A</w:t>
      </w:r>
      <w:r w:rsidR="00DE6CB5" w:rsidRPr="00B703F0">
        <w:t xml:space="preserve"> range of caveats</w:t>
      </w:r>
      <w:r w:rsidR="00F44951" w:rsidRPr="00B703F0">
        <w:t xml:space="preserve"> and assumptions were</w:t>
      </w:r>
      <w:r w:rsidR="00DE6CB5" w:rsidRPr="00B703F0">
        <w:t xml:space="preserve"> appl</w:t>
      </w:r>
      <w:r w:rsidR="00F44951" w:rsidRPr="00B703F0">
        <w:t>ied</w:t>
      </w:r>
      <w:r w:rsidR="00DE6CB5" w:rsidRPr="00B703F0">
        <w:t xml:space="preserve"> to the estimates </w:t>
      </w:r>
      <w:r w:rsidR="00F44951" w:rsidRPr="00B703F0">
        <w:t xml:space="preserve">and used in the analysis, including </w:t>
      </w:r>
      <w:r w:rsidR="00DE6CB5" w:rsidRPr="00B703F0">
        <w:t>the following:</w:t>
      </w:r>
    </w:p>
    <w:p w14:paraId="6CEFBECD" w14:textId="28C00B2F" w:rsidR="00DE6CB5" w:rsidRDefault="00DE6CB5" w:rsidP="00DE6CB5">
      <w:pPr>
        <w:pStyle w:val="Bullet1"/>
        <w:rPr>
          <w:lang w:val="en-AU"/>
        </w:rPr>
      </w:pPr>
      <w:r w:rsidRPr="00B703F0">
        <w:rPr>
          <w:lang w:val="en-AU"/>
        </w:rPr>
        <w:t>The true powers of the Australian Government, and hence the cost of disputes, can change radically based on a court precedent. Such a precedent could either reduce or increase powers under the existing regulatory regime compared to the Nairobi Convention.</w:t>
      </w:r>
    </w:p>
    <w:p w14:paraId="4477BFCD" w14:textId="32956340" w:rsidR="00DE6CB5" w:rsidRPr="00B703F0" w:rsidRDefault="00DE6CB5" w:rsidP="00691859">
      <w:pPr>
        <w:pStyle w:val="Bullet2"/>
      </w:pPr>
      <w:r w:rsidRPr="00B703F0">
        <w:t>Impact: Uncertain but is likely to reduce the number and costs of legal disputes under Option 1, but with uncertainty around whether direct ship</w:t>
      </w:r>
      <w:r w:rsidR="002E4021">
        <w:t xml:space="preserve"> </w:t>
      </w:r>
      <w:r w:rsidRPr="00B703F0">
        <w:t>owners will be more or less liable for particular wreck incidents.</w:t>
      </w:r>
    </w:p>
    <w:p w14:paraId="4105E2BB" w14:textId="795D5F8C" w:rsidR="00DE6CB5" w:rsidRPr="006B1994" w:rsidRDefault="0068290E" w:rsidP="00C85266">
      <w:pPr>
        <w:pStyle w:val="Bullet1"/>
        <w:rPr>
          <w:lang w:val="en-AU"/>
        </w:rPr>
      </w:pPr>
      <w:r>
        <w:rPr>
          <w:lang w:val="en-AU"/>
        </w:rPr>
        <w:t>This</w:t>
      </w:r>
      <w:r w:rsidR="00851D2B" w:rsidRPr="006B1994">
        <w:rPr>
          <w:lang w:val="en-AU"/>
        </w:rPr>
        <w:t xml:space="preserve"> RIS </w:t>
      </w:r>
      <w:r w:rsidR="00DE6CB5" w:rsidRPr="006B1994">
        <w:rPr>
          <w:lang w:val="en-AU"/>
        </w:rPr>
        <w:t xml:space="preserve">does not incorporate the </w:t>
      </w:r>
      <w:r w:rsidR="006B1994">
        <w:rPr>
          <w:lang w:val="en-US"/>
        </w:rPr>
        <w:t xml:space="preserve">Protection of the Sea </w:t>
      </w:r>
      <w:r w:rsidR="00B85C39">
        <w:rPr>
          <w:lang w:val="en-AU"/>
        </w:rPr>
        <w:t>L</w:t>
      </w:r>
      <w:r w:rsidR="00DE6CB5" w:rsidRPr="006B1994">
        <w:rPr>
          <w:lang w:val="en-AU"/>
        </w:rPr>
        <w:t>evy dynamics in the above economic analysis.</w:t>
      </w:r>
      <w:r w:rsidR="00851D2B" w:rsidRPr="006B1994">
        <w:rPr>
          <w:lang w:val="en-AU"/>
        </w:rPr>
        <w:t xml:space="preserve"> </w:t>
      </w:r>
      <w:r w:rsidR="00691859" w:rsidRPr="006B1994">
        <w:rPr>
          <w:lang w:val="en-AU"/>
        </w:rPr>
        <w:t>T</w:t>
      </w:r>
      <w:r w:rsidR="00DE6CB5" w:rsidRPr="006B1994">
        <w:rPr>
          <w:lang w:val="en-AU"/>
        </w:rPr>
        <w:t xml:space="preserve">he introduction of strict liability, clearer and wider definitions of </w:t>
      </w:r>
      <w:r w:rsidR="00691859" w:rsidRPr="006B1994">
        <w:rPr>
          <w:lang w:val="en-AU"/>
        </w:rPr>
        <w:t xml:space="preserve">wrecks and mandatory insurance may </w:t>
      </w:r>
      <w:r w:rsidR="00DE6CB5" w:rsidRPr="006B1994">
        <w:rPr>
          <w:lang w:val="en-AU"/>
        </w:rPr>
        <w:t xml:space="preserve">reduce the need to recover expenses related to particular incidents through the levy. </w:t>
      </w:r>
      <w:r w:rsidR="006B1994" w:rsidRPr="006B1994">
        <w:rPr>
          <w:lang w:val="en-AU"/>
        </w:rPr>
        <w:t>It is possible</w:t>
      </w:r>
      <w:r w:rsidR="00DE6CB5" w:rsidRPr="006B1994">
        <w:rPr>
          <w:lang w:val="en-AU"/>
        </w:rPr>
        <w:t xml:space="preserve"> over time this </w:t>
      </w:r>
      <w:r w:rsidR="006B1994" w:rsidRPr="006B1994">
        <w:rPr>
          <w:lang w:val="en-AU"/>
        </w:rPr>
        <w:t>could</w:t>
      </w:r>
      <w:r w:rsidR="00DE6CB5" w:rsidRPr="006B1994">
        <w:rPr>
          <w:lang w:val="en-AU"/>
        </w:rPr>
        <w:t xml:space="preserve"> result in the total cost of the levy falling.</w:t>
      </w:r>
    </w:p>
    <w:p w14:paraId="19D7EFCF" w14:textId="0D3DBC68" w:rsidR="00DE6CB5" w:rsidRPr="00B703F0" w:rsidRDefault="00DE6CB5" w:rsidP="00691859">
      <w:pPr>
        <w:pStyle w:val="Bullet2"/>
      </w:pPr>
      <w:r w:rsidRPr="00B703F0">
        <w:t>Impact: Neutral or increased benefits approximately equal to the value of</w:t>
      </w:r>
      <w:r w:rsidR="006B1994">
        <w:rPr>
          <w:lang w:val="en-US"/>
        </w:rPr>
        <w:t xml:space="preserve"> any decrease in the Protection of the Sea </w:t>
      </w:r>
      <w:r w:rsidR="00B85C39">
        <w:rPr>
          <w:lang w:val="en-US"/>
        </w:rPr>
        <w:t>L</w:t>
      </w:r>
      <w:r w:rsidR="006B1994">
        <w:rPr>
          <w:lang w:val="en-US"/>
        </w:rPr>
        <w:t>evy</w:t>
      </w:r>
      <w:r w:rsidRPr="00B703F0">
        <w:t>.</w:t>
      </w:r>
    </w:p>
    <w:p w14:paraId="0C17A3CE" w14:textId="20C14349" w:rsidR="00DE6CB5" w:rsidRPr="002C317C" w:rsidRDefault="00DE6CB5" w:rsidP="00DE6CB5">
      <w:pPr>
        <w:pStyle w:val="Bullet1"/>
        <w:rPr>
          <w:lang w:val="en-AU"/>
        </w:rPr>
      </w:pPr>
      <w:r w:rsidRPr="002C317C">
        <w:rPr>
          <w:lang w:val="en-AU"/>
        </w:rPr>
        <w:t xml:space="preserve">Movement of liability to include more parties could result in a lower cost of salvage </w:t>
      </w:r>
      <w:r w:rsidR="004C3C0D" w:rsidRPr="002C317C">
        <w:rPr>
          <w:lang w:val="en-AU"/>
        </w:rPr>
        <w:t xml:space="preserve">through </w:t>
      </w:r>
      <w:r w:rsidRPr="002C317C">
        <w:rPr>
          <w:lang w:val="en-AU"/>
        </w:rPr>
        <w:t>additional productivity benefits. These are not included in the analysis due to the uncertainties associated with these cost savings.</w:t>
      </w:r>
    </w:p>
    <w:p w14:paraId="01F3D3E1" w14:textId="70FA90A3" w:rsidR="00DE6CB5" w:rsidRPr="00B703F0" w:rsidRDefault="00DE6CB5" w:rsidP="00691859">
      <w:pPr>
        <w:pStyle w:val="Bullet2"/>
      </w:pPr>
      <w:r w:rsidRPr="00B703F0">
        <w:t>Impact: Neutral or increased benefits associated with a</w:t>
      </w:r>
      <w:r w:rsidR="00851D2B" w:rsidRPr="00B703F0">
        <w:t xml:space="preserve"> reduction in the cost of clean-</w:t>
      </w:r>
      <w:r w:rsidRPr="00B703F0">
        <w:t>ups.</w:t>
      </w:r>
    </w:p>
    <w:p w14:paraId="6ADD1F1C" w14:textId="62A5BD41" w:rsidR="00DA0D6B" w:rsidRDefault="00DA0D6B" w:rsidP="00C85266">
      <w:pPr>
        <w:pStyle w:val="Bullet1"/>
        <w:rPr>
          <w:lang w:val="en-AU"/>
        </w:rPr>
      </w:pPr>
      <w:r w:rsidRPr="00DA0D6B">
        <w:rPr>
          <w:lang w:val="en-AU"/>
        </w:rPr>
        <w:t>The</w:t>
      </w:r>
      <w:r w:rsidR="00DE6CB5" w:rsidRPr="00DA0D6B">
        <w:rPr>
          <w:lang w:val="en-AU"/>
        </w:rPr>
        <w:t xml:space="preserve"> shipping insurance arrangement under the Nairobi Convention</w:t>
      </w:r>
      <w:r w:rsidRPr="00DA0D6B">
        <w:rPr>
          <w:lang w:val="en-AU"/>
        </w:rPr>
        <w:t xml:space="preserve"> will be </w:t>
      </w:r>
      <w:r w:rsidR="00DE6CB5" w:rsidRPr="00DA0D6B">
        <w:rPr>
          <w:lang w:val="en-AU"/>
        </w:rPr>
        <w:t xml:space="preserve">linked to global incidents rather than </w:t>
      </w:r>
      <w:r w:rsidR="004C3C0D" w:rsidRPr="00DA0D6B">
        <w:rPr>
          <w:lang w:val="en-AU"/>
        </w:rPr>
        <w:t xml:space="preserve">Australian incidents. </w:t>
      </w:r>
      <w:r w:rsidR="00DE6CB5" w:rsidRPr="00DA0D6B">
        <w:rPr>
          <w:lang w:val="en-AU"/>
        </w:rPr>
        <w:t>Costs therefore could either</w:t>
      </w:r>
      <w:r>
        <w:rPr>
          <w:lang w:val="en-AU"/>
        </w:rPr>
        <w:t xml:space="preserve"> rise or fall depending on international wreck events. </w:t>
      </w:r>
    </w:p>
    <w:p w14:paraId="3A8B86AA" w14:textId="5B64CAC9" w:rsidR="00DE6CB5" w:rsidRPr="00B703F0" w:rsidRDefault="00DE6CB5" w:rsidP="00691859">
      <w:pPr>
        <w:pStyle w:val="Bullet2"/>
      </w:pPr>
      <w:r w:rsidRPr="00B703F0">
        <w:t>Impact: Uncertain impacts on the relative cost of insurance.</w:t>
      </w:r>
    </w:p>
    <w:p w14:paraId="15B9FF80" w14:textId="06ABCB88" w:rsidR="00DE6CB5" w:rsidRPr="00B703F0" w:rsidRDefault="00DE6CB5" w:rsidP="00DE6CB5">
      <w:pPr>
        <w:pStyle w:val="Bullet1"/>
        <w:rPr>
          <w:lang w:val="en-AU"/>
        </w:rPr>
      </w:pPr>
      <w:r w:rsidRPr="00B703F0">
        <w:rPr>
          <w:lang w:val="en-AU"/>
        </w:rPr>
        <w:t>Due to the significant uncertainty, no account has been taken of possible future increase</w:t>
      </w:r>
      <w:r w:rsidR="004F7F66">
        <w:rPr>
          <w:lang w:val="en-AU"/>
        </w:rPr>
        <w:t>s</w:t>
      </w:r>
      <w:r w:rsidRPr="00B703F0">
        <w:rPr>
          <w:lang w:val="en-AU"/>
        </w:rPr>
        <w:t xml:space="preserve"> in safety or technology that could decrease the number of wrecks going forward. The analysis is based on what if an incident happens based on the indicative costs for illustrative purposes. Offsetting this effect, however, is the fact that the analysis does not include any </w:t>
      </w:r>
      <w:r w:rsidR="00DC456B">
        <w:rPr>
          <w:lang w:val="en-AU"/>
        </w:rPr>
        <w:t xml:space="preserve">quantification of </w:t>
      </w:r>
      <w:r w:rsidRPr="00B703F0">
        <w:rPr>
          <w:lang w:val="en-AU"/>
        </w:rPr>
        <w:t>the likely increase in the number of ship movements</w:t>
      </w:r>
      <w:r w:rsidR="00DC456B">
        <w:rPr>
          <w:lang w:val="en-AU"/>
        </w:rPr>
        <w:t>,</w:t>
      </w:r>
      <w:r w:rsidRPr="00B703F0">
        <w:rPr>
          <w:lang w:val="en-AU"/>
        </w:rPr>
        <w:t xml:space="preserve"> increas</w:t>
      </w:r>
      <w:r w:rsidR="00DC456B">
        <w:rPr>
          <w:lang w:val="en-AU"/>
        </w:rPr>
        <w:t>ing</w:t>
      </w:r>
      <w:r w:rsidRPr="00B703F0">
        <w:rPr>
          <w:lang w:val="en-AU"/>
        </w:rPr>
        <w:t xml:space="preserve"> the future number of wreck incidents with disputed cost recovery from the ship</w:t>
      </w:r>
      <w:r w:rsidR="008C6DD5">
        <w:rPr>
          <w:lang w:val="en-AU"/>
        </w:rPr>
        <w:t xml:space="preserve"> </w:t>
      </w:r>
      <w:r w:rsidRPr="00B703F0">
        <w:rPr>
          <w:lang w:val="en-AU"/>
        </w:rPr>
        <w:t>owner.</w:t>
      </w:r>
    </w:p>
    <w:p w14:paraId="1B8B9FE1" w14:textId="77777777" w:rsidR="00DE6CB5" w:rsidRPr="00B703F0" w:rsidRDefault="00DE6CB5" w:rsidP="00691859">
      <w:pPr>
        <w:pStyle w:val="Bullet2"/>
      </w:pPr>
      <w:r w:rsidRPr="00B703F0">
        <w:t>Impact: Uncertain – Reduced benefits due to reduced number of wreck incidents in the future due to greater safety offset by increased number of ship movements increasing the future number of wrecks.</w:t>
      </w:r>
    </w:p>
    <w:p w14:paraId="56812E10" w14:textId="6FDEF56F" w:rsidR="00DE6CB5" w:rsidRPr="00B703F0" w:rsidRDefault="00DE6CB5" w:rsidP="00DE6CB5">
      <w:pPr>
        <w:pStyle w:val="Bullet1"/>
        <w:rPr>
          <w:lang w:val="en-AU"/>
        </w:rPr>
      </w:pPr>
      <w:r w:rsidRPr="00B703F0">
        <w:rPr>
          <w:lang w:val="en-AU"/>
        </w:rPr>
        <w:t xml:space="preserve">No account was made of the potential impact of time limits on cost recovery actions under the Nairobi Convention (compared to no time limits currently under the Navigation Act). In terms of economic impacts, </w:t>
      </w:r>
      <w:r w:rsidR="002958A5">
        <w:rPr>
          <w:lang w:val="en-AU"/>
        </w:rPr>
        <w:t>this may result in</w:t>
      </w:r>
      <w:r w:rsidRPr="00B703F0">
        <w:rPr>
          <w:lang w:val="en-AU"/>
        </w:rPr>
        <w:t xml:space="preserve"> AMSA</w:t>
      </w:r>
      <w:r w:rsidR="002958A5">
        <w:rPr>
          <w:lang w:val="en-AU"/>
        </w:rPr>
        <w:t xml:space="preserve"> being</w:t>
      </w:r>
      <w:r w:rsidRPr="00B703F0">
        <w:rPr>
          <w:lang w:val="en-AU"/>
        </w:rPr>
        <w:t xml:space="preserve"> extra cautious and determining that a wreck</w:t>
      </w:r>
      <w:r w:rsidR="002958A5">
        <w:rPr>
          <w:lang w:val="en-AU"/>
        </w:rPr>
        <w:t>,</w:t>
      </w:r>
      <w:r w:rsidRPr="00B703F0">
        <w:rPr>
          <w:lang w:val="en-AU"/>
        </w:rPr>
        <w:t xml:space="preserve"> which is not immediately a hazard</w:t>
      </w:r>
      <w:r w:rsidR="002958A5">
        <w:rPr>
          <w:lang w:val="en-AU"/>
        </w:rPr>
        <w:t>,</w:t>
      </w:r>
      <w:r w:rsidRPr="00B703F0">
        <w:rPr>
          <w:lang w:val="en-AU"/>
        </w:rPr>
        <w:t xml:space="preserve"> </w:t>
      </w:r>
      <w:r w:rsidR="006871B0">
        <w:rPr>
          <w:lang w:val="en-AU"/>
        </w:rPr>
        <w:t>is</w:t>
      </w:r>
      <w:r w:rsidRPr="00B703F0">
        <w:rPr>
          <w:lang w:val="en-AU"/>
        </w:rPr>
        <w:t xml:space="preserve"> a hazard in case the time window for providing directions closes.</w:t>
      </w:r>
    </w:p>
    <w:p w14:paraId="34D105E9" w14:textId="415942E5" w:rsidR="00DE6CB5" w:rsidRPr="00B703F0" w:rsidRDefault="00DE6CB5" w:rsidP="00691859">
      <w:pPr>
        <w:pStyle w:val="Bullet2"/>
      </w:pPr>
      <w:r w:rsidRPr="00B703F0">
        <w:t xml:space="preserve">Impact: Uncertain, but potentially </w:t>
      </w:r>
      <w:r w:rsidR="00A335AF" w:rsidRPr="00B703F0">
        <w:t>i</w:t>
      </w:r>
      <w:r w:rsidRPr="00B703F0">
        <w:t>ncreased costs due to more wreck removals being ordered to be cleaned-up than would otherwise occur.</w:t>
      </w:r>
    </w:p>
    <w:p w14:paraId="51DC9D46" w14:textId="17675DCA" w:rsidR="00DE6CB5" w:rsidRPr="00B703F0" w:rsidRDefault="00DE6CB5" w:rsidP="00DE6CB5">
      <w:pPr>
        <w:pStyle w:val="Bullet1"/>
        <w:rPr>
          <w:lang w:val="en-AU"/>
        </w:rPr>
      </w:pPr>
      <w:r w:rsidRPr="00B703F0">
        <w:rPr>
          <w:lang w:val="en-AU"/>
        </w:rPr>
        <w:t>The additional cost recovery from ship</w:t>
      </w:r>
      <w:r w:rsidR="008C6DD5">
        <w:rPr>
          <w:lang w:val="en-AU"/>
        </w:rPr>
        <w:t xml:space="preserve"> </w:t>
      </w:r>
      <w:r w:rsidR="00696B31">
        <w:rPr>
          <w:lang w:val="en-AU"/>
        </w:rPr>
        <w:t xml:space="preserve">owners under Options 3 and </w:t>
      </w:r>
      <w:r w:rsidR="00593768">
        <w:rPr>
          <w:lang w:val="en-AU"/>
        </w:rPr>
        <w:t>4</w:t>
      </w:r>
      <w:r w:rsidRPr="00B703F0">
        <w:rPr>
          <w:lang w:val="en-AU"/>
        </w:rPr>
        <w:t>, were conservatively assumed to be 80</w:t>
      </w:r>
      <w:r w:rsidR="00945F85">
        <w:rPr>
          <w:lang w:val="en-AU"/>
        </w:rPr>
        <w:t> per cent</w:t>
      </w:r>
      <w:r w:rsidRPr="00B703F0">
        <w:rPr>
          <w:lang w:val="en-AU"/>
        </w:rPr>
        <w:t xml:space="preserve"> and 85</w:t>
      </w:r>
      <w:r w:rsidR="00945F85">
        <w:rPr>
          <w:lang w:val="en-AU"/>
        </w:rPr>
        <w:t xml:space="preserve"> per cent</w:t>
      </w:r>
      <w:r w:rsidRPr="00B703F0">
        <w:rPr>
          <w:lang w:val="en-AU"/>
        </w:rPr>
        <w:t>, respectively. The clearer definitions and strict liability provisions under the Nairobi Convention could be expected to increase cost recovery.</w:t>
      </w:r>
    </w:p>
    <w:p w14:paraId="178A7A46" w14:textId="2545B8D1" w:rsidR="00DE6CB5" w:rsidRPr="00B703F0" w:rsidRDefault="00DE6CB5" w:rsidP="00691859">
      <w:pPr>
        <w:pStyle w:val="Bullet2"/>
      </w:pPr>
      <w:r w:rsidRPr="00B703F0">
        <w:t>Impact: Increased social benefits due to increased payments for wreck recovery operations by the ship</w:t>
      </w:r>
      <w:r w:rsidR="008C6DD5">
        <w:t xml:space="preserve"> </w:t>
      </w:r>
      <w:r w:rsidRPr="00B703F0">
        <w:t>owner directly involved in an incident.</w:t>
      </w:r>
    </w:p>
    <w:p w14:paraId="2054F311" w14:textId="7385CD78" w:rsidR="003A2138" w:rsidRPr="00D46EA3" w:rsidRDefault="00DE6CB5" w:rsidP="00D46EA3">
      <w:pPr>
        <w:pStyle w:val="Bullet1"/>
        <w:rPr>
          <w:lang w:val="en-AU"/>
        </w:rPr>
      </w:pPr>
      <w:r w:rsidRPr="00B703F0">
        <w:rPr>
          <w:lang w:val="en-AU"/>
        </w:rPr>
        <w:t>The analysis that has been undertaken has focused on costs and benefits to the shipping industry (and direct ship</w:t>
      </w:r>
      <w:r w:rsidR="008C6DD5">
        <w:rPr>
          <w:lang w:val="en-AU"/>
        </w:rPr>
        <w:t xml:space="preserve"> </w:t>
      </w:r>
      <w:r w:rsidRPr="00B703F0">
        <w:rPr>
          <w:lang w:val="en-AU"/>
        </w:rPr>
        <w:t xml:space="preserve">owners). In practice, the majority of the shipping industry is owned and/or operated by foreign residents. </w:t>
      </w:r>
      <w:r w:rsidR="00593768">
        <w:rPr>
          <w:lang w:val="en-AU"/>
        </w:rPr>
        <w:t>T</w:t>
      </w:r>
      <w:r w:rsidRPr="00B703F0">
        <w:rPr>
          <w:lang w:val="en-AU"/>
        </w:rPr>
        <w:t xml:space="preserve">he guidance by the </w:t>
      </w:r>
      <w:r w:rsidR="004C3C0D">
        <w:rPr>
          <w:lang w:val="en-AU"/>
        </w:rPr>
        <w:t>Office of Best Practice Regulation</w:t>
      </w:r>
      <w:r w:rsidRPr="00B703F0">
        <w:rPr>
          <w:lang w:val="en-AU"/>
        </w:rPr>
        <w:t xml:space="preserve"> is, as far as practical, to count the costs and benefits to all people residing in Australia, rather than measuring international impacts. Data limitations have precluded such analysis. However, as the shipping industry is providing services to Australian residents, changes in the costs and benefits to international providers are likely to be reflected in the future cost of their services </w:t>
      </w:r>
      <w:r w:rsidR="004C3C0D">
        <w:rPr>
          <w:lang w:val="en-AU"/>
        </w:rPr>
        <w:t xml:space="preserve">and products </w:t>
      </w:r>
      <w:r w:rsidRPr="00B703F0">
        <w:rPr>
          <w:lang w:val="en-AU"/>
        </w:rPr>
        <w:t>to Australians.</w:t>
      </w:r>
      <w:r w:rsidR="00A335AF" w:rsidRPr="00B703F0">
        <w:rPr>
          <w:lang w:val="en-AU"/>
        </w:rPr>
        <w:t xml:space="preserve"> </w:t>
      </w:r>
    </w:p>
    <w:p w14:paraId="0F1B2D71" w14:textId="77777777" w:rsidR="00760F89" w:rsidRPr="004908DC" w:rsidRDefault="00760F89" w:rsidP="00760F89">
      <w:pPr>
        <w:pStyle w:val="Heading1Numbered"/>
      </w:pPr>
      <w:bookmarkStart w:id="228" w:name="_Toc96354996"/>
      <w:bookmarkStart w:id="229" w:name="_Toc105060789"/>
      <w:r w:rsidRPr="004908DC">
        <w:lastRenderedPageBreak/>
        <w:t>Recommended option</w:t>
      </w:r>
      <w:bookmarkEnd w:id="228"/>
      <w:bookmarkEnd w:id="229"/>
    </w:p>
    <w:p w14:paraId="3B313BD8" w14:textId="4C5BE7CF" w:rsidR="00EE4136" w:rsidRPr="004908DC" w:rsidRDefault="00EE4136" w:rsidP="00EE4136">
      <w:r w:rsidRPr="004908DC">
        <w:t xml:space="preserve">The recommended option is Option 3 – Australia acceding to the Nairobi Convention and applying it </w:t>
      </w:r>
      <w:r w:rsidR="004908DC" w:rsidRPr="004908DC">
        <w:t xml:space="preserve">to all ships </w:t>
      </w:r>
      <w:r w:rsidRPr="004908DC">
        <w:t>in the EEZ</w:t>
      </w:r>
      <w:r w:rsidR="004908DC">
        <w:t xml:space="preserve">. Australia will </w:t>
      </w:r>
      <w:r w:rsidR="00F63D98">
        <w:t xml:space="preserve">also </w:t>
      </w:r>
      <w:r w:rsidR="004908DC">
        <w:t xml:space="preserve">look to </w:t>
      </w:r>
      <w:r w:rsidR="00F63D98">
        <w:t xml:space="preserve">mirror </w:t>
      </w:r>
      <w:r w:rsidR="004908DC">
        <w:t xml:space="preserve">the requirements of the Nairobi Convention in the territorial sea for foreign vessels and RAVs through Commonwealth legislation but without accession. After Option 3 has been implemented, Australia </w:t>
      </w:r>
      <w:r w:rsidR="00DE04BA">
        <w:t>can</w:t>
      </w:r>
      <w:r w:rsidR="004908DC">
        <w:t xml:space="preserve"> </w:t>
      </w:r>
      <w:r w:rsidR="00897D0B">
        <w:t>revisit</w:t>
      </w:r>
      <w:r w:rsidR="004908DC">
        <w:t xml:space="preserve"> if there is an additional need or desire to expand accession into the territorial sea</w:t>
      </w:r>
      <w:r w:rsidR="00955F4C" w:rsidRPr="00955F4C">
        <w:t xml:space="preserve"> so as to capture DCVs and recreational vessels</w:t>
      </w:r>
      <w:r w:rsidR="004908DC">
        <w:t>.</w:t>
      </w:r>
    </w:p>
    <w:p w14:paraId="6AD196BF" w14:textId="5C320C4C" w:rsidR="00EE4136" w:rsidRPr="001D7737" w:rsidRDefault="00EE4136" w:rsidP="00EE4136">
      <w:pPr>
        <w:rPr>
          <w:b/>
        </w:rPr>
      </w:pPr>
      <w:r w:rsidRPr="001D7737">
        <w:rPr>
          <w:b/>
        </w:rPr>
        <w:t xml:space="preserve">Option 3 has </w:t>
      </w:r>
      <w:r w:rsidR="004908DC" w:rsidRPr="001D7737">
        <w:rPr>
          <w:b/>
        </w:rPr>
        <w:t>high</w:t>
      </w:r>
      <w:r w:rsidRPr="001D7737">
        <w:rPr>
          <w:b/>
        </w:rPr>
        <w:t xml:space="preserve"> net </w:t>
      </w:r>
      <w:r w:rsidR="002958A5" w:rsidRPr="001D7737">
        <w:rPr>
          <w:b/>
        </w:rPr>
        <w:t>benefits</w:t>
      </w:r>
    </w:p>
    <w:p w14:paraId="05910FF5" w14:textId="2635B780" w:rsidR="00EE4136" w:rsidRPr="00007209" w:rsidRDefault="00EE4136" w:rsidP="00EE4136">
      <w:pPr>
        <w:rPr>
          <w:highlight w:val="magenta"/>
        </w:rPr>
      </w:pPr>
      <w:r w:rsidRPr="001D7737">
        <w:t>Option 3 provide</w:t>
      </w:r>
      <w:r w:rsidR="00897D0B">
        <w:t>s</w:t>
      </w:r>
      <w:r w:rsidRPr="001D7737">
        <w:t xml:space="preserve"> </w:t>
      </w:r>
      <w:r w:rsidR="00B73310" w:rsidRPr="001D7737">
        <w:t>a high benefit, includ</w:t>
      </w:r>
      <w:r w:rsidR="00955F4C">
        <w:t>ing</w:t>
      </w:r>
      <w:r w:rsidR="00B73310" w:rsidRPr="001D7737">
        <w:t xml:space="preserve"> b</w:t>
      </w:r>
      <w:r w:rsidR="00955F4C">
        <w:t>r</w:t>
      </w:r>
      <w:r w:rsidR="00B73310" w:rsidRPr="001D7737">
        <w:t xml:space="preserve">oad economic benefits </w:t>
      </w:r>
      <w:r w:rsidRPr="001D7737">
        <w:t>in all circumstances as it avoid</w:t>
      </w:r>
      <w:r w:rsidR="00B73310" w:rsidRPr="001D7737">
        <w:t>s</w:t>
      </w:r>
      <w:r w:rsidRPr="001D7737">
        <w:t xml:space="preserve"> disputes over responsibility for wreck incidents and so lower</w:t>
      </w:r>
      <w:r w:rsidR="00B73310" w:rsidRPr="001D7737">
        <w:t>s</w:t>
      </w:r>
      <w:r w:rsidRPr="001D7737">
        <w:t xml:space="preserve"> legal and financial security</w:t>
      </w:r>
      <w:r w:rsidR="00B73310" w:rsidRPr="001D7737">
        <w:t>-</w:t>
      </w:r>
      <w:r w:rsidRPr="001D7737">
        <w:t xml:space="preserve">related costs. </w:t>
      </w:r>
      <w:r w:rsidR="002958A5" w:rsidRPr="001D7737">
        <w:t>Even the cost-benefit ratios calculated that are at the lower end of the range</w:t>
      </w:r>
      <w:r w:rsidR="00942AE4" w:rsidRPr="001D7737">
        <w:t xml:space="preserve"> show</w:t>
      </w:r>
      <w:r w:rsidR="002958A5" w:rsidRPr="001D7737">
        <w:t xml:space="preserve"> there is sufficient benefit to justify action to ratify the </w:t>
      </w:r>
      <w:r w:rsidR="00825A61" w:rsidRPr="001D7737">
        <w:t xml:space="preserve">Nairobi </w:t>
      </w:r>
      <w:r w:rsidR="002958A5" w:rsidRPr="001D7737">
        <w:t xml:space="preserve">Convention. </w:t>
      </w:r>
      <w:r w:rsidRPr="001D7737">
        <w:t>There are</w:t>
      </w:r>
      <w:r w:rsidR="00155001" w:rsidRPr="001D7737">
        <w:t xml:space="preserve"> continuing</w:t>
      </w:r>
      <w:r w:rsidRPr="001D7737">
        <w:t xml:space="preserve"> uncertainties surrounding the economic benefits of Option 3 as they depend on the circumstances of the individual wreck incident</w:t>
      </w:r>
      <w:r w:rsidR="001A6A6E" w:rsidRPr="001D7737">
        <w:t xml:space="preserve">. </w:t>
      </w:r>
    </w:p>
    <w:p w14:paraId="291DD324" w14:textId="1817D7C4" w:rsidR="00EE4136" w:rsidRPr="001D7737" w:rsidRDefault="00EE4136" w:rsidP="00EE4136">
      <w:r w:rsidRPr="001D7737">
        <w:t>Option 3 does result in a transfer of wreck</w:t>
      </w:r>
      <w:r w:rsidRPr="001D7737">
        <w:noBreakHyphen/>
        <w:t>related costs from the Australian Government to ship owners</w:t>
      </w:r>
      <w:r w:rsidR="00575549" w:rsidRPr="001D7737">
        <w:t xml:space="preserve"> (the risk creators)</w:t>
      </w:r>
      <w:r w:rsidRPr="001D7737">
        <w:t xml:space="preserve"> but this is not expected to disrupt maritime trade or act as a barrier to new entrants because: </w:t>
      </w:r>
    </w:p>
    <w:p w14:paraId="7839DB33" w14:textId="71D4AD31" w:rsidR="00EE4136" w:rsidRPr="001D7737" w:rsidRDefault="00EE4136" w:rsidP="00EE4136">
      <w:pPr>
        <w:pStyle w:val="Bullet1"/>
      </w:pPr>
      <w:r w:rsidRPr="001D7737">
        <w:t xml:space="preserve">Australia will be adopting a widely accepted international standard, which many ship owners already comply with. </w:t>
      </w:r>
      <w:r w:rsidR="00B46B77" w:rsidRPr="001D7737">
        <w:rPr>
          <w:lang w:val="en-US"/>
        </w:rPr>
        <w:t>According to the Protection of the Sea Levy data, a</w:t>
      </w:r>
      <w:r w:rsidR="002958A5" w:rsidRPr="001D7737">
        <w:rPr>
          <w:lang w:val="en-AU"/>
        </w:rPr>
        <w:t>n</w:t>
      </w:r>
      <w:r w:rsidRPr="001D7737">
        <w:t xml:space="preserve"> estimated 89 per cent of ships visiting Australia </w:t>
      </w:r>
      <w:r w:rsidR="002958A5" w:rsidRPr="001D7737">
        <w:rPr>
          <w:lang w:val="en-US"/>
        </w:rPr>
        <w:t>already comply</w:t>
      </w:r>
      <w:r w:rsidR="00B46B77" w:rsidRPr="001D7737">
        <w:rPr>
          <w:lang w:val="en-US"/>
        </w:rPr>
        <w:t xml:space="preserve"> with the Nairobi Convention</w:t>
      </w:r>
      <w:r w:rsidRPr="001D7737">
        <w:t xml:space="preserve">. </w:t>
      </w:r>
    </w:p>
    <w:p w14:paraId="5E9B2C89" w14:textId="64CD1C3A" w:rsidR="00EE4136" w:rsidRPr="001D7737" w:rsidRDefault="000D16EE" w:rsidP="00EE4136">
      <w:pPr>
        <w:pStyle w:val="Bullet1"/>
        <w:rPr>
          <w:lang w:val="en-US"/>
        </w:rPr>
      </w:pPr>
      <w:r w:rsidRPr="001D7737">
        <w:rPr>
          <w:lang w:val="en-AU"/>
        </w:rPr>
        <w:t xml:space="preserve">compliance-related </w:t>
      </w:r>
      <w:r w:rsidR="00EE4136" w:rsidRPr="001D7737">
        <w:t xml:space="preserve">costs </w:t>
      </w:r>
      <w:r w:rsidRPr="001D7737">
        <w:rPr>
          <w:lang w:val="en-AU"/>
        </w:rPr>
        <w:t xml:space="preserve">(e.g. insurance premiums) </w:t>
      </w:r>
      <w:r w:rsidR="00257C3D" w:rsidRPr="001D7737">
        <w:rPr>
          <w:lang w:val="en-AU"/>
        </w:rPr>
        <w:t>may</w:t>
      </w:r>
      <w:r w:rsidR="00257C3D" w:rsidRPr="001D7737">
        <w:t xml:space="preserve"> </w:t>
      </w:r>
      <w:r w:rsidR="00EE4136" w:rsidRPr="001D7737">
        <w:t>be passed on</w:t>
      </w:r>
      <w:r w:rsidR="001F7023">
        <w:rPr>
          <w:lang w:val="en-US"/>
        </w:rPr>
        <w:t xml:space="preserve"> by commercial ship owners</w:t>
      </w:r>
      <w:r w:rsidR="00EE4136" w:rsidRPr="001D7737">
        <w:t xml:space="preserve"> to freight forwarders</w:t>
      </w:r>
      <w:r w:rsidR="00EE4136" w:rsidRPr="001D7737">
        <w:rPr>
          <w:lang w:val="en-US"/>
        </w:rPr>
        <w:t xml:space="preserve">, </w:t>
      </w:r>
      <w:r w:rsidR="00EE4136" w:rsidRPr="001D7737">
        <w:t>the charter</w:t>
      </w:r>
      <w:r w:rsidR="005451FC" w:rsidRPr="001D7737">
        <w:rPr>
          <w:lang w:val="en-AU"/>
        </w:rPr>
        <w:t>ers</w:t>
      </w:r>
      <w:r w:rsidR="00EE4136" w:rsidRPr="001D7737">
        <w:t xml:space="preserve"> </w:t>
      </w:r>
      <w:r w:rsidR="00EE4136" w:rsidRPr="001D7737">
        <w:rPr>
          <w:lang w:val="en-US"/>
        </w:rPr>
        <w:t xml:space="preserve">or </w:t>
      </w:r>
      <w:r w:rsidR="00EE4136" w:rsidRPr="001D7737">
        <w:t xml:space="preserve">ship operators, or the ship owner can seek </w:t>
      </w:r>
      <w:r w:rsidR="00EE4136" w:rsidRPr="001D7737">
        <w:rPr>
          <w:rFonts w:cstheme="minorHAnsi"/>
          <w:szCs w:val="21"/>
        </w:rPr>
        <w:t xml:space="preserve">reimbursement of any </w:t>
      </w:r>
      <w:r w:rsidR="00EE4136" w:rsidRPr="001D7737">
        <w:t>wreck</w:t>
      </w:r>
      <w:r w:rsidR="00EE4136" w:rsidRPr="001D7737">
        <w:noBreakHyphen/>
        <w:t>related costs from</w:t>
      </w:r>
      <w:r w:rsidR="00EE4136" w:rsidRPr="001D7737">
        <w:rPr>
          <w:lang w:val="en-US"/>
        </w:rPr>
        <w:t xml:space="preserve"> the party operating the ship</w:t>
      </w:r>
      <w:r w:rsidR="00EE4136" w:rsidRPr="001D7737">
        <w:t xml:space="preserve"> through their contractual arrangements.</w:t>
      </w:r>
    </w:p>
    <w:p w14:paraId="59895CCA" w14:textId="75CD7F4A" w:rsidR="00B73310" w:rsidRPr="0029427D" w:rsidRDefault="00B73310" w:rsidP="0029427D">
      <w:pPr>
        <w:pStyle w:val="Bullet1"/>
        <w:numPr>
          <w:ilvl w:val="0"/>
          <w:numId w:val="0"/>
        </w:numPr>
        <w:ind w:left="284" w:hanging="284"/>
        <w:rPr>
          <w:lang w:val="en-AU"/>
        </w:rPr>
      </w:pPr>
      <w:r w:rsidRPr="0029427D">
        <w:rPr>
          <w:lang w:val="en-AU"/>
        </w:rPr>
        <w:t>Option 4 does offer</w:t>
      </w:r>
      <w:r w:rsidR="00296613" w:rsidRPr="0029427D">
        <w:rPr>
          <w:lang w:val="en-AU"/>
        </w:rPr>
        <w:t xml:space="preserve"> slightly higher benefits, however, Option 3 is</w:t>
      </w:r>
      <w:r w:rsidR="00DD4740">
        <w:rPr>
          <w:lang w:val="en-AU"/>
        </w:rPr>
        <w:t xml:space="preserve"> considered the better option because: </w:t>
      </w:r>
      <w:r w:rsidR="00296613" w:rsidRPr="0029427D">
        <w:rPr>
          <w:lang w:val="en-AU"/>
        </w:rPr>
        <w:t xml:space="preserve"> </w:t>
      </w:r>
    </w:p>
    <w:p w14:paraId="1858C283" w14:textId="4C8951C9" w:rsidR="00DD4740" w:rsidRPr="00556F67" w:rsidRDefault="00DD4740" w:rsidP="0029427D">
      <w:pPr>
        <w:pStyle w:val="Bullet1"/>
        <w:rPr>
          <w:lang w:val="en-AU"/>
        </w:rPr>
      </w:pPr>
      <w:r w:rsidRPr="00556F67">
        <w:rPr>
          <w:lang w:val="en-AU"/>
        </w:rPr>
        <w:t xml:space="preserve">RAVs and foreign vessels will </w:t>
      </w:r>
      <w:r>
        <w:rPr>
          <w:lang w:val="en-AU"/>
        </w:rPr>
        <w:t xml:space="preserve">be subject to </w:t>
      </w:r>
      <w:r w:rsidR="00556F67">
        <w:rPr>
          <w:lang w:val="en-AU"/>
        </w:rPr>
        <w:t>consistent wreck removal regulations</w:t>
      </w:r>
      <w:r>
        <w:rPr>
          <w:lang w:val="en-AU"/>
        </w:rPr>
        <w:t xml:space="preserve"> wherever </w:t>
      </w:r>
      <w:r w:rsidRPr="0029427D">
        <w:rPr>
          <w:lang w:val="en-AU"/>
        </w:rPr>
        <w:t>they are located in Australian water</w:t>
      </w:r>
      <w:r>
        <w:rPr>
          <w:lang w:val="en-AU"/>
        </w:rPr>
        <w:t>s through accession to the Nairobi Convention combined wit</w:t>
      </w:r>
      <w:r w:rsidR="00556F67">
        <w:rPr>
          <w:lang w:val="en-AU"/>
        </w:rPr>
        <w:t>h changes to the Navigation Act.</w:t>
      </w:r>
      <w:r>
        <w:rPr>
          <w:lang w:val="en-AU"/>
        </w:rPr>
        <w:t xml:space="preserve"> </w:t>
      </w:r>
    </w:p>
    <w:p w14:paraId="33367350" w14:textId="713A5E01" w:rsidR="00DD4740" w:rsidRPr="001D00AC" w:rsidRDefault="00296613">
      <w:pPr>
        <w:pStyle w:val="Bullet1"/>
        <w:rPr>
          <w:lang w:val="en-AU"/>
        </w:rPr>
      </w:pPr>
      <w:r w:rsidRPr="00DD4740">
        <w:rPr>
          <w:lang w:val="en-AU"/>
        </w:rPr>
        <w:t>DCVs and recreational vessels will remain largely regulated by state and territory governments</w:t>
      </w:r>
      <w:r w:rsidR="00DD4740" w:rsidRPr="00DD4740">
        <w:rPr>
          <w:lang w:val="en-AU"/>
        </w:rPr>
        <w:t xml:space="preserve"> </w:t>
      </w:r>
      <w:r w:rsidR="001D00AC">
        <w:rPr>
          <w:lang w:val="en-AU"/>
        </w:rPr>
        <w:t xml:space="preserve">unless in the EEZ where ship owners will be responsible for wrecks and need insurance for vessels </w:t>
      </w:r>
      <w:r w:rsidR="001D00AC" w:rsidRPr="00DD4740">
        <w:rPr>
          <w:lang w:val="en-AU"/>
        </w:rPr>
        <w:t>300GT and over</w:t>
      </w:r>
      <w:r w:rsidR="001D00AC">
        <w:rPr>
          <w:lang w:val="en-AU"/>
        </w:rPr>
        <w:t xml:space="preserve">. </w:t>
      </w:r>
      <w:r w:rsidR="00DD4740" w:rsidRPr="001D00AC">
        <w:rPr>
          <w:lang w:val="en-AU"/>
        </w:rPr>
        <w:t>While this is a new regulatory burden for these stakeholders it is a small cost that is commensurate to the risk they pose given their increased ability to create a hazardous wreck given their size. It is also possible these ships will be travelling international and so already hold wreck removal insurance given the large percentage of States who are a party to the Nairobi Convention.</w:t>
      </w:r>
      <w:r w:rsidR="001D00AC">
        <w:rPr>
          <w:lang w:val="en-AU"/>
        </w:rPr>
        <w:t xml:space="preserve"> </w:t>
      </w:r>
    </w:p>
    <w:p w14:paraId="1FCBBEBE" w14:textId="368FC7FE" w:rsidR="005B2D8A" w:rsidRDefault="00DD4740">
      <w:pPr>
        <w:pStyle w:val="Bullet1"/>
        <w:rPr>
          <w:lang w:val="en-AU"/>
        </w:rPr>
      </w:pPr>
      <w:r>
        <w:rPr>
          <w:lang w:val="en-AU"/>
        </w:rPr>
        <w:t>w</w:t>
      </w:r>
      <w:r w:rsidR="00B72F0A">
        <w:rPr>
          <w:lang w:val="en-AU"/>
        </w:rPr>
        <w:t xml:space="preserve">hile the accession and application of the Nairobi Convention </w:t>
      </w:r>
      <w:r w:rsidR="005B2D8A">
        <w:rPr>
          <w:lang w:val="en-AU"/>
        </w:rPr>
        <w:t xml:space="preserve">in the territorial sea </w:t>
      </w:r>
      <w:r w:rsidR="00B72F0A">
        <w:rPr>
          <w:lang w:val="en-AU"/>
        </w:rPr>
        <w:t xml:space="preserve">would create a single, consistent wreck removal framework for industry, </w:t>
      </w:r>
      <w:r w:rsidR="005B34FD">
        <w:rPr>
          <w:lang w:val="en-AU"/>
        </w:rPr>
        <w:t xml:space="preserve">it would create overlapping legislative frameworks making </w:t>
      </w:r>
      <w:r w:rsidR="00B72F0A">
        <w:rPr>
          <w:lang w:val="en-AU"/>
        </w:rPr>
        <w:t xml:space="preserve">implementation complex and </w:t>
      </w:r>
      <w:r w:rsidR="005B34FD">
        <w:rPr>
          <w:lang w:val="en-AU"/>
        </w:rPr>
        <w:t xml:space="preserve">resulting in </w:t>
      </w:r>
      <w:r w:rsidR="00B72F0A">
        <w:rPr>
          <w:lang w:val="en-AU"/>
        </w:rPr>
        <w:t xml:space="preserve">a significant impact on regulators. </w:t>
      </w:r>
    </w:p>
    <w:p w14:paraId="4CF35783" w14:textId="1816DE3C" w:rsidR="0016209B" w:rsidRPr="00D25F15" w:rsidRDefault="00B72F0A" w:rsidP="005B2D8A">
      <w:pPr>
        <w:pStyle w:val="Bullet1"/>
        <w:numPr>
          <w:ilvl w:val="0"/>
          <w:numId w:val="0"/>
        </w:numPr>
        <w:ind w:left="284"/>
        <w:rPr>
          <w:lang w:val="en-AU"/>
        </w:rPr>
      </w:pPr>
      <w:r>
        <w:rPr>
          <w:lang w:val="en-AU"/>
        </w:rPr>
        <w:t>Option 4</w:t>
      </w:r>
      <w:r w:rsidRPr="00B72F0A">
        <w:rPr>
          <w:lang w:val="en-AU"/>
        </w:rPr>
        <w:t xml:space="preserve"> </w:t>
      </w:r>
      <w:r w:rsidRPr="00D25F15">
        <w:rPr>
          <w:lang w:val="en-AU"/>
        </w:rPr>
        <w:t>results in a regulatory overlap between Commonwealth and state/territory law</w:t>
      </w:r>
      <w:r w:rsidR="005B34FD">
        <w:rPr>
          <w:lang w:val="en-AU"/>
        </w:rPr>
        <w:t xml:space="preserve"> in coastal waters</w:t>
      </w:r>
      <w:r w:rsidRPr="00D25F15">
        <w:rPr>
          <w:lang w:val="en-AU"/>
        </w:rPr>
        <w:t xml:space="preserve"> that would require complex and lengthy negotiations to resolve</w:t>
      </w:r>
      <w:r>
        <w:rPr>
          <w:lang w:val="en-AU"/>
        </w:rPr>
        <w:t xml:space="preserve"> before implementation of the Nairobi Convention could commence. It creates the situation where the Australian Government would need to override </w:t>
      </w:r>
      <w:r w:rsidRPr="00D25F15">
        <w:rPr>
          <w:lang w:val="en-AU"/>
        </w:rPr>
        <w:t xml:space="preserve">state and territory law, or implement </w:t>
      </w:r>
      <w:r w:rsidR="00955F4C">
        <w:rPr>
          <w:lang w:val="en-AU"/>
        </w:rPr>
        <w:t>a</w:t>
      </w:r>
      <w:r w:rsidRPr="00C025E8">
        <w:t xml:space="preserve"> scheme</w:t>
      </w:r>
      <w:r w:rsidRPr="00D25F15">
        <w:rPr>
          <w:lang w:val="en-AU"/>
        </w:rPr>
        <w:t xml:space="preserve"> similar to the National Law that would implement a </w:t>
      </w:r>
      <w:r>
        <w:rPr>
          <w:lang w:val="en-AU"/>
        </w:rPr>
        <w:t>consistent</w:t>
      </w:r>
      <w:r w:rsidRPr="00D25F15">
        <w:rPr>
          <w:lang w:val="en-AU"/>
        </w:rPr>
        <w:t xml:space="preserve"> DCV and recreational vessel wreck removal framework in the states and territories. </w:t>
      </w:r>
      <w:r>
        <w:rPr>
          <w:lang w:val="en-AU"/>
        </w:rPr>
        <w:t xml:space="preserve">It also creates the scenario where the responsibilities for ocean wrecks would transfer from state and territories to AMSA, </w:t>
      </w:r>
      <w:r w:rsidRPr="00D25F15">
        <w:rPr>
          <w:lang w:val="en-AU"/>
        </w:rPr>
        <w:t>causing wide spread administrative and practical disruptions to all of Australia’s maritime safety organisations.</w:t>
      </w:r>
      <w:r>
        <w:rPr>
          <w:lang w:val="en-AU"/>
        </w:rPr>
        <w:t xml:space="preserve"> AMSA would need resources </w:t>
      </w:r>
      <w:r w:rsidRPr="00D25F15">
        <w:rPr>
          <w:lang w:val="en-AU"/>
        </w:rPr>
        <w:t>to respond to the significant increase</w:t>
      </w:r>
      <w:r w:rsidR="00955F4C" w:rsidRPr="00955F4C">
        <w:t xml:space="preserve"> </w:t>
      </w:r>
      <w:r w:rsidR="00955F4C">
        <w:rPr>
          <w:lang w:val="en-AU"/>
        </w:rPr>
        <w:t xml:space="preserve">in </w:t>
      </w:r>
      <w:r w:rsidR="00955F4C" w:rsidRPr="00955F4C">
        <w:rPr>
          <w:lang w:val="en-AU"/>
        </w:rPr>
        <w:t>ensuring compliance with insurance requirements and managing</w:t>
      </w:r>
      <w:r w:rsidRPr="00D25F15">
        <w:rPr>
          <w:lang w:val="en-AU"/>
        </w:rPr>
        <w:t xml:space="preserve"> wrecks</w:t>
      </w:r>
      <w:r w:rsidR="00955F4C">
        <w:rPr>
          <w:lang w:val="en-AU"/>
        </w:rPr>
        <w:t>,</w:t>
      </w:r>
      <w:r w:rsidRPr="00D25F15">
        <w:rPr>
          <w:lang w:val="en-AU"/>
        </w:rPr>
        <w:t xml:space="preserve"> while state and territories would still need to maintain some capacity to respond to abandoned ships that did not meet the definition of a ‘wreck’ and wrecks in inland waters. Existing cost efficiencies</w:t>
      </w:r>
      <w:r>
        <w:rPr>
          <w:lang w:val="en-AU"/>
        </w:rPr>
        <w:t xml:space="preserve"> for states and territories</w:t>
      </w:r>
      <w:r w:rsidRPr="00D25F15">
        <w:rPr>
          <w:lang w:val="en-AU"/>
        </w:rPr>
        <w:t xml:space="preserve"> would be lost with this shrinking of responsibilities.</w:t>
      </w:r>
    </w:p>
    <w:p w14:paraId="02086B1A" w14:textId="67B58704" w:rsidR="00EE4136" w:rsidRPr="0029427D" w:rsidRDefault="00EE4136" w:rsidP="00EE4136">
      <w:pPr>
        <w:rPr>
          <w:b/>
        </w:rPr>
      </w:pPr>
      <w:r w:rsidRPr="0029427D">
        <w:rPr>
          <w:b/>
        </w:rPr>
        <w:t>Option 3 enhances the ability for the Australian Government to remove wrecks and recover costs</w:t>
      </w:r>
    </w:p>
    <w:p w14:paraId="18016411" w14:textId="5E8AE06F" w:rsidR="00EE4136" w:rsidRPr="0029427D" w:rsidRDefault="00EE4136" w:rsidP="00EE4136">
      <w:r w:rsidRPr="0029427D">
        <w:t xml:space="preserve">As shown in Table </w:t>
      </w:r>
      <w:r w:rsidR="00916F6A" w:rsidRPr="0029427D">
        <w:t>6</w:t>
      </w:r>
      <w:r w:rsidRPr="0029427D">
        <w:t xml:space="preserve">, Option 3 offers the Australian Government </w:t>
      </w:r>
      <w:r w:rsidR="00916F6A" w:rsidRPr="0029427D">
        <w:t xml:space="preserve">a good </w:t>
      </w:r>
      <w:r w:rsidR="001C03A3" w:rsidRPr="0029427D">
        <w:t>opportunity to recover</w:t>
      </w:r>
      <w:r w:rsidR="00263484" w:rsidRPr="0029427D">
        <w:t xml:space="preserve"> </w:t>
      </w:r>
      <w:r w:rsidR="00955F4C">
        <w:t xml:space="preserve">unpaid </w:t>
      </w:r>
      <w:r w:rsidR="00263484" w:rsidRPr="0029427D">
        <w:t xml:space="preserve">wreck-related costs </w:t>
      </w:r>
      <w:r w:rsidRPr="0029427D">
        <w:t xml:space="preserve">in more circumstances, limiting the need to </w:t>
      </w:r>
      <w:r w:rsidR="00955F4C">
        <w:t>use the</w:t>
      </w:r>
      <w:r w:rsidRPr="0029427D">
        <w:t xml:space="preserve"> Protection of the Sea regulatory framework depending on the circumstances. </w:t>
      </w:r>
      <w:r w:rsidR="00FF0E63">
        <w:t>It also minimises the impact on existing state and territory wreck removal frameworks and the potential for clashes between those frameworks and the Commonwealth</w:t>
      </w:r>
      <w:r w:rsidR="00284CF2">
        <w:t xml:space="preserve"> legislation</w:t>
      </w:r>
      <w:r w:rsidR="00FF0E63">
        <w:t xml:space="preserve">. </w:t>
      </w:r>
    </w:p>
    <w:p w14:paraId="0868ACAF" w14:textId="596E864E" w:rsidR="00EE4136" w:rsidRPr="004908DC" w:rsidRDefault="00EE4136" w:rsidP="00EE4136">
      <w:pPr>
        <w:pStyle w:val="Caption"/>
        <w:keepNext/>
      </w:pPr>
      <w:bookmarkStart w:id="230" w:name="_Toc96343133"/>
      <w:bookmarkStart w:id="231" w:name="_Toc105060765"/>
      <w:r w:rsidRPr="004908DC">
        <w:lastRenderedPageBreak/>
        <w:t xml:space="preserve">Table </w:t>
      </w:r>
      <w:r w:rsidR="00F13EFC" w:rsidRPr="004908DC">
        <w:rPr>
          <w:noProof/>
        </w:rPr>
        <w:t>6</w:t>
      </w:r>
      <w:r w:rsidRPr="004908DC">
        <w:t>: Ability for the Australian Government to recover costs associated with wrecks</w:t>
      </w:r>
      <w:r w:rsidRPr="004908DC">
        <w:rPr>
          <w:rStyle w:val="FootnoteReference"/>
        </w:rPr>
        <w:footnoteReference w:id="78"/>
      </w:r>
      <w:bookmarkEnd w:id="230"/>
      <w:bookmarkEnd w:id="231"/>
    </w:p>
    <w:tbl>
      <w:tblPr>
        <w:tblStyle w:val="DefaultTable1"/>
        <w:tblW w:w="10049" w:type="dxa"/>
        <w:jc w:val="center"/>
        <w:tblLook w:val="04E0" w:firstRow="1" w:lastRow="1" w:firstColumn="1" w:lastColumn="0" w:noHBand="0" w:noVBand="1"/>
        <w:tblCaption w:val="Sample table"/>
        <w:tblDescription w:val="Sample table"/>
      </w:tblPr>
      <w:tblGrid>
        <w:gridCol w:w="1682"/>
        <w:gridCol w:w="1295"/>
        <w:gridCol w:w="2126"/>
        <w:gridCol w:w="1894"/>
        <w:gridCol w:w="1970"/>
        <w:gridCol w:w="1082"/>
      </w:tblGrid>
      <w:tr w:rsidR="0029427D" w:rsidRPr="004908DC" w14:paraId="6E372F0A" w14:textId="77777777" w:rsidTr="0029427D">
        <w:trPr>
          <w:cnfStyle w:val="100000000000" w:firstRow="1" w:lastRow="0" w:firstColumn="0" w:lastColumn="0" w:oddVBand="0" w:evenVBand="0" w:oddHBand="0" w:evenHBand="0" w:firstRowFirstColumn="0" w:firstRowLastColumn="0" w:lastRowFirstColumn="0" w:lastRowLastColumn="0"/>
          <w:trHeight w:val="409"/>
          <w:jc w:val="center"/>
        </w:trPr>
        <w:tc>
          <w:tcPr>
            <w:cnfStyle w:val="001000000000" w:firstRow="0" w:lastRow="0" w:firstColumn="1" w:lastColumn="0" w:oddVBand="0" w:evenVBand="0" w:oddHBand="0" w:evenHBand="0" w:firstRowFirstColumn="0" w:firstRowLastColumn="0" w:lastRowFirstColumn="0" w:lastRowLastColumn="0"/>
            <w:tcW w:w="1682" w:type="dxa"/>
          </w:tcPr>
          <w:p w14:paraId="32B56B26" w14:textId="77777777" w:rsidR="00EE4136" w:rsidRPr="004908DC" w:rsidRDefault="00EE4136" w:rsidP="00EE4136">
            <w:r w:rsidRPr="004908DC">
              <w:t>Where the incident occurs</w:t>
            </w:r>
          </w:p>
        </w:tc>
        <w:tc>
          <w:tcPr>
            <w:tcW w:w="1295" w:type="dxa"/>
          </w:tcPr>
          <w:p w14:paraId="74DC65C5" w14:textId="77777777" w:rsidR="00EE4136" w:rsidRPr="004908DC" w:rsidRDefault="00EE4136" w:rsidP="00EE4136">
            <w:pPr>
              <w:cnfStyle w:val="100000000000" w:firstRow="1" w:lastRow="0" w:firstColumn="0" w:lastColumn="0" w:oddVBand="0" w:evenVBand="0" w:oddHBand="0" w:evenHBand="0" w:firstRowFirstColumn="0" w:firstRowLastColumn="0" w:lastRowFirstColumn="0" w:lastRowLastColumn="0"/>
            </w:pPr>
            <w:r w:rsidRPr="004908DC">
              <w:t>Nature of the wreck</w:t>
            </w:r>
          </w:p>
        </w:tc>
        <w:tc>
          <w:tcPr>
            <w:tcW w:w="2126" w:type="dxa"/>
          </w:tcPr>
          <w:p w14:paraId="46393605" w14:textId="1A24CB2E" w:rsidR="00EE4136" w:rsidRPr="004908DC" w:rsidRDefault="00966C75" w:rsidP="00EE4136">
            <w:pPr>
              <w:cnfStyle w:val="100000000000" w:firstRow="1" w:lastRow="0" w:firstColumn="0" w:lastColumn="0" w:oddVBand="0" w:evenVBand="0" w:oddHBand="0" w:evenHBand="0" w:firstRowFirstColumn="0" w:firstRowLastColumn="0" w:lastRowFirstColumn="0" w:lastRowLastColumn="0"/>
            </w:pPr>
            <w:r>
              <w:t>Type</w:t>
            </w:r>
            <w:r w:rsidRPr="004908DC">
              <w:t xml:space="preserve"> </w:t>
            </w:r>
            <w:r w:rsidR="00EE4136" w:rsidRPr="004908DC">
              <w:t>of the ship</w:t>
            </w:r>
          </w:p>
        </w:tc>
        <w:tc>
          <w:tcPr>
            <w:tcW w:w="1894" w:type="dxa"/>
          </w:tcPr>
          <w:p w14:paraId="1BDA369C" w14:textId="77777777" w:rsidR="00EE4136" w:rsidRPr="004908DC" w:rsidRDefault="00EE4136" w:rsidP="00EE4136">
            <w:pPr>
              <w:cnfStyle w:val="100000000000" w:firstRow="1" w:lastRow="0" w:firstColumn="0" w:lastColumn="0" w:oddVBand="0" w:evenVBand="0" w:oddHBand="0" w:evenHBand="0" w:firstRowFirstColumn="0" w:firstRowLastColumn="0" w:lastRowFirstColumn="0" w:lastRowLastColumn="0"/>
            </w:pPr>
            <w:r w:rsidRPr="004908DC">
              <w:t>Option 1</w:t>
            </w:r>
          </w:p>
        </w:tc>
        <w:tc>
          <w:tcPr>
            <w:tcW w:w="1970" w:type="dxa"/>
          </w:tcPr>
          <w:p w14:paraId="1D6DBB84" w14:textId="10935BD6" w:rsidR="00EE4136" w:rsidRPr="004908DC" w:rsidRDefault="00EE4136" w:rsidP="00EE4136">
            <w:pPr>
              <w:cnfStyle w:val="100000000000" w:firstRow="1" w:lastRow="0" w:firstColumn="0" w:lastColumn="0" w:oddVBand="0" w:evenVBand="0" w:oddHBand="0" w:evenHBand="0" w:firstRowFirstColumn="0" w:firstRowLastColumn="0" w:lastRowFirstColumn="0" w:lastRowLastColumn="0"/>
            </w:pPr>
            <w:r w:rsidRPr="004908DC">
              <w:t>Option 3</w:t>
            </w:r>
          </w:p>
        </w:tc>
        <w:tc>
          <w:tcPr>
            <w:tcW w:w="1082" w:type="dxa"/>
          </w:tcPr>
          <w:p w14:paraId="15BF7D50" w14:textId="0036D618" w:rsidR="00EE4136" w:rsidRPr="004908DC" w:rsidRDefault="00EE4136" w:rsidP="00EE4136">
            <w:pPr>
              <w:cnfStyle w:val="100000000000" w:firstRow="1" w:lastRow="0" w:firstColumn="0" w:lastColumn="0" w:oddVBand="0" w:evenVBand="0" w:oddHBand="0" w:evenHBand="0" w:firstRowFirstColumn="0" w:firstRowLastColumn="0" w:lastRowFirstColumn="0" w:lastRowLastColumn="0"/>
            </w:pPr>
            <w:r w:rsidRPr="004908DC">
              <w:t xml:space="preserve">Option </w:t>
            </w:r>
            <w:r w:rsidR="004908DC">
              <w:t>4</w:t>
            </w:r>
          </w:p>
        </w:tc>
      </w:tr>
      <w:tr w:rsidR="0029427D" w:rsidRPr="004908DC" w14:paraId="334FFBA4" w14:textId="77777777" w:rsidTr="0029427D">
        <w:trPr>
          <w:trHeight w:val="70"/>
          <w:jc w:val="center"/>
        </w:trPr>
        <w:tc>
          <w:tcPr>
            <w:cnfStyle w:val="001000000000" w:firstRow="0" w:lastRow="0" w:firstColumn="1" w:lastColumn="0" w:oddVBand="0" w:evenVBand="0" w:oddHBand="0" w:evenHBand="0" w:firstRowFirstColumn="0" w:firstRowLastColumn="0" w:lastRowFirstColumn="0" w:lastRowLastColumn="0"/>
            <w:tcW w:w="1682" w:type="dxa"/>
          </w:tcPr>
          <w:p w14:paraId="56148FB0" w14:textId="77777777" w:rsidR="00FA0A90" w:rsidRPr="004908DC" w:rsidRDefault="00FA0A90" w:rsidP="00FA0A90">
            <w:pPr>
              <w:rPr>
                <w:b w:val="0"/>
              </w:rPr>
            </w:pPr>
            <w:r w:rsidRPr="004908DC">
              <w:t>Territorial sea</w:t>
            </w:r>
            <w:r w:rsidR="00853137">
              <w:t xml:space="preserve"> (as defined by the Nairobi Convention)</w:t>
            </w:r>
          </w:p>
        </w:tc>
        <w:tc>
          <w:tcPr>
            <w:tcW w:w="1295" w:type="dxa"/>
          </w:tcPr>
          <w:p w14:paraId="6DD932EB" w14:textId="77777777" w:rsidR="00FA0A90" w:rsidRPr="004908DC" w:rsidRDefault="00FA0A90" w:rsidP="00FA0A90">
            <w:pPr>
              <w:cnfStyle w:val="000000000000" w:firstRow="0" w:lastRow="0" w:firstColumn="0" w:lastColumn="0" w:oddVBand="0" w:evenVBand="0" w:oddHBand="0" w:evenHBand="0" w:firstRowFirstColumn="0" w:firstRowLastColumn="0" w:lastRowFirstColumn="0" w:lastRowLastColumn="0"/>
            </w:pPr>
            <w:r w:rsidRPr="004908DC">
              <w:t>Ship</w:t>
            </w:r>
          </w:p>
        </w:tc>
        <w:tc>
          <w:tcPr>
            <w:tcW w:w="2126" w:type="dxa"/>
          </w:tcPr>
          <w:p w14:paraId="7100FA9E" w14:textId="77777777" w:rsidR="00FA0A90" w:rsidRDefault="00FA0A90" w:rsidP="00FA0A90">
            <w:pPr>
              <w:cnfStyle w:val="000000000000" w:firstRow="0" w:lastRow="0" w:firstColumn="0" w:lastColumn="0" w:oddVBand="0" w:evenVBand="0" w:oddHBand="0" w:evenHBand="0" w:firstRowFirstColumn="0" w:firstRowLastColumn="0" w:lastRowFirstColumn="0" w:lastRowLastColumn="0"/>
            </w:pPr>
            <w:r>
              <w:t>RAV</w:t>
            </w:r>
          </w:p>
          <w:p w14:paraId="4D9B8452" w14:textId="52FB0BB4" w:rsidR="00FA0A90" w:rsidRDefault="00FA0A90" w:rsidP="00FA0A90">
            <w:pPr>
              <w:cnfStyle w:val="000000000000" w:firstRow="0" w:lastRow="0" w:firstColumn="0" w:lastColumn="0" w:oddVBand="0" w:evenVBand="0" w:oddHBand="0" w:evenHBand="0" w:firstRowFirstColumn="0" w:firstRowLastColumn="0" w:lastRowFirstColumn="0" w:lastRowLastColumn="0"/>
            </w:pPr>
            <w:r>
              <w:t xml:space="preserve">DCV </w:t>
            </w:r>
            <w:r w:rsidR="0029427D">
              <w:t>&amp;</w:t>
            </w:r>
            <w:r>
              <w:t xml:space="preserve"> recreational vessel</w:t>
            </w:r>
          </w:p>
          <w:p w14:paraId="18F8B645" w14:textId="77777777" w:rsidR="00F862CB" w:rsidRPr="00F862CB" w:rsidRDefault="00F862CB" w:rsidP="00F862CB">
            <w:pPr>
              <w:spacing w:before="0" w:after="0"/>
              <w:cnfStyle w:val="000000000000" w:firstRow="0" w:lastRow="0" w:firstColumn="0" w:lastColumn="0" w:oddVBand="0" w:evenVBand="0" w:oddHBand="0" w:evenHBand="0" w:firstRowFirstColumn="0" w:firstRowLastColumn="0" w:lastRowFirstColumn="0" w:lastRowLastColumn="0"/>
              <w:rPr>
                <w:sz w:val="10"/>
              </w:rPr>
            </w:pPr>
          </w:p>
          <w:p w14:paraId="4083555C" w14:textId="09C656B3" w:rsidR="00FA0A90" w:rsidRPr="004908DC" w:rsidRDefault="00FA0A90" w:rsidP="00FA0A90">
            <w:pPr>
              <w:cnfStyle w:val="000000000000" w:firstRow="0" w:lastRow="0" w:firstColumn="0" w:lastColumn="0" w:oddVBand="0" w:evenVBand="0" w:oddHBand="0" w:evenHBand="0" w:firstRowFirstColumn="0" w:firstRowLastColumn="0" w:lastRowFirstColumn="0" w:lastRowLastColumn="0"/>
            </w:pPr>
            <w:r>
              <w:t>Foreign</w:t>
            </w:r>
          </w:p>
        </w:tc>
        <w:tc>
          <w:tcPr>
            <w:tcW w:w="1894" w:type="dxa"/>
          </w:tcPr>
          <w:p w14:paraId="6ED4667C" w14:textId="77777777" w:rsidR="00FA0A90" w:rsidRDefault="00FA0A90" w:rsidP="00FA0A90">
            <w:pPr>
              <w:cnfStyle w:val="000000000000" w:firstRow="0" w:lastRow="0" w:firstColumn="0" w:lastColumn="0" w:oddVBand="0" w:evenVBand="0" w:oddHBand="0" w:evenHBand="0" w:firstRowFirstColumn="0" w:firstRowLastColumn="0" w:lastRowFirstColumn="0" w:lastRowLastColumn="0"/>
            </w:pPr>
            <w:r w:rsidRPr="004908DC">
              <w:sym w:font="Wingdings" w:char="F0FC"/>
            </w:r>
          </w:p>
          <w:p w14:paraId="70B88D89" w14:textId="5EDE2FE4" w:rsidR="00FA0A90" w:rsidRPr="004E6D64" w:rsidRDefault="00FA0A90" w:rsidP="00FA0A90">
            <w:pPr>
              <w:cnfStyle w:val="000000000000" w:firstRow="0" w:lastRow="0" w:firstColumn="0" w:lastColumn="0" w:oddVBand="0" w:evenVBand="0" w:oddHBand="0" w:evenHBand="0" w:firstRowFirstColumn="0" w:firstRowLastColumn="0" w:lastRowFirstColumn="0" w:lastRowLastColumn="0"/>
            </w:pPr>
            <w:r w:rsidRPr="004E6D64">
              <w:t xml:space="preserve">State </w:t>
            </w:r>
            <w:r w:rsidR="0029427D">
              <w:t>&amp;</w:t>
            </w:r>
            <w:r w:rsidRPr="004E6D64">
              <w:t xml:space="preserve"> territory legislation</w:t>
            </w:r>
            <w:r w:rsidR="00F862CB">
              <w:t xml:space="preserve"> (if applicable)</w:t>
            </w:r>
          </w:p>
          <w:p w14:paraId="096E8B28" w14:textId="054BB1A3" w:rsidR="00FA0A90" w:rsidRPr="004908DC" w:rsidRDefault="00FA0A90" w:rsidP="00FA0A90">
            <w:pPr>
              <w:cnfStyle w:val="000000000000" w:firstRow="0" w:lastRow="0" w:firstColumn="0" w:lastColumn="0" w:oddVBand="0" w:evenVBand="0" w:oddHBand="0" w:evenHBand="0" w:firstRowFirstColumn="0" w:firstRowLastColumn="0" w:lastRowFirstColumn="0" w:lastRowLastColumn="0"/>
            </w:pPr>
            <w:r w:rsidRPr="004908DC">
              <w:sym w:font="Wingdings" w:char="F0FC"/>
            </w:r>
          </w:p>
        </w:tc>
        <w:tc>
          <w:tcPr>
            <w:tcW w:w="1970" w:type="dxa"/>
          </w:tcPr>
          <w:p w14:paraId="24AFD732" w14:textId="77777777" w:rsidR="00FA0A90" w:rsidRDefault="00FA0A90" w:rsidP="00FA0A90">
            <w:pPr>
              <w:cnfStyle w:val="000000000000" w:firstRow="0" w:lastRow="0" w:firstColumn="0" w:lastColumn="0" w:oddVBand="0" w:evenVBand="0" w:oddHBand="0" w:evenHBand="0" w:firstRowFirstColumn="0" w:firstRowLastColumn="0" w:lastRowFirstColumn="0" w:lastRowLastColumn="0"/>
            </w:pPr>
            <w:r w:rsidRPr="004908DC">
              <w:sym w:font="Wingdings" w:char="F0FC"/>
            </w:r>
          </w:p>
          <w:p w14:paraId="08DF5E40" w14:textId="21BE98C3" w:rsidR="00FA0A90" w:rsidRPr="004E6D64" w:rsidRDefault="00FA0A90" w:rsidP="00FA0A90">
            <w:pPr>
              <w:cnfStyle w:val="000000000000" w:firstRow="0" w:lastRow="0" w:firstColumn="0" w:lastColumn="0" w:oddVBand="0" w:evenVBand="0" w:oddHBand="0" w:evenHBand="0" w:firstRowFirstColumn="0" w:firstRowLastColumn="0" w:lastRowFirstColumn="0" w:lastRowLastColumn="0"/>
            </w:pPr>
            <w:r w:rsidRPr="004E6D64">
              <w:t xml:space="preserve">State </w:t>
            </w:r>
            <w:r w:rsidR="0029427D">
              <w:t>&amp;</w:t>
            </w:r>
            <w:r w:rsidRPr="004E6D64">
              <w:t xml:space="preserve"> territory legislation</w:t>
            </w:r>
            <w:r w:rsidR="00F862CB">
              <w:t xml:space="preserve"> (if applicable)</w:t>
            </w:r>
          </w:p>
          <w:p w14:paraId="70DD441C" w14:textId="32C01E79" w:rsidR="00FA0A90" w:rsidRPr="004908DC" w:rsidRDefault="00FA0A90" w:rsidP="00FA0A90">
            <w:pPr>
              <w:cnfStyle w:val="000000000000" w:firstRow="0" w:lastRow="0" w:firstColumn="0" w:lastColumn="0" w:oddVBand="0" w:evenVBand="0" w:oddHBand="0" w:evenHBand="0" w:firstRowFirstColumn="0" w:firstRowLastColumn="0" w:lastRowFirstColumn="0" w:lastRowLastColumn="0"/>
            </w:pPr>
            <w:r w:rsidRPr="004908DC">
              <w:sym w:font="Wingdings" w:char="F0FC"/>
            </w:r>
          </w:p>
        </w:tc>
        <w:tc>
          <w:tcPr>
            <w:tcW w:w="1082" w:type="dxa"/>
          </w:tcPr>
          <w:p w14:paraId="6D860A62" w14:textId="5DE25412" w:rsidR="00FA0A90" w:rsidRDefault="00FA0A90" w:rsidP="00FA0A90">
            <w:pPr>
              <w:cnfStyle w:val="000000000000" w:firstRow="0" w:lastRow="0" w:firstColumn="0" w:lastColumn="0" w:oddVBand="0" w:evenVBand="0" w:oddHBand="0" w:evenHBand="0" w:firstRowFirstColumn="0" w:firstRowLastColumn="0" w:lastRowFirstColumn="0" w:lastRowLastColumn="0"/>
              <w:rPr>
                <w:vertAlign w:val="superscript"/>
              </w:rPr>
            </w:pPr>
            <w:r w:rsidRPr="004908DC">
              <w:sym w:font="Wingdings" w:char="F0FC"/>
            </w:r>
          </w:p>
          <w:p w14:paraId="4A493E3F" w14:textId="0EB66D45" w:rsidR="00FA0A90" w:rsidRDefault="00FA0A90" w:rsidP="00FA0A90">
            <w:pPr>
              <w:cnfStyle w:val="000000000000" w:firstRow="0" w:lastRow="0" w:firstColumn="0" w:lastColumn="0" w:oddVBand="0" w:evenVBand="0" w:oddHBand="0" w:evenHBand="0" w:firstRowFirstColumn="0" w:firstRowLastColumn="0" w:lastRowFirstColumn="0" w:lastRowLastColumn="0"/>
              <w:rPr>
                <w:vertAlign w:val="superscript"/>
              </w:rPr>
            </w:pPr>
            <w:r w:rsidRPr="004908DC">
              <w:sym w:font="Wingdings" w:char="F0FC"/>
            </w:r>
          </w:p>
          <w:p w14:paraId="76E5DF69" w14:textId="256001C9" w:rsidR="00FA0A90" w:rsidRDefault="00FA0A90" w:rsidP="00FA0A90">
            <w:pPr>
              <w:spacing w:before="0" w:after="0"/>
              <w:cnfStyle w:val="000000000000" w:firstRow="0" w:lastRow="0" w:firstColumn="0" w:lastColumn="0" w:oddVBand="0" w:evenVBand="0" w:oddHBand="0" w:evenHBand="0" w:firstRowFirstColumn="0" w:firstRowLastColumn="0" w:lastRowFirstColumn="0" w:lastRowLastColumn="0"/>
              <w:rPr>
                <w:vertAlign w:val="superscript"/>
              </w:rPr>
            </w:pPr>
          </w:p>
          <w:p w14:paraId="6F31528F" w14:textId="77777777" w:rsidR="00F862CB" w:rsidRDefault="00F862CB" w:rsidP="00FA0A90">
            <w:pPr>
              <w:spacing w:before="0" w:after="0"/>
              <w:cnfStyle w:val="000000000000" w:firstRow="0" w:lastRow="0" w:firstColumn="0" w:lastColumn="0" w:oddVBand="0" w:evenVBand="0" w:oddHBand="0" w:evenHBand="0" w:firstRowFirstColumn="0" w:firstRowLastColumn="0" w:lastRowFirstColumn="0" w:lastRowLastColumn="0"/>
              <w:rPr>
                <w:vertAlign w:val="superscript"/>
              </w:rPr>
            </w:pPr>
          </w:p>
          <w:p w14:paraId="738AEA6B" w14:textId="6F08E51A" w:rsidR="00FA0A90" w:rsidRPr="004908DC" w:rsidRDefault="00FA0A90" w:rsidP="0029427D">
            <w:pPr>
              <w:spacing w:before="0"/>
              <w:cnfStyle w:val="000000000000" w:firstRow="0" w:lastRow="0" w:firstColumn="0" w:lastColumn="0" w:oddVBand="0" w:evenVBand="0" w:oddHBand="0" w:evenHBand="0" w:firstRowFirstColumn="0" w:firstRowLastColumn="0" w:lastRowFirstColumn="0" w:lastRowLastColumn="0"/>
            </w:pPr>
            <w:r w:rsidRPr="004908DC">
              <w:sym w:font="Wingdings" w:char="F0FC"/>
            </w:r>
            <w:r w:rsidRPr="004908DC">
              <w:rPr>
                <w:vertAlign w:val="superscript"/>
              </w:rPr>
              <w:t>*</w:t>
            </w:r>
          </w:p>
        </w:tc>
      </w:tr>
      <w:tr w:rsidR="0029427D" w:rsidRPr="004908DC" w14:paraId="6BE38CF5" w14:textId="77777777" w:rsidTr="0029427D">
        <w:trPr>
          <w:cnfStyle w:val="000000010000" w:firstRow="0" w:lastRow="0" w:firstColumn="0" w:lastColumn="0" w:oddVBand="0" w:evenVBand="0" w:oddHBand="0" w:evenHBand="1" w:firstRowFirstColumn="0" w:firstRowLastColumn="0" w:lastRowFirstColumn="0" w:lastRowLastColumn="0"/>
          <w:trHeight w:val="409"/>
          <w:jc w:val="center"/>
        </w:trPr>
        <w:tc>
          <w:tcPr>
            <w:cnfStyle w:val="001000000000" w:firstRow="0" w:lastRow="0" w:firstColumn="1" w:lastColumn="0" w:oddVBand="0" w:evenVBand="0" w:oddHBand="0" w:evenHBand="0" w:firstRowFirstColumn="0" w:firstRowLastColumn="0" w:lastRowFirstColumn="0" w:lastRowLastColumn="0"/>
            <w:tcW w:w="1682" w:type="dxa"/>
          </w:tcPr>
          <w:p w14:paraId="1E75844B" w14:textId="30E8FC5D" w:rsidR="00F862CB" w:rsidRDefault="00F862CB" w:rsidP="00FA0A90"/>
          <w:p w14:paraId="752658B1" w14:textId="6727C17F" w:rsidR="00F862CB" w:rsidRDefault="00F862CB" w:rsidP="00F862CB">
            <w:pPr>
              <w:rPr>
                <w:b w:val="0"/>
              </w:rPr>
            </w:pPr>
          </w:p>
          <w:p w14:paraId="7B370292" w14:textId="343C861B" w:rsidR="00F862CB" w:rsidRDefault="00F862CB" w:rsidP="00F862CB">
            <w:pPr>
              <w:rPr>
                <w:b w:val="0"/>
              </w:rPr>
            </w:pPr>
          </w:p>
          <w:p w14:paraId="10F19899" w14:textId="77777777" w:rsidR="00FA0A90" w:rsidRPr="00F862CB" w:rsidRDefault="00FA0A90" w:rsidP="00F862CB">
            <w:pPr>
              <w:jc w:val="center"/>
            </w:pPr>
          </w:p>
        </w:tc>
        <w:tc>
          <w:tcPr>
            <w:tcW w:w="1295" w:type="dxa"/>
          </w:tcPr>
          <w:p w14:paraId="1D60F030" w14:textId="77777777" w:rsidR="00FA0A90" w:rsidRPr="004908DC" w:rsidRDefault="00FA0A90" w:rsidP="00FA0A90">
            <w:pPr>
              <w:cnfStyle w:val="000000010000" w:firstRow="0" w:lastRow="0" w:firstColumn="0" w:lastColumn="0" w:oddVBand="0" w:evenVBand="0" w:oddHBand="0" w:evenHBand="1" w:firstRowFirstColumn="0" w:firstRowLastColumn="0" w:lastRowFirstColumn="0" w:lastRowLastColumn="0"/>
            </w:pPr>
            <w:r w:rsidRPr="004908DC">
              <w:t>Object overboard</w:t>
            </w:r>
          </w:p>
        </w:tc>
        <w:tc>
          <w:tcPr>
            <w:tcW w:w="2126" w:type="dxa"/>
          </w:tcPr>
          <w:p w14:paraId="14A8E96D" w14:textId="77777777" w:rsidR="00FA0A90" w:rsidRDefault="00FA0A90" w:rsidP="00FA0A90">
            <w:pPr>
              <w:cnfStyle w:val="000000010000" w:firstRow="0" w:lastRow="0" w:firstColumn="0" w:lastColumn="0" w:oddVBand="0" w:evenVBand="0" w:oddHBand="0" w:evenHBand="1" w:firstRowFirstColumn="0" w:firstRowLastColumn="0" w:lastRowFirstColumn="0" w:lastRowLastColumn="0"/>
            </w:pPr>
            <w:r>
              <w:t>RAV</w:t>
            </w:r>
          </w:p>
          <w:p w14:paraId="2F0FB2B8" w14:textId="0A8F9B38" w:rsidR="00FA0A90" w:rsidRDefault="00FA0A90" w:rsidP="00FA0A90">
            <w:pPr>
              <w:cnfStyle w:val="000000010000" w:firstRow="0" w:lastRow="0" w:firstColumn="0" w:lastColumn="0" w:oddVBand="0" w:evenVBand="0" w:oddHBand="0" w:evenHBand="1" w:firstRowFirstColumn="0" w:firstRowLastColumn="0" w:lastRowFirstColumn="0" w:lastRowLastColumn="0"/>
            </w:pPr>
            <w:r>
              <w:t xml:space="preserve">DCV </w:t>
            </w:r>
            <w:r w:rsidR="0029427D">
              <w:t>&amp;</w:t>
            </w:r>
            <w:r>
              <w:t xml:space="preserve"> recreational vessel</w:t>
            </w:r>
          </w:p>
          <w:p w14:paraId="4242609A" w14:textId="77777777" w:rsidR="00F862CB" w:rsidRPr="00F862CB" w:rsidRDefault="00F862CB" w:rsidP="00FA0A90">
            <w:pPr>
              <w:cnfStyle w:val="000000010000" w:firstRow="0" w:lastRow="0" w:firstColumn="0" w:lastColumn="0" w:oddVBand="0" w:evenVBand="0" w:oddHBand="0" w:evenHBand="1" w:firstRowFirstColumn="0" w:firstRowLastColumn="0" w:lastRowFirstColumn="0" w:lastRowLastColumn="0"/>
              <w:rPr>
                <w:sz w:val="6"/>
              </w:rPr>
            </w:pPr>
          </w:p>
          <w:p w14:paraId="2AEB2B18" w14:textId="2E36DC1D" w:rsidR="00FA0A90" w:rsidRPr="004908DC" w:rsidRDefault="00FA0A90" w:rsidP="00FA0A90">
            <w:pPr>
              <w:cnfStyle w:val="000000010000" w:firstRow="0" w:lastRow="0" w:firstColumn="0" w:lastColumn="0" w:oddVBand="0" w:evenVBand="0" w:oddHBand="0" w:evenHBand="1" w:firstRowFirstColumn="0" w:firstRowLastColumn="0" w:lastRowFirstColumn="0" w:lastRowLastColumn="0"/>
            </w:pPr>
            <w:r>
              <w:t>Foreign</w:t>
            </w:r>
          </w:p>
        </w:tc>
        <w:tc>
          <w:tcPr>
            <w:tcW w:w="1894" w:type="dxa"/>
          </w:tcPr>
          <w:p w14:paraId="5672FBA2" w14:textId="77777777" w:rsidR="00FA0A90" w:rsidRDefault="00FA0A90" w:rsidP="00FA0A90">
            <w:pPr>
              <w:cnfStyle w:val="000000010000" w:firstRow="0" w:lastRow="0" w:firstColumn="0" w:lastColumn="0" w:oddVBand="0" w:evenVBand="0" w:oddHBand="0" w:evenHBand="1" w:firstRowFirstColumn="0" w:firstRowLastColumn="0" w:lastRowFirstColumn="0" w:lastRowLastColumn="0"/>
              <w:rPr>
                <w:vertAlign w:val="superscript"/>
              </w:rPr>
            </w:pPr>
            <w:r w:rsidRPr="004908DC">
              <w:t>?</w:t>
            </w:r>
            <w:r w:rsidRPr="004908DC">
              <w:rPr>
                <w:vertAlign w:val="superscript"/>
              </w:rPr>
              <w:t>#</w:t>
            </w:r>
          </w:p>
          <w:p w14:paraId="4A9D4256" w14:textId="519FA9CB" w:rsidR="00FA0A90" w:rsidRPr="00C74133" w:rsidRDefault="00FA0A90" w:rsidP="00FA0A90">
            <w:pPr>
              <w:cnfStyle w:val="000000010000" w:firstRow="0" w:lastRow="0" w:firstColumn="0" w:lastColumn="0" w:oddVBand="0" w:evenVBand="0" w:oddHBand="0" w:evenHBand="1" w:firstRowFirstColumn="0" w:firstRowLastColumn="0" w:lastRowFirstColumn="0" w:lastRowLastColumn="0"/>
            </w:pPr>
            <w:r w:rsidRPr="00C74133">
              <w:t xml:space="preserve">State </w:t>
            </w:r>
            <w:r w:rsidR="0029427D">
              <w:t>&amp;</w:t>
            </w:r>
            <w:r w:rsidRPr="00C74133">
              <w:t xml:space="preserve"> territory legislation</w:t>
            </w:r>
            <w:r w:rsidR="00F862CB">
              <w:t xml:space="preserve"> (if applicable)</w:t>
            </w:r>
          </w:p>
          <w:p w14:paraId="1AE10067" w14:textId="1557A5B9" w:rsidR="00FA0A90" w:rsidRPr="004908DC" w:rsidRDefault="00FA0A90" w:rsidP="00FA0A90">
            <w:pPr>
              <w:cnfStyle w:val="000000010000" w:firstRow="0" w:lastRow="0" w:firstColumn="0" w:lastColumn="0" w:oddVBand="0" w:evenVBand="0" w:oddHBand="0" w:evenHBand="1" w:firstRowFirstColumn="0" w:firstRowLastColumn="0" w:lastRowFirstColumn="0" w:lastRowLastColumn="0"/>
            </w:pPr>
            <w:r w:rsidRPr="004908DC">
              <w:t>?</w:t>
            </w:r>
            <w:r w:rsidRPr="004908DC">
              <w:rPr>
                <w:vertAlign w:val="superscript"/>
              </w:rPr>
              <w:t>#</w:t>
            </w:r>
          </w:p>
        </w:tc>
        <w:tc>
          <w:tcPr>
            <w:tcW w:w="1970" w:type="dxa"/>
          </w:tcPr>
          <w:p w14:paraId="4A492730" w14:textId="3C77B0EF" w:rsidR="00FA0A90" w:rsidRDefault="00556F67" w:rsidP="00FA0A90">
            <w:pPr>
              <w:cnfStyle w:val="000000010000" w:firstRow="0" w:lastRow="0" w:firstColumn="0" w:lastColumn="0" w:oddVBand="0" w:evenVBand="0" w:oddHBand="0" w:evenHBand="1" w:firstRowFirstColumn="0" w:firstRowLastColumn="0" w:lastRowFirstColumn="0" w:lastRowLastColumn="0"/>
              <w:rPr>
                <w:vertAlign w:val="superscript"/>
              </w:rPr>
            </w:pPr>
            <w:r w:rsidRPr="004908DC">
              <w:sym w:font="Wingdings" w:char="F0FC"/>
            </w:r>
          </w:p>
          <w:p w14:paraId="34C58E55" w14:textId="56CB8682" w:rsidR="00556F67" w:rsidRPr="004E6D64" w:rsidRDefault="00FA0A90" w:rsidP="00FA0A90">
            <w:pPr>
              <w:cnfStyle w:val="000000010000" w:firstRow="0" w:lastRow="0" w:firstColumn="0" w:lastColumn="0" w:oddVBand="0" w:evenVBand="0" w:oddHBand="0" w:evenHBand="1" w:firstRowFirstColumn="0" w:firstRowLastColumn="0" w:lastRowFirstColumn="0" w:lastRowLastColumn="0"/>
            </w:pPr>
            <w:r w:rsidRPr="004E6D64">
              <w:t xml:space="preserve">State </w:t>
            </w:r>
            <w:r w:rsidR="0029427D">
              <w:t>&amp;</w:t>
            </w:r>
            <w:r w:rsidRPr="004E6D64">
              <w:t xml:space="preserve"> territory legislation</w:t>
            </w:r>
            <w:r w:rsidR="00F862CB">
              <w:t xml:space="preserve"> (if applicable)</w:t>
            </w:r>
          </w:p>
          <w:p w14:paraId="44D92A3D" w14:textId="23B939C4" w:rsidR="00FA0A90" w:rsidRPr="004908DC" w:rsidRDefault="00556F67" w:rsidP="00F862CB">
            <w:pPr>
              <w:cnfStyle w:val="000000010000" w:firstRow="0" w:lastRow="0" w:firstColumn="0" w:lastColumn="0" w:oddVBand="0" w:evenVBand="0" w:oddHBand="0" w:evenHBand="1" w:firstRowFirstColumn="0" w:firstRowLastColumn="0" w:lastRowFirstColumn="0" w:lastRowLastColumn="0"/>
            </w:pPr>
            <w:r w:rsidRPr="004908DC">
              <w:sym w:font="Wingdings" w:char="F0FC"/>
            </w:r>
          </w:p>
        </w:tc>
        <w:tc>
          <w:tcPr>
            <w:tcW w:w="1082" w:type="dxa"/>
          </w:tcPr>
          <w:p w14:paraId="4BE847DE" w14:textId="675707CF" w:rsidR="00FA0A90" w:rsidRDefault="00FA0A90" w:rsidP="00FA0A90">
            <w:pPr>
              <w:cnfStyle w:val="000000010000" w:firstRow="0" w:lastRow="0" w:firstColumn="0" w:lastColumn="0" w:oddVBand="0" w:evenVBand="0" w:oddHBand="0" w:evenHBand="1" w:firstRowFirstColumn="0" w:firstRowLastColumn="0" w:lastRowFirstColumn="0" w:lastRowLastColumn="0"/>
              <w:rPr>
                <w:vertAlign w:val="superscript"/>
              </w:rPr>
            </w:pPr>
            <w:r w:rsidRPr="004908DC">
              <w:sym w:font="Wingdings" w:char="F0FC"/>
            </w:r>
          </w:p>
          <w:p w14:paraId="1CD949EC" w14:textId="0EB13B67" w:rsidR="00FA0A90" w:rsidRDefault="00FA0A90" w:rsidP="00FA0A90">
            <w:pPr>
              <w:cnfStyle w:val="000000010000" w:firstRow="0" w:lastRow="0" w:firstColumn="0" w:lastColumn="0" w:oddVBand="0" w:evenVBand="0" w:oddHBand="0" w:evenHBand="1" w:firstRowFirstColumn="0" w:firstRowLastColumn="0" w:lastRowFirstColumn="0" w:lastRowLastColumn="0"/>
              <w:rPr>
                <w:vertAlign w:val="superscript"/>
              </w:rPr>
            </w:pPr>
            <w:r w:rsidRPr="004908DC">
              <w:sym w:font="Wingdings" w:char="F0FC"/>
            </w:r>
          </w:p>
          <w:p w14:paraId="5C645B01" w14:textId="52CCF28A" w:rsidR="00FA0A90" w:rsidRDefault="00FA0A90" w:rsidP="00C74133">
            <w:pPr>
              <w:spacing w:before="0" w:after="0"/>
              <w:cnfStyle w:val="000000010000" w:firstRow="0" w:lastRow="0" w:firstColumn="0" w:lastColumn="0" w:oddVBand="0" w:evenVBand="0" w:oddHBand="0" w:evenHBand="1" w:firstRowFirstColumn="0" w:firstRowLastColumn="0" w:lastRowFirstColumn="0" w:lastRowLastColumn="0"/>
              <w:rPr>
                <w:vertAlign w:val="superscript"/>
              </w:rPr>
            </w:pPr>
          </w:p>
          <w:p w14:paraId="1B817D10" w14:textId="77777777" w:rsidR="00F862CB" w:rsidRDefault="00F862CB" w:rsidP="00C74133">
            <w:pPr>
              <w:spacing w:before="0" w:after="0"/>
              <w:cnfStyle w:val="000000010000" w:firstRow="0" w:lastRow="0" w:firstColumn="0" w:lastColumn="0" w:oddVBand="0" w:evenVBand="0" w:oddHBand="0" w:evenHBand="1" w:firstRowFirstColumn="0" w:firstRowLastColumn="0" w:lastRowFirstColumn="0" w:lastRowLastColumn="0"/>
              <w:rPr>
                <w:vertAlign w:val="superscript"/>
              </w:rPr>
            </w:pPr>
          </w:p>
          <w:p w14:paraId="5A363030" w14:textId="47C13B54" w:rsidR="00FA0A90" w:rsidRPr="004908DC" w:rsidRDefault="00FA0A90" w:rsidP="00FA0A90">
            <w:pPr>
              <w:cnfStyle w:val="000000010000" w:firstRow="0" w:lastRow="0" w:firstColumn="0" w:lastColumn="0" w:oddVBand="0" w:evenVBand="0" w:oddHBand="0" w:evenHBand="1" w:firstRowFirstColumn="0" w:firstRowLastColumn="0" w:lastRowFirstColumn="0" w:lastRowLastColumn="0"/>
            </w:pPr>
            <w:r w:rsidRPr="004908DC">
              <w:sym w:font="Wingdings" w:char="F0FC"/>
            </w:r>
            <w:r w:rsidRPr="004908DC">
              <w:rPr>
                <w:vertAlign w:val="superscript"/>
              </w:rPr>
              <w:t>*</w:t>
            </w:r>
          </w:p>
        </w:tc>
      </w:tr>
      <w:tr w:rsidR="0029427D" w:rsidRPr="004908DC" w14:paraId="2C6422E6" w14:textId="77777777" w:rsidTr="0029427D">
        <w:trPr>
          <w:trHeight w:val="409"/>
          <w:jc w:val="center"/>
        </w:trPr>
        <w:tc>
          <w:tcPr>
            <w:cnfStyle w:val="001000000000" w:firstRow="0" w:lastRow="0" w:firstColumn="1" w:lastColumn="0" w:oddVBand="0" w:evenVBand="0" w:oddHBand="0" w:evenHBand="0" w:firstRowFirstColumn="0" w:firstRowLastColumn="0" w:lastRowFirstColumn="0" w:lastRowLastColumn="0"/>
            <w:tcW w:w="1682" w:type="dxa"/>
          </w:tcPr>
          <w:p w14:paraId="13A385F2" w14:textId="77777777" w:rsidR="00FA0A90" w:rsidRPr="004908DC" w:rsidRDefault="00FA0A90" w:rsidP="00FA0A90">
            <w:pPr>
              <w:rPr>
                <w:b w:val="0"/>
              </w:rPr>
            </w:pPr>
            <w:r w:rsidRPr="004908DC">
              <w:t>EEZ</w:t>
            </w:r>
          </w:p>
        </w:tc>
        <w:tc>
          <w:tcPr>
            <w:tcW w:w="1295" w:type="dxa"/>
          </w:tcPr>
          <w:p w14:paraId="035660F8" w14:textId="77777777" w:rsidR="00FA0A90" w:rsidRPr="004908DC" w:rsidRDefault="00FA0A90" w:rsidP="00FA0A90">
            <w:pPr>
              <w:cnfStyle w:val="000000000000" w:firstRow="0" w:lastRow="0" w:firstColumn="0" w:lastColumn="0" w:oddVBand="0" w:evenVBand="0" w:oddHBand="0" w:evenHBand="0" w:firstRowFirstColumn="0" w:firstRowLastColumn="0" w:lastRowFirstColumn="0" w:lastRowLastColumn="0"/>
            </w:pPr>
            <w:r w:rsidRPr="004908DC">
              <w:t>Ship</w:t>
            </w:r>
          </w:p>
        </w:tc>
        <w:tc>
          <w:tcPr>
            <w:tcW w:w="2126" w:type="dxa"/>
          </w:tcPr>
          <w:p w14:paraId="22EB9EE0" w14:textId="10D38085" w:rsidR="00FA0A90" w:rsidRDefault="00FA0A90" w:rsidP="00FA0A90">
            <w:pPr>
              <w:cnfStyle w:val="000000000000" w:firstRow="0" w:lastRow="0" w:firstColumn="0" w:lastColumn="0" w:oddVBand="0" w:evenVBand="0" w:oddHBand="0" w:evenHBand="0" w:firstRowFirstColumn="0" w:firstRowLastColumn="0" w:lastRowFirstColumn="0" w:lastRowLastColumn="0"/>
            </w:pPr>
            <w:r>
              <w:t>RAV</w:t>
            </w:r>
          </w:p>
          <w:p w14:paraId="07E300DE" w14:textId="0B9AB9DA" w:rsidR="00FA0A90" w:rsidRDefault="00FA0A90" w:rsidP="00FA0A90">
            <w:pPr>
              <w:cnfStyle w:val="000000000000" w:firstRow="0" w:lastRow="0" w:firstColumn="0" w:lastColumn="0" w:oddVBand="0" w:evenVBand="0" w:oddHBand="0" w:evenHBand="0" w:firstRowFirstColumn="0" w:firstRowLastColumn="0" w:lastRowFirstColumn="0" w:lastRowLastColumn="0"/>
            </w:pPr>
            <w:r>
              <w:t xml:space="preserve">DCV </w:t>
            </w:r>
            <w:r w:rsidR="0029427D">
              <w:t>&amp;</w:t>
            </w:r>
            <w:r>
              <w:t xml:space="preserve"> recreational vessel</w:t>
            </w:r>
          </w:p>
          <w:p w14:paraId="23D2CB95" w14:textId="6EB55F40" w:rsidR="00FA0A90" w:rsidRPr="004908DC" w:rsidRDefault="00FA0A90" w:rsidP="00FA0A90">
            <w:pPr>
              <w:cnfStyle w:val="000000000000" w:firstRow="0" w:lastRow="0" w:firstColumn="0" w:lastColumn="0" w:oddVBand="0" w:evenVBand="0" w:oddHBand="0" w:evenHBand="0" w:firstRowFirstColumn="0" w:firstRowLastColumn="0" w:lastRowFirstColumn="0" w:lastRowLastColumn="0"/>
            </w:pPr>
            <w:r>
              <w:t>Foreign</w:t>
            </w:r>
          </w:p>
        </w:tc>
        <w:tc>
          <w:tcPr>
            <w:tcW w:w="1894" w:type="dxa"/>
          </w:tcPr>
          <w:p w14:paraId="4E527136" w14:textId="77777777" w:rsidR="00FA0A90" w:rsidRDefault="00FA0A90" w:rsidP="00FA0A90">
            <w:pPr>
              <w:cnfStyle w:val="000000000000" w:firstRow="0" w:lastRow="0" w:firstColumn="0" w:lastColumn="0" w:oddVBand="0" w:evenVBand="0" w:oddHBand="0" w:evenHBand="0" w:firstRowFirstColumn="0" w:firstRowLastColumn="0" w:lastRowFirstColumn="0" w:lastRowLastColumn="0"/>
            </w:pPr>
            <w:r w:rsidRPr="004908DC">
              <w:sym w:font="Wingdings" w:char="F0FC"/>
            </w:r>
          </w:p>
          <w:p w14:paraId="48A76CAC" w14:textId="0B05AB3B" w:rsidR="00FA0A90" w:rsidRPr="00F862CB" w:rsidRDefault="00F862CB" w:rsidP="00FA0A90">
            <w:pPr>
              <w:cnfStyle w:val="000000000000" w:firstRow="0" w:lastRow="0" w:firstColumn="0" w:lastColumn="0" w:oddVBand="0" w:evenVBand="0" w:oddHBand="0" w:evenHBand="0" w:firstRowFirstColumn="0" w:firstRowLastColumn="0" w:lastRowFirstColumn="0" w:lastRowLastColumn="0"/>
              <w:rPr>
                <w:sz w:val="22"/>
                <w:vertAlign w:val="superscript"/>
              </w:rPr>
            </w:pPr>
            <w:r w:rsidRPr="00F862CB">
              <w:rPr>
                <w:sz w:val="22"/>
              </w:rPr>
              <w:sym w:font="Wingdings 2" w:char="F04F"/>
            </w:r>
          </w:p>
          <w:p w14:paraId="342F42C0" w14:textId="77777777" w:rsidR="00FA0A90" w:rsidRDefault="00FA0A90" w:rsidP="00FA0A90">
            <w:pPr>
              <w:spacing w:before="0" w:after="0"/>
              <w:cnfStyle w:val="000000000000" w:firstRow="0" w:lastRow="0" w:firstColumn="0" w:lastColumn="0" w:oddVBand="0" w:evenVBand="0" w:oddHBand="0" w:evenHBand="0" w:firstRowFirstColumn="0" w:firstRowLastColumn="0" w:lastRowFirstColumn="0" w:lastRowLastColumn="0"/>
              <w:rPr>
                <w:vertAlign w:val="superscript"/>
              </w:rPr>
            </w:pPr>
          </w:p>
          <w:p w14:paraId="68D8E386" w14:textId="2156A839" w:rsidR="00FA0A90" w:rsidRPr="00966C75" w:rsidRDefault="00FA0A90" w:rsidP="00FA0A90">
            <w:pPr>
              <w:cnfStyle w:val="000000000000" w:firstRow="0" w:lastRow="0" w:firstColumn="0" w:lastColumn="0" w:oddVBand="0" w:evenVBand="0" w:oddHBand="0" w:evenHBand="0" w:firstRowFirstColumn="0" w:firstRowLastColumn="0" w:lastRowFirstColumn="0" w:lastRowLastColumn="0"/>
              <w:rPr>
                <w:vertAlign w:val="superscript"/>
              </w:rPr>
            </w:pPr>
            <w:r w:rsidRPr="004908DC">
              <w:t>?</w:t>
            </w:r>
            <w:r w:rsidRPr="004908DC">
              <w:rPr>
                <w:vertAlign w:val="superscript"/>
              </w:rPr>
              <w:t>#</w:t>
            </w:r>
          </w:p>
        </w:tc>
        <w:tc>
          <w:tcPr>
            <w:tcW w:w="1970" w:type="dxa"/>
          </w:tcPr>
          <w:p w14:paraId="6A7360EF" w14:textId="77777777" w:rsidR="00FA0A90" w:rsidRDefault="00FA0A90" w:rsidP="00FA0A90">
            <w:pPr>
              <w:cnfStyle w:val="000000000000" w:firstRow="0" w:lastRow="0" w:firstColumn="0" w:lastColumn="0" w:oddVBand="0" w:evenVBand="0" w:oddHBand="0" w:evenHBand="0" w:firstRowFirstColumn="0" w:firstRowLastColumn="0" w:lastRowFirstColumn="0" w:lastRowLastColumn="0"/>
            </w:pPr>
            <w:r w:rsidRPr="004908DC">
              <w:sym w:font="Wingdings" w:char="F0FC"/>
            </w:r>
          </w:p>
          <w:p w14:paraId="679FA8BB" w14:textId="77777777" w:rsidR="00FA0A90" w:rsidRDefault="00FA0A90" w:rsidP="00FA0A90">
            <w:pPr>
              <w:cnfStyle w:val="000000000000" w:firstRow="0" w:lastRow="0" w:firstColumn="0" w:lastColumn="0" w:oddVBand="0" w:evenVBand="0" w:oddHBand="0" w:evenHBand="0" w:firstRowFirstColumn="0" w:firstRowLastColumn="0" w:lastRowFirstColumn="0" w:lastRowLastColumn="0"/>
            </w:pPr>
            <w:r w:rsidRPr="004908DC">
              <w:sym w:font="Wingdings" w:char="F0FC"/>
            </w:r>
          </w:p>
          <w:p w14:paraId="4EA2CDAA" w14:textId="77777777" w:rsidR="00FA0A90" w:rsidRDefault="00FA0A90" w:rsidP="00FA0A90">
            <w:pPr>
              <w:spacing w:before="0" w:after="0"/>
              <w:cnfStyle w:val="000000000000" w:firstRow="0" w:lastRow="0" w:firstColumn="0" w:lastColumn="0" w:oddVBand="0" w:evenVBand="0" w:oddHBand="0" w:evenHBand="0" w:firstRowFirstColumn="0" w:firstRowLastColumn="0" w:lastRowFirstColumn="0" w:lastRowLastColumn="0"/>
            </w:pPr>
          </w:p>
          <w:p w14:paraId="639D880F" w14:textId="6C76300B" w:rsidR="00FA0A90" w:rsidRPr="004908DC" w:rsidRDefault="00FA0A90" w:rsidP="00FA0A90">
            <w:pPr>
              <w:cnfStyle w:val="000000000000" w:firstRow="0" w:lastRow="0" w:firstColumn="0" w:lastColumn="0" w:oddVBand="0" w:evenVBand="0" w:oddHBand="0" w:evenHBand="0" w:firstRowFirstColumn="0" w:firstRowLastColumn="0" w:lastRowFirstColumn="0" w:lastRowLastColumn="0"/>
            </w:pPr>
            <w:r w:rsidRPr="004908DC">
              <w:sym w:font="Wingdings" w:char="F0FC"/>
            </w:r>
            <w:r w:rsidR="00F862CB" w:rsidRPr="004908DC">
              <w:rPr>
                <w:vertAlign w:val="superscript"/>
              </w:rPr>
              <w:t>*</w:t>
            </w:r>
          </w:p>
        </w:tc>
        <w:tc>
          <w:tcPr>
            <w:tcW w:w="1082" w:type="dxa"/>
          </w:tcPr>
          <w:p w14:paraId="45688B5B" w14:textId="77777777" w:rsidR="00FA0A90" w:rsidRDefault="00FA0A90" w:rsidP="00FA0A90">
            <w:pPr>
              <w:cnfStyle w:val="000000000000" w:firstRow="0" w:lastRow="0" w:firstColumn="0" w:lastColumn="0" w:oddVBand="0" w:evenVBand="0" w:oddHBand="0" w:evenHBand="0" w:firstRowFirstColumn="0" w:firstRowLastColumn="0" w:lastRowFirstColumn="0" w:lastRowLastColumn="0"/>
            </w:pPr>
            <w:r w:rsidRPr="004908DC">
              <w:sym w:font="Wingdings" w:char="F0FC"/>
            </w:r>
          </w:p>
          <w:p w14:paraId="018C9926" w14:textId="77777777" w:rsidR="00FA0A90" w:rsidRDefault="00FA0A90" w:rsidP="00FA0A90">
            <w:pPr>
              <w:cnfStyle w:val="000000000000" w:firstRow="0" w:lastRow="0" w:firstColumn="0" w:lastColumn="0" w:oddVBand="0" w:evenVBand="0" w:oddHBand="0" w:evenHBand="0" w:firstRowFirstColumn="0" w:firstRowLastColumn="0" w:lastRowFirstColumn="0" w:lastRowLastColumn="0"/>
            </w:pPr>
            <w:r w:rsidRPr="004908DC">
              <w:sym w:font="Wingdings" w:char="F0FC"/>
            </w:r>
          </w:p>
          <w:p w14:paraId="66870AF9" w14:textId="77777777" w:rsidR="00FA0A90" w:rsidRDefault="00FA0A90" w:rsidP="00FA0A90">
            <w:pPr>
              <w:spacing w:before="0" w:after="0"/>
              <w:cnfStyle w:val="000000000000" w:firstRow="0" w:lastRow="0" w:firstColumn="0" w:lastColumn="0" w:oddVBand="0" w:evenVBand="0" w:oddHBand="0" w:evenHBand="0" w:firstRowFirstColumn="0" w:firstRowLastColumn="0" w:lastRowFirstColumn="0" w:lastRowLastColumn="0"/>
            </w:pPr>
          </w:p>
          <w:p w14:paraId="2D79955F" w14:textId="55D76C71" w:rsidR="00FA0A90" w:rsidRPr="004908DC" w:rsidRDefault="00FA0A90" w:rsidP="00FA0A90">
            <w:pPr>
              <w:cnfStyle w:val="000000000000" w:firstRow="0" w:lastRow="0" w:firstColumn="0" w:lastColumn="0" w:oddVBand="0" w:evenVBand="0" w:oddHBand="0" w:evenHBand="0" w:firstRowFirstColumn="0" w:firstRowLastColumn="0" w:lastRowFirstColumn="0" w:lastRowLastColumn="0"/>
            </w:pPr>
            <w:r w:rsidRPr="004908DC">
              <w:sym w:font="Wingdings" w:char="F0FC"/>
            </w:r>
            <w:r w:rsidR="00F862CB" w:rsidRPr="004908DC">
              <w:rPr>
                <w:vertAlign w:val="superscript"/>
              </w:rPr>
              <w:t>*</w:t>
            </w:r>
          </w:p>
        </w:tc>
      </w:tr>
      <w:tr w:rsidR="00FA0A90" w:rsidRPr="008F0868" w14:paraId="768615C7" w14:textId="77777777" w:rsidTr="008F0868">
        <w:trPr>
          <w:cnfStyle w:val="010000000000" w:firstRow="0" w:lastRow="1" w:firstColumn="0" w:lastColumn="0" w:oddVBand="0" w:evenVBand="0" w:oddHBand="0" w:evenHBand="0" w:firstRowFirstColumn="0" w:firstRowLastColumn="0" w:lastRowFirstColumn="0" w:lastRowLastColumn="0"/>
          <w:trHeight w:val="409"/>
          <w:jc w:val="center"/>
        </w:trPr>
        <w:tc>
          <w:tcPr>
            <w:cnfStyle w:val="001000000000" w:firstRow="0" w:lastRow="0" w:firstColumn="1" w:lastColumn="0" w:oddVBand="0" w:evenVBand="0" w:oddHBand="0" w:evenHBand="0" w:firstRowFirstColumn="0" w:firstRowLastColumn="0" w:lastRowFirstColumn="0" w:lastRowLastColumn="0"/>
            <w:tcW w:w="1682" w:type="dxa"/>
            <w:shd w:val="clear" w:color="auto" w:fill="F2F2F2" w:themeFill="background1" w:themeFillShade="F2"/>
          </w:tcPr>
          <w:p w14:paraId="189B8CAD" w14:textId="77777777" w:rsidR="00FA0A90" w:rsidRPr="008F0868" w:rsidRDefault="00FA0A90" w:rsidP="00FA0A90">
            <w:pPr>
              <w:rPr>
                <w:b w:val="0"/>
              </w:rPr>
            </w:pPr>
          </w:p>
        </w:tc>
        <w:tc>
          <w:tcPr>
            <w:tcW w:w="1295" w:type="dxa"/>
            <w:shd w:val="clear" w:color="auto" w:fill="F2F2F2" w:themeFill="background1" w:themeFillShade="F2"/>
          </w:tcPr>
          <w:p w14:paraId="22708864" w14:textId="77777777" w:rsidR="00FA0A90" w:rsidRPr="008F0868" w:rsidRDefault="00FA0A90" w:rsidP="00FA0A90">
            <w:pPr>
              <w:cnfStyle w:val="010000000000" w:firstRow="0" w:lastRow="1" w:firstColumn="0" w:lastColumn="0" w:oddVBand="0" w:evenVBand="0" w:oddHBand="0" w:evenHBand="0" w:firstRowFirstColumn="0" w:firstRowLastColumn="0" w:lastRowFirstColumn="0" w:lastRowLastColumn="0"/>
              <w:rPr>
                <w:b w:val="0"/>
              </w:rPr>
            </w:pPr>
            <w:r w:rsidRPr="008F0868">
              <w:rPr>
                <w:b w:val="0"/>
              </w:rPr>
              <w:t>Object overboard</w:t>
            </w:r>
          </w:p>
        </w:tc>
        <w:tc>
          <w:tcPr>
            <w:tcW w:w="2126" w:type="dxa"/>
            <w:shd w:val="clear" w:color="auto" w:fill="F2F2F2" w:themeFill="background1" w:themeFillShade="F2"/>
          </w:tcPr>
          <w:p w14:paraId="791A60CE" w14:textId="77777777" w:rsidR="00556F67" w:rsidRDefault="00FA0A90" w:rsidP="00FA0A90">
            <w:pPr>
              <w:cnfStyle w:val="010000000000" w:firstRow="0" w:lastRow="1" w:firstColumn="0" w:lastColumn="0" w:oddVBand="0" w:evenVBand="0" w:oddHBand="0" w:evenHBand="0" w:firstRowFirstColumn="0" w:firstRowLastColumn="0" w:lastRowFirstColumn="0" w:lastRowLastColumn="0"/>
              <w:rPr>
                <w:b w:val="0"/>
              </w:rPr>
            </w:pPr>
            <w:r w:rsidRPr="008F0868">
              <w:rPr>
                <w:b w:val="0"/>
              </w:rPr>
              <w:t xml:space="preserve">RAV, </w:t>
            </w:r>
          </w:p>
          <w:p w14:paraId="412CCB7F" w14:textId="5C746A2E" w:rsidR="00FA0A90" w:rsidRPr="008F0868" w:rsidRDefault="00FA0A90" w:rsidP="00FA0A90">
            <w:pPr>
              <w:cnfStyle w:val="010000000000" w:firstRow="0" w:lastRow="1" w:firstColumn="0" w:lastColumn="0" w:oddVBand="0" w:evenVBand="0" w:oddHBand="0" w:evenHBand="0" w:firstRowFirstColumn="0" w:firstRowLastColumn="0" w:lastRowFirstColumn="0" w:lastRowLastColumn="0"/>
              <w:rPr>
                <w:b w:val="0"/>
              </w:rPr>
            </w:pPr>
            <w:r w:rsidRPr="008F0868">
              <w:rPr>
                <w:b w:val="0"/>
              </w:rPr>
              <w:t xml:space="preserve">DCV </w:t>
            </w:r>
            <w:r w:rsidR="0029427D" w:rsidRPr="008F0868">
              <w:rPr>
                <w:b w:val="0"/>
              </w:rPr>
              <w:t>&amp;</w:t>
            </w:r>
            <w:r w:rsidRPr="008F0868">
              <w:rPr>
                <w:b w:val="0"/>
              </w:rPr>
              <w:t xml:space="preserve"> recreational vessel</w:t>
            </w:r>
          </w:p>
          <w:p w14:paraId="522D1900" w14:textId="6FB0BB1C" w:rsidR="00FA0A90" w:rsidRPr="008F0868" w:rsidRDefault="00FA0A90" w:rsidP="00FA0A90">
            <w:pPr>
              <w:cnfStyle w:val="010000000000" w:firstRow="0" w:lastRow="1" w:firstColumn="0" w:lastColumn="0" w:oddVBand="0" w:evenVBand="0" w:oddHBand="0" w:evenHBand="0" w:firstRowFirstColumn="0" w:firstRowLastColumn="0" w:lastRowFirstColumn="0" w:lastRowLastColumn="0"/>
              <w:rPr>
                <w:b w:val="0"/>
              </w:rPr>
            </w:pPr>
            <w:r w:rsidRPr="008F0868">
              <w:rPr>
                <w:b w:val="0"/>
              </w:rPr>
              <w:t>Foreign</w:t>
            </w:r>
          </w:p>
        </w:tc>
        <w:tc>
          <w:tcPr>
            <w:tcW w:w="1894" w:type="dxa"/>
            <w:shd w:val="clear" w:color="auto" w:fill="F2F2F2" w:themeFill="background1" w:themeFillShade="F2"/>
          </w:tcPr>
          <w:p w14:paraId="1D692BDD" w14:textId="77777777" w:rsidR="00FA0A90" w:rsidRPr="008F0868" w:rsidRDefault="00FA0A90" w:rsidP="00FA0A90">
            <w:pPr>
              <w:cnfStyle w:val="010000000000" w:firstRow="0" w:lastRow="1" w:firstColumn="0" w:lastColumn="0" w:oddVBand="0" w:evenVBand="0" w:oddHBand="0" w:evenHBand="0" w:firstRowFirstColumn="0" w:firstRowLastColumn="0" w:lastRowFirstColumn="0" w:lastRowLastColumn="0"/>
              <w:rPr>
                <w:b w:val="0"/>
                <w:vertAlign w:val="superscript"/>
              </w:rPr>
            </w:pPr>
            <w:r w:rsidRPr="008F0868">
              <w:rPr>
                <w:b w:val="0"/>
              </w:rPr>
              <w:t>?</w:t>
            </w:r>
            <w:r w:rsidRPr="008F0868">
              <w:rPr>
                <w:b w:val="0"/>
                <w:vertAlign w:val="superscript"/>
              </w:rPr>
              <w:t>#</w:t>
            </w:r>
          </w:p>
          <w:p w14:paraId="66756FAF" w14:textId="3AED2362" w:rsidR="00FA0A90" w:rsidRDefault="00F862CB" w:rsidP="00955F4C">
            <w:pPr>
              <w:cnfStyle w:val="010000000000" w:firstRow="0" w:lastRow="1" w:firstColumn="0" w:lastColumn="0" w:oddVBand="0" w:evenVBand="0" w:oddHBand="0" w:evenHBand="0" w:firstRowFirstColumn="0" w:firstRowLastColumn="0" w:lastRowFirstColumn="0" w:lastRowLastColumn="0"/>
              <w:rPr>
                <w:b w:val="0"/>
                <w:sz w:val="22"/>
              </w:rPr>
            </w:pPr>
            <w:r w:rsidRPr="00F862CB">
              <w:rPr>
                <w:sz w:val="22"/>
              </w:rPr>
              <w:sym w:font="Wingdings 2" w:char="F04F"/>
            </w:r>
          </w:p>
          <w:p w14:paraId="36732CF6" w14:textId="77777777" w:rsidR="00F862CB" w:rsidRPr="00955F4C" w:rsidRDefault="00F862CB" w:rsidP="00955F4C">
            <w:pPr>
              <w:cnfStyle w:val="010000000000" w:firstRow="0" w:lastRow="1" w:firstColumn="0" w:lastColumn="0" w:oddVBand="0" w:evenVBand="0" w:oddHBand="0" w:evenHBand="0" w:firstRowFirstColumn="0" w:firstRowLastColumn="0" w:lastRowFirstColumn="0" w:lastRowLastColumn="0"/>
              <w:rPr>
                <w:b w:val="0"/>
                <w:sz w:val="16"/>
                <w:vertAlign w:val="superscript"/>
              </w:rPr>
            </w:pPr>
          </w:p>
          <w:p w14:paraId="27250971" w14:textId="6A67F683" w:rsidR="00FA0A90" w:rsidRPr="008F0868" w:rsidRDefault="00FA0A90" w:rsidP="00FA0A90">
            <w:pPr>
              <w:cnfStyle w:val="010000000000" w:firstRow="0" w:lastRow="1" w:firstColumn="0" w:lastColumn="0" w:oddVBand="0" w:evenVBand="0" w:oddHBand="0" w:evenHBand="0" w:firstRowFirstColumn="0" w:firstRowLastColumn="0" w:lastRowFirstColumn="0" w:lastRowLastColumn="0"/>
              <w:rPr>
                <w:b w:val="0"/>
              </w:rPr>
            </w:pPr>
            <w:r w:rsidRPr="008F0868">
              <w:rPr>
                <w:b w:val="0"/>
              </w:rPr>
              <w:t>?</w:t>
            </w:r>
            <w:r w:rsidRPr="008F0868">
              <w:rPr>
                <w:b w:val="0"/>
                <w:vertAlign w:val="superscript"/>
              </w:rPr>
              <w:t>#</w:t>
            </w:r>
          </w:p>
        </w:tc>
        <w:tc>
          <w:tcPr>
            <w:tcW w:w="1970" w:type="dxa"/>
            <w:shd w:val="clear" w:color="auto" w:fill="F2F2F2" w:themeFill="background1" w:themeFillShade="F2"/>
          </w:tcPr>
          <w:p w14:paraId="73D9BA9E" w14:textId="77777777" w:rsidR="00FA0A90" w:rsidRPr="008F0868" w:rsidRDefault="00FA0A90" w:rsidP="00FA0A90">
            <w:pPr>
              <w:cnfStyle w:val="010000000000" w:firstRow="0" w:lastRow="1" w:firstColumn="0" w:lastColumn="0" w:oddVBand="0" w:evenVBand="0" w:oddHBand="0" w:evenHBand="0" w:firstRowFirstColumn="0" w:firstRowLastColumn="0" w:lastRowFirstColumn="0" w:lastRowLastColumn="0"/>
              <w:rPr>
                <w:b w:val="0"/>
              </w:rPr>
            </w:pPr>
            <w:r w:rsidRPr="008F0868">
              <w:rPr>
                <w:b w:val="0"/>
              </w:rPr>
              <w:sym w:font="Wingdings" w:char="F0FC"/>
            </w:r>
          </w:p>
          <w:p w14:paraId="0D2C9D91" w14:textId="77777777" w:rsidR="00F862CB" w:rsidRPr="008F0868" w:rsidRDefault="00F862CB" w:rsidP="00F862CB">
            <w:pPr>
              <w:cnfStyle w:val="010000000000" w:firstRow="0" w:lastRow="1" w:firstColumn="0" w:lastColumn="0" w:oddVBand="0" w:evenVBand="0" w:oddHBand="0" w:evenHBand="0" w:firstRowFirstColumn="0" w:firstRowLastColumn="0" w:lastRowFirstColumn="0" w:lastRowLastColumn="0"/>
              <w:rPr>
                <w:b w:val="0"/>
              </w:rPr>
            </w:pPr>
            <w:r w:rsidRPr="008F0868">
              <w:rPr>
                <w:b w:val="0"/>
              </w:rPr>
              <w:sym w:font="Wingdings" w:char="F0FC"/>
            </w:r>
          </w:p>
          <w:p w14:paraId="174A9278" w14:textId="77777777" w:rsidR="00F862CB" w:rsidRDefault="00F862CB" w:rsidP="00FA0A90">
            <w:pPr>
              <w:cnfStyle w:val="010000000000" w:firstRow="0" w:lastRow="1" w:firstColumn="0" w:lastColumn="0" w:oddVBand="0" w:evenVBand="0" w:oddHBand="0" w:evenHBand="0" w:firstRowFirstColumn="0" w:firstRowLastColumn="0" w:lastRowFirstColumn="0" w:lastRowLastColumn="0"/>
              <w:rPr>
                <w:b w:val="0"/>
              </w:rPr>
            </w:pPr>
          </w:p>
          <w:p w14:paraId="52E7F1DE" w14:textId="5CD513C7" w:rsidR="00FA0A90" w:rsidRPr="008F0868" w:rsidRDefault="00FA0A90" w:rsidP="00FA0A90">
            <w:pPr>
              <w:cnfStyle w:val="010000000000" w:firstRow="0" w:lastRow="1" w:firstColumn="0" w:lastColumn="0" w:oddVBand="0" w:evenVBand="0" w:oddHBand="0" w:evenHBand="0" w:firstRowFirstColumn="0" w:firstRowLastColumn="0" w:lastRowFirstColumn="0" w:lastRowLastColumn="0"/>
              <w:rPr>
                <w:b w:val="0"/>
              </w:rPr>
            </w:pPr>
            <w:r w:rsidRPr="008F0868">
              <w:rPr>
                <w:b w:val="0"/>
              </w:rPr>
              <w:sym w:font="Wingdings" w:char="F0FC"/>
            </w:r>
            <w:r w:rsidRPr="008F0868">
              <w:rPr>
                <w:b w:val="0"/>
                <w:vertAlign w:val="superscript"/>
              </w:rPr>
              <w:t>*</w:t>
            </w:r>
          </w:p>
        </w:tc>
        <w:tc>
          <w:tcPr>
            <w:tcW w:w="1082" w:type="dxa"/>
            <w:shd w:val="clear" w:color="auto" w:fill="F2F2F2" w:themeFill="background1" w:themeFillShade="F2"/>
          </w:tcPr>
          <w:p w14:paraId="711083B7" w14:textId="77777777" w:rsidR="00FA0A90" w:rsidRPr="008F0868" w:rsidRDefault="00FA0A90" w:rsidP="00FA0A90">
            <w:pPr>
              <w:cnfStyle w:val="010000000000" w:firstRow="0" w:lastRow="1" w:firstColumn="0" w:lastColumn="0" w:oddVBand="0" w:evenVBand="0" w:oddHBand="0" w:evenHBand="0" w:firstRowFirstColumn="0" w:firstRowLastColumn="0" w:lastRowFirstColumn="0" w:lastRowLastColumn="0"/>
              <w:rPr>
                <w:b w:val="0"/>
              </w:rPr>
            </w:pPr>
            <w:r w:rsidRPr="008F0868">
              <w:rPr>
                <w:b w:val="0"/>
              </w:rPr>
              <w:sym w:font="Wingdings" w:char="F0FC"/>
            </w:r>
          </w:p>
          <w:p w14:paraId="1A2B70FA" w14:textId="77777777" w:rsidR="00F862CB" w:rsidRPr="008F0868" w:rsidRDefault="00F862CB" w:rsidP="00F862CB">
            <w:pPr>
              <w:cnfStyle w:val="010000000000" w:firstRow="0" w:lastRow="1" w:firstColumn="0" w:lastColumn="0" w:oddVBand="0" w:evenVBand="0" w:oddHBand="0" w:evenHBand="0" w:firstRowFirstColumn="0" w:firstRowLastColumn="0" w:lastRowFirstColumn="0" w:lastRowLastColumn="0"/>
              <w:rPr>
                <w:b w:val="0"/>
              </w:rPr>
            </w:pPr>
            <w:r w:rsidRPr="008F0868">
              <w:rPr>
                <w:b w:val="0"/>
              </w:rPr>
              <w:sym w:font="Wingdings" w:char="F0FC"/>
            </w:r>
          </w:p>
          <w:p w14:paraId="630D48A5" w14:textId="77777777" w:rsidR="00FA0A90" w:rsidRPr="008F0868" w:rsidRDefault="00FA0A90" w:rsidP="00FA0A90">
            <w:pPr>
              <w:spacing w:before="0" w:after="0"/>
              <w:cnfStyle w:val="010000000000" w:firstRow="0" w:lastRow="1" w:firstColumn="0" w:lastColumn="0" w:oddVBand="0" w:evenVBand="0" w:oddHBand="0" w:evenHBand="0" w:firstRowFirstColumn="0" w:firstRowLastColumn="0" w:lastRowFirstColumn="0" w:lastRowLastColumn="0"/>
              <w:rPr>
                <w:b w:val="0"/>
              </w:rPr>
            </w:pPr>
          </w:p>
          <w:p w14:paraId="2736A5DF" w14:textId="03DF4C3B" w:rsidR="00FA0A90" w:rsidRPr="008F0868" w:rsidRDefault="00FA0A90" w:rsidP="00FA0A90">
            <w:pPr>
              <w:cnfStyle w:val="010000000000" w:firstRow="0" w:lastRow="1" w:firstColumn="0" w:lastColumn="0" w:oddVBand="0" w:evenVBand="0" w:oddHBand="0" w:evenHBand="0" w:firstRowFirstColumn="0" w:firstRowLastColumn="0" w:lastRowFirstColumn="0" w:lastRowLastColumn="0"/>
              <w:rPr>
                <w:b w:val="0"/>
              </w:rPr>
            </w:pPr>
            <w:r w:rsidRPr="008F0868">
              <w:rPr>
                <w:b w:val="0"/>
              </w:rPr>
              <w:sym w:font="Wingdings" w:char="F0FC"/>
            </w:r>
            <w:r w:rsidRPr="008F0868">
              <w:rPr>
                <w:b w:val="0"/>
                <w:vertAlign w:val="superscript"/>
              </w:rPr>
              <w:t>*</w:t>
            </w:r>
          </w:p>
        </w:tc>
      </w:tr>
    </w:tbl>
    <w:p w14:paraId="674FFE16" w14:textId="5B391D41" w:rsidR="00EE4136" w:rsidRPr="00966C75" w:rsidRDefault="00EE4136" w:rsidP="00EE4136">
      <w:pPr>
        <w:pStyle w:val="Sourcenotes"/>
      </w:pPr>
      <w:r w:rsidRPr="00966C75">
        <w:rPr>
          <w:vertAlign w:val="superscript"/>
        </w:rPr>
        <w:t xml:space="preserve"># </w:t>
      </w:r>
      <w:r w:rsidRPr="00966C75">
        <w:t>Cost recovery may be possible under the Protection of the Sea regulatory framework depending on the circumstances of the wreck and if it</w:t>
      </w:r>
      <w:r w:rsidR="001A6A6E" w:rsidRPr="00966C75">
        <w:t xml:space="preserve"> has created marine pollution. </w:t>
      </w:r>
    </w:p>
    <w:p w14:paraId="02D38576" w14:textId="39D1434D" w:rsidR="00EE4136" w:rsidRPr="00966C75" w:rsidRDefault="00EE4136" w:rsidP="00EE4136">
      <w:pPr>
        <w:pStyle w:val="Sourcenotes"/>
      </w:pPr>
      <w:r w:rsidRPr="00966C75">
        <w:rPr>
          <w:sz w:val="20"/>
          <w:vertAlign w:val="superscript"/>
        </w:rPr>
        <w:t>*</w:t>
      </w:r>
      <w:r w:rsidRPr="00966C75">
        <w:t xml:space="preserve"> The Nairobi Convention requirements will also apply to foreign vessels transiting through Australian waters, aside from the requirement to hold insurance for </w:t>
      </w:r>
      <w:r w:rsidR="00AC5FBC" w:rsidRPr="00966C75">
        <w:rPr>
          <w:lang w:val="en-AU"/>
        </w:rPr>
        <w:t>ships</w:t>
      </w:r>
      <w:r w:rsidRPr="00966C75">
        <w:t xml:space="preserve"> 300 GT and over. </w:t>
      </w:r>
    </w:p>
    <w:p w14:paraId="136CEEB9" w14:textId="17F3E422" w:rsidR="00EE4136" w:rsidRPr="0029427D" w:rsidRDefault="00EE4136" w:rsidP="00955F4C">
      <w:pPr>
        <w:keepNext/>
      </w:pPr>
      <w:r w:rsidRPr="0029427D">
        <w:t>In addition, the new framework will:</w:t>
      </w:r>
    </w:p>
    <w:p w14:paraId="550EFB19" w14:textId="10E3594D" w:rsidR="00EE4136" w:rsidRPr="0029427D" w:rsidRDefault="00EE4136" w:rsidP="00EE4136">
      <w:pPr>
        <w:pStyle w:val="Bullet1"/>
        <w:rPr>
          <w:lang w:val="en-AU"/>
        </w:rPr>
      </w:pPr>
      <w:r w:rsidRPr="0029427D">
        <w:rPr>
          <w:lang w:val="en-AU"/>
        </w:rPr>
        <w:t xml:space="preserve">provide the Australian Government with </w:t>
      </w:r>
      <w:r w:rsidR="00955F4C">
        <w:rPr>
          <w:lang w:val="en-AU"/>
        </w:rPr>
        <w:t>expanded criteria against which</w:t>
      </w:r>
      <w:r w:rsidR="00955F4C" w:rsidRPr="0029427D">
        <w:rPr>
          <w:lang w:val="en-AU"/>
        </w:rPr>
        <w:t xml:space="preserve"> </w:t>
      </w:r>
      <w:r w:rsidRPr="0029427D">
        <w:rPr>
          <w:lang w:val="en-AU"/>
        </w:rPr>
        <w:t>to determine a wreck has created a ‘hazard’</w:t>
      </w:r>
      <w:r w:rsidR="00B46B77" w:rsidRPr="0029427D">
        <w:rPr>
          <w:lang w:val="en-AU"/>
        </w:rPr>
        <w:t xml:space="preserve"> and </w:t>
      </w:r>
      <w:r w:rsidR="00955F4C">
        <w:rPr>
          <w:lang w:val="en-AU"/>
        </w:rPr>
        <w:t xml:space="preserve">to require </w:t>
      </w:r>
      <w:r w:rsidR="00B46B77" w:rsidRPr="0029427D">
        <w:rPr>
          <w:lang w:val="en-AU"/>
        </w:rPr>
        <w:t>remov</w:t>
      </w:r>
      <w:r w:rsidR="00955F4C">
        <w:rPr>
          <w:lang w:val="en-AU"/>
        </w:rPr>
        <w:t>al</w:t>
      </w:r>
      <w:r w:rsidR="00B46B77" w:rsidRPr="0029427D">
        <w:rPr>
          <w:lang w:val="en-AU"/>
        </w:rPr>
        <w:t xml:space="preserve"> at the ship owner’s cost</w:t>
      </w:r>
      <w:r w:rsidRPr="0029427D">
        <w:rPr>
          <w:lang w:val="en-AU"/>
        </w:rPr>
        <w:t>, including economic</w:t>
      </w:r>
      <w:r w:rsidR="003B5F2E" w:rsidRPr="0029427D">
        <w:rPr>
          <w:lang w:val="en-AU"/>
        </w:rPr>
        <w:t>, environmental</w:t>
      </w:r>
      <w:r w:rsidRPr="0029427D">
        <w:rPr>
          <w:lang w:val="en-AU"/>
        </w:rPr>
        <w:t xml:space="preserve"> and health impacts.</w:t>
      </w:r>
    </w:p>
    <w:p w14:paraId="3AC3DF1D" w14:textId="595DB3C8" w:rsidR="00EE4136" w:rsidRPr="0029427D" w:rsidRDefault="00EE4136" w:rsidP="00EE4136">
      <w:pPr>
        <w:pStyle w:val="Bullet1"/>
        <w:rPr>
          <w:lang w:val="en-AU"/>
        </w:rPr>
      </w:pPr>
      <w:r w:rsidRPr="0029427D">
        <w:rPr>
          <w:lang w:val="en-AU"/>
        </w:rPr>
        <w:t>broaden the types of actions for which the Australian Government may seek wreck</w:t>
      </w:r>
      <w:r w:rsidRPr="0029427D">
        <w:rPr>
          <w:lang w:val="en-AU"/>
        </w:rPr>
        <w:noBreakHyphen/>
        <w:t>related costs from the ship owner to include any form of prevention, mitigation or elimination of the hazard created by the wreck.</w:t>
      </w:r>
    </w:p>
    <w:p w14:paraId="7AC6EB8D" w14:textId="44C8BD75" w:rsidR="00916F6A" w:rsidRPr="0029427D" w:rsidRDefault="00B73310" w:rsidP="00EE4136">
      <w:pPr>
        <w:pStyle w:val="Bullet1"/>
        <w:rPr>
          <w:lang w:val="en-AU"/>
        </w:rPr>
      </w:pPr>
      <w:r w:rsidRPr="0029427D">
        <w:rPr>
          <w:lang w:val="en-AU"/>
        </w:rPr>
        <w:t xml:space="preserve">capture DCV and recreational vessel wrecks in the EEZ that would otherwise have fallen through a legislative gap. </w:t>
      </w:r>
    </w:p>
    <w:p w14:paraId="0753226C" w14:textId="7CE59F08" w:rsidR="00EE4136" w:rsidRPr="0029427D" w:rsidRDefault="00EE4136" w:rsidP="00EE4136">
      <w:pPr>
        <w:rPr>
          <w:lang w:eastAsia="en-AU"/>
        </w:rPr>
      </w:pPr>
      <w:r w:rsidRPr="0029427D">
        <w:t xml:space="preserve">These benefits outweigh the constraints the Nairobi Convention imposes on </w:t>
      </w:r>
      <w:r w:rsidRPr="0029427D">
        <w:rPr>
          <w:lang w:eastAsia="en-AU"/>
        </w:rPr>
        <w:t>when and how wreck recovery operations</w:t>
      </w:r>
      <w:r w:rsidR="008073C3">
        <w:rPr>
          <w:lang w:eastAsia="en-AU"/>
        </w:rPr>
        <w:t xml:space="preserve"> occur</w:t>
      </w:r>
      <w:r w:rsidRPr="0029427D">
        <w:rPr>
          <w:lang w:eastAsia="en-AU"/>
        </w:rPr>
        <w:t xml:space="preserve"> in Australia</w:t>
      </w:r>
      <w:r w:rsidR="00955F4C">
        <w:rPr>
          <w:lang w:eastAsia="en-AU"/>
        </w:rPr>
        <w:t>, which include but are not limited to</w:t>
      </w:r>
      <w:r w:rsidRPr="0029427D">
        <w:rPr>
          <w:lang w:eastAsia="en-AU"/>
        </w:rPr>
        <w:t xml:space="preserve">: </w:t>
      </w:r>
    </w:p>
    <w:p w14:paraId="1B5C3645" w14:textId="57750851" w:rsidR="00EE4136" w:rsidRPr="0029427D" w:rsidRDefault="00EE4136" w:rsidP="00EE4136">
      <w:pPr>
        <w:pStyle w:val="Bullet1"/>
        <w:rPr>
          <w:lang w:val="en-AU" w:eastAsia="en-AU"/>
        </w:rPr>
      </w:pPr>
      <w:r w:rsidRPr="0029427D">
        <w:rPr>
          <w:lang w:val="en-AU" w:eastAsia="en-AU"/>
        </w:rPr>
        <w:t>cost recovery powers are</w:t>
      </w:r>
      <w:r w:rsidR="00955F4C">
        <w:rPr>
          <w:lang w:val="en-AU" w:eastAsia="en-AU"/>
        </w:rPr>
        <w:t xml:space="preserve"> only</w:t>
      </w:r>
      <w:r w:rsidRPr="0029427D">
        <w:rPr>
          <w:lang w:val="en-AU" w:eastAsia="en-AU"/>
        </w:rPr>
        <w:t xml:space="preserve"> activated when a maritime casualty has caused a wreck, which has then created a hazard. </w:t>
      </w:r>
      <w:r w:rsidRPr="0029427D">
        <w:rPr>
          <w:lang w:val="en-AU"/>
        </w:rPr>
        <w:t>These preconditions are</w:t>
      </w:r>
      <w:r w:rsidRPr="0029427D">
        <w:rPr>
          <w:lang w:val="en-AU" w:eastAsia="en-AU"/>
        </w:rPr>
        <w:t xml:space="preserve"> unlikely to prevent cost recovery in the vast majority of incidents as ‘maritime casualty’ is broadly defined to include an incident of navigation, normal weather events but also occurrences on </w:t>
      </w:r>
      <w:r w:rsidR="001A6A6E" w:rsidRPr="0029427D">
        <w:rPr>
          <w:lang w:val="en-AU" w:eastAsia="en-AU"/>
        </w:rPr>
        <w:t>board or external to the ship.</w:t>
      </w:r>
    </w:p>
    <w:p w14:paraId="3B9AAEE9" w14:textId="4B618AED" w:rsidR="00EE4136" w:rsidRPr="0029427D" w:rsidRDefault="00EE4136" w:rsidP="00EE4136">
      <w:pPr>
        <w:pStyle w:val="Bullet1"/>
        <w:rPr>
          <w:rFonts w:eastAsia="Times New Roman" w:cstheme="minorHAnsi"/>
          <w:lang w:val="en-AU" w:eastAsia="en-AU"/>
        </w:rPr>
      </w:pPr>
      <w:r w:rsidRPr="0029427D">
        <w:rPr>
          <w:lang w:val="en-AU"/>
        </w:rPr>
        <w:t xml:space="preserve">time limits will be imposed, requiring cost recovery </w:t>
      </w:r>
      <w:r w:rsidRPr="0029427D">
        <w:rPr>
          <w:rFonts w:eastAsia="Times New Roman" w:cstheme="minorHAnsi"/>
          <w:lang w:val="en-AU" w:eastAsia="en-AU"/>
        </w:rPr>
        <w:t xml:space="preserve">actions to be commenced within </w:t>
      </w:r>
      <w:r w:rsidR="00362B44">
        <w:rPr>
          <w:rFonts w:eastAsia="Times New Roman" w:cstheme="minorHAnsi"/>
          <w:lang w:val="en-AU" w:eastAsia="en-AU"/>
        </w:rPr>
        <w:t>3</w:t>
      </w:r>
      <w:r w:rsidR="00362B44" w:rsidRPr="0029427D">
        <w:rPr>
          <w:rFonts w:eastAsia="Times New Roman" w:cstheme="minorHAnsi"/>
          <w:lang w:val="en-AU" w:eastAsia="en-AU"/>
        </w:rPr>
        <w:t xml:space="preserve"> </w:t>
      </w:r>
      <w:r w:rsidRPr="0029427D">
        <w:rPr>
          <w:rFonts w:eastAsia="Times New Roman" w:cstheme="minorHAnsi"/>
          <w:lang w:val="en-AU" w:eastAsia="en-AU"/>
        </w:rPr>
        <w:t xml:space="preserve">years of a wreck being determined to pose a hazard, and </w:t>
      </w:r>
      <w:r w:rsidR="00362B44">
        <w:rPr>
          <w:rFonts w:eastAsia="Times New Roman" w:cstheme="minorHAnsi"/>
          <w:lang w:val="en-AU" w:eastAsia="en-AU"/>
        </w:rPr>
        <w:t>6</w:t>
      </w:r>
      <w:r w:rsidR="00362B44" w:rsidRPr="0029427D">
        <w:rPr>
          <w:rFonts w:eastAsia="Times New Roman" w:cstheme="minorHAnsi"/>
          <w:lang w:val="en-AU" w:eastAsia="en-AU"/>
        </w:rPr>
        <w:t xml:space="preserve"> </w:t>
      </w:r>
      <w:r w:rsidRPr="0029427D">
        <w:rPr>
          <w:rFonts w:eastAsia="Times New Roman" w:cstheme="minorHAnsi"/>
          <w:lang w:val="en-AU" w:eastAsia="en-AU"/>
        </w:rPr>
        <w:t xml:space="preserve">years from the date of the maritime casualty. The Navigation Act as currently drafted does create the ability for the Australian Government to impose time limits on commencing cost recovery actions in regulations though none have been set. </w:t>
      </w:r>
    </w:p>
    <w:p w14:paraId="3835032D" w14:textId="77777777" w:rsidR="00EE4136" w:rsidRPr="0029427D" w:rsidRDefault="00EE4136" w:rsidP="00EE4136">
      <w:pPr>
        <w:pStyle w:val="Bullet1"/>
        <w:rPr>
          <w:rFonts w:eastAsia="Times New Roman" w:cstheme="minorHAnsi"/>
          <w:lang w:val="en-AU" w:eastAsia="en-AU"/>
        </w:rPr>
      </w:pPr>
      <w:r w:rsidRPr="0029427D">
        <w:rPr>
          <w:lang w:val="en-AU"/>
        </w:rPr>
        <w:t xml:space="preserve">wreck removal activities must be proportional to the hazard, which is a vague standard and may lead to disputes between a ship owner and the Australian Government. </w:t>
      </w:r>
    </w:p>
    <w:p w14:paraId="64C7A9B7" w14:textId="69E654A7" w:rsidR="00EE4136" w:rsidRPr="0029427D" w:rsidRDefault="00EE4136" w:rsidP="00EE4136">
      <w:pPr>
        <w:pStyle w:val="Bullet1"/>
      </w:pPr>
      <w:r w:rsidRPr="0029427D">
        <w:rPr>
          <w:lang w:val="en-US"/>
        </w:rPr>
        <w:lastRenderedPageBreak/>
        <w:t xml:space="preserve">limitations on the ability to influence salvage operations. </w:t>
      </w:r>
      <w:r w:rsidRPr="0029427D">
        <w:t xml:space="preserve">Where the ship owner has contracted the salvor, the Australian Government would only be able to impose conditions on the wreck removal process to the extent necessary for safety and the protection of the marine environment. </w:t>
      </w:r>
      <w:r w:rsidR="00A9339A" w:rsidRPr="0029427D">
        <w:rPr>
          <w:lang w:val="en-AU"/>
        </w:rPr>
        <w:t>T</w:t>
      </w:r>
      <w:r w:rsidR="00A9339A" w:rsidRPr="0029427D">
        <w:t>his</w:t>
      </w:r>
      <w:r w:rsidRPr="0029427D">
        <w:t xml:space="preserve"> would still allow the Australian Government to impose specific environmental conditions in sensitive areas, such as the Great Barrier Reef. </w:t>
      </w:r>
    </w:p>
    <w:p w14:paraId="5AC6BF8C" w14:textId="44D2420E" w:rsidR="00EE4136" w:rsidRPr="00007209" w:rsidRDefault="00EE4136" w:rsidP="00EE4136">
      <w:pPr>
        <w:rPr>
          <w:b/>
        </w:rPr>
      </w:pPr>
      <w:r w:rsidRPr="00007209">
        <w:rPr>
          <w:b/>
        </w:rPr>
        <w:t>Option 3 will simplify cost recovery</w:t>
      </w:r>
    </w:p>
    <w:p w14:paraId="15AF578C" w14:textId="101301BA" w:rsidR="00EE4136" w:rsidRPr="00007209" w:rsidRDefault="00EE4136" w:rsidP="00EE4136">
      <w:r w:rsidRPr="00007209">
        <w:t>Option 3 will also make the recovery of wreck</w:t>
      </w:r>
      <w:r w:rsidRPr="00007209">
        <w:noBreakHyphen/>
        <w:t xml:space="preserve">related costs from ship owners simpler and more time-effective. Ship owners will be held strictly liable for the costs associated with wrecks they </w:t>
      </w:r>
      <w:r w:rsidR="00955F4C">
        <w:t>own</w:t>
      </w:r>
      <w:r w:rsidRPr="00007209">
        <w:t xml:space="preserve">. </w:t>
      </w:r>
      <w:r w:rsidRPr="00007209">
        <w:rPr>
          <w:rFonts w:cstheme="minorHAnsi"/>
          <w:szCs w:val="21"/>
        </w:rPr>
        <w:t xml:space="preserve">Making </w:t>
      </w:r>
      <w:r w:rsidR="00362B44">
        <w:rPr>
          <w:rFonts w:cstheme="minorHAnsi"/>
          <w:szCs w:val="21"/>
        </w:rPr>
        <w:t>a single</w:t>
      </w:r>
      <w:r w:rsidRPr="00007209">
        <w:rPr>
          <w:rFonts w:cstheme="minorHAnsi"/>
          <w:szCs w:val="21"/>
        </w:rPr>
        <w:t xml:space="preserve">, clearly identifiable party liable for all wreck-related costs will make claims more straightforward and easier to resolve. </w:t>
      </w:r>
    </w:p>
    <w:p w14:paraId="02BE48BD" w14:textId="63F651A7" w:rsidR="00EE4136" w:rsidRPr="00007209" w:rsidRDefault="00EE4136" w:rsidP="00EE4136">
      <w:r w:rsidRPr="00007209">
        <w:t>Ship owners will also be required to hold wreck-related insurance policies for ships 300</w:t>
      </w:r>
      <w:r w:rsidR="009A0521" w:rsidRPr="00007209">
        <w:t xml:space="preserve"> </w:t>
      </w:r>
      <w:r w:rsidRPr="00007209">
        <w:t xml:space="preserve">GT and above. The Australian Government can then engage directly with the insurer to </w:t>
      </w:r>
      <w:r w:rsidR="00955F4C">
        <w:t>recover</w:t>
      </w:r>
      <w:r w:rsidR="00955F4C" w:rsidRPr="00007209">
        <w:t xml:space="preserve"> </w:t>
      </w:r>
      <w:r w:rsidRPr="00007209">
        <w:t xml:space="preserve">monies </w:t>
      </w:r>
      <w:r w:rsidR="001A6A6E" w:rsidRPr="00007209">
        <w:t xml:space="preserve">up to the relevant LLMC limit. </w:t>
      </w:r>
      <w:r w:rsidRPr="00007209">
        <w:t>This</w:t>
      </w:r>
      <w:r w:rsidR="00955F4C">
        <w:t xml:space="preserve"> increases the likelihood of assets being </w:t>
      </w:r>
      <w:r w:rsidRPr="00007209">
        <w:t xml:space="preserve">available to the </w:t>
      </w:r>
      <w:r w:rsidRPr="00007209">
        <w:rPr>
          <w:rFonts w:cstheme="minorHAnsi"/>
          <w:szCs w:val="21"/>
        </w:rPr>
        <w:t>Australian Government</w:t>
      </w:r>
      <w:r w:rsidRPr="00007209">
        <w:t xml:space="preserve">, as there are a number of practical difficulties when trying to recover costs when there are no assets in Australia. </w:t>
      </w:r>
      <w:r w:rsidR="00AB1E90">
        <w:t>Where there is a dispute, t</w:t>
      </w:r>
      <w:r w:rsidRPr="00007209">
        <w:rPr>
          <w:rFonts w:cstheme="minorHAnsi"/>
          <w:szCs w:val="21"/>
        </w:rPr>
        <w:t xml:space="preserve">he Australian Government may still need to undertake court action against the </w:t>
      </w:r>
      <w:r w:rsidR="002958A5" w:rsidRPr="00007209">
        <w:rPr>
          <w:rFonts w:cstheme="minorHAnsi"/>
          <w:szCs w:val="21"/>
        </w:rPr>
        <w:t xml:space="preserve">insurer to access the funds and </w:t>
      </w:r>
      <w:r w:rsidRPr="00007209">
        <w:t xml:space="preserve">may still not be able to recover </w:t>
      </w:r>
      <w:r w:rsidR="002958A5" w:rsidRPr="00007209">
        <w:t xml:space="preserve">all </w:t>
      </w:r>
      <w:r w:rsidRPr="00007209">
        <w:t xml:space="preserve">wreck-related costs if the total exceeds the insurance policy unless </w:t>
      </w:r>
      <w:r w:rsidR="00B46B77" w:rsidRPr="00007209">
        <w:t>the ship owner has</w:t>
      </w:r>
      <w:r w:rsidRPr="00007209">
        <w:t xml:space="preserve"> onshore assets. </w:t>
      </w:r>
    </w:p>
    <w:p w14:paraId="58F93AF3" w14:textId="29A2FD00" w:rsidR="00EE4136" w:rsidRPr="004908DC" w:rsidRDefault="00EE4136" w:rsidP="004908DC">
      <w:pPr>
        <w:tabs>
          <w:tab w:val="left" w:pos="7938"/>
        </w:tabs>
        <w:rPr>
          <w:b/>
          <w:lang w:val="en-US"/>
        </w:rPr>
      </w:pPr>
      <w:r w:rsidRPr="004908DC">
        <w:rPr>
          <w:b/>
          <w:lang w:val="en-US"/>
        </w:rPr>
        <w:t xml:space="preserve">Australia will </w:t>
      </w:r>
      <w:r w:rsidRPr="004908DC">
        <w:rPr>
          <w:b/>
        </w:rPr>
        <w:t>adopt</w:t>
      </w:r>
      <w:r w:rsidRPr="004908DC">
        <w:rPr>
          <w:b/>
          <w:lang w:val="en-US"/>
        </w:rPr>
        <w:t xml:space="preserve"> international best practice</w:t>
      </w:r>
      <w:r w:rsidR="004908DC" w:rsidRPr="004908DC">
        <w:rPr>
          <w:b/>
          <w:lang w:val="en-US"/>
        </w:rPr>
        <w:t xml:space="preserve"> while retaining autonomy in the territorial sea</w:t>
      </w:r>
    </w:p>
    <w:p w14:paraId="6C575046" w14:textId="6AD0CB57" w:rsidR="00EE4136" w:rsidRDefault="00EE4136" w:rsidP="004908DC">
      <w:pPr>
        <w:tabs>
          <w:tab w:val="left" w:pos="7938"/>
        </w:tabs>
      </w:pPr>
      <w:r w:rsidRPr="004908DC">
        <w:rPr>
          <w:lang w:val="en-US"/>
        </w:rPr>
        <w:t xml:space="preserve">Australia’s accession to the Nairobi Convention </w:t>
      </w:r>
      <w:r w:rsidR="00444664">
        <w:rPr>
          <w:lang w:val="en-US"/>
        </w:rPr>
        <w:t xml:space="preserve">in the EEZ </w:t>
      </w:r>
      <w:r w:rsidRPr="004908DC">
        <w:rPr>
          <w:lang w:val="en-US"/>
        </w:rPr>
        <w:t xml:space="preserve">will result in the adoption of an internationally consistent regulatory framework </w:t>
      </w:r>
      <w:r w:rsidRPr="004908DC">
        <w:t>for the removal of wrecks</w:t>
      </w:r>
      <w:r w:rsidRPr="004908DC">
        <w:rPr>
          <w:lang w:val="en-US"/>
        </w:rPr>
        <w:t xml:space="preserve">. With </w:t>
      </w:r>
      <w:r w:rsidR="00216D6B">
        <w:rPr>
          <w:lang w:val="en-US"/>
        </w:rPr>
        <w:t>79.5</w:t>
      </w:r>
      <w:r w:rsidRPr="004908DC">
        <w:rPr>
          <w:lang w:val="en-US"/>
        </w:rPr>
        <w:t xml:space="preserve"> per cent of the global </w:t>
      </w:r>
      <w:r w:rsidR="00444664">
        <w:rPr>
          <w:lang w:val="en-US"/>
        </w:rPr>
        <w:t xml:space="preserve">commercial </w:t>
      </w:r>
      <w:r w:rsidRPr="004908DC">
        <w:rPr>
          <w:lang w:val="en-US"/>
        </w:rPr>
        <w:t xml:space="preserve">shipping tonnage flagged to a </w:t>
      </w:r>
      <w:r w:rsidR="000F4063" w:rsidRPr="004908DC">
        <w:rPr>
          <w:lang w:val="en-US"/>
        </w:rPr>
        <w:t>State Party</w:t>
      </w:r>
      <w:r w:rsidRPr="004908DC">
        <w:rPr>
          <w:lang w:val="en-US"/>
        </w:rPr>
        <w:t xml:space="preserve"> of the Nairobi </w:t>
      </w:r>
      <w:r w:rsidRPr="004908DC">
        <w:rPr>
          <w:rFonts w:cstheme="minorHAnsi"/>
          <w:szCs w:val="21"/>
        </w:rPr>
        <w:t>Convention</w:t>
      </w:r>
      <w:r w:rsidRPr="004908DC">
        <w:rPr>
          <w:lang w:val="en-US"/>
        </w:rPr>
        <w:t xml:space="preserve">, this will simplify the operations of shipping companies and provide the </w:t>
      </w:r>
      <w:r w:rsidRPr="004908DC">
        <w:t>industry with legal certainty</w:t>
      </w:r>
      <w:r w:rsidR="00405887" w:rsidRPr="004908DC">
        <w:rPr>
          <w:color w:val="auto"/>
          <w:lang w:val="en-US"/>
        </w:rPr>
        <w:t xml:space="preserve"> and consistency</w:t>
      </w:r>
      <w:r w:rsidRPr="004908DC">
        <w:rPr>
          <w:lang w:val="en-US"/>
        </w:rPr>
        <w:t xml:space="preserve">. This may in turn </w:t>
      </w:r>
      <w:r w:rsidRPr="004908DC">
        <w:t>boost economic activity by encouraging investment and reducing administrative costs.</w:t>
      </w:r>
    </w:p>
    <w:p w14:paraId="69E85DE0" w14:textId="6A5A7B76" w:rsidR="00444664" w:rsidRPr="004908DC" w:rsidRDefault="00444664" w:rsidP="004908DC">
      <w:pPr>
        <w:tabs>
          <w:tab w:val="left" w:pos="7938"/>
        </w:tabs>
        <w:rPr>
          <w:lang w:val="en-US"/>
        </w:rPr>
      </w:pPr>
      <w:r>
        <w:t>Australia can then make its own decisions as to how to apply the principles of the Nairobi Convention within the territorial sea, including which ships may be covered. This continues to allow existing State and Territory regimes and the potential impact on near coastal operating vessels to be considered.</w:t>
      </w:r>
    </w:p>
    <w:p w14:paraId="6CAF6FA9" w14:textId="77777777" w:rsidR="00EE4136" w:rsidRPr="004908DC" w:rsidRDefault="00EE4136" w:rsidP="004908DC">
      <w:pPr>
        <w:pStyle w:val="Bullet1"/>
        <w:numPr>
          <w:ilvl w:val="0"/>
          <w:numId w:val="0"/>
        </w:numPr>
        <w:tabs>
          <w:tab w:val="left" w:pos="7938"/>
        </w:tabs>
        <w:rPr>
          <w:lang w:val="en-US"/>
        </w:rPr>
      </w:pPr>
      <w:r w:rsidRPr="004908DC">
        <w:rPr>
          <w:lang w:val="en-US"/>
        </w:rPr>
        <w:t xml:space="preserve">There are drawbacks: </w:t>
      </w:r>
    </w:p>
    <w:p w14:paraId="4F16C6C0" w14:textId="71DA8E29" w:rsidR="00EE4136" w:rsidRPr="004908DC" w:rsidRDefault="00EE4136" w:rsidP="004908DC">
      <w:pPr>
        <w:pStyle w:val="Bullet1"/>
        <w:tabs>
          <w:tab w:val="left" w:pos="7938"/>
        </w:tabs>
      </w:pPr>
      <w:r w:rsidRPr="004908DC">
        <w:t>the Nairobi Convention has limited application for foreign vessels transiting through the</w:t>
      </w:r>
      <w:r w:rsidR="00444664">
        <w:rPr>
          <w:lang w:val="en-AU"/>
        </w:rPr>
        <w:t xml:space="preserve"> EEZ</w:t>
      </w:r>
      <w:r w:rsidRPr="004908DC">
        <w:t xml:space="preserve">. The Australian Government would not be able to require these ship owners to hold wreck-related insurance but they </w:t>
      </w:r>
      <w:r w:rsidRPr="004908DC">
        <w:rPr>
          <w:lang w:val="en-US"/>
        </w:rPr>
        <w:t xml:space="preserve">would </w:t>
      </w:r>
      <w:r w:rsidRPr="004908DC">
        <w:t>remain liable for the wrecks they create.</w:t>
      </w:r>
    </w:p>
    <w:p w14:paraId="37D3886B" w14:textId="65F15EE3" w:rsidR="00EE4136" w:rsidRPr="004908DC" w:rsidRDefault="00EE4136" w:rsidP="004908DC">
      <w:pPr>
        <w:pStyle w:val="Bullet1"/>
        <w:tabs>
          <w:tab w:val="left" w:pos="7938"/>
        </w:tabs>
      </w:pPr>
      <w:r w:rsidRPr="004908DC">
        <w:t>Australia will still need to have a system to respond to wrecks from foreign vessels flagged to countries that are not State Parties</w:t>
      </w:r>
      <w:r w:rsidRPr="004908DC">
        <w:rPr>
          <w:lang w:val="en-US"/>
        </w:rPr>
        <w:t xml:space="preserve"> when they create a wreck in the EEZ</w:t>
      </w:r>
      <w:r w:rsidR="001A6A6E" w:rsidRPr="004908DC">
        <w:t>.</w:t>
      </w:r>
    </w:p>
    <w:p w14:paraId="49255473" w14:textId="080863E3" w:rsidR="00EE4136" w:rsidRPr="004908DC" w:rsidRDefault="00EE4136" w:rsidP="00EE4136">
      <w:pPr>
        <w:pStyle w:val="Bullet1"/>
        <w:numPr>
          <w:ilvl w:val="0"/>
          <w:numId w:val="0"/>
        </w:numPr>
        <w:rPr>
          <w:b/>
          <w:lang w:val="en-US"/>
        </w:rPr>
      </w:pPr>
      <w:r w:rsidRPr="004908DC">
        <w:rPr>
          <w:b/>
          <w:lang w:val="en-US"/>
        </w:rPr>
        <w:t xml:space="preserve">Option 3 benefits future industries </w:t>
      </w:r>
    </w:p>
    <w:p w14:paraId="3825A8FA" w14:textId="5847E0C4" w:rsidR="00EE4136" w:rsidRPr="00B703F0" w:rsidRDefault="00EE4136" w:rsidP="00EE4136">
      <w:pPr>
        <w:pStyle w:val="Bullet1"/>
        <w:numPr>
          <w:ilvl w:val="0"/>
          <w:numId w:val="0"/>
        </w:numPr>
        <w:rPr>
          <w:lang w:val="en-AU"/>
        </w:rPr>
      </w:pPr>
      <w:r w:rsidRPr="004908DC">
        <w:rPr>
          <w:lang w:val="en-AU"/>
        </w:rPr>
        <w:t>Offshore wind farms are growing in popularity as corporations and States transition to a carbon neutral position. Option</w:t>
      </w:r>
      <w:r w:rsidR="00B46B77" w:rsidRPr="004908DC">
        <w:rPr>
          <w:lang w:val="en-AU"/>
        </w:rPr>
        <w:t> </w:t>
      </w:r>
      <w:r w:rsidRPr="004908DC">
        <w:rPr>
          <w:lang w:val="en-AU"/>
        </w:rPr>
        <w:t xml:space="preserve">3 will assist the Australian Government in managing the burgeoning offshore renewable energy production industry (including offshore wind turbines), holding them accountable for any wrecks they </w:t>
      </w:r>
      <w:r w:rsidR="00444664">
        <w:rPr>
          <w:lang w:val="en-AU"/>
        </w:rPr>
        <w:t>own</w:t>
      </w:r>
      <w:r w:rsidRPr="004908DC">
        <w:rPr>
          <w:lang w:val="en-AU"/>
        </w:rPr>
        <w:t>.</w:t>
      </w:r>
    </w:p>
    <w:p w14:paraId="17D05990" w14:textId="481FDD94" w:rsidR="00EE4136" w:rsidRDefault="00EE4136" w:rsidP="0029427D">
      <w:pPr>
        <w:pStyle w:val="Heading4Numbered"/>
        <w:numPr>
          <w:ilvl w:val="0"/>
          <w:numId w:val="0"/>
        </w:numPr>
        <w:ind w:left="1134" w:hanging="1134"/>
        <w:jc w:val="both"/>
      </w:pPr>
      <w:bookmarkStart w:id="232" w:name="_Toc96354997"/>
      <w:r w:rsidRPr="00B703F0">
        <w:t>Stakeholder feedback</w:t>
      </w:r>
      <w:bookmarkEnd w:id="232"/>
    </w:p>
    <w:p w14:paraId="6322BEC5" w14:textId="77777777" w:rsidR="004D6589" w:rsidRDefault="004D6589" w:rsidP="004D6589">
      <w:r>
        <w:t xml:space="preserve">As mentioned above, stakeholder consultation in response to the 2020 Discussion paper and the draft RIS resulted in overall support of Australia acceding to the Nairobi Convention and applying it in the EEZ and territorial sea. </w:t>
      </w:r>
    </w:p>
    <w:p w14:paraId="46FD7823" w14:textId="15643F0B" w:rsidR="004D6589" w:rsidRDefault="004D6589" w:rsidP="004D6589">
      <w:r>
        <w:t>The key reasons for supporting Option 3 were:</w:t>
      </w:r>
    </w:p>
    <w:p w14:paraId="04F6B820" w14:textId="77777777" w:rsidR="004D6589" w:rsidRPr="00B3073E" w:rsidRDefault="004D6589" w:rsidP="004D6589">
      <w:pPr>
        <w:pStyle w:val="Bullet1"/>
      </w:pPr>
      <w:r>
        <w:rPr>
          <w:lang w:val="en-AU"/>
        </w:rPr>
        <w:t xml:space="preserve">a simplified cost recovery mechanism for the Australian Government following wreck incidents, including objects falling overboard in the territorial sea and EEZ. </w:t>
      </w:r>
    </w:p>
    <w:p w14:paraId="08025C33" w14:textId="77777777" w:rsidR="004D6589" w:rsidRPr="00B3073E" w:rsidRDefault="004D6589" w:rsidP="004D6589">
      <w:pPr>
        <w:pStyle w:val="Bullet1"/>
      </w:pPr>
      <w:r>
        <w:rPr>
          <w:lang w:val="en-AU"/>
        </w:rPr>
        <w:t>enhanced ability for the Australian Government to remove wrecks and determine a wreck has created a hazard depending on its economic, environmental, or health impacts.</w:t>
      </w:r>
    </w:p>
    <w:p w14:paraId="5D97C952" w14:textId="77777777" w:rsidR="004D6589" w:rsidRPr="00B3073E" w:rsidRDefault="004D6589" w:rsidP="004D6589">
      <w:pPr>
        <w:pStyle w:val="Bullet1"/>
      </w:pPr>
      <w:r>
        <w:rPr>
          <w:lang w:val="en-AU"/>
        </w:rPr>
        <w:t xml:space="preserve">the </w:t>
      </w:r>
      <w:r>
        <w:t xml:space="preserve">adoption of </w:t>
      </w:r>
      <w:r>
        <w:rPr>
          <w:lang w:val="en-AU"/>
        </w:rPr>
        <w:t>a widely used and internationally consistent standard.</w:t>
      </w:r>
    </w:p>
    <w:p w14:paraId="231342DB" w14:textId="77777777" w:rsidR="004D6589" w:rsidRDefault="004D6589" w:rsidP="004D6589">
      <w:pPr>
        <w:pStyle w:val="Bullet1"/>
      </w:pPr>
      <w:r>
        <w:rPr>
          <w:lang w:val="en-AU"/>
        </w:rPr>
        <w:t>the avoidance of duplicative</w:t>
      </w:r>
      <w:r w:rsidRPr="00637716">
        <w:rPr>
          <w:lang w:val="en-AU"/>
        </w:rPr>
        <w:t xml:space="preserve"> regulatory regimes</w:t>
      </w:r>
      <w:r>
        <w:rPr>
          <w:lang w:val="en-AU"/>
        </w:rPr>
        <w:t xml:space="preserve">. </w:t>
      </w:r>
    </w:p>
    <w:p w14:paraId="7C42606D" w14:textId="77777777" w:rsidR="00760F89" w:rsidRPr="00B703F0" w:rsidRDefault="00760F89" w:rsidP="00760F89">
      <w:pPr>
        <w:pStyle w:val="Heading1Numbered"/>
      </w:pPr>
      <w:bookmarkStart w:id="233" w:name="_Toc96354998"/>
      <w:bookmarkStart w:id="234" w:name="_Toc105060790"/>
      <w:r w:rsidRPr="00B703F0">
        <w:lastRenderedPageBreak/>
        <w:t xml:space="preserve">Implementation </w:t>
      </w:r>
      <w:r w:rsidR="00C270DA" w:rsidRPr="00B703F0">
        <w:t xml:space="preserve">and </w:t>
      </w:r>
      <w:r w:rsidRPr="00B703F0">
        <w:t>evaluation</w:t>
      </w:r>
      <w:bookmarkEnd w:id="233"/>
      <w:bookmarkEnd w:id="234"/>
      <w:r w:rsidRPr="00B703F0">
        <w:t xml:space="preserve"> </w:t>
      </w:r>
    </w:p>
    <w:p w14:paraId="607AFB0C" w14:textId="23BF8D5F" w:rsidR="00C270DA" w:rsidRPr="00B703F0" w:rsidRDefault="00C270DA" w:rsidP="004F4421">
      <w:pPr>
        <w:pStyle w:val="Heading4Numbered"/>
        <w:numPr>
          <w:ilvl w:val="0"/>
          <w:numId w:val="0"/>
        </w:numPr>
        <w:ind w:left="1134" w:hanging="1134"/>
        <w:jc w:val="both"/>
      </w:pPr>
      <w:bookmarkStart w:id="235" w:name="_Toc96354999"/>
      <w:r w:rsidRPr="00B703F0">
        <w:t>Implementation</w:t>
      </w:r>
      <w:bookmarkEnd w:id="235"/>
      <w:r w:rsidRPr="00B703F0">
        <w:t xml:space="preserve"> </w:t>
      </w:r>
    </w:p>
    <w:p w14:paraId="34719155" w14:textId="44F839FC" w:rsidR="004D7459" w:rsidRDefault="00D8414C" w:rsidP="00D8414C">
      <w:r w:rsidRPr="00B703F0">
        <w:t xml:space="preserve">Accession to the Nairobi Convention </w:t>
      </w:r>
      <w:r w:rsidR="00C17B36" w:rsidRPr="00B703F0">
        <w:t xml:space="preserve">will </w:t>
      </w:r>
      <w:r w:rsidRPr="00B703F0">
        <w:t xml:space="preserve">require the Australian Government to </w:t>
      </w:r>
      <w:r w:rsidR="00405887">
        <w:t>institute</w:t>
      </w:r>
      <w:r w:rsidR="00405887" w:rsidRPr="00B703F0">
        <w:t xml:space="preserve"> </w:t>
      </w:r>
      <w:r w:rsidRPr="00B703F0">
        <w:t xml:space="preserve">domestic legislation to meet the new obligations. Pending consultation with the Office of Parliamentary Counsel, </w:t>
      </w:r>
      <w:r w:rsidRPr="00BF5EA2">
        <w:t xml:space="preserve">the </w:t>
      </w:r>
      <w:r w:rsidRPr="002C317C">
        <w:t xml:space="preserve">Department </w:t>
      </w:r>
      <w:r w:rsidR="004D7459" w:rsidRPr="002C317C">
        <w:t xml:space="preserve">understands the </w:t>
      </w:r>
      <w:r w:rsidR="0016020C" w:rsidRPr="002C317C">
        <w:t>simplest</w:t>
      </w:r>
      <w:r w:rsidR="004D7459" w:rsidRPr="002C317C">
        <w:t xml:space="preserve"> and clearest way to implement the obligations under the Nairobi Convention would be through </w:t>
      </w:r>
      <w:r w:rsidR="004908DC" w:rsidRPr="002C317C">
        <w:t xml:space="preserve">new, dedicated legislation or </w:t>
      </w:r>
      <w:r w:rsidR="004D7459" w:rsidRPr="002C317C">
        <w:t>amendments to the Navigation</w:t>
      </w:r>
      <w:r w:rsidR="0016020C" w:rsidRPr="002C317C">
        <w:t xml:space="preserve"> Act.</w:t>
      </w:r>
      <w:r w:rsidR="0016020C">
        <w:t xml:space="preserve"> </w:t>
      </w:r>
    </w:p>
    <w:p w14:paraId="5B1CA486" w14:textId="5F10A865" w:rsidR="00D8414C" w:rsidRPr="00B703F0" w:rsidRDefault="00D8414C" w:rsidP="00C85266">
      <w:r w:rsidRPr="00B703F0">
        <w:t xml:space="preserve">Guidance and information </w:t>
      </w:r>
      <w:r w:rsidR="00E86CD5">
        <w:t xml:space="preserve">on the new regulations </w:t>
      </w:r>
      <w:r w:rsidR="00C17B36" w:rsidRPr="00B703F0">
        <w:t>will</w:t>
      </w:r>
      <w:r w:rsidR="00C85266">
        <w:t xml:space="preserve"> be provided to industry</w:t>
      </w:r>
      <w:r w:rsidRPr="00B703F0">
        <w:t xml:space="preserve"> through </w:t>
      </w:r>
      <w:r w:rsidR="00C85266">
        <w:t>relevant industry representative groups</w:t>
      </w:r>
      <w:r w:rsidRPr="00B703F0">
        <w:t xml:space="preserve"> and </w:t>
      </w:r>
      <w:r w:rsidR="00C85266">
        <w:t xml:space="preserve">a direct mail out to Australian ship owners. </w:t>
      </w:r>
      <w:r w:rsidRPr="00B703F0">
        <w:t>The Department and AMSA will also release communications to the public to increase the awareness of the changes</w:t>
      </w:r>
      <w:r w:rsidR="00405887" w:rsidRPr="00405887">
        <w:rPr>
          <w:color w:val="auto"/>
        </w:rPr>
        <w:t xml:space="preserve"> </w:t>
      </w:r>
      <w:r w:rsidR="00405887">
        <w:rPr>
          <w:color w:val="auto"/>
        </w:rPr>
        <w:t>and counter the limited possibility of some disaffected stakeholders generating unfounded public opposition</w:t>
      </w:r>
      <w:r w:rsidRPr="00B703F0">
        <w:t xml:space="preserve">. </w:t>
      </w:r>
    </w:p>
    <w:p w14:paraId="74E08F67" w14:textId="7BE29B46" w:rsidR="00D8414C" w:rsidRPr="00B703F0" w:rsidRDefault="00D8414C" w:rsidP="00D8414C">
      <w:r w:rsidRPr="00B703F0">
        <w:t xml:space="preserve">There are </w:t>
      </w:r>
      <w:r w:rsidR="00362B44">
        <w:t>2</w:t>
      </w:r>
      <w:r w:rsidR="00362B44" w:rsidRPr="00B703F0">
        <w:t xml:space="preserve"> </w:t>
      </w:r>
      <w:r w:rsidRPr="00B703F0">
        <w:t>primary risks to successful implementation of the obligations under the Nairobi Convention –</w:t>
      </w:r>
      <w:r w:rsidR="00C17B36" w:rsidRPr="00B703F0">
        <w:t xml:space="preserve"> the legislation does not pass P</w:t>
      </w:r>
      <w:r w:rsidRPr="00B703F0">
        <w:t>arliament and ship owners are not aware of the reform and so do not understand</w:t>
      </w:r>
      <w:r w:rsidR="00C85266">
        <w:t xml:space="preserve"> and comply with</w:t>
      </w:r>
      <w:r w:rsidRPr="00B703F0">
        <w:t xml:space="preserve"> their new obligations. </w:t>
      </w:r>
    </w:p>
    <w:p w14:paraId="65EA63BE" w14:textId="65E40220" w:rsidR="00D8414C" w:rsidRPr="00B703F0" w:rsidRDefault="00D8414C" w:rsidP="00D8414C">
      <w:r w:rsidRPr="00B703F0">
        <w:t>The Department</w:t>
      </w:r>
      <w:r w:rsidR="00C85266">
        <w:t xml:space="preserve">, in partnership with AMSA, </w:t>
      </w:r>
      <w:r w:rsidRPr="00B703F0">
        <w:t xml:space="preserve">will address these risks by: </w:t>
      </w:r>
    </w:p>
    <w:p w14:paraId="6C015DA4" w14:textId="77777777" w:rsidR="00D8414C" w:rsidRPr="00B703F0" w:rsidRDefault="00D8414C" w:rsidP="00D8414C">
      <w:pPr>
        <w:pStyle w:val="Bullet1"/>
        <w:rPr>
          <w:lang w:val="en-AU"/>
        </w:rPr>
      </w:pPr>
      <w:r w:rsidRPr="00B703F0">
        <w:rPr>
          <w:lang w:val="en-AU"/>
        </w:rPr>
        <w:t xml:space="preserve">continuing to work with industry directly and through industry groups on the implementation of the Nairobi Convention and the nature of any transition provisions. </w:t>
      </w:r>
    </w:p>
    <w:p w14:paraId="0B7252D2" w14:textId="3F6BCB95" w:rsidR="00D8414C" w:rsidRPr="00B703F0" w:rsidRDefault="00D8414C" w:rsidP="00D8414C">
      <w:pPr>
        <w:pStyle w:val="Bullet1"/>
        <w:rPr>
          <w:lang w:val="en-AU"/>
        </w:rPr>
      </w:pPr>
      <w:r w:rsidRPr="00B703F0">
        <w:rPr>
          <w:lang w:val="en-AU"/>
        </w:rPr>
        <w:t xml:space="preserve">working with the Minister’s office on the introduction of </w:t>
      </w:r>
      <w:r w:rsidR="005C547F">
        <w:rPr>
          <w:lang w:val="en-AU"/>
        </w:rPr>
        <w:t xml:space="preserve">the </w:t>
      </w:r>
      <w:r w:rsidR="00E86CD5">
        <w:rPr>
          <w:lang w:val="en-AU"/>
        </w:rPr>
        <w:t xml:space="preserve">any </w:t>
      </w:r>
      <w:r w:rsidR="00405887">
        <w:rPr>
          <w:lang w:val="en-AU"/>
        </w:rPr>
        <w:t>B</w:t>
      </w:r>
      <w:r w:rsidR="005C547F">
        <w:rPr>
          <w:lang w:val="en-AU"/>
        </w:rPr>
        <w:t>ill to</w:t>
      </w:r>
      <w:r w:rsidRPr="00B703F0">
        <w:rPr>
          <w:lang w:val="en-AU"/>
        </w:rPr>
        <w:t xml:space="preserve"> Parliament.</w:t>
      </w:r>
    </w:p>
    <w:p w14:paraId="4AD8EBA6" w14:textId="3FC08463" w:rsidR="00C85266" w:rsidRPr="00B703F0" w:rsidRDefault="00C85266" w:rsidP="00C85266">
      <w:pPr>
        <w:pStyle w:val="Bullet1"/>
        <w:rPr>
          <w:lang w:val="en-AU"/>
        </w:rPr>
      </w:pPr>
      <w:r w:rsidRPr="00B703F0">
        <w:rPr>
          <w:lang w:val="en-AU"/>
        </w:rPr>
        <w:t xml:space="preserve">creating a public communications strategy to highlight the new obligations </w:t>
      </w:r>
      <w:r w:rsidR="00405887">
        <w:rPr>
          <w:lang w:val="en-AU"/>
        </w:rPr>
        <w:t xml:space="preserve">and benefits </w:t>
      </w:r>
      <w:r w:rsidRPr="00B703F0">
        <w:rPr>
          <w:lang w:val="en-AU"/>
        </w:rPr>
        <w:t xml:space="preserve">as a party of the Nairobi Convention. </w:t>
      </w:r>
    </w:p>
    <w:p w14:paraId="3BDFE7AE" w14:textId="77777777" w:rsidR="00D8414C" w:rsidRPr="00B703F0" w:rsidRDefault="00D8414C" w:rsidP="00D8414C">
      <w:pPr>
        <w:pStyle w:val="Bullet1"/>
        <w:rPr>
          <w:lang w:val="en-AU"/>
        </w:rPr>
      </w:pPr>
      <w:r w:rsidRPr="00B703F0">
        <w:rPr>
          <w:lang w:val="en-AU"/>
        </w:rPr>
        <w:t xml:space="preserve">clearly linking Australia’s accession to the Nairobi Convention as meeting Recommendation 17 of the Senate Standing Committee on Rural and Regional Affairs and Transport’s report on its inquiry into the policy, regulatory, taxation, administrative and funding priorities for Australian shipping. </w:t>
      </w:r>
    </w:p>
    <w:p w14:paraId="1E8D8554" w14:textId="6E19C26C" w:rsidR="00C270DA" w:rsidRPr="00B703F0" w:rsidRDefault="00C270DA" w:rsidP="004F4421">
      <w:pPr>
        <w:pStyle w:val="Heading4Numbered"/>
        <w:numPr>
          <w:ilvl w:val="0"/>
          <w:numId w:val="0"/>
        </w:numPr>
        <w:ind w:left="1134" w:hanging="1134"/>
        <w:jc w:val="both"/>
      </w:pPr>
      <w:bookmarkStart w:id="236" w:name="_Toc96355000"/>
      <w:r w:rsidRPr="00B703F0">
        <w:t>Transitional arrangements</w:t>
      </w:r>
      <w:bookmarkEnd w:id="236"/>
    </w:p>
    <w:p w14:paraId="27CB7F9A" w14:textId="13BC4D49" w:rsidR="00537E9E" w:rsidRDefault="00537E9E" w:rsidP="00C17B36">
      <w:r w:rsidRPr="00B703F0">
        <w:t xml:space="preserve">The Department expects </w:t>
      </w:r>
      <w:r>
        <w:t>there</w:t>
      </w:r>
      <w:r w:rsidRPr="00B703F0">
        <w:t xml:space="preserve"> will be </w:t>
      </w:r>
      <w:r w:rsidR="00891466">
        <w:t xml:space="preserve">a </w:t>
      </w:r>
      <w:r w:rsidR="00C16831" w:rsidRPr="00B703F0">
        <w:t>12-month</w:t>
      </w:r>
      <w:r>
        <w:t xml:space="preserve"> transition period</w:t>
      </w:r>
      <w:r w:rsidRPr="00B703F0">
        <w:t xml:space="preserve"> after the legislative amendments come into force, however, further consultation with industry and AMSA will be required before a timeframe is confirmed.</w:t>
      </w:r>
      <w:r w:rsidR="008267DD">
        <w:t xml:space="preserve"> The transition period will provide ship owners time to obtain </w:t>
      </w:r>
      <w:r w:rsidR="007F545B">
        <w:t xml:space="preserve">appropriate </w:t>
      </w:r>
      <w:r w:rsidR="008267DD">
        <w:t xml:space="preserve">wreck-related </w:t>
      </w:r>
      <w:r w:rsidR="008267DD" w:rsidRPr="00B703F0">
        <w:t xml:space="preserve">insurance </w:t>
      </w:r>
      <w:r w:rsidR="008267DD">
        <w:t xml:space="preserve">before it becomes a requirement and </w:t>
      </w:r>
      <w:r w:rsidR="007F545B">
        <w:t xml:space="preserve">before </w:t>
      </w:r>
      <w:r w:rsidR="008267DD">
        <w:t xml:space="preserve">strict liability for wreck-related costs is imposed. </w:t>
      </w:r>
    </w:p>
    <w:p w14:paraId="6D448DA3" w14:textId="53BF6849" w:rsidR="00C17B36" w:rsidRPr="00B703F0" w:rsidRDefault="00C17B36" w:rsidP="00C17B36">
      <w:r w:rsidRPr="00B703F0">
        <w:t xml:space="preserve">The amendments will not be retroactive and </w:t>
      </w:r>
      <w:r w:rsidR="00F63D98">
        <w:t>c</w:t>
      </w:r>
      <w:r w:rsidRPr="00B703F0">
        <w:t>ost recovery actions related to wrecks currently underway will be finalised under the current legislation framework.</w:t>
      </w:r>
    </w:p>
    <w:p w14:paraId="364097D8" w14:textId="0FF15171" w:rsidR="00C270DA" w:rsidRPr="00B703F0" w:rsidRDefault="00C270DA" w:rsidP="004F4421">
      <w:pPr>
        <w:pStyle w:val="Heading4Numbered"/>
        <w:numPr>
          <w:ilvl w:val="0"/>
          <w:numId w:val="0"/>
        </w:numPr>
        <w:ind w:left="1134" w:hanging="1134"/>
        <w:jc w:val="both"/>
      </w:pPr>
      <w:bookmarkStart w:id="237" w:name="_Toc44659951"/>
      <w:bookmarkStart w:id="238" w:name="_Toc96355001"/>
      <w:r w:rsidRPr="00B703F0">
        <w:t>Evaluation</w:t>
      </w:r>
      <w:bookmarkEnd w:id="237"/>
      <w:bookmarkEnd w:id="238"/>
    </w:p>
    <w:p w14:paraId="28A340AC" w14:textId="47AAC509" w:rsidR="00270A59" w:rsidRPr="00B703F0" w:rsidRDefault="00270A59" w:rsidP="00270A59">
      <w:r w:rsidRPr="00B703F0">
        <w:t>The purpose of the evaluation will be to assess the impact of the regulatory changes, whether the benefits have been realised, the impact on key stakeholders, and effectiveness of cost recovery actions. In addition, lessons learnt from other regulatory changes will be incorporated into the implementation and evaluation processes.</w:t>
      </w:r>
    </w:p>
    <w:p w14:paraId="5E7A6DEC" w14:textId="749FE159" w:rsidR="00270A59" w:rsidRPr="00B703F0" w:rsidRDefault="00270A59" w:rsidP="002C317C">
      <w:r w:rsidRPr="00B703F0">
        <w:t xml:space="preserve">The legislative amendments can be </w:t>
      </w:r>
      <w:r w:rsidR="003458E1">
        <w:t>evaluated</w:t>
      </w:r>
      <w:r w:rsidR="003458E1" w:rsidRPr="00B703F0">
        <w:t xml:space="preserve"> </w:t>
      </w:r>
      <w:r w:rsidRPr="00B703F0">
        <w:t>against the following</w:t>
      </w:r>
      <w:r w:rsidR="003458E1">
        <w:t xml:space="preserve"> considerations:</w:t>
      </w:r>
      <w:r w:rsidRPr="00B703F0">
        <w:t xml:space="preserve">  </w:t>
      </w:r>
    </w:p>
    <w:p w14:paraId="0BCD9CDF" w14:textId="15DE9FA4" w:rsidR="005C547F" w:rsidRDefault="003458E1" w:rsidP="00270A59">
      <w:pPr>
        <w:pStyle w:val="Bullet2"/>
        <w:rPr>
          <w:lang w:val="en-AU"/>
        </w:rPr>
      </w:pPr>
      <w:r>
        <w:rPr>
          <w:lang w:val="en-AU"/>
        </w:rPr>
        <w:t xml:space="preserve">the </w:t>
      </w:r>
      <w:r w:rsidR="005C547F">
        <w:rPr>
          <w:lang w:val="en-AU"/>
        </w:rPr>
        <w:t>certificates of insurance issued by AMSA</w:t>
      </w:r>
      <w:r w:rsidR="00891466">
        <w:rPr>
          <w:lang w:val="en-AU"/>
        </w:rPr>
        <w:t xml:space="preserve"> to understand how many </w:t>
      </w:r>
      <w:r w:rsidR="0016020C">
        <w:rPr>
          <w:lang w:val="en-AU"/>
        </w:rPr>
        <w:t xml:space="preserve">and what type of </w:t>
      </w:r>
      <w:r w:rsidR="00891466">
        <w:rPr>
          <w:lang w:val="en-AU"/>
        </w:rPr>
        <w:t>industry participants were impacted by the new requirements</w:t>
      </w:r>
      <w:r w:rsidR="00C16831">
        <w:rPr>
          <w:lang w:val="en-AU"/>
        </w:rPr>
        <w:t>.</w:t>
      </w:r>
    </w:p>
    <w:p w14:paraId="19D7E854" w14:textId="02EF8271" w:rsidR="00270A59" w:rsidRPr="00B703F0" w:rsidRDefault="003458E1" w:rsidP="00270A59">
      <w:pPr>
        <w:pStyle w:val="Bullet2"/>
        <w:rPr>
          <w:lang w:val="en-AU"/>
        </w:rPr>
      </w:pPr>
      <w:r>
        <w:rPr>
          <w:lang w:val="en-AU"/>
        </w:rPr>
        <w:t>w</w:t>
      </w:r>
      <w:r w:rsidR="00270A59" w:rsidRPr="00B703F0">
        <w:rPr>
          <w:lang w:val="en-AU"/>
        </w:rPr>
        <w:t>reck incidents in Australia</w:t>
      </w:r>
      <w:r w:rsidR="00891466">
        <w:rPr>
          <w:lang w:val="en-AU"/>
        </w:rPr>
        <w:t xml:space="preserve"> to facilitate calculations of the impact of regulatory changes per event. </w:t>
      </w:r>
    </w:p>
    <w:p w14:paraId="0A671689" w14:textId="221DDD5B" w:rsidR="00B46B77" w:rsidRDefault="00B46B77" w:rsidP="00270A59">
      <w:pPr>
        <w:pStyle w:val="Bullet2"/>
        <w:rPr>
          <w:lang w:val="en-AU"/>
        </w:rPr>
      </w:pPr>
      <w:r>
        <w:rPr>
          <w:lang w:val="en-AU"/>
        </w:rPr>
        <w:t>wreck removal cost recovery actions launched by AMSA, including the number of incidents where:</w:t>
      </w:r>
    </w:p>
    <w:p w14:paraId="6EC1B0C4" w14:textId="550AAF6C" w:rsidR="00B46B77" w:rsidRPr="006905CA" w:rsidRDefault="00B46B77" w:rsidP="006905CA">
      <w:pPr>
        <w:pStyle w:val="Bullet3"/>
      </w:pPr>
      <w:r>
        <w:rPr>
          <w:lang w:val="en-US"/>
        </w:rPr>
        <w:t xml:space="preserve">costs were recovered from insurers, and </w:t>
      </w:r>
    </w:p>
    <w:p w14:paraId="15F89DF3" w14:textId="37A8CB6A" w:rsidR="00B46B77" w:rsidRDefault="00B46B77" w:rsidP="006905CA">
      <w:pPr>
        <w:pStyle w:val="Bullet3"/>
      </w:pPr>
      <w:r>
        <w:rPr>
          <w:lang w:val="en-US"/>
        </w:rPr>
        <w:t xml:space="preserve">costs exceeded the insured amount. </w:t>
      </w:r>
    </w:p>
    <w:p w14:paraId="54FF76BF" w14:textId="71108D8F" w:rsidR="00270A59" w:rsidRDefault="00270A59" w:rsidP="00270A59">
      <w:pPr>
        <w:pStyle w:val="Bullet2"/>
        <w:rPr>
          <w:lang w:val="en-AU"/>
        </w:rPr>
      </w:pPr>
      <w:r w:rsidRPr="00B703F0">
        <w:rPr>
          <w:lang w:val="en-AU"/>
        </w:rPr>
        <w:t>compliance breaches by vessels who do not hold wreck</w:t>
      </w:r>
      <w:r w:rsidR="00C94CD4">
        <w:rPr>
          <w:lang w:val="en-AU"/>
        </w:rPr>
        <w:t>-related</w:t>
      </w:r>
      <w:r w:rsidRPr="00B703F0">
        <w:rPr>
          <w:lang w:val="en-AU"/>
        </w:rPr>
        <w:t xml:space="preserve"> insurance once it is mandatory.</w:t>
      </w:r>
    </w:p>
    <w:p w14:paraId="4D77C517" w14:textId="1F5A1A17" w:rsidR="00F63D98" w:rsidRPr="00B703F0" w:rsidRDefault="00F63D98" w:rsidP="00270A59">
      <w:pPr>
        <w:pStyle w:val="Bullet2"/>
        <w:rPr>
          <w:lang w:val="en-AU"/>
        </w:rPr>
      </w:pPr>
      <w:r>
        <w:rPr>
          <w:lang w:val="en-AU"/>
        </w:rPr>
        <w:t>DCV and recreational vessel wrecks in the territorial sea (3nm to 12nm).</w:t>
      </w:r>
    </w:p>
    <w:p w14:paraId="677B6BC1" w14:textId="24C14D5C" w:rsidR="00270A59" w:rsidRPr="00B703F0" w:rsidRDefault="00270A59" w:rsidP="002C317C">
      <w:pPr>
        <w:pStyle w:val="Bullet2"/>
      </w:pPr>
      <w:r w:rsidRPr="00B703F0">
        <w:t xml:space="preserve">The length of time </w:t>
      </w:r>
      <w:r w:rsidR="00B46B77">
        <w:t xml:space="preserve">and cost </w:t>
      </w:r>
      <w:r w:rsidRPr="00B703F0">
        <w:t xml:space="preserve">to resolve </w:t>
      </w:r>
      <w:r w:rsidR="00B46B77">
        <w:t>each</w:t>
      </w:r>
      <w:r w:rsidRPr="00B703F0">
        <w:t xml:space="preserve"> </w:t>
      </w:r>
      <w:r w:rsidR="00B46B77">
        <w:t xml:space="preserve">wreck-related </w:t>
      </w:r>
      <w:r w:rsidRPr="00B703F0">
        <w:t xml:space="preserve">cost recovery action. </w:t>
      </w:r>
    </w:p>
    <w:p w14:paraId="4EC85987" w14:textId="26C17D64" w:rsidR="0016020C" w:rsidRDefault="00270A59" w:rsidP="001C0732">
      <w:r w:rsidRPr="00B703F0">
        <w:lastRenderedPageBreak/>
        <w:t xml:space="preserve">Given the irregular nature of wreck incidents, the Department intends to conduct an evaluation of the legislative amendments enacting the Nairobi Convention in Australia </w:t>
      </w:r>
      <w:r w:rsidR="00362B44">
        <w:t>5</w:t>
      </w:r>
      <w:r w:rsidRPr="00B703F0">
        <w:t xml:space="preserve"> years after they have come fully into force. </w:t>
      </w:r>
      <w:r w:rsidR="0016020C">
        <w:t xml:space="preserve">At this time the Department will also determine if there is appetite, now the changes have been </w:t>
      </w:r>
      <w:r w:rsidR="004908DC">
        <w:t>implemented</w:t>
      </w:r>
      <w:r w:rsidR="0016020C">
        <w:t xml:space="preserve">, to expand Australia’s accession to the Nairobi Convention into the territorial sea. </w:t>
      </w:r>
    </w:p>
    <w:p w14:paraId="550F9B3A" w14:textId="4371B7A0" w:rsidR="0016020C" w:rsidRDefault="0016020C" w:rsidP="001C0732"/>
    <w:p w14:paraId="7C9E5FF8" w14:textId="77777777" w:rsidR="0016020C" w:rsidRPr="00B703F0" w:rsidRDefault="0016020C" w:rsidP="001C0732">
      <w:pPr>
        <w:sectPr w:rsidR="0016020C" w:rsidRPr="00B703F0" w:rsidSect="00D87AD8">
          <w:headerReference w:type="even" r:id="rId29"/>
          <w:headerReference w:type="default" r:id="rId30"/>
          <w:headerReference w:type="first" r:id="rId31"/>
          <w:pgSz w:w="11906" w:h="16838" w:code="9"/>
          <w:pgMar w:top="1021" w:right="1021" w:bottom="1021" w:left="1021" w:header="510" w:footer="567" w:gutter="0"/>
          <w:cols w:space="708"/>
          <w:docGrid w:linePitch="360"/>
        </w:sectPr>
      </w:pPr>
    </w:p>
    <w:p w14:paraId="5202950E" w14:textId="6348BA80" w:rsidR="00AE7365" w:rsidRPr="00B703F0" w:rsidRDefault="00AE7365" w:rsidP="00891740">
      <w:pPr>
        <w:pStyle w:val="AppendixHeading1"/>
        <w:ind w:left="0"/>
      </w:pPr>
      <w:bookmarkStart w:id="239" w:name="_Toc96355002"/>
      <w:bookmarkStart w:id="240" w:name="_Toc105060791"/>
      <w:r w:rsidRPr="00B703F0">
        <w:lastRenderedPageBreak/>
        <w:t>State Parties to the Nairobi Convention</w:t>
      </w:r>
      <w:bookmarkEnd w:id="239"/>
      <w:bookmarkEnd w:id="240"/>
    </w:p>
    <w:tbl>
      <w:tblPr>
        <w:tblStyle w:val="DefaultTable1"/>
        <w:tblW w:w="9733" w:type="dxa"/>
        <w:tblLook w:val="04E0" w:firstRow="1" w:lastRow="1" w:firstColumn="1" w:lastColumn="0" w:noHBand="0" w:noVBand="1"/>
        <w:tblCaption w:val="Sample table"/>
        <w:tblDescription w:val="Sample table"/>
      </w:tblPr>
      <w:tblGrid>
        <w:gridCol w:w="3243"/>
        <w:gridCol w:w="3245"/>
        <w:gridCol w:w="3245"/>
      </w:tblGrid>
      <w:tr w:rsidR="00AE7365" w:rsidRPr="00B703F0" w14:paraId="0E58E7AD" w14:textId="77777777" w:rsidTr="00E42F27">
        <w:trPr>
          <w:cnfStyle w:val="100000000000" w:firstRow="1" w:lastRow="0" w:firstColumn="0" w:lastColumn="0" w:oddVBand="0" w:evenVBand="0" w:oddHBand="0" w:evenHBand="0" w:firstRowFirstColumn="0" w:firstRowLastColumn="0" w:lastRowFirstColumn="0" w:lastRowLastColumn="0"/>
          <w:trHeight w:val="157"/>
        </w:trPr>
        <w:tc>
          <w:tcPr>
            <w:cnfStyle w:val="001000000000" w:firstRow="0" w:lastRow="0" w:firstColumn="1" w:lastColumn="0" w:oddVBand="0" w:evenVBand="0" w:oddHBand="0" w:evenHBand="0" w:firstRowFirstColumn="0" w:firstRowLastColumn="0" w:lastRowFirstColumn="0" w:lastRowLastColumn="0"/>
            <w:tcW w:w="3243" w:type="dxa"/>
          </w:tcPr>
          <w:p w14:paraId="481D1FEA" w14:textId="77777777" w:rsidR="00AE7365" w:rsidRPr="00B703F0" w:rsidRDefault="00AE7365" w:rsidP="00E42F27">
            <w:r w:rsidRPr="00B703F0">
              <w:t>Country</w:t>
            </w:r>
          </w:p>
        </w:tc>
        <w:tc>
          <w:tcPr>
            <w:tcW w:w="3245" w:type="dxa"/>
          </w:tcPr>
          <w:p w14:paraId="205E2814" w14:textId="5B039737" w:rsidR="00AE7365" w:rsidRPr="00B703F0" w:rsidRDefault="00AE7365" w:rsidP="00E42F27">
            <w:pPr>
              <w:cnfStyle w:val="100000000000" w:firstRow="1" w:lastRow="0" w:firstColumn="0" w:lastColumn="0" w:oddVBand="0" w:evenVBand="0" w:oddHBand="0" w:evenHBand="0" w:firstRowFirstColumn="0" w:firstRowLastColumn="0" w:lastRowFirstColumn="0" w:lastRowLastColumn="0"/>
            </w:pPr>
            <w:r w:rsidRPr="00B703F0">
              <w:t xml:space="preserve">Party to the </w:t>
            </w:r>
            <w:r w:rsidR="00825A61">
              <w:t xml:space="preserve">Nairobi </w:t>
            </w:r>
            <w:r w:rsidRPr="00B703F0">
              <w:t xml:space="preserve">Convention </w:t>
            </w:r>
          </w:p>
        </w:tc>
        <w:tc>
          <w:tcPr>
            <w:tcW w:w="3245" w:type="dxa"/>
          </w:tcPr>
          <w:p w14:paraId="57345976" w14:textId="25AAC3F2" w:rsidR="00AE7365" w:rsidRPr="00B703F0" w:rsidRDefault="00007209" w:rsidP="00007209">
            <w:pPr>
              <w:cnfStyle w:val="100000000000" w:firstRow="1" w:lastRow="0" w:firstColumn="0" w:lastColumn="0" w:oddVBand="0" w:evenVBand="0" w:oddHBand="0" w:evenHBand="0" w:firstRowFirstColumn="0" w:firstRowLastColumn="0" w:lastRowFirstColumn="0" w:lastRowLastColumn="0"/>
            </w:pPr>
            <w:r>
              <w:t>Accession in</w:t>
            </w:r>
            <w:r w:rsidR="00AE7365" w:rsidRPr="00B703F0">
              <w:t xml:space="preserve"> the </w:t>
            </w:r>
            <w:r w:rsidR="00635073" w:rsidRPr="00B703F0">
              <w:t>territorial sea</w:t>
            </w:r>
          </w:p>
        </w:tc>
      </w:tr>
      <w:tr w:rsidR="00AE7365" w:rsidRPr="00B703F0" w14:paraId="12C5069F" w14:textId="77777777" w:rsidTr="00E42F27">
        <w:trPr>
          <w:trHeight w:val="407"/>
        </w:trPr>
        <w:tc>
          <w:tcPr>
            <w:cnfStyle w:val="001000000000" w:firstRow="0" w:lastRow="0" w:firstColumn="1" w:lastColumn="0" w:oddVBand="0" w:evenVBand="0" w:oddHBand="0" w:evenHBand="0" w:firstRowFirstColumn="0" w:firstRowLastColumn="0" w:lastRowFirstColumn="0" w:lastRowLastColumn="0"/>
            <w:tcW w:w="3243" w:type="dxa"/>
          </w:tcPr>
          <w:p w14:paraId="03BC893B" w14:textId="77777777" w:rsidR="00AE7365" w:rsidRPr="00B703F0" w:rsidRDefault="00AE7365" w:rsidP="00E42F27">
            <w:pPr>
              <w:rPr>
                <w:b w:val="0"/>
              </w:rPr>
            </w:pPr>
            <w:r w:rsidRPr="00B703F0">
              <w:rPr>
                <w:b w:val="0"/>
              </w:rPr>
              <w:t>Albania</w:t>
            </w:r>
          </w:p>
        </w:tc>
        <w:tc>
          <w:tcPr>
            <w:tcW w:w="3245" w:type="dxa"/>
          </w:tcPr>
          <w:p w14:paraId="72E94471" w14:textId="77777777" w:rsidR="00AE7365" w:rsidRPr="00B703F0" w:rsidRDefault="00AE7365" w:rsidP="00E42F27">
            <w:pPr>
              <w:cnfStyle w:val="000000000000" w:firstRow="0" w:lastRow="0" w:firstColumn="0" w:lastColumn="0" w:oddVBand="0" w:evenVBand="0" w:oddHBand="0" w:evenHBand="0" w:firstRowFirstColumn="0" w:firstRowLastColumn="0" w:lastRowFirstColumn="0" w:lastRowLastColumn="0"/>
            </w:pPr>
            <w:r w:rsidRPr="00B703F0">
              <w:t xml:space="preserve">Yes </w:t>
            </w:r>
          </w:p>
        </w:tc>
        <w:tc>
          <w:tcPr>
            <w:tcW w:w="3245" w:type="dxa"/>
          </w:tcPr>
          <w:p w14:paraId="79F3A31A" w14:textId="77777777" w:rsidR="00AE7365" w:rsidRPr="00B703F0" w:rsidRDefault="00AE7365" w:rsidP="00E42F27">
            <w:pPr>
              <w:cnfStyle w:val="000000000000" w:firstRow="0" w:lastRow="0" w:firstColumn="0" w:lastColumn="0" w:oddVBand="0" w:evenVBand="0" w:oddHBand="0" w:evenHBand="0" w:firstRowFirstColumn="0" w:firstRowLastColumn="0" w:lastRowFirstColumn="0" w:lastRowLastColumn="0"/>
            </w:pPr>
            <w:r w:rsidRPr="00B703F0">
              <w:t>Yes</w:t>
            </w:r>
          </w:p>
        </w:tc>
      </w:tr>
      <w:tr w:rsidR="00AE7365" w:rsidRPr="00B703F0" w14:paraId="201C75F1" w14:textId="77777777" w:rsidTr="00E42F27">
        <w:trPr>
          <w:cnfStyle w:val="000000010000" w:firstRow="0" w:lastRow="0" w:firstColumn="0" w:lastColumn="0" w:oddVBand="0" w:evenVBand="0" w:oddHBand="0" w:evenHBand="1"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3243" w:type="dxa"/>
          </w:tcPr>
          <w:p w14:paraId="2B9BC413" w14:textId="77777777" w:rsidR="00AE7365" w:rsidRPr="00B703F0" w:rsidRDefault="00AE7365" w:rsidP="00E42F27">
            <w:pPr>
              <w:rPr>
                <w:b w:val="0"/>
              </w:rPr>
            </w:pPr>
            <w:r w:rsidRPr="00B703F0">
              <w:rPr>
                <w:b w:val="0"/>
              </w:rPr>
              <w:t>Antigua and Barbuda</w:t>
            </w:r>
          </w:p>
        </w:tc>
        <w:tc>
          <w:tcPr>
            <w:tcW w:w="3245" w:type="dxa"/>
          </w:tcPr>
          <w:p w14:paraId="11BDDD3B" w14:textId="77777777" w:rsidR="00AE7365" w:rsidRPr="00B703F0" w:rsidRDefault="00AE7365" w:rsidP="00E42F27">
            <w:pPr>
              <w:cnfStyle w:val="000000010000" w:firstRow="0" w:lastRow="0" w:firstColumn="0" w:lastColumn="0" w:oddVBand="0" w:evenVBand="0" w:oddHBand="0" w:evenHBand="1" w:firstRowFirstColumn="0" w:firstRowLastColumn="0" w:lastRowFirstColumn="0" w:lastRowLastColumn="0"/>
            </w:pPr>
            <w:r w:rsidRPr="00B703F0">
              <w:t xml:space="preserve">Yes </w:t>
            </w:r>
          </w:p>
        </w:tc>
        <w:tc>
          <w:tcPr>
            <w:tcW w:w="3245" w:type="dxa"/>
          </w:tcPr>
          <w:p w14:paraId="3BDCC91F" w14:textId="77777777" w:rsidR="00AE7365" w:rsidRPr="00B703F0" w:rsidRDefault="00AE7365" w:rsidP="00E42F27">
            <w:pPr>
              <w:cnfStyle w:val="000000010000" w:firstRow="0" w:lastRow="0" w:firstColumn="0" w:lastColumn="0" w:oddVBand="0" w:evenVBand="0" w:oddHBand="0" w:evenHBand="1" w:firstRowFirstColumn="0" w:firstRowLastColumn="0" w:lastRowFirstColumn="0" w:lastRowLastColumn="0"/>
            </w:pPr>
            <w:r w:rsidRPr="00B703F0">
              <w:t>Yes</w:t>
            </w:r>
          </w:p>
        </w:tc>
      </w:tr>
      <w:tr w:rsidR="00AE7365" w:rsidRPr="00B703F0" w14:paraId="6C439D2F" w14:textId="77777777" w:rsidTr="00E42F27">
        <w:trPr>
          <w:trHeight w:val="407"/>
        </w:trPr>
        <w:tc>
          <w:tcPr>
            <w:cnfStyle w:val="001000000000" w:firstRow="0" w:lastRow="0" w:firstColumn="1" w:lastColumn="0" w:oddVBand="0" w:evenVBand="0" w:oddHBand="0" w:evenHBand="0" w:firstRowFirstColumn="0" w:firstRowLastColumn="0" w:lastRowFirstColumn="0" w:lastRowLastColumn="0"/>
            <w:tcW w:w="3243" w:type="dxa"/>
          </w:tcPr>
          <w:p w14:paraId="7EE5638E" w14:textId="77777777" w:rsidR="00AE7365" w:rsidRPr="00B703F0" w:rsidRDefault="00AE7365" w:rsidP="00E42F27">
            <w:pPr>
              <w:rPr>
                <w:b w:val="0"/>
              </w:rPr>
            </w:pPr>
            <w:r w:rsidRPr="00B703F0">
              <w:rPr>
                <w:b w:val="0"/>
              </w:rPr>
              <w:t>Bahamas</w:t>
            </w:r>
          </w:p>
        </w:tc>
        <w:tc>
          <w:tcPr>
            <w:tcW w:w="3245" w:type="dxa"/>
          </w:tcPr>
          <w:p w14:paraId="412949F4" w14:textId="77777777" w:rsidR="00AE7365" w:rsidRPr="00B703F0" w:rsidRDefault="00AE7365" w:rsidP="00E42F27">
            <w:pPr>
              <w:cnfStyle w:val="000000000000" w:firstRow="0" w:lastRow="0" w:firstColumn="0" w:lastColumn="0" w:oddVBand="0" w:evenVBand="0" w:oddHBand="0" w:evenHBand="0" w:firstRowFirstColumn="0" w:firstRowLastColumn="0" w:lastRowFirstColumn="0" w:lastRowLastColumn="0"/>
            </w:pPr>
            <w:r w:rsidRPr="00B703F0">
              <w:t xml:space="preserve">Yes </w:t>
            </w:r>
          </w:p>
        </w:tc>
        <w:tc>
          <w:tcPr>
            <w:tcW w:w="3245" w:type="dxa"/>
          </w:tcPr>
          <w:p w14:paraId="6806E9C8" w14:textId="77777777" w:rsidR="00AE7365" w:rsidRPr="00B703F0" w:rsidRDefault="00AE7365" w:rsidP="00E42F27">
            <w:pPr>
              <w:cnfStyle w:val="000000000000" w:firstRow="0" w:lastRow="0" w:firstColumn="0" w:lastColumn="0" w:oddVBand="0" w:evenVBand="0" w:oddHBand="0" w:evenHBand="0" w:firstRowFirstColumn="0" w:firstRowLastColumn="0" w:lastRowFirstColumn="0" w:lastRowLastColumn="0"/>
            </w:pPr>
            <w:r w:rsidRPr="00B703F0">
              <w:t>Yes</w:t>
            </w:r>
          </w:p>
        </w:tc>
      </w:tr>
      <w:tr w:rsidR="00AE7365" w:rsidRPr="00B703F0" w14:paraId="342D6AD3" w14:textId="77777777" w:rsidTr="00E42F27">
        <w:trPr>
          <w:cnfStyle w:val="000000010000" w:firstRow="0" w:lastRow="0" w:firstColumn="0" w:lastColumn="0" w:oddVBand="0" w:evenVBand="0" w:oddHBand="0" w:evenHBand="1"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3243" w:type="dxa"/>
          </w:tcPr>
          <w:p w14:paraId="78F1F3C1" w14:textId="77777777" w:rsidR="00AE7365" w:rsidRPr="00B703F0" w:rsidRDefault="00AE7365" w:rsidP="00E42F27">
            <w:pPr>
              <w:rPr>
                <w:b w:val="0"/>
              </w:rPr>
            </w:pPr>
            <w:r w:rsidRPr="00B703F0">
              <w:rPr>
                <w:b w:val="0"/>
              </w:rPr>
              <w:t>Belarus</w:t>
            </w:r>
          </w:p>
        </w:tc>
        <w:tc>
          <w:tcPr>
            <w:tcW w:w="3245" w:type="dxa"/>
          </w:tcPr>
          <w:p w14:paraId="752131AA" w14:textId="77777777" w:rsidR="00AE7365" w:rsidRPr="00B703F0" w:rsidRDefault="00AE7365" w:rsidP="00E42F27">
            <w:pPr>
              <w:cnfStyle w:val="000000010000" w:firstRow="0" w:lastRow="0" w:firstColumn="0" w:lastColumn="0" w:oddVBand="0" w:evenVBand="0" w:oddHBand="0" w:evenHBand="1" w:firstRowFirstColumn="0" w:firstRowLastColumn="0" w:lastRowFirstColumn="0" w:lastRowLastColumn="0"/>
            </w:pPr>
            <w:r w:rsidRPr="00B703F0">
              <w:t xml:space="preserve">Yes </w:t>
            </w:r>
          </w:p>
        </w:tc>
        <w:tc>
          <w:tcPr>
            <w:tcW w:w="3245" w:type="dxa"/>
          </w:tcPr>
          <w:p w14:paraId="157B3F05" w14:textId="77777777" w:rsidR="00AE7365" w:rsidRPr="00B703F0" w:rsidRDefault="00AE7365" w:rsidP="00E42F27">
            <w:pPr>
              <w:cnfStyle w:val="000000010000" w:firstRow="0" w:lastRow="0" w:firstColumn="0" w:lastColumn="0" w:oddVBand="0" w:evenVBand="0" w:oddHBand="0" w:evenHBand="1" w:firstRowFirstColumn="0" w:firstRowLastColumn="0" w:lastRowFirstColumn="0" w:lastRowLastColumn="0"/>
            </w:pPr>
          </w:p>
        </w:tc>
      </w:tr>
      <w:tr w:rsidR="00AE7365" w:rsidRPr="00B703F0" w14:paraId="06167209" w14:textId="77777777" w:rsidTr="00E42F27">
        <w:trPr>
          <w:trHeight w:val="407"/>
        </w:trPr>
        <w:tc>
          <w:tcPr>
            <w:cnfStyle w:val="001000000000" w:firstRow="0" w:lastRow="0" w:firstColumn="1" w:lastColumn="0" w:oddVBand="0" w:evenVBand="0" w:oddHBand="0" w:evenHBand="0" w:firstRowFirstColumn="0" w:firstRowLastColumn="0" w:lastRowFirstColumn="0" w:lastRowLastColumn="0"/>
            <w:tcW w:w="3243" w:type="dxa"/>
          </w:tcPr>
          <w:p w14:paraId="4D67E97B" w14:textId="77777777" w:rsidR="00AE7365" w:rsidRPr="00B703F0" w:rsidRDefault="00AE7365" w:rsidP="00E42F27">
            <w:pPr>
              <w:rPr>
                <w:b w:val="0"/>
              </w:rPr>
            </w:pPr>
            <w:r w:rsidRPr="00B703F0">
              <w:rPr>
                <w:b w:val="0"/>
              </w:rPr>
              <w:t>Belgium</w:t>
            </w:r>
          </w:p>
        </w:tc>
        <w:tc>
          <w:tcPr>
            <w:tcW w:w="3245" w:type="dxa"/>
          </w:tcPr>
          <w:p w14:paraId="267502CE" w14:textId="77777777" w:rsidR="00AE7365" w:rsidRPr="00B703F0" w:rsidRDefault="00AE7365" w:rsidP="00E42F27">
            <w:pPr>
              <w:cnfStyle w:val="000000000000" w:firstRow="0" w:lastRow="0" w:firstColumn="0" w:lastColumn="0" w:oddVBand="0" w:evenVBand="0" w:oddHBand="0" w:evenHBand="0" w:firstRowFirstColumn="0" w:firstRowLastColumn="0" w:lastRowFirstColumn="0" w:lastRowLastColumn="0"/>
            </w:pPr>
            <w:r w:rsidRPr="00B703F0">
              <w:t xml:space="preserve">Yes </w:t>
            </w:r>
          </w:p>
        </w:tc>
        <w:tc>
          <w:tcPr>
            <w:tcW w:w="3245" w:type="dxa"/>
          </w:tcPr>
          <w:p w14:paraId="71F95A9F" w14:textId="77777777" w:rsidR="00AE7365" w:rsidRPr="00B703F0" w:rsidRDefault="00AE7365" w:rsidP="00E42F27">
            <w:pPr>
              <w:cnfStyle w:val="000000000000" w:firstRow="0" w:lastRow="0" w:firstColumn="0" w:lastColumn="0" w:oddVBand="0" w:evenVBand="0" w:oddHBand="0" w:evenHBand="0" w:firstRowFirstColumn="0" w:firstRowLastColumn="0" w:lastRowFirstColumn="0" w:lastRowLastColumn="0"/>
            </w:pPr>
          </w:p>
        </w:tc>
      </w:tr>
      <w:tr w:rsidR="00AE7365" w:rsidRPr="00B703F0" w14:paraId="2B2A967A" w14:textId="77777777" w:rsidTr="00E42F27">
        <w:trPr>
          <w:cnfStyle w:val="000000010000" w:firstRow="0" w:lastRow="0" w:firstColumn="0" w:lastColumn="0" w:oddVBand="0" w:evenVBand="0" w:oddHBand="0" w:evenHBand="1"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3243" w:type="dxa"/>
          </w:tcPr>
          <w:p w14:paraId="262188E1" w14:textId="77777777" w:rsidR="00AE7365" w:rsidRPr="00B703F0" w:rsidRDefault="00AE7365" w:rsidP="00E42F27">
            <w:pPr>
              <w:rPr>
                <w:b w:val="0"/>
              </w:rPr>
            </w:pPr>
            <w:r w:rsidRPr="00B703F0">
              <w:rPr>
                <w:b w:val="0"/>
              </w:rPr>
              <w:t>Belize</w:t>
            </w:r>
          </w:p>
        </w:tc>
        <w:tc>
          <w:tcPr>
            <w:tcW w:w="3245" w:type="dxa"/>
          </w:tcPr>
          <w:p w14:paraId="6F8CEFC2" w14:textId="77777777" w:rsidR="00AE7365" w:rsidRPr="00B703F0" w:rsidRDefault="00AE7365" w:rsidP="00E42F27">
            <w:pPr>
              <w:cnfStyle w:val="000000010000" w:firstRow="0" w:lastRow="0" w:firstColumn="0" w:lastColumn="0" w:oddVBand="0" w:evenVBand="0" w:oddHBand="0" w:evenHBand="1" w:firstRowFirstColumn="0" w:firstRowLastColumn="0" w:lastRowFirstColumn="0" w:lastRowLastColumn="0"/>
            </w:pPr>
            <w:r w:rsidRPr="00B703F0">
              <w:t xml:space="preserve">Yes </w:t>
            </w:r>
          </w:p>
        </w:tc>
        <w:tc>
          <w:tcPr>
            <w:tcW w:w="3245" w:type="dxa"/>
          </w:tcPr>
          <w:p w14:paraId="0CD6E562" w14:textId="77777777" w:rsidR="00AE7365" w:rsidRPr="00B703F0" w:rsidRDefault="00AE7365" w:rsidP="00E42F27">
            <w:pPr>
              <w:cnfStyle w:val="000000010000" w:firstRow="0" w:lastRow="0" w:firstColumn="0" w:lastColumn="0" w:oddVBand="0" w:evenVBand="0" w:oddHBand="0" w:evenHBand="1" w:firstRowFirstColumn="0" w:firstRowLastColumn="0" w:lastRowFirstColumn="0" w:lastRowLastColumn="0"/>
            </w:pPr>
            <w:r w:rsidRPr="00B703F0">
              <w:t>Yes</w:t>
            </w:r>
          </w:p>
        </w:tc>
      </w:tr>
      <w:tr w:rsidR="00AE7365" w:rsidRPr="00B703F0" w14:paraId="40462AD6" w14:textId="77777777" w:rsidTr="00E42F27">
        <w:trPr>
          <w:trHeight w:val="407"/>
        </w:trPr>
        <w:tc>
          <w:tcPr>
            <w:cnfStyle w:val="001000000000" w:firstRow="0" w:lastRow="0" w:firstColumn="1" w:lastColumn="0" w:oddVBand="0" w:evenVBand="0" w:oddHBand="0" w:evenHBand="0" w:firstRowFirstColumn="0" w:firstRowLastColumn="0" w:lastRowFirstColumn="0" w:lastRowLastColumn="0"/>
            <w:tcW w:w="3243" w:type="dxa"/>
          </w:tcPr>
          <w:p w14:paraId="1BDB90CD" w14:textId="77777777" w:rsidR="00AE7365" w:rsidRPr="00B703F0" w:rsidRDefault="00AE7365" w:rsidP="00E42F27">
            <w:pPr>
              <w:rPr>
                <w:b w:val="0"/>
              </w:rPr>
            </w:pPr>
            <w:r w:rsidRPr="00B703F0">
              <w:rPr>
                <w:b w:val="0"/>
              </w:rPr>
              <w:t>Bulgaria</w:t>
            </w:r>
          </w:p>
        </w:tc>
        <w:tc>
          <w:tcPr>
            <w:tcW w:w="3245" w:type="dxa"/>
          </w:tcPr>
          <w:p w14:paraId="514ED114" w14:textId="77777777" w:rsidR="00AE7365" w:rsidRPr="00B703F0" w:rsidRDefault="00AE7365" w:rsidP="00E42F27">
            <w:pPr>
              <w:cnfStyle w:val="000000000000" w:firstRow="0" w:lastRow="0" w:firstColumn="0" w:lastColumn="0" w:oddVBand="0" w:evenVBand="0" w:oddHBand="0" w:evenHBand="0" w:firstRowFirstColumn="0" w:firstRowLastColumn="0" w:lastRowFirstColumn="0" w:lastRowLastColumn="0"/>
            </w:pPr>
            <w:r w:rsidRPr="00B703F0">
              <w:t xml:space="preserve">Yes </w:t>
            </w:r>
          </w:p>
        </w:tc>
        <w:tc>
          <w:tcPr>
            <w:tcW w:w="3245" w:type="dxa"/>
          </w:tcPr>
          <w:p w14:paraId="57B7C67A" w14:textId="77777777" w:rsidR="00AE7365" w:rsidRPr="00B703F0" w:rsidRDefault="00AE7365" w:rsidP="00E42F27">
            <w:pPr>
              <w:cnfStyle w:val="000000000000" w:firstRow="0" w:lastRow="0" w:firstColumn="0" w:lastColumn="0" w:oddVBand="0" w:evenVBand="0" w:oddHBand="0" w:evenHBand="0" w:firstRowFirstColumn="0" w:firstRowLastColumn="0" w:lastRowFirstColumn="0" w:lastRowLastColumn="0"/>
            </w:pPr>
            <w:r w:rsidRPr="00B703F0">
              <w:t>Yes</w:t>
            </w:r>
          </w:p>
        </w:tc>
      </w:tr>
      <w:tr w:rsidR="00AE7365" w:rsidRPr="00B703F0" w14:paraId="73537E88" w14:textId="77777777" w:rsidTr="00E42F27">
        <w:trPr>
          <w:cnfStyle w:val="000000010000" w:firstRow="0" w:lastRow="0" w:firstColumn="0" w:lastColumn="0" w:oddVBand="0" w:evenVBand="0" w:oddHBand="0" w:evenHBand="1"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3243" w:type="dxa"/>
          </w:tcPr>
          <w:p w14:paraId="5EE61886" w14:textId="77777777" w:rsidR="00AE7365" w:rsidRPr="00B703F0" w:rsidRDefault="00AE7365" w:rsidP="00E42F27">
            <w:pPr>
              <w:rPr>
                <w:b w:val="0"/>
              </w:rPr>
            </w:pPr>
            <w:r w:rsidRPr="00B703F0">
              <w:rPr>
                <w:b w:val="0"/>
              </w:rPr>
              <w:t>Canada</w:t>
            </w:r>
          </w:p>
        </w:tc>
        <w:tc>
          <w:tcPr>
            <w:tcW w:w="3245" w:type="dxa"/>
          </w:tcPr>
          <w:p w14:paraId="3C47C324" w14:textId="77777777" w:rsidR="00AE7365" w:rsidRPr="00B703F0" w:rsidRDefault="00AE7365" w:rsidP="00E42F27">
            <w:pPr>
              <w:cnfStyle w:val="000000010000" w:firstRow="0" w:lastRow="0" w:firstColumn="0" w:lastColumn="0" w:oddVBand="0" w:evenVBand="0" w:oddHBand="0" w:evenHBand="1" w:firstRowFirstColumn="0" w:firstRowLastColumn="0" w:lastRowFirstColumn="0" w:lastRowLastColumn="0"/>
            </w:pPr>
            <w:r w:rsidRPr="00B703F0">
              <w:t xml:space="preserve">Yes </w:t>
            </w:r>
          </w:p>
        </w:tc>
        <w:tc>
          <w:tcPr>
            <w:tcW w:w="3245" w:type="dxa"/>
          </w:tcPr>
          <w:p w14:paraId="28161C96" w14:textId="77777777" w:rsidR="00AE7365" w:rsidRPr="00B703F0" w:rsidRDefault="00AE7365" w:rsidP="00E42F27">
            <w:pPr>
              <w:cnfStyle w:val="000000010000" w:firstRow="0" w:lastRow="0" w:firstColumn="0" w:lastColumn="0" w:oddVBand="0" w:evenVBand="0" w:oddHBand="0" w:evenHBand="1" w:firstRowFirstColumn="0" w:firstRowLastColumn="0" w:lastRowFirstColumn="0" w:lastRowLastColumn="0"/>
            </w:pPr>
            <w:r w:rsidRPr="00B703F0">
              <w:t>Yes</w:t>
            </w:r>
          </w:p>
        </w:tc>
      </w:tr>
      <w:tr w:rsidR="00AE7365" w:rsidRPr="00B703F0" w14:paraId="4ABAEA04" w14:textId="77777777" w:rsidTr="00E42F27">
        <w:trPr>
          <w:trHeight w:val="407"/>
        </w:trPr>
        <w:tc>
          <w:tcPr>
            <w:cnfStyle w:val="001000000000" w:firstRow="0" w:lastRow="0" w:firstColumn="1" w:lastColumn="0" w:oddVBand="0" w:evenVBand="0" w:oddHBand="0" w:evenHBand="0" w:firstRowFirstColumn="0" w:firstRowLastColumn="0" w:lastRowFirstColumn="0" w:lastRowLastColumn="0"/>
            <w:tcW w:w="3243" w:type="dxa"/>
          </w:tcPr>
          <w:p w14:paraId="652A11A7" w14:textId="77777777" w:rsidR="00AE7365" w:rsidRPr="00B703F0" w:rsidRDefault="00AE7365" w:rsidP="00E42F27">
            <w:pPr>
              <w:rPr>
                <w:b w:val="0"/>
              </w:rPr>
            </w:pPr>
            <w:r w:rsidRPr="00B703F0">
              <w:rPr>
                <w:b w:val="0"/>
              </w:rPr>
              <w:t>China</w:t>
            </w:r>
          </w:p>
        </w:tc>
        <w:tc>
          <w:tcPr>
            <w:tcW w:w="3245" w:type="dxa"/>
          </w:tcPr>
          <w:p w14:paraId="19F42364" w14:textId="77777777" w:rsidR="00AE7365" w:rsidRPr="00B703F0" w:rsidRDefault="00AE7365" w:rsidP="00E42F27">
            <w:pPr>
              <w:cnfStyle w:val="000000000000" w:firstRow="0" w:lastRow="0" w:firstColumn="0" w:lastColumn="0" w:oddVBand="0" w:evenVBand="0" w:oddHBand="0" w:evenHBand="0" w:firstRowFirstColumn="0" w:firstRowLastColumn="0" w:lastRowFirstColumn="0" w:lastRowLastColumn="0"/>
            </w:pPr>
            <w:r w:rsidRPr="00B703F0">
              <w:t xml:space="preserve">Yes </w:t>
            </w:r>
          </w:p>
        </w:tc>
        <w:tc>
          <w:tcPr>
            <w:tcW w:w="3245" w:type="dxa"/>
          </w:tcPr>
          <w:p w14:paraId="45FE6023" w14:textId="77777777" w:rsidR="00AE7365" w:rsidRPr="00B703F0" w:rsidRDefault="00AE7365" w:rsidP="00E42F27">
            <w:pPr>
              <w:cnfStyle w:val="000000000000" w:firstRow="0" w:lastRow="0" w:firstColumn="0" w:lastColumn="0" w:oddVBand="0" w:evenVBand="0" w:oddHBand="0" w:evenHBand="0" w:firstRowFirstColumn="0" w:firstRowLastColumn="0" w:lastRowFirstColumn="0" w:lastRowLastColumn="0"/>
            </w:pPr>
          </w:p>
        </w:tc>
      </w:tr>
      <w:tr w:rsidR="00AE7365" w:rsidRPr="00B703F0" w14:paraId="7FDA06E9" w14:textId="77777777" w:rsidTr="00E42F27">
        <w:trPr>
          <w:cnfStyle w:val="000000010000" w:firstRow="0" w:lastRow="0" w:firstColumn="0" w:lastColumn="0" w:oddVBand="0" w:evenVBand="0" w:oddHBand="0" w:evenHBand="1"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3243" w:type="dxa"/>
          </w:tcPr>
          <w:p w14:paraId="7FB08A58" w14:textId="77777777" w:rsidR="00AE7365" w:rsidRPr="00B703F0" w:rsidRDefault="00AE7365" w:rsidP="00E42F27">
            <w:pPr>
              <w:rPr>
                <w:b w:val="0"/>
              </w:rPr>
            </w:pPr>
            <w:r w:rsidRPr="00B703F0">
              <w:rPr>
                <w:b w:val="0"/>
              </w:rPr>
              <w:t>Comoros</w:t>
            </w:r>
          </w:p>
        </w:tc>
        <w:tc>
          <w:tcPr>
            <w:tcW w:w="3245" w:type="dxa"/>
          </w:tcPr>
          <w:p w14:paraId="32B84B94" w14:textId="77777777" w:rsidR="00AE7365" w:rsidRPr="00B703F0" w:rsidRDefault="00AE7365" w:rsidP="00E42F27">
            <w:pPr>
              <w:cnfStyle w:val="000000010000" w:firstRow="0" w:lastRow="0" w:firstColumn="0" w:lastColumn="0" w:oddVBand="0" w:evenVBand="0" w:oddHBand="0" w:evenHBand="1" w:firstRowFirstColumn="0" w:firstRowLastColumn="0" w:lastRowFirstColumn="0" w:lastRowLastColumn="0"/>
            </w:pPr>
            <w:r w:rsidRPr="00B703F0">
              <w:t xml:space="preserve">Yes </w:t>
            </w:r>
          </w:p>
        </w:tc>
        <w:tc>
          <w:tcPr>
            <w:tcW w:w="3245" w:type="dxa"/>
          </w:tcPr>
          <w:p w14:paraId="63383F1C" w14:textId="77777777" w:rsidR="00AE7365" w:rsidRPr="00B703F0" w:rsidRDefault="00AE7365" w:rsidP="00E42F27">
            <w:pPr>
              <w:cnfStyle w:val="000000010000" w:firstRow="0" w:lastRow="0" w:firstColumn="0" w:lastColumn="0" w:oddVBand="0" w:evenVBand="0" w:oddHBand="0" w:evenHBand="1" w:firstRowFirstColumn="0" w:firstRowLastColumn="0" w:lastRowFirstColumn="0" w:lastRowLastColumn="0"/>
            </w:pPr>
          </w:p>
        </w:tc>
      </w:tr>
      <w:tr w:rsidR="00AE7365" w:rsidRPr="00B703F0" w14:paraId="0AFD6DC0" w14:textId="77777777" w:rsidTr="00E42F27">
        <w:trPr>
          <w:trHeight w:val="407"/>
        </w:trPr>
        <w:tc>
          <w:tcPr>
            <w:cnfStyle w:val="001000000000" w:firstRow="0" w:lastRow="0" w:firstColumn="1" w:lastColumn="0" w:oddVBand="0" w:evenVBand="0" w:oddHBand="0" w:evenHBand="0" w:firstRowFirstColumn="0" w:firstRowLastColumn="0" w:lastRowFirstColumn="0" w:lastRowLastColumn="0"/>
            <w:tcW w:w="3243" w:type="dxa"/>
          </w:tcPr>
          <w:p w14:paraId="6A480E81" w14:textId="77777777" w:rsidR="00AE7365" w:rsidRPr="00B703F0" w:rsidRDefault="00AE7365" w:rsidP="00E42F27">
            <w:pPr>
              <w:rPr>
                <w:b w:val="0"/>
              </w:rPr>
            </w:pPr>
            <w:r w:rsidRPr="00B703F0">
              <w:rPr>
                <w:b w:val="0"/>
              </w:rPr>
              <w:t>Congo</w:t>
            </w:r>
          </w:p>
        </w:tc>
        <w:tc>
          <w:tcPr>
            <w:tcW w:w="3245" w:type="dxa"/>
          </w:tcPr>
          <w:p w14:paraId="6961606C" w14:textId="77777777" w:rsidR="00AE7365" w:rsidRPr="00B703F0" w:rsidRDefault="00AE7365" w:rsidP="00E42F27">
            <w:pPr>
              <w:cnfStyle w:val="000000000000" w:firstRow="0" w:lastRow="0" w:firstColumn="0" w:lastColumn="0" w:oddVBand="0" w:evenVBand="0" w:oddHBand="0" w:evenHBand="0" w:firstRowFirstColumn="0" w:firstRowLastColumn="0" w:lastRowFirstColumn="0" w:lastRowLastColumn="0"/>
            </w:pPr>
            <w:r w:rsidRPr="00B703F0">
              <w:t xml:space="preserve">Yes </w:t>
            </w:r>
          </w:p>
        </w:tc>
        <w:tc>
          <w:tcPr>
            <w:tcW w:w="3245" w:type="dxa"/>
          </w:tcPr>
          <w:p w14:paraId="57BD0F36" w14:textId="77777777" w:rsidR="00AE7365" w:rsidRPr="00B703F0" w:rsidRDefault="00AE7365" w:rsidP="00E42F27">
            <w:pPr>
              <w:cnfStyle w:val="000000000000" w:firstRow="0" w:lastRow="0" w:firstColumn="0" w:lastColumn="0" w:oddVBand="0" w:evenVBand="0" w:oddHBand="0" w:evenHBand="0" w:firstRowFirstColumn="0" w:firstRowLastColumn="0" w:lastRowFirstColumn="0" w:lastRowLastColumn="0"/>
            </w:pPr>
          </w:p>
        </w:tc>
      </w:tr>
      <w:tr w:rsidR="00AE7365" w:rsidRPr="00B703F0" w14:paraId="03A6B6FA" w14:textId="77777777" w:rsidTr="00E42F27">
        <w:trPr>
          <w:cnfStyle w:val="000000010000" w:firstRow="0" w:lastRow="0" w:firstColumn="0" w:lastColumn="0" w:oddVBand="0" w:evenVBand="0" w:oddHBand="0" w:evenHBand="1"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3243" w:type="dxa"/>
          </w:tcPr>
          <w:p w14:paraId="37681E24" w14:textId="77777777" w:rsidR="00AE7365" w:rsidRPr="00B703F0" w:rsidRDefault="00AE7365" w:rsidP="00E42F27">
            <w:pPr>
              <w:rPr>
                <w:b w:val="0"/>
              </w:rPr>
            </w:pPr>
            <w:r w:rsidRPr="00B703F0">
              <w:rPr>
                <w:b w:val="0"/>
              </w:rPr>
              <w:t>Cook Islands</w:t>
            </w:r>
          </w:p>
        </w:tc>
        <w:tc>
          <w:tcPr>
            <w:tcW w:w="3245" w:type="dxa"/>
          </w:tcPr>
          <w:p w14:paraId="3059182E" w14:textId="77777777" w:rsidR="00AE7365" w:rsidRPr="00B703F0" w:rsidRDefault="00AE7365" w:rsidP="00E42F27">
            <w:pPr>
              <w:cnfStyle w:val="000000010000" w:firstRow="0" w:lastRow="0" w:firstColumn="0" w:lastColumn="0" w:oddVBand="0" w:evenVBand="0" w:oddHBand="0" w:evenHBand="1" w:firstRowFirstColumn="0" w:firstRowLastColumn="0" w:lastRowFirstColumn="0" w:lastRowLastColumn="0"/>
            </w:pPr>
            <w:r w:rsidRPr="00B703F0">
              <w:t xml:space="preserve">Yes </w:t>
            </w:r>
          </w:p>
        </w:tc>
        <w:tc>
          <w:tcPr>
            <w:tcW w:w="3245" w:type="dxa"/>
          </w:tcPr>
          <w:p w14:paraId="65017307" w14:textId="77777777" w:rsidR="00AE7365" w:rsidRPr="00B703F0" w:rsidRDefault="00AE7365" w:rsidP="00E42F27">
            <w:pPr>
              <w:cnfStyle w:val="000000010000" w:firstRow="0" w:lastRow="0" w:firstColumn="0" w:lastColumn="0" w:oddVBand="0" w:evenVBand="0" w:oddHBand="0" w:evenHBand="1" w:firstRowFirstColumn="0" w:firstRowLastColumn="0" w:lastRowFirstColumn="0" w:lastRowLastColumn="0"/>
            </w:pPr>
          </w:p>
        </w:tc>
      </w:tr>
      <w:tr w:rsidR="00AE7365" w:rsidRPr="00B703F0" w14:paraId="08D5F8F1" w14:textId="77777777" w:rsidTr="00E42F27">
        <w:trPr>
          <w:trHeight w:val="407"/>
        </w:trPr>
        <w:tc>
          <w:tcPr>
            <w:cnfStyle w:val="001000000000" w:firstRow="0" w:lastRow="0" w:firstColumn="1" w:lastColumn="0" w:oddVBand="0" w:evenVBand="0" w:oddHBand="0" w:evenHBand="0" w:firstRowFirstColumn="0" w:firstRowLastColumn="0" w:lastRowFirstColumn="0" w:lastRowLastColumn="0"/>
            <w:tcW w:w="3243" w:type="dxa"/>
          </w:tcPr>
          <w:p w14:paraId="2DC649B9" w14:textId="77777777" w:rsidR="00AE7365" w:rsidRPr="00B703F0" w:rsidRDefault="00AE7365" w:rsidP="00E42F27">
            <w:pPr>
              <w:rPr>
                <w:b w:val="0"/>
              </w:rPr>
            </w:pPr>
            <w:r w:rsidRPr="00B703F0">
              <w:rPr>
                <w:b w:val="0"/>
              </w:rPr>
              <w:t>Croatia</w:t>
            </w:r>
          </w:p>
        </w:tc>
        <w:tc>
          <w:tcPr>
            <w:tcW w:w="3245" w:type="dxa"/>
          </w:tcPr>
          <w:p w14:paraId="2B06FAD3" w14:textId="77777777" w:rsidR="00AE7365" w:rsidRPr="00B703F0" w:rsidRDefault="00AE7365" w:rsidP="00E42F27">
            <w:pPr>
              <w:cnfStyle w:val="000000000000" w:firstRow="0" w:lastRow="0" w:firstColumn="0" w:lastColumn="0" w:oddVBand="0" w:evenVBand="0" w:oddHBand="0" w:evenHBand="0" w:firstRowFirstColumn="0" w:firstRowLastColumn="0" w:lastRowFirstColumn="0" w:lastRowLastColumn="0"/>
            </w:pPr>
            <w:r w:rsidRPr="00B703F0">
              <w:t xml:space="preserve">Yes </w:t>
            </w:r>
          </w:p>
        </w:tc>
        <w:tc>
          <w:tcPr>
            <w:tcW w:w="3245" w:type="dxa"/>
          </w:tcPr>
          <w:p w14:paraId="45D14878" w14:textId="77777777" w:rsidR="00AE7365" w:rsidRPr="00B703F0" w:rsidRDefault="00AE7365" w:rsidP="00E42F27">
            <w:pPr>
              <w:cnfStyle w:val="000000000000" w:firstRow="0" w:lastRow="0" w:firstColumn="0" w:lastColumn="0" w:oddVBand="0" w:evenVBand="0" w:oddHBand="0" w:evenHBand="0" w:firstRowFirstColumn="0" w:firstRowLastColumn="0" w:lastRowFirstColumn="0" w:lastRowLastColumn="0"/>
            </w:pPr>
            <w:r w:rsidRPr="00B703F0">
              <w:t>Yes</w:t>
            </w:r>
          </w:p>
        </w:tc>
      </w:tr>
      <w:tr w:rsidR="00AE7365" w:rsidRPr="00B703F0" w14:paraId="2FAD652E" w14:textId="77777777" w:rsidTr="00E42F27">
        <w:trPr>
          <w:cnfStyle w:val="000000010000" w:firstRow="0" w:lastRow="0" w:firstColumn="0" w:lastColumn="0" w:oddVBand="0" w:evenVBand="0" w:oddHBand="0" w:evenHBand="1"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3243" w:type="dxa"/>
          </w:tcPr>
          <w:p w14:paraId="13BBE4C2" w14:textId="77777777" w:rsidR="00AE7365" w:rsidRPr="00B703F0" w:rsidRDefault="00AE7365" w:rsidP="00E42F27">
            <w:pPr>
              <w:rPr>
                <w:b w:val="0"/>
              </w:rPr>
            </w:pPr>
            <w:r w:rsidRPr="00B703F0">
              <w:rPr>
                <w:b w:val="0"/>
              </w:rPr>
              <w:t>Cyprus</w:t>
            </w:r>
          </w:p>
        </w:tc>
        <w:tc>
          <w:tcPr>
            <w:tcW w:w="3245" w:type="dxa"/>
          </w:tcPr>
          <w:p w14:paraId="2A43AA97" w14:textId="77777777" w:rsidR="00AE7365" w:rsidRPr="00B703F0" w:rsidRDefault="00AE7365" w:rsidP="00E42F27">
            <w:pPr>
              <w:cnfStyle w:val="000000010000" w:firstRow="0" w:lastRow="0" w:firstColumn="0" w:lastColumn="0" w:oddVBand="0" w:evenVBand="0" w:oddHBand="0" w:evenHBand="1" w:firstRowFirstColumn="0" w:firstRowLastColumn="0" w:lastRowFirstColumn="0" w:lastRowLastColumn="0"/>
            </w:pPr>
            <w:r w:rsidRPr="00B703F0">
              <w:t xml:space="preserve">Yes </w:t>
            </w:r>
          </w:p>
        </w:tc>
        <w:tc>
          <w:tcPr>
            <w:tcW w:w="3245" w:type="dxa"/>
          </w:tcPr>
          <w:p w14:paraId="00F41A9B" w14:textId="77777777" w:rsidR="00AE7365" w:rsidRPr="00B703F0" w:rsidRDefault="00AE7365" w:rsidP="00E42F27">
            <w:pPr>
              <w:cnfStyle w:val="000000010000" w:firstRow="0" w:lastRow="0" w:firstColumn="0" w:lastColumn="0" w:oddVBand="0" w:evenVBand="0" w:oddHBand="0" w:evenHBand="1" w:firstRowFirstColumn="0" w:firstRowLastColumn="0" w:lastRowFirstColumn="0" w:lastRowLastColumn="0"/>
            </w:pPr>
            <w:r w:rsidRPr="00B703F0">
              <w:t>Yes</w:t>
            </w:r>
          </w:p>
        </w:tc>
      </w:tr>
      <w:tr w:rsidR="00AE7365" w:rsidRPr="00B703F0" w14:paraId="007E7196" w14:textId="77777777" w:rsidTr="00E42F27">
        <w:trPr>
          <w:trHeight w:val="407"/>
        </w:trPr>
        <w:tc>
          <w:tcPr>
            <w:cnfStyle w:val="001000000000" w:firstRow="0" w:lastRow="0" w:firstColumn="1" w:lastColumn="0" w:oddVBand="0" w:evenVBand="0" w:oddHBand="0" w:evenHBand="0" w:firstRowFirstColumn="0" w:firstRowLastColumn="0" w:lastRowFirstColumn="0" w:lastRowLastColumn="0"/>
            <w:tcW w:w="3243" w:type="dxa"/>
          </w:tcPr>
          <w:p w14:paraId="2A0F6A62" w14:textId="77777777" w:rsidR="00AE7365" w:rsidRPr="00B703F0" w:rsidRDefault="00AE7365" w:rsidP="00E42F27">
            <w:pPr>
              <w:rPr>
                <w:b w:val="0"/>
              </w:rPr>
            </w:pPr>
            <w:r w:rsidRPr="00B703F0">
              <w:rPr>
                <w:b w:val="0"/>
              </w:rPr>
              <w:t>Democratic People’s Republic of Korea</w:t>
            </w:r>
          </w:p>
        </w:tc>
        <w:tc>
          <w:tcPr>
            <w:tcW w:w="3245" w:type="dxa"/>
          </w:tcPr>
          <w:p w14:paraId="2C70FA52" w14:textId="77777777" w:rsidR="00AE7365" w:rsidRPr="00B703F0" w:rsidRDefault="00AE7365" w:rsidP="00E42F27">
            <w:pPr>
              <w:cnfStyle w:val="000000000000" w:firstRow="0" w:lastRow="0" w:firstColumn="0" w:lastColumn="0" w:oddVBand="0" w:evenVBand="0" w:oddHBand="0" w:evenHBand="0" w:firstRowFirstColumn="0" w:firstRowLastColumn="0" w:lastRowFirstColumn="0" w:lastRowLastColumn="0"/>
            </w:pPr>
            <w:r w:rsidRPr="00B703F0">
              <w:t xml:space="preserve">Yes </w:t>
            </w:r>
          </w:p>
        </w:tc>
        <w:tc>
          <w:tcPr>
            <w:tcW w:w="3245" w:type="dxa"/>
          </w:tcPr>
          <w:p w14:paraId="053FED47" w14:textId="77777777" w:rsidR="00AE7365" w:rsidRPr="00B703F0" w:rsidRDefault="00AE7365" w:rsidP="00E42F27">
            <w:pPr>
              <w:cnfStyle w:val="000000000000" w:firstRow="0" w:lastRow="0" w:firstColumn="0" w:lastColumn="0" w:oddVBand="0" w:evenVBand="0" w:oddHBand="0" w:evenHBand="0" w:firstRowFirstColumn="0" w:firstRowLastColumn="0" w:lastRowFirstColumn="0" w:lastRowLastColumn="0"/>
            </w:pPr>
          </w:p>
        </w:tc>
      </w:tr>
      <w:tr w:rsidR="00AE7365" w:rsidRPr="00B703F0" w14:paraId="7F91AF22" w14:textId="77777777" w:rsidTr="00E42F27">
        <w:trPr>
          <w:cnfStyle w:val="000000010000" w:firstRow="0" w:lastRow="0" w:firstColumn="0" w:lastColumn="0" w:oddVBand="0" w:evenVBand="0" w:oddHBand="0" w:evenHBand="1"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3243" w:type="dxa"/>
          </w:tcPr>
          <w:p w14:paraId="0DD8267A" w14:textId="77777777" w:rsidR="00AE7365" w:rsidRPr="00B703F0" w:rsidRDefault="00AE7365" w:rsidP="00E42F27">
            <w:pPr>
              <w:rPr>
                <w:b w:val="0"/>
              </w:rPr>
            </w:pPr>
            <w:r w:rsidRPr="00B703F0">
              <w:rPr>
                <w:b w:val="0"/>
              </w:rPr>
              <w:t>Denmark</w:t>
            </w:r>
          </w:p>
        </w:tc>
        <w:tc>
          <w:tcPr>
            <w:tcW w:w="3245" w:type="dxa"/>
          </w:tcPr>
          <w:p w14:paraId="3848E123" w14:textId="77777777" w:rsidR="00AE7365" w:rsidRPr="00B703F0" w:rsidRDefault="00AE7365" w:rsidP="00E42F27">
            <w:pPr>
              <w:cnfStyle w:val="000000010000" w:firstRow="0" w:lastRow="0" w:firstColumn="0" w:lastColumn="0" w:oddVBand="0" w:evenVBand="0" w:oddHBand="0" w:evenHBand="1" w:firstRowFirstColumn="0" w:firstRowLastColumn="0" w:lastRowFirstColumn="0" w:lastRowLastColumn="0"/>
            </w:pPr>
            <w:r w:rsidRPr="00B703F0">
              <w:t xml:space="preserve">Yes </w:t>
            </w:r>
          </w:p>
        </w:tc>
        <w:tc>
          <w:tcPr>
            <w:tcW w:w="3245" w:type="dxa"/>
          </w:tcPr>
          <w:p w14:paraId="5EF1DBFF" w14:textId="77777777" w:rsidR="00AE7365" w:rsidRPr="00B703F0" w:rsidRDefault="00AE7365" w:rsidP="00E42F27">
            <w:pPr>
              <w:cnfStyle w:val="000000010000" w:firstRow="0" w:lastRow="0" w:firstColumn="0" w:lastColumn="0" w:oddVBand="0" w:evenVBand="0" w:oddHBand="0" w:evenHBand="1" w:firstRowFirstColumn="0" w:firstRowLastColumn="0" w:lastRowFirstColumn="0" w:lastRowLastColumn="0"/>
            </w:pPr>
            <w:r w:rsidRPr="00B703F0">
              <w:t>Yes</w:t>
            </w:r>
          </w:p>
        </w:tc>
      </w:tr>
      <w:tr w:rsidR="00AE7365" w:rsidRPr="00B703F0" w14:paraId="5137D54F" w14:textId="77777777" w:rsidTr="00E42F27">
        <w:trPr>
          <w:trHeight w:val="407"/>
        </w:trPr>
        <w:tc>
          <w:tcPr>
            <w:cnfStyle w:val="001000000000" w:firstRow="0" w:lastRow="0" w:firstColumn="1" w:lastColumn="0" w:oddVBand="0" w:evenVBand="0" w:oddHBand="0" w:evenHBand="0" w:firstRowFirstColumn="0" w:firstRowLastColumn="0" w:lastRowFirstColumn="0" w:lastRowLastColumn="0"/>
            <w:tcW w:w="3243" w:type="dxa"/>
          </w:tcPr>
          <w:p w14:paraId="12F8A1F7" w14:textId="77777777" w:rsidR="00AE7365" w:rsidRPr="00B703F0" w:rsidRDefault="00AE7365" w:rsidP="00E42F27">
            <w:pPr>
              <w:rPr>
                <w:b w:val="0"/>
              </w:rPr>
            </w:pPr>
            <w:r w:rsidRPr="00B703F0">
              <w:rPr>
                <w:b w:val="0"/>
              </w:rPr>
              <w:t>Estonia</w:t>
            </w:r>
          </w:p>
        </w:tc>
        <w:tc>
          <w:tcPr>
            <w:tcW w:w="3245" w:type="dxa"/>
          </w:tcPr>
          <w:p w14:paraId="676A48E2" w14:textId="77777777" w:rsidR="00AE7365" w:rsidRPr="00B703F0" w:rsidRDefault="00AE7365" w:rsidP="00E42F27">
            <w:pPr>
              <w:cnfStyle w:val="000000000000" w:firstRow="0" w:lastRow="0" w:firstColumn="0" w:lastColumn="0" w:oddVBand="0" w:evenVBand="0" w:oddHBand="0" w:evenHBand="0" w:firstRowFirstColumn="0" w:firstRowLastColumn="0" w:lastRowFirstColumn="0" w:lastRowLastColumn="0"/>
            </w:pPr>
            <w:r w:rsidRPr="00B703F0">
              <w:t xml:space="preserve">Yes </w:t>
            </w:r>
          </w:p>
        </w:tc>
        <w:tc>
          <w:tcPr>
            <w:tcW w:w="3245" w:type="dxa"/>
          </w:tcPr>
          <w:p w14:paraId="737B033B" w14:textId="77777777" w:rsidR="00AE7365" w:rsidRPr="00B703F0" w:rsidRDefault="00AE7365" w:rsidP="00E42F27">
            <w:pPr>
              <w:cnfStyle w:val="000000000000" w:firstRow="0" w:lastRow="0" w:firstColumn="0" w:lastColumn="0" w:oddVBand="0" w:evenVBand="0" w:oddHBand="0" w:evenHBand="0" w:firstRowFirstColumn="0" w:firstRowLastColumn="0" w:lastRowFirstColumn="0" w:lastRowLastColumn="0"/>
            </w:pPr>
          </w:p>
        </w:tc>
      </w:tr>
      <w:tr w:rsidR="00AE7365" w:rsidRPr="00B703F0" w14:paraId="20D1AC42" w14:textId="77777777" w:rsidTr="00E42F27">
        <w:trPr>
          <w:cnfStyle w:val="000000010000" w:firstRow="0" w:lastRow="0" w:firstColumn="0" w:lastColumn="0" w:oddVBand="0" w:evenVBand="0" w:oddHBand="0" w:evenHBand="1"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3243" w:type="dxa"/>
          </w:tcPr>
          <w:p w14:paraId="65FF20AC" w14:textId="77777777" w:rsidR="00AE7365" w:rsidRPr="00B703F0" w:rsidRDefault="00AE7365" w:rsidP="00E42F27">
            <w:pPr>
              <w:rPr>
                <w:b w:val="0"/>
              </w:rPr>
            </w:pPr>
            <w:r w:rsidRPr="00B703F0">
              <w:rPr>
                <w:b w:val="0"/>
              </w:rPr>
              <w:t>Finland</w:t>
            </w:r>
          </w:p>
        </w:tc>
        <w:tc>
          <w:tcPr>
            <w:tcW w:w="3245" w:type="dxa"/>
          </w:tcPr>
          <w:p w14:paraId="079552AF" w14:textId="77777777" w:rsidR="00AE7365" w:rsidRPr="00B703F0" w:rsidRDefault="00AE7365" w:rsidP="00E42F27">
            <w:pPr>
              <w:cnfStyle w:val="000000010000" w:firstRow="0" w:lastRow="0" w:firstColumn="0" w:lastColumn="0" w:oddVBand="0" w:evenVBand="0" w:oddHBand="0" w:evenHBand="1" w:firstRowFirstColumn="0" w:firstRowLastColumn="0" w:lastRowFirstColumn="0" w:lastRowLastColumn="0"/>
            </w:pPr>
            <w:r w:rsidRPr="00B703F0">
              <w:t xml:space="preserve">Yes </w:t>
            </w:r>
          </w:p>
        </w:tc>
        <w:tc>
          <w:tcPr>
            <w:tcW w:w="3245" w:type="dxa"/>
          </w:tcPr>
          <w:p w14:paraId="0691C225" w14:textId="77777777" w:rsidR="00AE7365" w:rsidRPr="00B703F0" w:rsidRDefault="00AE7365" w:rsidP="00E42F27">
            <w:pPr>
              <w:cnfStyle w:val="000000010000" w:firstRow="0" w:lastRow="0" w:firstColumn="0" w:lastColumn="0" w:oddVBand="0" w:evenVBand="0" w:oddHBand="0" w:evenHBand="1" w:firstRowFirstColumn="0" w:firstRowLastColumn="0" w:lastRowFirstColumn="0" w:lastRowLastColumn="0"/>
            </w:pPr>
            <w:r w:rsidRPr="00B703F0">
              <w:t>Yes</w:t>
            </w:r>
          </w:p>
        </w:tc>
      </w:tr>
      <w:tr w:rsidR="00AE7365" w:rsidRPr="00B703F0" w14:paraId="07A4A632" w14:textId="77777777" w:rsidTr="00E42F27">
        <w:trPr>
          <w:trHeight w:val="407"/>
        </w:trPr>
        <w:tc>
          <w:tcPr>
            <w:cnfStyle w:val="001000000000" w:firstRow="0" w:lastRow="0" w:firstColumn="1" w:lastColumn="0" w:oddVBand="0" w:evenVBand="0" w:oddHBand="0" w:evenHBand="0" w:firstRowFirstColumn="0" w:firstRowLastColumn="0" w:lastRowFirstColumn="0" w:lastRowLastColumn="0"/>
            <w:tcW w:w="3243" w:type="dxa"/>
          </w:tcPr>
          <w:p w14:paraId="26CA16E7" w14:textId="77777777" w:rsidR="00AE7365" w:rsidRPr="00B703F0" w:rsidRDefault="00AE7365" w:rsidP="00E42F27">
            <w:pPr>
              <w:rPr>
                <w:b w:val="0"/>
              </w:rPr>
            </w:pPr>
            <w:r w:rsidRPr="00B703F0">
              <w:rPr>
                <w:b w:val="0"/>
              </w:rPr>
              <w:t>France</w:t>
            </w:r>
          </w:p>
        </w:tc>
        <w:tc>
          <w:tcPr>
            <w:tcW w:w="3245" w:type="dxa"/>
          </w:tcPr>
          <w:p w14:paraId="31DD54DD" w14:textId="77777777" w:rsidR="00AE7365" w:rsidRPr="00B703F0" w:rsidRDefault="00AE7365" w:rsidP="00E42F27">
            <w:pPr>
              <w:cnfStyle w:val="000000000000" w:firstRow="0" w:lastRow="0" w:firstColumn="0" w:lastColumn="0" w:oddVBand="0" w:evenVBand="0" w:oddHBand="0" w:evenHBand="0" w:firstRowFirstColumn="0" w:firstRowLastColumn="0" w:lastRowFirstColumn="0" w:lastRowLastColumn="0"/>
            </w:pPr>
            <w:r w:rsidRPr="00B703F0">
              <w:t xml:space="preserve">Yes </w:t>
            </w:r>
          </w:p>
        </w:tc>
        <w:tc>
          <w:tcPr>
            <w:tcW w:w="3245" w:type="dxa"/>
          </w:tcPr>
          <w:p w14:paraId="130D7DED" w14:textId="77777777" w:rsidR="00AE7365" w:rsidRPr="00B703F0" w:rsidRDefault="00AE7365" w:rsidP="00E42F27">
            <w:pPr>
              <w:cnfStyle w:val="000000000000" w:firstRow="0" w:lastRow="0" w:firstColumn="0" w:lastColumn="0" w:oddVBand="0" w:evenVBand="0" w:oddHBand="0" w:evenHBand="0" w:firstRowFirstColumn="0" w:firstRowLastColumn="0" w:lastRowFirstColumn="0" w:lastRowLastColumn="0"/>
            </w:pPr>
            <w:r w:rsidRPr="00B703F0">
              <w:t>Yes</w:t>
            </w:r>
          </w:p>
        </w:tc>
      </w:tr>
      <w:tr w:rsidR="00AE7365" w:rsidRPr="00B703F0" w14:paraId="2F55A463" w14:textId="77777777" w:rsidTr="00E42F27">
        <w:trPr>
          <w:cnfStyle w:val="000000010000" w:firstRow="0" w:lastRow="0" w:firstColumn="0" w:lastColumn="0" w:oddVBand="0" w:evenVBand="0" w:oddHBand="0" w:evenHBand="1"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3243" w:type="dxa"/>
          </w:tcPr>
          <w:p w14:paraId="52888F60" w14:textId="77777777" w:rsidR="00AE7365" w:rsidRPr="00B703F0" w:rsidRDefault="00AE7365" w:rsidP="00E42F27">
            <w:pPr>
              <w:rPr>
                <w:b w:val="0"/>
              </w:rPr>
            </w:pPr>
            <w:r w:rsidRPr="00B703F0">
              <w:rPr>
                <w:b w:val="0"/>
              </w:rPr>
              <w:t>Gabon</w:t>
            </w:r>
          </w:p>
        </w:tc>
        <w:tc>
          <w:tcPr>
            <w:tcW w:w="3245" w:type="dxa"/>
          </w:tcPr>
          <w:p w14:paraId="5BF12D17" w14:textId="77777777" w:rsidR="00AE7365" w:rsidRPr="00B703F0" w:rsidRDefault="00AE7365" w:rsidP="00E42F27">
            <w:pPr>
              <w:cnfStyle w:val="000000010000" w:firstRow="0" w:lastRow="0" w:firstColumn="0" w:lastColumn="0" w:oddVBand="0" w:evenVBand="0" w:oddHBand="0" w:evenHBand="1" w:firstRowFirstColumn="0" w:firstRowLastColumn="0" w:lastRowFirstColumn="0" w:lastRowLastColumn="0"/>
            </w:pPr>
            <w:r w:rsidRPr="00B703F0">
              <w:t xml:space="preserve">Yes </w:t>
            </w:r>
          </w:p>
        </w:tc>
        <w:tc>
          <w:tcPr>
            <w:tcW w:w="3245" w:type="dxa"/>
          </w:tcPr>
          <w:p w14:paraId="4E5BB5AE" w14:textId="77777777" w:rsidR="00AE7365" w:rsidRPr="00B703F0" w:rsidRDefault="00AE7365" w:rsidP="00E42F27">
            <w:pPr>
              <w:cnfStyle w:val="000000010000" w:firstRow="0" w:lastRow="0" w:firstColumn="0" w:lastColumn="0" w:oddVBand="0" w:evenVBand="0" w:oddHBand="0" w:evenHBand="1" w:firstRowFirstColumn="0" w:firstRowLastColumn="0" w:lastRowFirstColumn="0" w:lastRowLastColumn="0"/>
            </w:pPr>
          </w:p>
        </w:tc>
      </w:tr>
      <w:tr w:rsidR="00AE7365" w:rsidRPr="00B703F0" w14:paraId="67621BB5" w14:textId="77777777" w:rsidTr="00E42F27">
        <w:trPr>
          <w:trHeight w:val="407"/>
        </w:trPr>
        <w:tc>
          <w:tcPr>
            <w:cnfStyle w:val="001000000000" w:firstRow="0" w:lastRow="0" w:firstColumn="1" w:lastColumn="0" w:oddVBand="0" w:evenVBand="0" w:oddHBand="0" w:evenHBand="0" w:firstRowFirstColumn="0" w:firstRowLastColumn="0" w:lastRowFirstColumn="0" w:lastRowLastColumn="0"/>
            <w:tcW w:w="3243" w:type="dxa"/>
          </w:tcPr>
          <w:p w14:paraId="03902B15" w14:textId="77777777" w:rsidR="00AE7365" w:rsidRPr="00B703F0" w:rsidRDefault="00AE7365" w:rsidP="00E42F27">
            <w:pPr>
              <w:rPr>
                <w:b w:val="0"/>
              </w:rPr>
            </w:pPr>
            <w:r w:rsidRPr="00B703F0">
              <w:rPr>
                <w:b w:val="0"/>
              </w:rPr>
              <w:t>Germany</w:t>
            </w:r>
          </w:p>
        </w:tc>
        <w:tc>
          <w:tcPr>
            <w:tcW w:w="3245" w:type="dxa"/>
          </w:tcPr>
          <w:p w14:paraId="4CD1722F" w14:textId="77777777" w:rsidR="00AE7365" w:rsidRPr="00B703F0" w:rsidRDefault="00AE7365" w:rsidP="00E42F27">
            <w:pPr>
              <w:cnfStyle w:val="000000000000" w:firstRow="0" w:lastRow="0" w:firstColumn="0" w:lastColumn="0" w:oddVBand="0" w:evenVBand="0" w:oddHBand="0" w:evenHBand="0" w:firstRowFirstColumn="0" w:firstRowLastColumn="0" w:lastRowFirstColumn="0" w:lastRowLastColumn="0"/>
            </w:pPr>
            <w:r w:rsidRPr="00B703F0">
              <w:t xml:space="preserve">Yes </w:t>
            </w:r>
          </w:p>
        </w:tc>
        <w:tc>
          <w:tcPr>
            <w:tcW w:w="3245" w:type="dxa"/>
          </w:tcPr>
          <w:p w14:paraId="1A165FB3" w14:textId="77777777" w:rsidR="00AE7365" w:rsidRPr="00B703F0" w:rsidRDefault="00AE7365" w:rsidP="00E42F27">
            <w:pPr>
              <w:cnfStyle w:val="000000000000" w:firstRow="0" w:lastRow="0" w:firstColumn="0" w:lastColumn="0" w:oddVBand="0" w:evenVBand="0" w:oddHBand="0" w:evenHBand="0" w:firstRowFirstColumn="0" w:firstRowLastColumn="0" w:lastRowFirstColumn="0" w:lastRowLastColumn="0"/>
            </w:pPr>
          </w:p>
        </w:tc>
      </w:tr>
      <w:tr w:rsidR="00E45A58" w:rsidRPr="00E45A58" w14:paraId="2632BD48" w14:textId="77777777" w:rsidTr="00E42F27">
        <w:trPr>
          <w:cnfStyle w:val="000000010000" w:firstRow="0" w:lastRow="0" w:firstColumn="0" w:lastColumn="0" w:oddVBand="0" w:evenVBand="0" w:oddHBand="0" w:evenHBand="1"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3243" w:type="dxa"/>
          </w:tcPr>
          <w:p w14:paraId="20BE39FE" w14:textId="4AC4A18F" w:rsidR="00E45A58" w:rsidRPr="00E45A58" w:rsidRDefault="00E45A58" w:rsidP="00E42F27">
            <w:pPr>
              <w:rPr>
                <w:b w:val="0"/>
              </w:rPr>
            </w:pPr>
            <w:r w:rsidRPr="00E45A58">
              <w:rPr>
                <w:b w:val="0"/>
              </w:rPr>
              <w:t>Guinea-Bissau</w:t>
            </w:r>
          </w:p>
        </w:tc>
        <w:tc>
          <w:tcPr>
            <w:tcW w:w="3245" w:type="dxa"/>
          </w:tcPr>
          <w:p w14:paraId="3CC39466" w14:textId="2AE665E1" w:rsidR="00E45A58" w:rsidRPr="00E45A58" w:rsidRDefault="00E45A58" w:rsidP="00E42F27">
            <w:pPr>
              <w:cnfStyle w:val="000000010000" w:firstRow="0" w:lastRow="0" w:firstColumn="0" w:lastColumn="0" w:oddVBand="0" w:evenVBand="0" w:oddHBand="0" w:evenHBand="1" w:firstRowFirstColumn="0" w:firstRowLastColumn="0" w:lastRowFirstColumn="0" w:lastRowLastColumn="0"/>
            </w:pPr>
            <w:r w:rsidRPr="00E45A58">
              <w:t>Yes</w:t>
            </w:r>
          </w:p>
        </w:tc>
        <w:tc>
          <w:tcPr>
            <w:tcW w:w="3245" w:type="dxa"/>
          </w:tcPr>
          <w:p w14:paraId="3620DFB4" w14:textId="77777777" w:rsidR="00E45A58" w:rsidRPr="00E45A58" w:rsidRDefault="00E45A58" w:rsidP="00E42F27">
            <w:pPr>
              <w:cnfStyle w:val="000000010000" w:firstRow="0" w:lastRow="0" w:firstColumn="0" w:lastColumn="0" w:oddVBand="0" w:evenVBand="0" w:oddHBand="0" w:evenHBand="1" w:firstRowFirstColumn="0" w:firstRowLastColumn="0" w:lastRowFirstColumn="0" w:lastRowLastColumn="0"/>
            </w:pPr>
          </w:p>
        </w:tc>
      </w:tr>
      <w:tr w:rsidR="00AE7365" w:rsidRPr="00B703F0" w14:paraId="4C7D66AE" w14:textId="77777777" w:rsidTr="00E42F27">
        <w:trPr>
          <w:trHeight w:val="407"/>
        </w:trPr>
        <w:tc>
          <w:tcPr>
            <w:cnfStyle w:val="001000000000" w:firstRow="0" w:lastRow="0" w:firstColumn="1" w:lastColumn="0" w:oddVBand="0" w:evenVBand="0" w:oddHBand="0" w:evenHBand="0" w:firstRowFirstColumn="0" w:firstRowLastColumn="0" w:lastRowFirstColumn="0" w:lastRowLastColumn="0"/>
            <w:tcW w:w="3243" w:type="dxa"/>
          </w:tcPr>
          <w:p w14:paraId="39CDEC1C" w14:textId="77777777" w:rsidR="00AE7365" w:rsidRPr="00B703F0" w:rsidRDefault="00AE7365" w:rsidP="00E42F27">
            <w:pPr>
              <w:rPr>
                <w:b w:val="0"/>
              </w:rPr>
            </w:pPr>
            <w:r w:rsidRPr="00B703F0">
              <w:rPr>
                <w:b w:val="0"/>
              </w:rPr>
              <w:t>Guyana</w:t>
            </w:r>
          </w:p>
        </w:tc>
        <w:tc>
          <w:tcPr>
            <w:tcW w:w="3245" w:type="dxa"/>
          </w:tcPr>
          <w:p w14:paraId="2BE7C397" w14:textId="77777777" w:rsidR="00AE7365" w:rsidRPr="00B703F0" w:rsidRDefault="00AE7365" w:rsidP="00E42F27">
            <w:pPr>
              <w:cnfStyle w:val="000000000000" w:firstRow="0" w:lastRow="0" w:firstColumn="0" w:lastColumn="0" w:oddVBand="0" w:evenVBand="0" w:oddHBand="0" w:evenHBand="0" w:firstRowFirstColumn="0" w:firstRowLastColumn="0" w:lastRowFirstColumn="0" w:lastRowLastColumn="0"/>
            </w:pPr>
            <w:r w:rsidRPr="00B703F0">
              <w:t xml:space="preserve">Yes </w:t>
            </w:r>
          </w:p>
        </w:tc>
        <w:tc>
          <w:tcPr>
            <w:tcW w:w="3245" w:type="dxa"/>
          </w:tcPr>
          <w:p w14:paraId="75475464" w14:textId="77777777" w:rsidR="00AE7365" w:rsidRPr="00B703F0" w:rsidRDefault="00AE7365" w:rsidP="00E42F27">
            <w:pPr>
              <w:cnfStyle w:val="000000000000" w:firstRow="0" w:lastRow="0" w:firstColumn="0" w:lastColumn="0" w:oddVBand="0" w:evenVBand="0" w:oddHBand="0" w:evenHBand="0" w:firstRowFirstColumn="0" w:firstRowLastColumn="0" w:lastRowFirstColumn="0" w:lastRowLastColumn="0"/>
            </w:pPr>
          </w:p>
        </w:tc>
      </w:tr>
      <w:tr w:rsidR="00FF4842" w:rsidRPr="00B703F0" w14:paraId="5F7BEFC6" w14:textId="77777777" w:rsidTr="00E42F27">
        <w:trPr>
          <w:cnfStyle w:val="000000010000" w:firstRow="0" w:lastRow="0" w:firstColumn="0" w:lastColumn="0" w:oddVBand="0" w:evenVBand="0" w:oddHBand="0" w:evenHBand="1"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3243" w:type="dxa"/>
          </w:tcPr>
          <w:p w14:paraId="25897A44" w14:textId="30CC2BB2" w:rsidR="00FF4842" w:rsidRPr="00FF4842" w:rsidRDefault="00FF4842" w:rsidP="00E42F27">
            <w:pPr>
              <w:rPr>
                <w:b w:val="0"/>
              </w:rPr>
            </w:pPr>
            <w:r w:rsidRPr="00FF4842">
              <w:rPr>
                <w:b w:val="0"/>
              </w:rPr>
              <w:t>Honduras</w:t>
            </w:r>
          </w:p>
        </w:tc>
        <w:tc>
          <w:tcPr>
            <w:tcW w:w="3245" w:type="dxa"/>
          </w:tcPr>
          <w:p w14:paraId="26245C05" w14:textId="23B8E986" w:rsidR="00FF4842" w:rsidRPr="00B703F0" w:rsidRDefault="00FF4842" w:rsidP="00E42F27">
            <w:pPr>
              <w:cnfStyle w:val="000000010000" w:firstRow="0" w:lastRow="0" w:firstColumn="0" w:lastColumn="0" w:oddVBand="0" w:evenVBand="0" w:oddHBand="0" w:evenHBand="1" w:firstRowFirstColumn="0" w:firstRowLastColumn="0" w:lastRowFirstColumn="0" w:lastRowLastColumn="0"/>
            </w:pPr>
            <w:r>
              <w:t>Yes</w:t>
            </w:r>
          </w:p>
        </w:tc>
        <w:tc>
          <w:tcPr>
            <w:tcW w:w="3245" w:type="dxa"/>
          </w:tcPr>
          <w:p w14:paraId="5BEAF312" w14:textId="77777777" w:rsidR="00FF4842" w:rsidRPr="00B703F0" w:rsidRDefault="00FF4842" w:rsidP="00E42F27">
            <w:pPr>
              <w:cnfStyle w:val="000000010000" w:firstRow="0" w:lastRow="0" w:firstColumn="0" w:lastColumn="0" w:oddVBand="0" w:evenVBand="0" w:oddHBand="0" w:evenHBand="1" w:firstRowFirstColumn="0" w:firstRowLastColumn="0" w:lastRowFirstColumn="0" w:lastRowLastColumn="0"/>
            </w:pPr>
          </w:p>
        </w:tc>
      </w:tr>
      <w:tr w:rsidR="00AE7365" w:rsidRPr="00B703F0" w14:paraId="3E576ED6" w14:textId="77777777" w:rsidTr="00E42F27">
        <w:trPr>
          <w:trHeight w:val="407"/>
        </w:trPr>
        <w:tc>
          <w:tcPr>
            <w:cnfStyle w:val="001000000000" w:firstRow="0" w:lastRow="0" w:firstColumn="1" w:lastColumn="0" w:oddVBand="0" w:evenVBand="0" w:oddHBand="0" w:evenHBand="0" w:firstRowFirstColumn="0" w:firstRowLastColumn="0" w:lastRowFirstColumn="0" w:lastRowLastColumn="0"/>
            <w:tcW w:w="3243" w:type="dxa"/>
          </w:tcPr>
          <w:p w14:paraId="01D8FFD9" w14:textId="77777777" w:rsidR="00AE7365" w:rsidRPr="00B703F0" w:rsidRDefault="00AE7365" w:rsidP="00E42F27">
            <w:pPr>
              <w:rPr>
                <w:b w:val="0"/>
              </w:rPr>
            </w:pPr>
            <w:r w:rsidRPr="00B703F0">
              <w:rPr>
                <w:b w:val="0"/>
              </w:rPr>
              <w:t>India</w:t>
            </w:r>
          </w:p>
        </w:tc>
        <w:tc>
          <w:tcPr>
            <w:tcW w:w="3245" w:type="dxa"/>
          </w:tcPr>
          <w:p w14:paraId="7CDBEB1D" w14:textId="77777777" w:rsidR="00AE7365" w:rsidRPr="00B703F0" w:rsidRDefault="00AE7365" w:rsidP="00E42F27">
            <w:pPr>
              <w:cnfStyle w:val="000000000000" w:firstRow="0" w:lastRow="0" w:firstColumn="0" w:lastColumn="0" w:oddVBand="0" w:evenVBand="0" w:oddHBand="0" w:evenHBand="0" w:firstRowFirstColumn="0" w:firstRowLastColumn="0" w:lastRowFirstColumn="0" w:lastRowLastColumn="0"/>
            </w:pPr>
            <w:r w:rsidRPr="00B703F0">
              <w:t xml:space="preserve">Yes </w:t>
            </w:r>
          </w:p>
        </w:tc>
        <w:tc>
          <w:tcPr>
            <w:tcW w:w="3245" w:type="dxa"/>
          </w:tcPr>
          <w:p w14:paraId="1BD7BC17" w14:textId="77777777" w:rsidR="00AE7365" w:rsidRPr="00B703F0" w:rsidRDefault="00AE7365" w:rsidP="00E42F27">
            <w:pPr>
              <w:cnfStyle w:val="000000000000" w:firstRow="0" w:lastRow="0" w:firstColumn="0" w:lastColumn="0" w:oddVBand="0" w:evenVBand="0" w:oddHBand="0" w:evenHBand="0" w:firstRowFirstColumn="0" w:firstRowLastColumn="0" w:lastRowFirstColumn="0" w:lastRowLastColumn="0"/>
            </w:pPr>
          </w:p>
        </w:tc>
      </w:tr>
      <w:tr w:rsidR="00AE7365" w:rsidRPr="00B703F0" w14:paraId="488349D5" w14:textId="77777777" w:rsidTr="00E42F27">
        <w:trPr>
          <w:cnfStyle w:val="000000010000" w:firstRow="0" w:lastRow="0" w:firstColumn="0" w:lastColumn="0" w:oddVBand="0" w:evenVBand="0" w:oddHBand="0" w:evenHBand="1"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3243" w:type="dxa"/>
          </w:tcPr>
          <w:p w14:paraId="3B43CF39" w14:textId="77777777" w:rsidR="00AE7365" w:rsidRPr="00B703F0" w:rsidRDefault="00AE7365" w:rsidP="00E42F27">
            <w:pPr>
              <w:rPr>
                <w:b w:val="0"/>
              </w:rPr>
            </w:pPr>
            <w:r w:rsidRPr="00B703F0">
              <w:rPr>
                <w:b w:val="0"/>
              </w:rPr>
              <w:t>Indonesia</w:t>
            </w:r>
          </w:p>
        </w:tc>
        <w:tc>
          <w:tcPr>
            <w:tcW w:w="3245" w:type="dxa"/>
          </w:tcPr>
          <w:p w14:paraId="3371A27D" w14:textId="77777777" w:rsidR="00AE7365" w:rsidRPr="00B703F0" w:rsidRDefault="00AE7365" w:rsidP="00E42F27">
            <w:pPr>
              <w:cnfStyle w:val="000000010000" w:firstRow="0" w:lastRow="0" w:firstColumn="0" w:lastColumn="0" w:oddVBand="0" w:evenVBand="0" w:oddHBand="0" w:evenHBand="1" w:firstRowFirstColumn="0" w:firstRowLastColumn="0" w:lastRowFirstColumn="0" w:lastRowLastColumn="0"/>
            </w:pPr>
            <w:r w:rsidRPr="00B703F0">
              <w:t xml:space="preserve">Yes </w:t>
            </w:r>
          </w:p>
        </w:tc>
        <w:tc>
          <w:tcPr>
            <w:tcW w:w="3245" w:type="dxa"/>
          </w:tcPr>
          <w:p w14:paraId="297354A7" w14:textId="77777777" w:rsidR="00AE7365" w:rsidRPr="00B703F0" w:rsidRDefault="00AE7365" w:rsidP="00E42F27">
            <w:pPr>
              <w:cnfStyle w:val="000000010000" w:firstRow="0" w:lastRow="0" w:firstColumn="0" w:lastColumn="0" w:oddVBand="0" w:evenVBand="0" w:oddHBand="0" w:evenHBand="1" w:firstRowFirstColumn="0" w:firstRowLastColumn="0" w:lastRowFirstColumn="0" w:lastRowLastColumn="0"/>
            </w:pPr>
          </w:p>
        </w:tc>
      </w:tr>
      <w:tr w:rsidR="00AE7365" w:rsidRPr="00B703F0" w14:paraId="7AA10B69" w14:textId="77777777" w:rsidTr="00E42F27">
        <w:trPr>
          <w:trHeight w:val="407"/>
        </w:trPr>
        <w:tc>
          <w:tcPr>
            <w:cnfStyle w:val="001000000000" w:firstRow="0" w:lastRow="0" w:firstColumn="1" w:lastColumn="0" w:oddVBand="0" w:evenVBand="0" w:oddHBand="0" w:evenHBand="0" w:firstRowFirstColumn="0" w:firstRowLastColumn="0" w:lastRowFirstColumn="0" w:lastRowLastColumn="0"/>
            <w:tcW w:w="3243" w:type="dxa"/>
          </w:tcPr>
          <w:p w14:paraId="6FB44EF0" w14:textId="77777777" w:rsidR="00AE7365" w:rsidRPr="00B703F0" w:rsidRDefault="00AE7365" w:rsidP="00E42F27">
            <w:pPr>
              <w:rPr>
                <w:b w:val="0"/>
              </w:rPr>
            </w:pPr>
            <w:r w:rsidRPr="00B703F0">
              <w:rPr>
                <w:b w:val="0"/>
              </w:rPr>
              <w:t>Iran (Islamic Republic of)</w:t>
            </w:r>
          </w:p>
        </w:tc>
        <w:tc>
          <w:tcPr>
            <w:tcW w:w="3245" w:type="dxa"/>
          </w:tcPr>
          <w:p w14:paraId="73452FDE" w14:textId="77777777" w:rsidR="00AE7365" w:rsidRPr="00B703F0" w:rsidRDefault="00AE7365" w:rsidP="00E42F27">
            <w:pPr>
              <w:cnfStyle w:val="000000000000" w:firstRow="0" w:lastRow="0" w:firstColumn="0" w:lastColumn="0" w:oddVBand="0" w:evenVBand="0" w:oddHBand="0" w:evenHBand="0" w:firstRowFirstColumn="0" w:firstRowLastColumn="0" w:lastRowFirstColumn="0" w:lastRowLastColumn="0"/>
            </w:pPr>
            <w:r w:rsidRPr="00B703F0">
              <w:t xml:space="preserve">Yes </w:t>
            </w:r>
          </w:p>
        </w:tc>
        <w:tc>
          <w:tcPr>
            <w:tcW w:w="3245" w:type="dxa"/>
          </w:tcPr>
          <w:p w14:paraId="404A3A08" w14:textId="77777777" w:rsidR="00AE7365" w:rsidRPr="00B703F0" w:rsidRDefault="00AE7365" w:rsidP="00E42F27">
            <w:pPr>
              <w:cnfStyle w:val="000000000000" w:firstRow="0" w:lastRow="0" w:firstColumn="0" w:lastColumn="0" w:oddVBand="0" w:evenVBand="0" w:oddHBand="0" w:evenHBand="0" w:firstRowFirstColumn="0" w:firstRowLastColumn="0" w:lastRowFirstColumn="0" w:lastRowLastColumn="0"/>
            </w:pPr>
          </w:p>
        </w:tc>
      </w:tr>
      <w:tr w:rsidR="00AE7365" w:rsidRPr="00B703F0" w14:paraId="0284346F" w14:textId="77777777" w:rsidTr="00E42F27">
        <w:trPr>
          <w:cnfStyle w:val="000000010000" w:firstRow="0" w:lastRow="0" w:firstColumn="0" w:lastColumn="0" w:oddVBand="0" w:evenVBand="0" w:oddHBand="0" w:evenHBand="1"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3243" w:type="dxa"/>
          </w:tcPr>
          <w:p w14:paraId="0F3FB86E" w14:textId="77777777" w:rsidR="00AE7365" w:rsidRPr="00B703F0" w:rsidRDefault="00AE7365" w:rsidP="00E42F27">
            <w:pPr>
              <w:rPr>
                <w:b w:val="0"/>
              </w:rPr>
            </w:pPr>
            <w:r w:rsidRPr="00B703F0">
              <w:rPr>
                <w:b w:val="0"/>
              </w:rPr>
              <w:t>Japan</w:t>
            </w:r>
          </w:p>
        </w:tc>
        <w:tc>
          <w:tcPr>
            <w:tcW w:w="3245" w:type="dxa"/>
          </w:tcPr>
          <w:p w14:paraId="1A92FC0D" w14:textId="77777777" w:rsidR="00AE7365" w:rsidRPr="00B703F0" w:rsidRDefault="00AE7365" w:rsidP="00E42F27">
            <w:pPr>
              <w:cnfStyle w:val="000000010000" w:firstRow="0" w:lastRow="0" w:firstColumn="0" w:lastColumn="0" w:oddVBand="0" w:evenVBand="0" w:oddHBand="0" w:evenHBand="1" w:firstRowFirstColumn="0" w:firstRowLastColumn="0" w:lastRowFirstColumn="0" w:lastRowLastColumn="0"/>
            </w:pPr>
            <w:r w:rsidRPr="00B703F0">
              <w:t xml:space="preserve">Yes </w:t>
            </w:r>
          </w:p>
        </w:tc>
        <w:tc>
          <w:tcPr>
            <w:tcW w:w="3245" w:type="dxa"/>
          </w:tcPr>
          <w:p w14:paraId="13DC3905" w14:textId="77777777" w:rsidR="00AE7365" w:rsidRPr="00B703F0" w:rsidRDefault="00AE7365" w:rsidP="00E42F27">
            <w:pPr>
              <w:cnfStyle w:val="000000010000" w:firstRow="0" w:lastRow="0" w:firstColumn="0" w:lastColumn="0" w:oddVBand="0" w:evenVBand="0" w:oddHBand="0" w:evenHBand="1" w:firstRowFirstColumn="0" w:firstRowLastColumn="0" w:lastRowFirstColumn="0" w:lastRowLastColumn="0"/>
            </w:pPr>
          </w:p>
        </w:tc>
      </w:tr>
      <w:tr w:rsidR="00AE7365" w:rsidRPr="00B703F0" w14:paraId="468A2301" w14:textId="77777777" w:rsidTr="00E42F27">
        <w:trPr>
          <w:trHeight w:val="407"/>
        </w:trPr>
        <w:tc>
          <w:tcPr>
            <w:cnfStyle w:val="001000000000" w:firstRow="0" w:lastRow="0" w:firstColumn="1" w:lastColumn="0" w:oddVBand="0" w:evenVBand="0" w:oddHBand="0" w:evenHBand="0" w:firstRowFirstColumn="0" w:firstRowLastColumn="0" w:lastRowFirstColumn="0" w:lastRowLastColumn="0"/>
            <w:tcW w:w="3243" w:type="dxa"/>
          </w:tcPr>
          <w:p w14:paraId="24DC41F8" w14:textId="77777777" w:rsidR="00AE7365" w:rsidRPr="00B703F0" w:rsidRDefault="00AE7365" w:rsidP="00E42F27">
            <w:pPr>
              <w:rPr>
                <w:b w:val="0"/>
              </w:rPr>
            </w:pPr>
            <w:r w:rsidRPr="00B703F0">
              <w:rPr>
                <w:b w:val="0"/>
              </w:rPr>
              <w:t>Jordan</w:t>
            </w:r>
          </w:p>
        </w:tc>
        <w:tc>
          <w:tcPr>
            <w:tcW w:w="3245" w:type="dxa"/>
          </w:tcPr>
          <w:p w14:paraId="30DB910D" w14:textId="77777777" w:rsidR="00AE7365" w:rsidRPr="00B703F0" w:rsidRDefault="00AE7365" w:rsidP="00E42F27">
            <w:pPr>
              <w:cnfStyle w:val="000000000000" w:firstRow="0" w:lastRow="0" w:firstColumn="0" w:lastColumn="0" w:oddVBand="0" w:evenVBand="0" w:oddHBand="0" w:evenHBand="0" w:firstRowFirstColumn="0" w:firstRowLastColumn="0" w:lastRowFirstColumn="0" w:lastRowLastColumn="0"/>
            </w:pPr>
            <w:r w:rsidRPr="00B703F0">
              <w:t xml:space="preserve">Yes </w:t>
            </w:r>
          </w:p>
        </w:tc>
        <w:tc>
          <w:tcPr>
            <w:tcW w:w="3245" w:type="dxa"/>
          </w:tcPr>
          <w:p w14:paraId="725874EA" w14:textId="77777777" w:rsidR="00AE7365" w:rsidRPr="00B703F0" w:rsidRDefault="00AE7365" w:rsidP="00E42F27">
            <w:pPr>
              <w:cnfStyle w:val="000000000000" w:firstRow="0" w:lastRow="0" w:firstColumn="0" w:lastColumn="0" w:oddVBand="0" w:evenVBand="0" w:oddHBand="0" w:evenHBand="0" w:firstRowFirstColumn="0" w:firstRowLastColumn="0" w:lastRowFirstColumn="0" w:lastRowLastColumn="0"/>
            </w:pPr>
          </w:p>
        </w:tc>
      </w:tr>
      <w:tr w:rsidR="00A24B8B" w:rsidRPr="00B703F0" w14:paraId="3D0CB541" w14:textId="77777777" w:rsidTr="00E42F27">
        <w:trPr>
          <w:cnfStyle w:val="000000010000" w:firstRow="0" w:lastRow="0" w:firstColumn="0" w:lastColumn="0" w:oddVBand="0" w:evenVBand="0" w:oddHBand="0" w:evenHBand="1"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3243" w:type="dxa"/>
          </w:tcPr>
          <w:p w14:paraId="608861E0" w14:textId="23DB7AF8" w:rsidR="00A24B8B" w:rsidRPr="00B703F0" w:rsidRDefault="00A24B8B" w:rsidP="00E42F27">
            <w:pPr>
              <w:rPr>
                <w:b w:val="0"/>
              </w:rPr>
            </w:pPr>
            <w:r>
              <w:rPr>
                <w:b w:val="0"/>
              </w:rPr>
              <w:t>Kazakhstan</w:t>
            </w:r>
          </w:p>
        </w:tc>
        <w:tc>
          <w:tcPr>
            <w:tcW w:w="3245" w:type="dxa"/>
          </w:tcPr>
          <w:p w14:paraId="6B1FBB52" w14:textId="4227A70B" w:rsidR="00A24B8B" w:rsidRPr="00B703F0" w:rsidRDefault="00A24B8B" w:rsidP="00E42F27">
            <w:pPr>
              <w:cnfStyle w:val="000000010000" w:firstRow="0" w:lastRow="0" w:firstColumn="0" w:lastColumn="0" w:oddVBand="0" w:evenVBand="0" w:oddHBand="0" w:evenHBand="1" w:firstRowFirstColumn="0" w:firstRowLastColumn="0" w:lastRowFirstColumn="0" w:lastRowLastColumn="0"/>
            </w:pPr>
            <w:r>
              <w:t>Yes</w:t>
            </w:r>
          </w:p>
        </w:tc>
        <w:tc>
          <w:tcPr>
            <w:tcW w:w="3245" w:type="dxa"/>
          </w:tcPr>
          <w:p w14:paraId="3B6216AD" w14:textId="3DF52A7D" w:rsidR="00A24B8B" w:rsidRPr="00B703F0" w:rsidRDefault="00A24B8B" w:rsidP="00E42F27">
            <w:pPr>
              <w:cnfStyle w:val="000000010000" w:firstRow="0" w:lastRow="0" w:firstColumn="0" w:lastColumn="0" w:oddVBand="0" w:evenVBand="0" w:oddHBand="0" w:evenHBand="1" w:firstRowFirstColumn="0" w:firstRowLastColumn="0" w:lastRowFirstColumn="0" w:lastRowLastColumn="0"/>
            </w:pPr>
            <w:r>
              <w:t>Yes</w:t>
            </w:r>
          </w:p>
        </w:tc>
      </w:tr>
      <w:tr w:rsidR="00AE7365" w:rsidRPr="00B703F0" w14:paraId="59A60B1E" w14:textId="77777777" w:rsidTr="00E42F27">
        <w:trPr>
          <w:trHeight w:val="407"/>
        </w:trPr>
        <w:tc>
          <w:tcPr>
            <w:cnfStyle w:val="001000000000" w:firstRow="0" w:lastRow="0" w:firstColumn="1" w:lastColumn="0" w:oddVBand="0" w:evenVBand="0" w:oddHBand="0" w:evenHBand="0" w:firstRowFirstColumn="0" w:firstRowLastColumn="0" w:lastRowFirstColumn="0" w:lastRowLastColumn="0"/>
            <w:tcW w:w="3243" w:type="dxa"/>
          </w:tcPr>
          <w:p w14:paraId="3C6DA9B7" w14:textId="77777777" w:rsidR="00AE7365" w:rsidRPr="00B703F0" w:rsidRDefault="00AE7365" w:rsidP="00E42F27">
            <w:pPr>
              <w:rPr>
                <w:b w:val="0"/>
              </w:rPr>
            </w:pPr>
            <w:r w:rsidRPr="00B703F0">
              <w:rPr>
                <w:b w:val="0"/>
              </w:rPr>
              <w:lastRenderedPageBreak/>
              <w:t>Kenya</w:t>
            </w:r>
          </w:p>
        </w:tc>
        <w:tc>
          <w:tcPr>
            <w:tcW w:w="3245" w:type="dxa"/>
          </w:tcPr>
          <w:p w14:paraId="5614AED7" w14:textId="77777777" w:rsidR="00AE7365" w:rsidRPr="00B703F0" w:rsidRDefault="00AE7365" w:rsidP="00E42F27">
            <w:pPr>
              <w:cnfStyle w:val="000000000000" w:firstRow="0" w:lastRow="0" w:firstColumn="0" w:lastColumn="0" w:oddVBand="0" w:evenVBand="0" w:oddHBand="0" w:evenHBand="0" w:firstRowFirstColumn="0" w:firstRowLastColumn="0" w:lastRowFirstColumn="0" w:lastRowLastColumn="0"/>
            </w:pPr>
            <w:r w:rsidRPr="00B703F0">
              <w:t xml:space="preserve">Yes </w:t>
            </w:r>
          </w:p>
        </w:tc>
        <w:tc>
          <w:tcPr>
            <w:tcW w:w="3245" w:type="dxa"/>
          </w:tcPr>
          <w:p w14:paraId="72845461" w14:textId="77777777" w:rsidR="00AE7365" w:rsidRPr="00B703F0" w:rsidRDefault="00AE7365" w:rsidP="00E42F27">
            <w:pPr>
              <w:cnfStyle w:val="000000000000" w:firstRow="0" w:lastRow="0" w:firstColumn="0" w:lastColumn="0" w:oddVBand="0" w:evenVBand="0" w:oddHBand="0" w:evenHBand="0" w:firstRowFirstColumn="0" w:firstRowLastColumn="0" w:lastRowFirstColumn="0" w:lastRowLastColumn="0"/>
            </w:pPr>
            <w:r w:rsidRPr="00B703F0">
              <w:t>Yes</w:t>
            </w:r>
          </w:p>
        </w:tc>
      </w:tr>
      <w:tr w:rsidR="00AE7365" w:rsidRPr="00B703F0" w14:paraId="5173AA83" w14:textId="77777777" w:rsidTr="00E42F27">
        <w:trPr>
          <w:cnfStyle w:val="000000010000" w:firstRow="0" w:lastRow="0" w:firstColumn="0" w:lastColumn="0" w:oddVBand="0" w:evenVBand="0" w:oddHBand="0" w:evenHBand="1"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3243" w:type="dxa"/>
          </w:tcPr>
          <w:p w14:paraId="52055DBB" w14:textId="77777777" w:rsidR="00AE7365" w:rsidRPr="00B703F0" w:rsidRDefault="00AE7365" w:rsidP="00E42F27">
            <w:pPr>
              <w:rPr>
                <w:b w:val="0"/>
              </w:rPr>
            </w:pPr>
            <w:r w:rsidRPr="00B703F0">
              <w:rPr>
                <w:b w:val="0"/>
              </w:rPr>
              <w:t>Liberia</w:t>
            </w:r>
          </w:p>
        </w:tc>
        <w:tc>
          <w:tcPr>
            <w:tcW w:w="3245" w:type="dxa"/>
          </w:tcPr>
          <w:p w14:paraId="32E9B4FD" w14:textId="77777777" w:rsidR="00AE7365" w:rsidRPr="00B703F0" w:rsidRDefault="00AE7365" w:rsidP="00E42F27">
            <w:pPr>
              <w:cnfStyle w:val="000000010000" w:firstRow="0" w:lastRow="0" w:firstColumn="0" w:lastColumn="0" w:oddVBand="0" w:evenVBand="0" w:oddHBand="0" w:evenHBand="1" w:firstRowFirstColumn="0" w:firstRowLastColumn="0" w:lastRowFirstColumn="0" w:lastRowLastColumn="0"/>
            </w:pPr>
            <w:r w:rsidRPr="00B703F0">
              <w:t xml:space="preserve">Yes </w:t>
            </w:r>
          </w:p>
        </w:tc>
        <w:tc>
          <w:tcPr>
            <w:tcW w:w="3245" w:type="dxa"/>
          </w:tcPr>
          <w:p w14:paraId="4AD11085" w14:textId="77777777" w:rsidR="00AE7365" w:rsidRPr="00B703F0" w:rsidRDefault="00AE7365" w:rsidP="00E42F27">
            <w:pPr>
              <w:cnfStyle w:val="000000010000" w:firstRow="0" w:lastRow="0" w:firstColumn="0" w:lastColumn="0" w:oddVBand="0" w:evenVBand="0" w:oddHBand="0" w:evenHBand="1" w:firstRowFirstColumn="0" w:firstRowLastColumn="0" w:lastRowFirstColumn="0" w:lastRowLastColumn="0"/>
            </w:pPr>
            <w:r w:rsidRPr="00B703F0">
              <w:t>Yes</w:t>
            </w:r>
          </w:p>
        </w:tc>
      </w:tr>
      <w:tr w:rsidR="00663146" w:rsidRPr="00B703F0" w14:paraId="6F746343" w14:textId="77777777" w:rsidTr="00E42F27">
        <w:trPr>
          <w:trHeight w:val="407"/>
        </w:trPr>
        <w:tc>
          <w:tcPr>
            <w:cnfStyle w:val="001000000000" w:firstRow="0" w:lastRow="0" w:firstColumn="1" w:lastColumn="0" w:oddVBand="0" w:evenVBand="0" w:oddHBand="0" w:evenHBand="0" w:firstRowFirstColumn="0" w:firstRowLastColumn="0" w:lastRowFirstColumn="0" w:lastRowLastColumn="0"/>
            <w:tcW w:w="3243" w:type="dxa"/>
          </w:tcPr>
          <w:p w14:paraId="47EE9FCC" w14:textId="5D60C96F" w:rsidR="00663146" w:rsidRPr="00663146" w:rsidRDefault="00663146" w:rsidP="00E42F27">
            <w:pPr>
              <w:rPr>
                <w:b w:val="0"/>
              </w:rPr>
            </w:pPr>
            <w:r w:rsidRPr="00663146">
              <w:rPr>
                <w:b w:val="0"/>
              </w:rPr>
              <w:t xml:space="preserve">Luxembourg </w:t>
            </w:r>
          </w:p>
        </w:tc>
        <w:tc>
          <w:tcPr>
            <w:tcW w:w="3245" w:type="dxa"/>
          </w:tcPr>
          <w:p w14:paraId="28753565" w14:textId="280EBA02" w:rsidR="00663146" w:rsidRPr="00B703F0" w:rsidRDefault="00663146" w:rsidP="00E42F27">
            <w:pPr>
              <w:cnfStyle w:val="000000000000" w:firstRow="0" w:lastRow="0" w:firstColumn="0" w:lastColumn="0" w:oddVBand="0" w:evenVBand="0" w:oddHBand="0" w:evenHBand="0" w:firstRowFirstColumn="0" w:firstRowLastColumn="0" w:lastRowFirstColumn="0" w:lastRowLastColumn="0"/>
            </w:pPr>
            <w:r>
              <w:t>Yes</w:t>
            </w:r>
          </w:p>
        </w:tc>
        <w:tc>
          <w:tcPr>
            <w:tcW w:w="3245" w:type="dxa"/>
          </w:tcPr>
          <w:p w14:paraId="338E26D4" w14:textId="77777777" w:rsidR="00663146" w:rsidRPr="00B703F0" w:rsidRDefault="00663146" w:rsidP="00E42F27">
            <w:pPr>
              <w:cnfStyle w:val="000000000000" w:firstRow="0" w:lastRow="0" w:firstColumn="0" w:lastColumn="0" w:oddVBand="0" w:evenVBand="0" w:oddHBand="0" w:evenHBand="0" w:firstRowFirstColumn="0" w:firstRowLastColumn="0" w:lastRowFirstColumn="0" w:lastRowLastColumn="0"/>
            </w:pPr>
          </w:p>
        </w:tc>
      </w:tr>
      <w:tr w:rsidR="00AE7365" w:rsidRPr="00B703F0" w14:paraId="52D9BCD5" w14:textId="77777777" w:rsidTr="00E42F27">
        <w:trPr>
          <w:cnfStyle w:val="000000010000" w:firstRow="0" w:lastRow="0" w:firstColumn="0" w:lastColumn="0" w:oddVBand="0" w:evenVBand="0" w:oddHBand="0" w:evenHBand="1"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3243" w:type="dxa"/>
          </w:tcPr>
          <w:p w14:paraId="5D614884" w14:textId="77777777" w:rsidR="00AE7365" w:rsidRPr="00B703F0" w:rsidRDefault="00AE7365" w:rsidP="00E42F27">
            <w:pPr>
              <w:rPr>
                <w:b w:val="0"/>
              </w:rPr>
            </w:pPr>
            <w:r w:rsidRPr="00B703F0">
              <w:rPr>
                <w:b w:val="0"/>
              </w:rPr>
              <w:t>Madagascar</w:t>
            </w:r>
          </w:p>
        </w:tc>
        <w:tc>
          <w:tcPr>
            <w:tcW w:w="3245" w:type="dxa"/>
          </w:tcPr>
          <w:p w14:paraId="7827E37D" w14:textId="77777777" w:rsidR="00AE7365" w:rsidRPr="00B703F0" w:rsidRDefault="00AE7365" w:rsidP="00E42F27">
            <w:pPr>
              <w:cnfStyle w:val="000000010000" w:firstRow="0" w:lastRow="0" w:firstColumn="0" w:lastColumn="0" w:oddVBand="0" w:evenVBand="0" w:oddHBand="0" w:evenHBand="1" w:firstRowFirstColumn="0" w:firstRowLastColumn="0" w:lastRowFirstColumn="0" w:lastRowLastColumn="0"/>
            </w:pPr>
            <w:r w:rsidRPr="00B703F0">
              <w:t xml:space="preserve">Yes </w:t>
            </w:r>
          </w:p>
        </w:tc>
        <w:tc>
          <w:tcPr>
            <w:tcW w:w="3245" w:type="dxa"/>
          </w:tcPr>
          <w:p w14:paraId="2D4F3610" w14:textId="77777777" w:rsidR="00AE7365" w:rsidRPr="00B703F0" w:rsidRDefault="00AE7365" w:rsidP="00E42F27">
            <w:pPr>
              <w:cnfStyle w:val="000000010000" w:firstRow="0" w:lastRow="0" w:firstColumn="0" w:lastColumn="0" w:oddVBand="0" w:evenVBand="0" w:oddHBand="0" w:evenHBand="1" w:firstRowFirstColumn="0" w:firstRowLastColumn="0" w:lastRowFirstColumn="0" w:lastRowLastColumn="0"/>
            </w:pPr>
          </w:p>
        </w:tc>
      </w:tr>
      <w:tr w:rsidR="00AE7365" w:rsidRPr="00B703F0" w14:paraId="458FF96B" w14:textId="77777777" w:rsidTr="00E42F27">
        <w:trPr>
          <w:trHeight w:val="407"/>
        </w:trPr>
        <w:tc>
          <w:tcPr>
            <w:cnfStyle w:val="001000000000" w:firstRow="0" w:lastRow="0" w:firstColumn="1" w:lastColumn="0" w:oddVBand="0" w:evenVBand="0" w:oddHBand="0" w:evenHBand="0" w:firstRowFirstColumn="0" w:firstRowLastColumn="0" w:lastRowFirstColumn="0" w:lastRowLastColumn="0"/>
            <w:tcW w:w="3243" w:type="dxa"/>
          </w:tcPr>
          <w:p w14:paraId="062E19FD" w14:textId="77777777" w:rsidR="00AE7365" w:rsidRPr="00B703F0" w:rsidRDefault="00AE7365" w:rsidP="00E42F27">
            <w:pPr>
              <w:rPr>
                <w:b w:val="0"/>
              </w:rPr>
            </w:pPr>
            <w:r w:rsidRPr="00B703F0">
              <w:rPr>
                <w:b w:val="0"/>
              </w:rPr>
              <w:t>Malaysia</w:t>
            </w:r>
          </w:p>
        </w:tc>
        <w:tc>
          <w:tcPr>
            <w:tcW w:w="3245" w:type="dxa"/>
          </w:tcPr>
          <w:p w14:paraId="31A7B3E3" w14:textId="77777777" w:rsidR="00AE7365" w:rsidRPr="00B703F0" w:rsidRDefault="00AE7365" w:rsidP="00E42F27">
            <w:pPr>
              <w:cnfStyle w:val="000000000000" w:firstRow="0" w:lastRow="0" w:firstColumn="0" w:lastColumn="0" w:oddVBand="0" w:evenVBand="0" w:oddHBand="0" w:evenHBand="0" w:firstRowFirstColumn="0" w:firstRowLastColumn="0" w:lastRowFirstColumn="0" w:lastRowLastColumn="0"/>
            </w:pPr>
            <w:r w:rsidRPr="00B703F0">
              <w:t xml:space="preserve">Yes </w:t>
            </w:r>
          </w:p>
        </w:tc>
        <w:tc>
          <w:tcPr>
            <w:tcW w:w="3245" w:type="dxa"/>
          </w:tcPr>
          <w:p w14:paraId="09ACCF0E" w14:textId="77777777" w:rsidR="00AE7365" w:rsidRPr="00B703F0" w:rsidRDefault="00AE7365" w:rsidP="00E42F27">
            <w:pPr>
              <w:cnfStyle w:val="000000000000" w:firstRow="0" w:lastRow="0" w:firstColumn="0" w:lastColumn="0" w:oddVBand="0" w:evenVBand="0" w:oddHBand="0" w:evenHBand="0" w:firstRowFirstColumn="0" w:firstRowLastColumn="0" w:lastRowFirstColumn="0" w:lastRowLastColumn="0"/>
            </w:pPr>
          </w:p>
        </w:tc>
      </w:tr>
      <w:tr w:rsidR="00AE7365" w:rsidRPr="00B703F0" w14:paraId="7531E726" w14:textId="77777777" w:rsidTr="00E42F27">
        <w:trPr>
          <w:cnfStyle w:val="000000010000" w:firstRow="0" w:lastRow="0" w:firstColumn="0" w:lastColumn="0" w:oddVBand="0" w:evenVBand="0" w:oddHBand="0" w:evenHBand="1"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3243" w:type="dxa"/>
          </w:tcPr>
          <w:p w14:paraId="3F605397" w14:textId="77777777" w:rsidR="00AE7365" w:rsidRPr="00B703F0" w:rsidRDefault="00AE7365" w:rsidP="00E42F27">
            <w:pPr>
              <w:rPr>
                <w:b w:val="0"/>
              </w:rPr>
            </w:pPr>
            <w:r w:rsidRPr="00B703F0">
              <w:rPr>
                <w:b w:val="0"/>
              </w:rPr>
              <w:t>Malta</w:t>
            </w:r>
          </w:p>
        </w:tc>
        <w:tc>
          <w:tcPr>
            <w:tcW w:w="3245" w:type="dxa"/>
          </w:tcPr>
          <w:p w14:paraId="6D7399E6" w14:textId="77777777" w:rsidR="00AE7365" w:rsidRPr="00B703F0" w:rsidRDefault="00AE7365" w:rsidP="00E42F27">
            <w:pPr>
              <w:cnfStyle w:val="000000010000" w:firstRow="0" w:lastRow="0" w:firstColumn="0" w:lastColumn="0" w:oddVBand="0" w:evenVBand="0" w:oddHBand="0" w:evenHBand="1" w:firstRowFirstColumn="0" w:firstRowLastColumn="0" w:lastRowFirstColumn="0" w:lastRowLastColumn="0"/>
            </w:pPr>
            <w:r w:rsidRPr="00B703F0">
              <w:t xml:space="preserve">Yes </w:t>
            </w:r>
          </w:p>
        </w:tc>
        <w:tc>
          <w:tcPr>
            <w:tcW w:w="3245" w:type="dxa"/>
          </w:tcPr>
          <w:p w14:paraId="06E408CA" w14:textId="77777777" w:rsidR="00AE7365" w:rsidRPr="00B703F0" w:rsidRDefault="00AE7365" w:rsidP="00E42F27">
            <w:pPr>
              <w:cnfStyle w:val="000000010000" w:firstRow="0" w:lastRow="0" w:firstColumn="0" w:lastColumn="0" w:oddVBand="0" w:evenVBand="0" w:oddHBand="0" w:evenHBand="1" w:firstRowFirstColumn="0" w:firstRowLastColumn="0" w:lastRowFirstColumn="0" w:lastRowLastColumn="0"/>
            </w:pPr>
            <w:r w:rsidRPr="00B703F0">
              <w:t>Yes</w:t>
            </w:r>
          </w:p>
        </w:tc>
      </w:tr>
      <w:tr w:rsidR="00AE7365" w:rsidRPr="00B703F0" w14:paraId="1258E53D" w14:textId="77777777" w:rsidTr="00E42F27">
        <w:trPr>
          <w:trHeight w:val="407"/>
        </w:trPr>
        <w:tc>
          <w:tcPr>
            <w:cnfStyle w:val="001000000000" w:firstRow="0" w:lastRow="0" w:firstColumn="1" w:lastColumn="0" w:oddVBand="0" w:evenVBand="0" w:oddHBand="0" w:evenHBand="0" w:firstRowFirstColumn="0" w:firstRowLastColumn="0" w:lastRowFirstColumn="0" w:lastRowLastColumn="0"/>
            <w:tcW w:w="3243" w:type="dxa"/>
          </w:tcPr>
          <w:p w14:paraId="167D9EBC" w14:textId="77777777" w:rsidR="00AE7365" w:rsidRPr="00B703F0" w:rsidRDefault="00AE7365" w:rsidP="00E42F27">
            <w:pPr>
              <w:rPr>
                <w:b w:val="0"/>
              </w:rPr>
            </w:pPr>
            <w:r w:rsidRPr="00B703F0">
              <w:rPr>
                <w:b w:val="0"/>
              </w:rPr>
              <w:t>Marshall Islands</w:t>
            </w:r>
          </w:p>
        </w:tc>
        <w:tc>
          <w:tcPr>
            <w:tcW w:w="3245" w:type="dxa"/>
          </w:tcPr>
          <w:p w14:paraId="6C3F4492" w14:textId="77777777" w:rsidR="00AE7365" w:rsidRPr="00B703F0" w:rsidRDefault="00AE7365" w:rsidP="00E42F27">
            <w:pPr>
              <w:cnfStyle w:val="000000000000" w:firstRow="0" w:lastRow="0" w:firstColumn="0" w:lastColumn="0" w:oddVBand="0" w:evenVBand="0" w:oddHBand="0" w:evenHBand="0" w:firstRowFirstColumn="0" w:firstRowLastColumn="0" w:lastRowFirstColumn="0" w:lastRowLastColumn="0"/>
            </w:pPr>
            <w:r w:rsidRPr="00B703F0">
              <w:t xml:space="preserve">Yes </w:t>
            </w:r>
          </w:p>
        </w:tc>
        <w:tc>
          <w:tcPr>
            <w:tcW w:w="3245" w:type="dxa"/>
          </w:tcPr>
          <w:p w14:paraId="523690AC" w14:textId="77777777" w:rsidR="00AE7365" w:rsidRPr="00B703F0" w:rsidRDefault="00AE7365" w:rsidP="00E42F27">
            <w:pPr>
              <w:cnfStyle w:val="000000000000" w:firstRow="0" w:lastRow="0" w:firstColumn="0" w:lastColumn="0" w:oddVBand="0" w:evenVBand="0" w:oddHBand="0" w:evenHBand="0" w:firstRowFirstColumn="0" w:firstRowLastColumn="0" w:lastRowFirstColumn="0" w:lastRowLastColumn="0"/>
            </w:pPr>
            <w:r w:rsidRPr="00B703F0">
              <w:t>Yes</w:t>
            </w:r>
          </w:p>
        </w:tc>
      </w:tr>
      <w:tr w:rsidR="00AE7365" w:rsidRPr="00B703F0" w14:paraId="0A8844B9" w14:textId="77777777" w:rsidTr="00E42F27">
        <w:trPr>
          <w:cnfStyle w:val="000000010000" w:firstRow="0" w:lastRow="0" w:firstColumn="0" w:lastColumn="0" w:oddVBand="0" w:evenVBand="0" w:oddHBand="0" w:evenHBand="1"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3243" w:type="dxa"/>
          </w:tcPr>
          <w:p w14:paraId="775F04F6" w14:textId="77777777" w:rsidR="00AE7365" w:rsidRPr="00B703F0" w:rsidRDefault="00AE7365" w:rsidP="00E42F27">
            <w:pPr>
              <w:rPr>
                <w:b w:val="0"/>
              </w:rPr>
            </w:pPr>
            <w:r w:rsidRPr="00B703F0">
              <w:rPr>
                <w:b w:val="0"/>
              </w:rPr>
              <w:t>Morocco</w:t>
            </w:r>
          </w:p>
        </w:tc>
        <w:tc>
          <w:tcPr>
            <w:tcW w:w="3245" w:type="dxa"/>
          </w:tcPr>
          <w:p w14:paraId="134E4D3A" w14:textId="77777777" w:rsidR="00AE7365" w:rsidRPr="00B703F0" w:rsidRDefault="00AE7365" w:rsidP="00E42F27">
            <w:pPr>
              <w:cnfStyle w:val="000000010000" w:firstRow="0" w:lastRow="0" w:firstColumn="0" w:lastColumn="0" w:oddVBand="0" w:evenVBand="0" w:oddHBand="0" w:evenHBand="1" w:firstRowFirstColumn="0" w:firstRowLastColumn="0" w:lastRowFirstColumn="0" w:lastRowLastColumn="0"/>
            </w:pPr>
            <w:r w:rsidRPr="00B703F0">
              <w:t xml:space="preserve">Yes </w:t>
            </w:r>
          </w:p>
        </w:tc>
        <w:tc>
          <w:tcPr>
            <w:tcW w:w="3245" w:type="dxa"/>
          </w:tcPr>
          <w:p w14:paraId="3DF5674A" w14:textId="77777777" w:rsidR="00AE7365" w:rsidRPr="00B703F0" w:rsidRDefault="00AE7365" w:rsidP="00E42F27">
            <w:pPr>
              <w:cnfStyle w:val="000000010000" w:firstRow="0" w:lastRow="0" w:firstColumn="0" w:lastColumn="0" w:oddVBand="0" w:evenVBand="0" w:oddHBand="0" w:evenHBand="1" w:firstRowFirstColumn="0" w:firstRowLastColumn="0" w:lastRowFirstColumn="0" w:lastRowLastColumn="0"/>
            </w:pPr>
          </w:p>
        </w:tc>
      </w:tr>
      <w:tr w:rsidR="00AE7365" w:rsidRPr="00B703F0" w14:paraId="4F4C5973" w14:textId="77777777" w:rsidTr="00E42F27">
        <w:trPr>
          <w:trHeight w:val="407"/>
        </w:trPr>
        <w:tc>
          <w:tcPr>
            <w:cnfStyle w:val="001000000000" w:firstRow="0" w:lastRow="0" w:firstColumn="1" w:lastColumn="0" w:oddVBand="0" w:evenVBand="0" w:oddHBand="0" w:evenHBand="0" w:firstRowFirstColumn="0" w:firstRowLastColumn="0" w:lastRowFirstColumn="0" w:lastRowLastColumn="0"/>
            <w:tcW w:w="3243" w:type="dxa"/>
          </w:tcPr>
          <w:p w14:paraId="28C12195" w14:textId="77777777" w:rsidR="00AE7365" w:rsidRPr="00B703F0" w:rsidRDefault="00AE7365" w:rsidP="00E42F27">
            <w:pPr>
              <w:rPr>
                <w:b w:val="0"/>
              </w:rPr>
            </w:pPr>
            <w:r w:rsidRPr="00B703F0">
              <w:rPr>
                <w:b w:val="0"/>
              </w:rPr>
              <w:t>Nauru</w:t>
            </w:r>
          </w:p>
        </w:tc>
        <w:tc>
          <w:tcPr>
            <w:tcW w:w="3245" w:type="dxa"/>
          </w:tcPr>
          <w:p w14:paraId="143229B2" w14:textId="77777777" w:rsidR="00AE7365" w:rsidRPr="00B703F0" w:rsidRDefault="00AE7365" w:rsidP="00E42F27">
            <w:pPr>
              <w:cnfStyle w:val="000000000000" w:firstRow="0" w:lastRow="0" w:firstColumn="0" w:lastColumn="0" w:oddVBand="0" w:evenVBand="0" w:oddHBand="0" w:evenHBand="0" w:firstRowFirstColumn="0" w:firstRowLastColumn="0" w:lastRowFirstColumn="0" w:lastRowLastColumn="0"/>
            </w:pPr>
            <w:r w:rsidRPr="00B703F0">
              <w:t xml:space="preserve">Yes </w:t>
            </w:r>
          </w:p>
        </w:tc>
        <w:tc>
          <w:tcPr>
            <w:tcW w:w="3245" w:type="dxa"/>
          </w:tcPr>
          <w:p w14:paraId="63765FF6" w14:textId="77777777" w:rsidR="00AE7365" w:rsidRPr="00B703F0" w:rsidRDefault="00AE7365" w:rsidP="00E42F27">
            <w:pPr>
              <w:cnfStyle w:val="000000000000" w:firstRow="0" w:lastRow="0" w:firstColumn="0" w:lastColumn="0" w:oddVBand="0" w:evenVBand="0" w:oddHBand="0" w:evenHBand="0" w:firstRowFirstColumn="0" w:firstRowLastColumn="0" w:lastRowFirstColumn="0" w:lastRowLastColumn="0"/>
            </w:pPr>
          </w:p>
        </w:tc>
      </w:tr>
      <w:tr w:rsidR="00AE7365" w:rsidRPr="00B703F0" w14:paraId="2E19F7EA" w14:textId="77777777" w:rsidTr="00E42F27">
        <w:trPr>
          <w:cnfStyle w:val="000000010000" w:firstRow="0" w:lastRow="0" w:firstColumn="0" w:lastColumn="0" w:oddVBand="0" w:evenVBand="0" w:oddHBand="0" w:evenHBand="1"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3243" w:type="dxa"/>
          </w:tcPr>
          <w:p w14:paraId="3F107EFF" w14:textId="77777777" w:rsidR="00AE7365" w:rsidRPr="00B703F0" w:rsidRDefault="00AE7365" w:rsidP="00E42F27">
            <w:pPr>
              <w:rPr>
                <w:b w:val="0"/>
              </w:rPr>
            </w:pPr>
            <w:r w:rsidRPr="00B703F0">
              <w:rPr>
                <w:b w:val="0"/>
              </w:rPr>
              <w:t>Netherlands</w:t>
            </w:r>
          </w:p>
        </w:tc>
        <w:tc>
          <w:tcPr>
            <w:tcW w:w="3245" w:type="dxa"/>
          </w:tcPr>
          <w:p w14:paraId="76E4DDE4" w14:textId="77777777" w:rsidR="00AE7365" w:rsidRPr="00B703F0" w:rsidRDefault="00AE7365" w:rsidP="00E42F27">
            <w:pPr>
              <w:cnfStyle w:val="000000010000" w:firstRow="0" w:lastRow="0" w:firstColumn="0" w:lastColumn="0" w:oddVBand="0" w:evenVBand="0" w:oddHBand="0" w:evenHBand="1" w:firstRowFirstColumn="0" w:firstRowLastColumn="0" w:lastRowFirstColumn="0" w:lastRowLastColumn="0"/>
            </w:pPr>
            <w:r w:rsidRPr="00B703F0">
              <w:t xml:space="preserve">Yes </w:t>
            </w:r>
          </w:p>
        </w:tc>
        <w:tc>
          <w:tcPr>
            <w:tcW w:w="3245" w:type="dxa"/>
          </w:tcPr>
          <w:p w14:paraId="45216B30" w14:textId="77777777" w:rsidR="00AE7365" w:rsidRPr="00B703F0" w:rsidRDefault="00AE7365" w:rsidP="00E42F27">
            <w:pPr>
              <w:cnfStyle w:val="000000010000" w:firstRow="0" w:lastRow="0" w:firstColumn="0" w:lastColumn="0" w:oddVBand="0" w:evenVBand="0" w:oddHBand="0" w:evenHBand="1" w:firstRowFirstColumn="0" w:firstRowLastColumn="0" w:lastRowFirstColumn="0" w:lastRowLastColumn="0"/>
            </w:pPr>
            <w:r w:rsidRPr="00B703F0">
              <w:t>Yes</w:t>
            </w:r>
          </w:p>
        </w:tc>
      </w:tr>
      <w:tr w:rsidR="00AE7365" w:rsidRPr="00B703F0" w14:paraId="7B7840D1" w14:textId="77777777" w:rsidTr="00E42F27">
        <w:trPr>
          <w:trHeight w:val="407"/>
        </w:trPr>
        <w:tc>
          <w:tcPr>
            <w:cnfStyle w:val="001000000000" w:firstRow="0" w:lastRow="0" w:firstColumn="1" w:lastColumn="0" w:oddVBand="0" w:evenVBand="0" w:oddHBand="0" w:evenHBand="0" w:firstRowFirstColumn="0" w:firstRowLastColumn="0" w:lastRowFirstColumn="0" w:lastRowLastColumn="0"/>
            <w:tcW w:w="3243" w:type="dxa"/>
          </w:tcPr>
          <w:p w14:paraId="35489FEE" w14:textId="77777777" w:rsidR="00AE7365" w:rsidRPr="00B703F0" w:rsidRDefault="00AE7365" w:rsidP="00E42F27">
            <w:pPr>
              <w:rPr>
                <w:b w:val="0"/>
              </w:rPr>
            </w:pPr>
            <w:r w:rsidRPr="00B703F0">
              <w:rPr>
                <w:b w:val="0"/>
              </w:rPr>
              <w:t>Nigeria</w:t>
            </w:r>
          </w:p>
        </w:tc>
        <w:tc>
          <w:tcPr>
            <w:tcW w:w="3245" w:type="dxa"/>
          </w:tcPr>
          <w:p w14:paraId="3E2C31B9" w14:textId="77777777" w:rsidR="00AE7365" w:rsidRPr="00B703F0" w:rsidRDefault="00AE7365" w:rsidP="00E42F27">
            <w:pPr>
              <w:cnfStyle w:val="000000000000" w:firstRow="0" w:lastRow="0" w:firstColumn="0" w:lastColumn="0" w:oddVBand="0" w:evenVBand="0" w:oddHBand="0" w:evenHBand="0" w:firstRowFirstColumn="0" w:firstRowLastColumn="0" w:lastRowFirstColumn="0" w:lastRowLastColumn="0"/>
            </w:pPr>
            <w:r w:rsidRPr="00B703F0">
              <w:t xml:space="preserve">Yes </w:t>
            </w:r>
          </w:p>
        </w:tc>
        <w:tc>
          <w:tcPr>
            <w:tcW w:w="3245" w:type="dxa"/>
          </w:tcPr>
          <w:p w14:paraId="407C4BE4" w14:textId="77777777" w:rsidR="00AE7365" w:rsidRPr="00B703F0" w:rsidRDefault="00AE7365" w:rsidP="00E42F27">
            <w:pPr>
              <w:cnfStyle w:val="000000000000" w:firstRow="0" w:lastRow="0" w:firstColumn="0" w:lastColumn="0" w:oddVBand="0" w:evenVBand="0" w:oddHBand="0" w:evenHBand="0" w:firstRowFirstColumn="0" w:firstRowLastColumn="0" w:lastRowFirstColumn="0" w:lastRowLastColumn="0"/>
            </w:pPr>
          </w:p>
        </w:tc>
      </w:tr>
      <w:tr w:rsidR="00AE7365" w:rsidRPr="00B703F0" w14:paraId="27BD6249" w14:textId="77777777" w:rsidTr="00E42F27">
        <w:trPr>
          <w:cnfStyle w:val="000000010000" w:firstRow="0" w:lastRow="0" w:firstColumn="0" w:lastColumn="0" w:oddVBand="0" w:evenVBand="0" w:oddHBand="0" w:evenHBand="1"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3243" w:type="dxa"/>
          </w:tcPr>
          <w:p w14:paraId="4F5B8DB5" w14:textId="77777777" w:rsidR="00AE7365" w:rsidRPr="00B703F0" w:rsidRDefault="00AE7365" w:rsidP="00E42F27">
            <w:pPr>
              <w:rPr>
                <w:b w:val="0"/>
              </w:rPr>
            </w:pPr>
            <w:r w:rsidRPr="00B703F0">
              <w:rPr>
                <w:b w:val="0"/>
              </w:rPr>
              <w:t>Niue</w:t>
            </w:r>
          </w:p>
        </w:tc>
        <w:tc>
          <w:tcPr>
            <w:tcW w:w="3245" w:type="dxa"/>
          </w:tcPr>
          <w:p w14:paraId="0658354B" w14:textId="77777777" w:rsidR="00AE7365" w:rsidRPr="00B703F0" w:rsidRDefault="00AE7365" w:rsidP="00E42F27">
            <w:pPr>
              <w:cnfStyle w:val="000000010000" w:firstRow="0" w:lastRow="0" w:firstColumn="0" w:lastColumn="0" w:oddVBand="0" w:evenVBand="0" w:oddHBand="0" w:evenHBand="1" w:firstRowFirstColumn="0" w:firstRowLastColumn="0" w:lastRowFirstColumn="0" w:lastRowLastColumn="0"/>
            </w:pPr>
            <w:r w:rsidRPr="00B703F0">
              <w:t xml:space="preserve">Yes </w:t>
            </w:r>
          </w:p>
        </w:tc>
        <w:tc>
          <w:tcPr>
            <w:tcW w:w="3245" w:type="dxa"/>
          </w:tcPr>
          <w:p w14:paraId="01013E3D" w14:textId="77777777" w:rsidR="00AE7365" w:rsidRPr="00B703F0" w:rsidRDefault="00AE7365" w:rsidP="00E42F27">
            <w:pPr>
              <w:cnfStyle w:val="000000010000" w:firstRow="0" w:lastRow="0" w:firstColumn="0" w:lastColumn="0" w:oddVBand="0" w:evenVBand="0" w:oddHBand="0" w:evenHBand="1" w:firstRowFirstColumn="0" w:firstRowLastColumn="0" w:lastRowFirstColumn="0" w:lastRowLastColumn="0"/>
            </w:pPr>
            <w:r w:rsidRPr="00B703F0">
              <w:t>Yes</w:t>
            </w:r>
          </w:p>
        </w:tc>
      </w:tr>
      <w:tr w:rsidR="00AE7365" w:rsidRPr="00B703F0" w14:paraId="4AA6FCDE" w14:textId="77777777" w:rsidTr="00E42F27">
        <w:trPr>
          <w:trHeight w:val="407"/>
        </w:trPr>
        <w:tc>
          <w:tcPr>
            <w:cnfStyle w:val="001000000000" w:firstRow="0" w:lastRow="0" w:firstColumn="1" w:lastColumn="0" w:oddVBand="0" w:evenVBand="0" w:oddHBand="0" w:evenHBand="0" w:firstRowFirstColumn="0" w:firstRowLastColumn="0" w:lastRowFirstColumn="0" w:lastRowLastColumn="0"/>
            <w:tcW w:w="3243" w:type="dxa"/>
          </w:tcPr>
          <w:p w14:paraId="27703FDF" w14:textId="77777777" w:rsidR="00AE7365" w:rsidRPr="00B703F0" w:rsidRDefault="00AE7365" w:rsidP="00E42F27">
            <w:pPr>
              <w:rPr>
                <w:b w:val="0"/>
              </w:rPr>
            </w:pPr>
            <w:r w:rsidRPr="00B703F0">
              <w:rPr>
                <w:b w:val="0"/>
              </w:rPr>
              <w:t>Oman</w:t>
            </w:r>
          </w:p>
        </w:tc>
        <w:tc>
          <w:tcPr>
            <w:tcW w:w="3245" w:type="dxa"/>
          </w:tcPr>
          <w:p w14:paraId="184F1994" w14:textId="77777777" w:rsidR="00AE7365" w:rsidRPr="00B703F0" w:rsidRDefault="00AE7365" w:rsidP="00E42F27">
            <w:pPr>
              <w:cnfStyle w:val="000000000000" w:firstRow="0" w:lastRow="0" w:firstColumn="0" w:lastColumn="0" w:oddVBand="0" w:evenVBand="0" w:oddHBand="0" w:evenHBand="0" w:firstRowFirstColumn="0" w:firstRowLastColumn="0" w:lastRowFirstColumn="0" w:lastRowLastColumn="0"/>
            </w:pPr>
            <w:r w:rsidRPr="00B703F0">
              <w:t xml:space="preserve">Yes </w:t>
            </w:r>
          </w:p>
        </w:tc>
        <w:tc>
          <w:tcPr>
            <w:tcW w:w="3245" w:type="dxa"/>
          </w:tcPr>
          <w:p w14:paraId="2D951081" w14:textId="77777777" w:rsidR="00AE7365" w:rsidRPr="00B703F0" w:rsidRDefault="00AE7365" w:rsidP="00E42F27">
            <w:pPr>
              <w:cnfStyle w:val="000000000000" w:firstRow="0" w:lastRow="0" w:firstColumn="0" w:lastColumn="0" w:oddVBand="0" w:evenVBand="0" w:oddHBand="0" w:evenHBand="0" w:firstRowFirstColumn="0" w:firstRowLastColumn="0" w:lastRowFirstColumn="0" w:lastRowLastColumn="0"/>
            </w:pPr>
          </w:p>
        </w:tc>
      </w:tr>
      <w:tr w:rsidR="00AE7365" w:rsidRPr="00B703F0" w14:paraId="7A1CF12A" w14:textId="77777777" w:rsidTr="00E42F27">
        <w:trPr>
          <w:cnfStyle w:val="000000010000" w:firstRow="0" w:lastRow="0" w:firstColumn="0" w:lastColumn="0" w:oddVBand="0" w:evenVBand="0" w:oddHBand="0" w:evenHBand="1"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3243" w:type="dxa"/>
          </w:tcPr>
          <w:p w14:paraId="033FA43C" w14:textId="77777777" w:rsidR="00AE7365" w:rsidRPr="00B703F0" w:rsidRDefault="00AE7365" w:rsidP="00E42F27">
            <w:pPr>
              <w:rPr>
                <w:b w:val="0"/>
              </w:rPr>
            </w:pPr>
            <w:r w:rsidRPr="00B703F0">
              <w:rPr>
                <w:b w:val="0"/>
              </w:rPr>
              <w:t>Palau</w:t>
            </w:r>
          </w:p>
        </w:tc>
        <w:tc>
          <w:tcPr>
            <w:tcW w:w="3245" w:type="dxa"/>
          </w:tcPr>
          <w:p w14:paraId="3B8C49D8" w14:textId="77777777" w:rsidR="00AE7365" w:rsidRPr="00B703F0" w:rsidRDefault="00AE7365" w:rsidP="00E42F27">
            <w:pPr>
              <w:cnfStyle w:val="000000010000" w:firstRow="0" w:lastRow="0" w:firstColumn="0" w:lastColumn="0" w:oddVBand="0" w:evenVBand="0" w:oddHBand="0" w:evenHBand="1" w:firstRowFirstColumn="0" w:firstRowLastColumn="0" w:lastRowFirstColumn="0" w:lastRowLastColumn="0"/>
            </w:pPr>
            <w:r w:rsidRPr="00B703F0">
              <w:t xml:space="preserve">Yes </w:t>
            </w:r>
          </w:p>
        </w:tc>
        <w:tc>
          <w:tcPr>
            <w:tcW w:w="3245" w:type="dxa"/>
          </w:tcPr>
          <w:p w14:paraId="0FF9B838" w14:textId="77777777" w:rsidR="00AE7365" w:rsidRPr="00B703F0" w:rsidRDefault="00AE7365" w:rsidP="00E42F27">
            <w:pPr>
              <w:cnfStyle w:val="000000010000" w:firstRow="0" w:lastRow="0" w:firstColumn="0" w:lastColumn="0" w:oddVBand="0" w:evenVBand="0" w:oddHBand="0" w:evenHBand="1" w:firstRowFirstColumn="0" w:firstRowLastColumn="0" w:lastRowFirstColumn="0" w:lastRowLastColumn="0"/>
            </w:pPr>
          </w:p>
        </w:tc>
      </w:tr>
      <w:tr w:rsidR="00AE7365" w:rsidRPr="00B703F0" w14:paraId="0100BBCA" w14:textId="77777777" w:rsidTr="00E42F27">
        <w:trPr>
          <w:trHeight w:val="396"/>
        </w:trPr>
        <w:tc>
          <w:tcPr>
            <w:cnfStyle w:val="001000000000" w:firstRow="0" w:lastRow="0" w:firstColumn="1" w:lastColumn="0" w:oddVBand="0" w:evenVBand="0" w:oddHBand="0" w:evenHBand="0" w:firstRowFirstColumn="0" w:firstRowLastColumn="0" w:lastRowFirstColumn="0" w:lastRowLastColumn="0"/>
            <w:tcW w:w="3243" w:type="dxa"/>
          </w:tcPr>
          <w:p w14:paraId="435CDAA2" w14:textId="77777777" w:rsidR="00AE7365" w:rsidRPr="00B703F0" w:rsidRDefault="00AE7365" w:rsidP="00E42F27">
            <w:pPr>
              <w:rPr>
                <w:b w:val="0"/>
              </w:rPr>
            </w:pPr>
            <w:r w:rsidRPr="00B703F0">
              <w:rPr>
                <w:b w:val="0"/>
              </w:rPr>
              <w:t>Panama</w:t>
            </w:r>
          </w:p>
        </w:tc>
        <w:tc>
          <w:tcPr>
            <w:tcW w:w="3245" w:type="dxa"/>
          </w:tcPr>
          <w:p w14:paraId="5C3C54CA" w14:textId="77777777" w:rsidR="00AE7365" w:rsidRPr="00B703F0" w:rsidRDefault="00AE7365" w:rsidP="00E42F27">
            <w:pPr>
              <w:cnfStyle w:val="000000000000" w:firstRow="0" w:lastRow="0" w:firstColumn="0" w:lastColumn="0" w:oddVBand="0" w:evenVBand="0" w:oddHBand="0" w:evenHBand="0" w:firstRowFirstColumn="0" w:firstRowLastColumn="0" w:lastRowFirstColumn="0" w:lastRowLastColumn="0"/>
            </w:pPr>
            <w:r w:rsidRPr="00B703F0">
              <w:t xml:space="preserve">Yes </w:t>
            </w:r>
          </w:p>
        </w:tc>
        <w:tc>
          <w:tcPr>
            <w:tcW w:w="3245" w:type="dxa"/>
          </w:tcPr>
          <w:p w14:paraId="118D9E5B" w14:textId="77777777" w:rsidR="00AE7365" w:rsidRPr="00B703F0" w:rsidRDefault="00AE7365" w:rsidP="00E42F27">
            <w:pPr>
              <w:cnfStyle w:val="000000000000" w:firstRow="0" w:lastRow="0" w:firstColumn="0" w:lastColumn="0" w:oddVBand="0" w:evenVBand="0" w:oddHBand="0" w:evenHBand="0" w:firstRowFirstColumn="0" w:firstRowLastColumn="0" w:lastRowFirstColumn="0" w:lastRowLastColumn="0"/>
            </w:pPr>
            <w:r w:rsidRPr="00B703F0">
              <w:t>Yes</w:t>
            </w:r>
          </w:p>
        </w:tc>
      </w:tr>
      <w:tr w:rsidR="00AE7365" w:rsidRPr="00B703F0" w14:paraId="2ADA2C01" w14:textId="77777777" w:rsidTr="00E42F27">
        <w:trPr>
          <w:cnfStyle w:val="000000010000" w:firstRow="0" w:lastRow="0" w:firstColumn="0" w:lastColumn="0" w:oddVBand="0" w:evenVBand="0" w:oddHBand="0" w:evenHBand="1"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3243" w:type="dxa"/>
          </w:tcPr>
          <w:p w14:paraId="1430E6BD" w14:textId="77777777" w:rsidR="00AE7365" w:rsidRPr="00B703F0" w:rsidRDefault="00AE7365" w:rsidP="00E42F27">
            <w:pPr>
              <w:rPr>
                <w:b w:val="0"/>
              </w:rPr>
            </w:pPr>
            <w:r w:rsidRPr="00B703F0">
              <w:rPr>
                <w:b w:val="0"/>
              </w:rPr>
              <w:t>Portugal</w:t>
            </w:r>
          </w:p>
        </w:tc>
        <w:tc>
          <w:tcPr>
            <w:tcW w:w="3245" w:type="dxa"/>
          </w:tcPr>
          <w:p w14:paraId="33109689" w14:textId="77777777" w:rsidR="00AE7365" w:rsidRPr="00B703F0" w:rsidRDefault="00AE7365" w:rsidP="00E42F27">
            <w:pPr>
              <w:cnfStyle w:val="000000010000" w:firstRow="0" w:lastRow="0" w:firstColumn="0" w:lastColumn="0" w:oddVBand="0" w:evenVBand="0" w:oddHBand="0" w:evenHBand="1" w:firstRowFirstColumn="0" w:firstRowLastColumn="0" w:lastRowFirstColumn="0" w:lastRowLastColumn="0"/>
            </w:pPr>
            <w:r w:rsidRPr="00B703F0">
              <w:t xml:space="preserve">Yes </w:t>
            </w:r>
          </w:p>
        </w:tc>
        <w:tc>
          <w:tcPr>
            <w:tcW w:w="3245" w:type="dxa"/>
          </w:tcPr>
          <w:p w14:paraId="1E6BDBC1" w14:textId="77777777" w:rsidR="00AE7365" w:rsidRPr="00B703F0" w:rsidRDefault="00AE7365" w:rsidP="00E42F27">
            <w:pPr>
              <w:cnfStyle w:val="000000010000" w:firstRow="0" w:lastRow="0" w:firstColumn="0" w:lastColumn="0" w:oddVBand="0" w:evenVBand="0" w:oddHBand="0" w:evenHBand="1" w:firstRowFirstColumn="0" w:firstRowLastColumn="0" w:lastRowFirstColumn="0" w:lastRowLastColumn="0"/>
            </w:pPr>
          </w:p>
        </w:tc>
      </w:tr>
      <w:tr w:rsidR="00AE7365" w:rsidRPr="00B703F0" w14:paraId="46E612B5" w14:textId="77777777" w:rsidTr="00E42F27">
        <w:trPr>
          <w:trHeight w:val="396"/>
        </w:trPr>
        <w:tc>
          <w:tcPr>
            <w:cnfStyle w:val="001000000000" w:firstRow="0" w:lastRow="0" w:firstColumn="1" w:lastColumn="0" w:oddVBand="0" w:evenVBand="0" w:oddHBand="0" w:evenHBand="0" w:firstRowFirstColumn="0" w:firstRowLastColumn="0" w:lastRowFirstColumn="0" w:lastRowLastColumn="0"/>
            <w:tcW w:w="3243" w:type="dxa"/>
          </w:tcPr>
          <w:p w14:paraId="0ED6FCFE" w14:textId="77777777" w:rsidR="00AE7365" w:rsidRPr="00B703F0" w:rsidRDefault="00AE7365" w:rsidP="00E42F27">
            <w:pPr>
              <w:rPr>
                <w:b w:val="0"/>
              </w:rPr>
            </w:pPr>
            <w:r w:rsidRPr="00B703F0">
              <w:rPr>
                <w:b w:val="0"/>
              </w:rPr>
              <w:t>Romania</w:t>
            </w:r>
          </w:p>
        </w:tc>
        <w:tc>
          <w:tcPr>
            <w:tcW w:w="3245" w:type="dxa"/>
          </w:tcPr>
          <w:p w14:paraId="68B45734" w14:textId="77777777" w:rsidR="00AE7365" w:rsidRPr="00B703F0" w:rsidRDefault="00AE7365" w:rsidP="00E42F27">
            <w:pPr>
              <w:cnfStyle w:val="000000000000" w:firstRow="0" w:lastRow="0" w:firstColumn="0" w:lastColumn="0" w:oddVBand="0" w:evenVBand="0" w:oddHBand="0" w:evenHBand="0" w:firstRowFirstColumn="0" w:firstRowLastColumn="0" w:lastRowFirstColumn="0" w:lastRowLastColumn="0"/>
            </w:pPr>
            <w:r w:rsidRPr="00B703F0">
              <w:t xml:space="preserve">Yes </w:t>
            </w:r>
          </w:p>
        </w:tc>
        <w:tc>
          <w:tcPr>
            <w:tcW w:w="3245" w:type="dxa"/>
          </w:tcPr>
          <w:p w14:paraId="69824D8D" w14:textId="77777777" w:rsidR="00AE7365" w:rsidRPr="00B703F0" w:rsidRDefault="00AE7365" w:rsidP="00E42F27">
            <w:pPr>
              <w:cnfStyle w:val="000000000000" w:firstRow="0" w:lastRow="0" w:firstColumn="0" w:lastColumn="0" w:oddVBand="0" w:evenVBand="0" w:oddHBand="0" w:evenHBand="0" w:firstRowFirstColumn="0" w:firstRowLastColumn="0" w:lastRowFirstColumn="0" w:lastRowLastColumn="0"/>
            </w:pPr>
          </w:p>
        </w:tc>
      </w:tr>
      <w:tr w:rsidR="001F1831" w:rsidRPr="001F1831" w14:paraId="4741A2B6" w14:textId="77777777" w:rsidTr="00E42F27">
        <w:trPr>
          <w:cnfStyle w:val="000000010000" w:firstRow="0" w:lastRow="0" w:firstColumn="0" w:lastColumn="0" w:oddVBand="0" w:evenVBand="0" w:oddHBand="0" w:evenHBand="1"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3243" w:type="dxa"/>
          </w:tcPr>
          <w:p w14:paraId="4E7F9169" w14:textId="6A67E948" w:rsidR="001F1831" w:rsidRPr="001F1831" w:rsidRDefault="001F1831" w:rsidP="00E42F27">
            <w:pPr>
              <w:rPr>
                <w:b w:val="0"/>
              </w:rPr>
            </w:pPr>
            <w:r w:rsidRPr="001F1831">
              <w:rPr>
                <w:b w:val="0"/>
              </w:rPr>
              <w:t>Russian Federation</w:t>
            </w:r>
          </w:p>
        </w:tc>
        <w:tc>
          <w:tcPr>
            <w:tcW w:w="3245" w:type="dxa"/>
          </w:tcPr>
          <w:p w14:paraId="0EFA54D2" w14:textId="1F359807" w:rsidR="001F1831" w:rsidRPr="001F1831" w:rsidRDefault="001F1831" w:rsidP="00E42F27">
            <w:pPr>
              <w:cnfStyle w:val="000000010000" w:firstRow="0" w:lastRow="0" w:firstColumn="0" w:lastColumn="0" w:oddVBand="0" w:evenVBand="0" w:oddHBand="0" w:evenHBand="1" w:firstRowFirstColumn="0" w:firstRowLastColumn="0" w:lastRowFirstColumn="0" w:lastRowLastColumn="0"/>
            </w:pPr>
            <w:r w:rsidRPr="001F1831">
              <w:t>Yes</w:t>
            </w:r>
          </w:p>
        </w:tc>
        <w:tc>
          <w:tcPr>
            <w:tcW w:w="3245" w:type="dxa"/>
          </w:tcPr>
          <w:p w14:paraId="3494B071" w14:textId="77777777" w:rsidR="001F1831" w:rsidRPr="001F1831" w:rsidRDefault="001F1831" w:rsidP="00E42F27">
            <w:pPr>
              <w:cnfStyle w:val="000000010000" w:firstRow="0" w:lastRow="0" w:firstColumn="0" w:lastColumn="0" w:oddVBand="0" w:evenVBand="0" w:oddHBand="0" w:evenHBand="1" w:firstRowFirstColumn="0" w:firstRowLastColumn="0" w:lastRowFirstColumn="0" w:lastRowLastColumn="0"/>
            </w:pPr>
          </w:p>
        </w:tc>
      </w:tr>
      <w:tr w:rsidR="00AE7365" w:rsidRPr="00B703F0" w14:paraId="283B15AE" w14:textId="77777777" w:rsidTr="00E42F27">
        <w:trPr>
          <w:trHeight w:val="396"/>
        </w:trPr>
        <w:tc>
          <w:tcPr>
            <w:cnfStyle w:val="001000000000" w:firstRow="0" w:lastRow="0" w:firstColumn="1" w:lastColumn="0" w:oddVBand="0" w:evenVBand="0" w:oddHBand="0" w:evenHBand="0" w:firstRowFirstColumn="0" w:firstRowLastColumn="0" w:lastRowFirstColumn="0" w:lastRowLastColumn="0"/>
            <w:tcW w:w="3243" w:type="dxa"/>
          </w:tcPr>
          <w:p w14:paraId="03688698" w14:textId="77777777" w:rsidR="00AE7365" w:rsidRPr="00B703F0" w:rsidRDefault="00AE7365" w:rsidP="00E42F27">
            <w:pPr>
              <w:rPr>
                <w:b w:val="0"/>
              </w:rPr>
            </w:pPr>
            <w:r w:rsidRPr="00B703F0">
              <w:rPr>
                <w:b w:val="0"/>
              </w:rPr>
              <w:t>Saint Kitts and Nevis</w:t>
            </w:r>
          </w:p>
        </w:tc>
        <w:tc>
          <w:tcPr>
            <w:tcW w:w="3245" w:type="dxa"/>
          </w:tcPr>
          <w:p w14:paraId="5C002AB7" w14:textId="77777777" w:rsidR="00AE7365" w:rsidRPr="00B703F0" w:rsidRDefault="00AE7365" w:rsidP="00E42F27">
            <w:pPr>
              <w:cnfStyle w:val="000000000000" w:firstRow="0" w:lastRow="0" w:firstColumn="0" w:lastColumn="0" w:oddVBand="0" w:evenVBand="0" w:oddHBand="0" w:evenHBand="0" w:firstRowFirstColumn="0" w:firstRowLastColumn="0" w:lastRowFirstColumn="0" w:lastRowLastColumn="0"/>
            </w:pPr>
            <w:r w:rsidRPr="00B703F0">
              <w:t xml:space="preserve">Yes </w:t>
            </w:r>
          </w:p>
        </w:tc>
        <w:tc>
          <w:tcPr>
            <w:tcW w:w="3245" w:type="dxa"/>
          </w:tcPr>
          <w:p w14:paraId="0D73A2D9" w14:textId="77777777" w:rsidR="00AE7365" w:rsidRPr="00B703F0" w:rsidRDefault="00AE7365" w:rsidP="00E42F27">
            <w:pPr>
              <w:cnfStyle w:val="000000000000" w:firstRow="0" w:lastRow="0" w:firstColumn="0" w:lastColumn="0" w:oddVBand="0" w:evenVBand="0" w:oddHBand="0" w:evenHBand="0" w:firstRowFirstColumn="0" w:firstRowLastColumn="0" w:lastRowFirstColumn="0" w:lastRowLastColumn="0"/>
            </w:pPr>
          </w:p>
        </w:tc>
      </w:tr>
      <w:tr w:rsidR="00AE7365" w:rsidRPr="00B703F0" w14:paraId="4097A58A" w14:textId="77777777" w:rsidTr="00E42F27">
        <w:trPr>
          <w:cnfStyle w:val="000000010000" w:firstRow="0" w:lastRow="0" w:firstColumn="0" w:lastColumn="0" w:oddVBand="0" w:evenVBand="0" w:oddHBand="0" w:evenHBand="1"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3243" w:type="dxa"/>
          </w:tcPr>
          <w:p w14:paraId="7DBB8C8C" w14:textId="77777777" w:rsidR="00AE7365" w:rsidRPr="00B703F0" w:rsidRDefault="00AE7365" w:rsidP="00E42F27">
            <w:pPr>
              <w:rPr>
                <w:b w:val="0"/>
              </w:rPr>
            </w:pPr>
            <w:r w:rsidRPr="00B703F0">
              <w:rPr>
                <w:b w:val="0"/>
              </w:rPr>
              <w:t>Saint Lucia</w:t>
            </w:r>
          </w:p>
        </w:tc>
        <w:tc>
          <w:tcPr>
            <w:tcW w:w="3245" w:type="dxa"/>
          </w:tcPr>
          <w:p w14:paraId="1F0BDCFC" w14:textId="77777777" w:rsidR="00AE7365" w:rsidRPr="00B703F0" w:rsidRDefault="00AE7365" w:rsidP="00E42F27">
            <w:pPr>
              <w:cnfStyle w:val="000000010000" w:firstRow="0" w:lastRow="0" w:firstColumn="0" w:lastColumn="0" w:oddVBand="0" w:evenVBand="0" w:oddHBand="0" w:evenHBand="1" w:firstRowFirstColumn="0" w:firstRowLastColumn="0" w:lastRowFirstColumn="0" w:lastRowLastColumn="0"/>
            </w:pPr>
            <w:r w:rsidRPr="00B703F0">
              <w:t xml:space="preserve">Yes </w:t>
            </w:r>
          </w:p>
        </w:tc>
        <w:tc>
          <w:tcPr>
            <w:tcW w:w="3245" w:type="dxa"/>
          </w:tcPr>
          <w:p w14:paraId="2529686B" w14:textId="77777777" w:rsidR="00AE7365" w:rsidRPr="00B703F0" w:rsidRDefault="00AE7365" w:rsidP="00E42F27">
            <w:pPr>
              <w:cnfStyle w:val="000000010000" w:firstRow="0" w:lastRow="0" w:firstColumn="0" w:lastColumn="0" w:oddVBand="0" w:evenVBand="0" w:oddHBand="0" w:evenHBand="1" w:firstRowFirstColumn="0" w:firstRowLastColumn="0" w:lastRowFirstColumn="0" w:lastRowLastColumn="0"/>
            </w:pPr>
          </w:p>
        </w:tc>
      </w:tr>
      <w:tr w:rsidR="00AE7365" w:rsidRPr="00B703F0" w14:paraId="5A3BDAD2" w14:textId="77777777" w:rsidTr="00E42F27">
        <w:trPr>
          <w:trHeight w:val="396"/>
        </w:trPr>
        <w:tc>
          <w:tcPr>
            <w:cnfStyle w:val="001000000000" w:firstRow="0" w:lastRow="0" w:firstColumn="1" w:lastColumn="0" w:oddVBand="0" w:evenVBand="0" w:oddHBand="0" w:evenHBand="0" w:firstRowFirstColumn="0" w:firstRowLastColumn="0" w:lastRowFirstColumn="0" w:lastRowLastColumn="0"/>
            <w:tcW w:w="3243" w:type="dxa"/>
          </w:tcPr>
          <w:p w14:paraId="14B682B7" w14:textId="77777777" w:rsidR="00AE7365" w:rsidRPr="00B703F0" w:rsidRDefault="00AE7365" w:rsidP="00E42F27">
            <w:pPr>
              <w:rPr>
                <w:b w:val="0"/>
              </w:rPr>
            </w:pPr>
            <w:r w:rsidRPr="00B703F0">
              <w:rPr>
                <w:b w:val="0"/>
              </w:rPr>
              <w:t>Saint Vincent and the Grenadines</w:t>
            </w:r>
          </w:p>
        </w:tc>
        <w:tc>
          <w:tcPr>
            <w:tcW w:w="3245" w:type="dxa"/>
          </w:tcPr>
          <w:p w14:paraId="38C16951" w14:textId="77777777" w:rsidR="00AE7365" w:rsidRPr="00B703F0" w:rsidRDefault="00AE7365" w:rsidP="00E42F27">
            <w:pPr>
              <w:cnfStyle w:val="000000000000" w:firstRow="0" w:lastRow="0" w:firstColumn="0" w:lastColumn="0" w:oddVBand="0" w:evenVBand="0" w:oddHBand="0" w:evenHBand="0" w:firstRowFirstColumn="0" w:firstRowLastColumn="0" w:lastRowFirstColumn="0" w:lastRowLastColumn="0"/>
            </w:pPr>
            <w:r w:rsidRPr="00B703F0">
              <w:t xml:space="preserve">Yes </w:t>
            </w:r>
          </w:p>
        </w:tc>
        <w:tc>
          <w:tcPr>
            <w:tcW w:w="3245" w:type="dxa"/>
          </w:tcPr>
          <w:p w14:paraId="6EF22329" w14:textId="77777777" w:rsidR="00AE7365" w:rsidRPr="00B703F0" w:rsidRDefault="00AE7365" w:rsidP="00E42F27">
            <w:pPr>
              <w:cnfStyle w:val="000000000000" w:firstRow="0" w:lastRow="0" w:firstColumn="0" w:lastColumn="0" w:oddVBand="0" w:evenVBand="0" w:oddHBand="0" w:evenHBand="0" w:firstRowFirstColumn="0" w:firstRowLastColumn="0" w:lastRowFirstColumn="0" w:lastRowLastColumn="0"/>
            </w:pPr>
          </w:p>
        </w:tc>
      </w:tr>
      <w:tr w:rsidR="00285185" w:rsidRPr="00285185" w14:paraId="548A0F71" w14:textId="77777777" w:rsidTr="00E42F27">
        <w:trPr>
          <w:cnfStyle w:val="000000010000" w:firstRow="0" w:lastRow="0" w:firstColumn="0" w:lastColumn="0" w:oddVBand="0" w:evenVBand="0" w:oddHBand="0" w:evenHBand="1"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3243" w:type="dxa"/>
          </w:tcPr>
          <w:p w14:paraId="1F320ED6" w14:textId="675D179C" w:rsidR="00285185" w:rsidRPr="00285185" w:rsidRDefault="00285185" w:rsidP="00E42F27">
            <w:pPr>
              <w:rPr>
                <w:b w:val="0"/>
              </w:rPr>
            </w:pPr>
            <w:r w:rsidRPr="00285185">
              <w:rPr>
                <w:b w:val="0"/>
              </w:rPr>
              <w:t>San Marino</w:t>
            </w:r>
          </w:p>
        </w:tc>
        <w:tc>
          <w:tcPr>
            <w:tcW w:w="3245" w:type="dxa"/>
          </w:tcPr>
          <w:p w14:paraId="5E6FE675" w14:textId="0D664825" w:rsidR="00285185" w:rsidRPr="00285185" w:rsidRDefault="00285185" w:rsidP="00E42F27">
            <w:pPr>
              <w:cnfStyle w:val="000000010000" w:firstRow="0" w:lastRow="0" w:firstColumn="0" w:lastColumn="0" w:oddVBand="0" w:evenVBand="0" w:oddHBand="0" w:evenHBand="1" w:firstRowFirstColumn="0" w:firstRowLastColumn="0" w:lastRowFirstColumn="0" w:lastRowLastColumn="0"/>
            </w:pPr>
            <w:r w:rsidRPr="00285185">
              <w:t>Yes</w:t>
            </w:r>
          </w:p>
        </w:tc>
        <w:tc>
          <w:tcPr>
            <w:tcW w:w="3245" w:type="dxa"/>
          </w:tcPr>
          <w:p w14:paraId="05E8F19F" w14:textId="77777777" w:rsidR="00285185" w:rsidRPr="00285185" w:rsidRDefault="00285185" w:rsidP="00E42F27">
            <w:pPr>
              <w:cnfStyle w:val="000000010000" w:firstRow="0" w:lastRow="0" w:firstColumn="0" w:lastColumn="0" w:oddVBand="0" w:evenVBand="0" w:oddHBand="0" w:evenHBand="1" w:firstRowFirstColumn="0" w:firstRowLastColumn="0" w:lastRowFirstColumn="0" w:lastRowLastColumn="0"/>
            </w:pPr>
          </w:p>
        </w:tc>
      </w:tr>
      <w:tr w:rsidR="00D762DB" w:rsidRPr="00D762DB" w14:paraId="53A63AB6" w14:textId="77777777" w:rsidTr="00E42F27">
        <w:trPr>
          <w:trHeight w:val="396"/>
        </w:trPr>
        <w:tc>
          <w:tcPr>
            <w:cnfStyle w:val="001000000000" w:firstRow="0" w:lastRow="0" w:firstColumn="1" w:lastColumn="0" w:oddVBand="0" w:evenVBand="0" w:oddHBand="0" w:evenHBand="0" w:firstRowFirstColumn="0" w:firstRowLastColumn="0" w:lastRowFirstColumn="0" w:lastRowLastColumn="0"/>
            <w:tcW w:w="3243" w:type="dxa"/>
          </w:tcPr>
          <w:p w14:paraId="240288B1" w14:textId="4E1A5403" w:rsidR="00D762DB" w:rsidRPr="00D762DB" w:rsidRDefault="00D762DB" w:rsidP="00E42F27">
            <w:pPr>
              <w:rPr>
                <w:b w:val="0"/>
              </w:rPr>
            </w:pPr>
            <w:r w:rsidRPr="00D762DB">
              <w:rPr>
                <w:b w:val="0"/>
              </w:rPr>
              <w:t>Sao Tome &amp; Principe</w:t>
            </w:r>
          </w:p>
        </w:tc>
        <w:tc>
          <w:tcPr>
            <w:tcW w:w="3245" w:type="dxa"/>
          </w:tcPr>
          <w:p w14:paraId="1042BABB" w14:textId="50AD1A8D" w:rsidR="00D762DB" w:rsidRPr="00D762DB" w:rsidRDefault="00D762DB" w:rsidP="00E42F27">
            <w:pPr>
              <w:cnfStyle w:val="000000000000" w:firstRow="0" w:lastRow="0" w:firstColumn="0" w:lastColumn="0" w:oddVBand="0" w:evenVBand="0" w:oddHBand="0" w:evenHBand="0" w:firstRowFirstColumn="0" w:firstRowLastColumn="0" w:lastRowFirstColumn="0" w:lastRowLastColumn="0"/>
            </w:pPr>
            <w:r w:rsidRPr="00D762DB">
              <w:t>Yes</w:t>
            </w:r>
          </w:p>
        </w:tc>
        <w:tc>
          <w:tcPr>
            <w:tcW w:w="3245" w:type="dxa"/>
          </w:tcPr>
          <w:p w14:paraId="6B0255E6" w14:textId="77777777" w:rsidR="00D762DB" w:rsidRPr="00D762DB" w:rsidRDefault="00D762DB" w:rsidP="00E42F27">
            <w:pPr>
              <w:cnfStyle w:val="000000000000" w:firstRow="0" w:lastRow="0" w:firstColumn="0" w:lastColumn="0" w:oddVBand="0" w:evenVBand="0" w:oddHBand="0" w:evenHBand="0" w:firstRowFirstColumn="0" w:firstRowLastColumn="0" w:lastRowFirstColumn="0" w:lastRowLastColumn="0"/>
            </w:pPr>
          </w:p>
        </w:tc>
      </w:tr>
      <w:tr w:rsidR="00AE7365" w:rsidRPr="00B703F0" w14:paraId="5E4B613D" w14:textId="77777777" w:rsidTr="00E42F27">
        <w:trPr>
          <w:cnfStyle w:val="000000010000" w:firstRow="0" w:lastRow="0" w:firstColumn="0" w:lastColumn="0" w:oddVBand="0" w:evenVBand="0" w:oddHBand="0" w:evenHBand="1"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3243" w:type="dxa"/>
          </w:tcPr>
          <w:p w14:paraId="45469F1A" w14:textId="77777777" w:rsidR="00AE7365" w:rsidRPr="00B703F0" w:rsidRDefault="00AE7365" w:rsidP="00E42F27">
            <w:pPr>
              <w:rPr>
                <w:b w:val="0"/>
              </w:rPr>
            </w:pPr>
            <w:r w:rsidRPr="00B703F0">
              <w:rPr>
                <w:b w:val="0"/>
              </w:rPr>
              <w:t>Saudi Arabia</w:t>
            </w:r>
          </w:p>
        </w:tc>
        <w:tc>
          <w:tcPr>
            <w:tcW w:w="3245" w:type="dxa"/>
          </w:tcPr>
          <w:p w14:paraId="4152891A" w14:textId="77777777" w:rsidR="00AE7365" w:rsidRPr="00B703F0" w:rsidRDefault="00AE7365" w:rsidP="00E42F27">
            <w:pPr>
              <w:cnfStyle w:val="000000010000" w:firstRow="0" w:lastRow="0" w:firstColumn="0" w:lastColumn="0" w:oddVBand="0" w:evenVBand="0" w:oddHBand="0" w:evenHBand="1" w:firstRowFirstColumn="0" w:firstRowLastColumn="0" w:lastRowFirstColumn="0" w:lastRowLastColumn="0"/>
            </w:pPr>
            <w:r w:rsidRPr="00B703F0">
              <w:t xml:space="preserve">Yes </w:t>
            </w:r>
          </w:p>
        </w:tc>
        <w:tc>
          <w:tcPr>
            <w:tcW w:w="3245" w:type="dxa"/>
          </w:tcPr>
          <w:p w14:paraId="1662906D" w14:textId="77777777" w:rsidR="00AE7365" w:rsidRPr="00B703F0" w:rsidRDefault="00AE7365" w:rsidP="00E42F27">
            <w:pPr>
              <w:cnfStyle w:val="000000010000" w:firstRow="0" w:lastRow="0" w:firstColumn="0" w:lastColumn="0" w:oddVBand="0" w:evenVBand="0" w:oddHBand="0" w:evenHBand="1" w:firstRowFirstColumn="0" w:firstRowLastColumn="0" w:lastRowFirstColumn="0" w:lastRowLastColumn="0"/>
            </w:pPr>
          </w:p>
        </w:tc>
      </w:tr>
      <w:tr w:rsidR="00AE7365" w:rsidRPr="00B703F0" w14:paraId="330A5F6E" w14:textId="77777777" w:rsidTr="00E42F27">
        <w:trPr>
          <w:trHeight w:val="396"/>
        </w:trPr>
        <w:tc>
          <w:tcPr>
            <w:cnfStyle w:val="001000000000" w:firstRow="0" w:lastRow="0" w:firstColumn="1" w:lastColumn="0" w:oddVBand="0" w:evenVBand="0" w:oddHBand="0" w:evenHBand="0" w:firstRowFirstColumn="0" w:firstRowLastColumn="0" w:lastRowFirstColumn="0" w:lastRowLastColumn="0"/>
            <w:tcW w:w="3243" w:type="dxa"/>
          </w:tcPr>
          <w:p w14:paraId="0CDE517B" w14:textId="77777777" w:rsidR="00AE7365" w:rsidRPr="00B703F0" w:rsidRDefault="00AE7365" w:rsidP="00E42F27">
            <w:pPr>
              <w:rPr>
                <w:b w:val="0"/>
              </w:rPr>
            </w:pPr>
            <w:r w:rsidRPr="00B703F0">
              <w:rPr>
                <w:b w:val="0"/>
              </w:rPr>
              <w:t>Sierra Leone</w:t>
            </w:r>
          </w:p>
        </w:tc>
        <w:tc>
          <w:tcPr>
            <w:tcW w:w="3245" w:type="dxa"/>
          </w:tcPr>
          <w:p w14:paraId="47E899E0" w14:textId="77777777" w:rsidR="00AE7365" w:rsidRPr="00B703F0" w:rsidRDefault="00AE7365" w:rsidP="00E42F27">
            <w:pPr>
              <w:cnfStyle w:val="000000000000" w:firstRow="0" w:lastRow="0" w:firstColumn="0" w:lastColumn="0" w:oddVBand="0" w:evenVBand="0" w:oddHBand="0" w:evenHBand="0" w:firstRowFirstColumn="0" w:firstRowLastColumn="0" w:lastRowFirstColumn="0" w:lastRowLastColumn="0"/>
            </w:pPr>
            <w:r w:rsidRPr="00B703F0">
              <w:t xml:space="preserve">Yes </w:t>
            </w:r>
          </w:p>
        </w:tc>
        <w:tc>
          <w:tcPr>
            <w:tcW w:w="3245" w:type="dxa"/>
          </w:tcPr>
          <w:p w14:paraId="4163F713" w14:textId="77777777" w:rsidR="00AE7365" w:rsidRPr="00B703F0" w:rsidRDefault="00AE7365" w:rsidP="00E42F27">
            <w:pPr>
              <w:cnfStyle w:val="000000000000" w:firstRow="0" w:lastRow="0" w:firstColumn="0" w:lastColumn="0" w:oddVBand="0" w:evenVBand="0" w:oddHBand="0" w:evenHBand="0" w:firstRowFirstColumn="0" w:firstRowLastColumn="0" w:lastRowFirstColumn="0" w:lastRowLastColumn="0"/>
            </w:pPr>
          </w:p>
        </w:tc>
      </w:tr>
      <w:tr w:rsidR="00AE7365" w:rsidRPr="00B703F0" w14:paraId="72BEA969" w14:textId="77777777" w:rsidTr="00E42F27">
        <w:trPr>
          <w:cnfStyle w:val="000000010000" w:firstRow="0" w:lastRow="0" w:firstColumn="0" w:lastColumn="0" w:oddVBand="0" w:evenVBand="0" w:oddHBand="0" w:evenHBand="1"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3243" w:type="dxa"/>
          </w:tcPr>
          <w:p w14:paraId="2FFBDC66" w14:textId="77777777" w:rsidR="00AE7365" w:rsidRPr="00B703F0" w:rsidRDefault="00AE7365" w:rsidP="00E42F27">
            <w:pPr>
              <w:rPr>
                <w:b w:val="0"/>
              </w:rPr>
            </w:pPr>
            <w:r w:rsidRPr="00B703F0">
              <w:rPr>
                <w:b w:val="0"/>
              </w:rPr>
              <w:t>Singapore</w:t>
            </w:r>
          </w:p>
        </w:tc>
        <w:tc>
          <w:tcPr>
            <w:tcW w:w="3245" w:type="dxa"/>
          </w:tcPr>
          <w:p w14:paraId="6C42FBEF" w14:textId="77777777" w:rsidR="00AE7365" w:rsidRPr="00B703F0" w:rsidRDefault="00AE7365" w:rsidP="00E42F27">
            <w:pPr>
              <w:cnfStyle w:val="000000010000" w:firstRow="0" w:lastRow="0" w:firstColumn="0" w:lastColumn="0" w:oddVBand="0" w:evenVBand="0" w:oddHBand="0" w:evenHBand="1" w:firstRowFirstColumn="0" w:firstRowLastColumn="0" w:lastRowFirstColumn="0" w:lastRowLastColumn="0"/>
            </w:pPr>
            <w:r w:rsidRPr="00B703F0">
              <w:t xml:space="preserve">Yes </w:t>
            </w:r>
          </w:p>
        </w:tc>
        <w:tc>
          <w:tcPr>
            <w:tcW w:w="3245" w:type="dxa"/>
          </w:tcPr>
          <w:p w14:paraId="60C7F995" w14:textId="77777777" w:rsidR="00AE7365" w:rsidRPr="00B703F0" w:rsidRDefault="00AE7365" w:rsidP="00E42F27">
            <w:pPr>
              <w:cnfStyle w:val="000000010000" w:firstRow="0" w:lastRow="0" w:firstColumn="0" w:lastColumn="0" w:oddVBand="0" w:evenVBand="0" w:oddHBand="0" w:evenHBand="1" w:firstRowFirstColumn="0" w:firstRowLastColumn="0" w:lastRowFirstColumn="0" w:lastRowLastColumn="0"/>
            </w:pPr>
          </w:p>
        </w:tc>
      </w:tr>
      <w:tr w:rsidR="00AE7365" w:rsidRPr="00B703F0" w14:paraId="56917CE6" w14:textId="77777777" w:rsidTr="00E42F27">
        <w:trPr>
          <w:trHeight w:val="396"/>
        </w:trPr>
        <w:tc>
          <w:tcPr>
            <w:cnfStyle w:val="001000000000" w:firstRow="0" w:lastRow="0" w:firstColumn="1" w:lastColumn="0" w:oddVBand="0" w:evenVBand="0" w:oddHBand="0" w:evenHBand="0" w:firstRowFirstColumn="0" w:firstRowLastColumn="0" w:lastRowFirstColumn="0" w:lastRowLastColumn="0"/>
            <w:tcW w:w="3243" w:type="dxa"/>
          </w:tcPr>
          <w:p w14:paraId="17760AA5" w14:textId="77777777" w:rsidR="00AE7365" w:rsidRPr="00B703F0" w:rsidRDefault="00AE7365" w:rsidP="00E42F27">
            <w:pPr>
              <w:rPr>
                <w:b w:val="0"/>
              </w:rPr>
            </w:pPr>
            <w:r w:rsidRPr="00B703F0">
              <w:rPr>
                <w:b w:val="0"/>
              </w:rPr>
              <w:t>South Africa</w:t>
            </w:r>
          </w:p>
        </w:tc>
        <w:tc>
          <w:tcPr>
            <w:tcW w:w="3245" w:type="dxa"/>
          </w:tcPr>
          <w:p w14:paraId="26832C31" w14:textId="77777777" w:rsidR="00AE7365" w:rsidRPr="00B703F0" w:rsidRDefault="00AE7365" w:rsidP="00E42F27">
            <w:pPr>
              <w:cnfStyle w:val="000000000000" w:firstRow="0" w:lastRow="0" w:firstColumn="0" w:lastColumn="0" w:oddVBand="0" w:evenVBand="0" w:oddHBand="0" w:evenHBand="0" w:firstRowFirstColumn="0" w:firstRowLastColumn="0" w:lastRowFirstColumn="0" w:lastRowLastColumn="0"/>
            </w:pPr>
            <w:r w:rsidRPr="00B703F0">
              <w:t xml:space="preserve">Yes </w:t>
            </w:r>
          </w:p>
        </w:tc>
        <w:tc>
          <w:tcPr>
            <w:tcW w:w="3245" w:type="dxa"/>
          </w:tcPr>
          <w:p w14:paraId="11431BE3" w14:textId="77777777" w:rsidR="00AE7365" w:rsidRPr="00B703F0" w:rsidRDefault="00AE7365" w:rsidP="00E42F27">
            <w:pPr>
              <w:cnfStyle w:val="000000000000" w:firstRow="0" w:lastRow="0" w:firstColumn="0" w:lastColumn="0" w:oddVBand="0" w:evenVBand="0" w:oddHBand="0" w:evenHBand="0" w:firstRowFirstColumn="0" w:firstRowLastColumn="0" w:lastRowFirstColumn="0" w:lastRowLastColumn="0"/>
            </w:pPr>
          </w:p>
        </w:tc>
      </w:tr>
      <w:tr w:rsidR="00AE7365" w:rsidRPr="00B703F0" w14:paraId="50DDB501" w14:textId="77777777" w:rsidTr="00E42F27">
        <w:trPr>
          <w:cnfStyle w:val="000000010000" w:firstRow="0" w:lastRow="0" w:firstColumn="0" w:lastColumn="0" w:oddVBand="0" w:evenVBand="0" w:oddHBand="0" w:evenHBand="1"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3243" w:type="dxa"/>
          </w:tcPr>
          <w:p w14:paraId="26716E8E" w14:textId="77777777" w:rsidR="00AE7365" w:rsidRPr="00B703F0" w:rsidRDefault="00AE7365" w:rsidP="00E42F27">
            <w:pPr>
              <w:rPr>
                <w:b w:val="0"/>
              </w:rPr>
            </w:pPr>
            <w:r w:rsidRPr="00B703F0">
              <w:rPr>
                <w:b w:val="0"/>
              </w:rPr>
              <w:t>Sweden</w:t>
            </w:r>
          </w:p>
        </w:tc>
        <w:tc>
          <w:tcPr>
            <w:tcW w:w="3245" w:type="dxa"/>
          </w:tcPr>
          <w:p w14:paraId="68AAFFBF" w14:textId="77777777" w:rsidR="00AE7365" w:rsidRPr="00B703F0" w:rsidRDefault="00AE7365" w:rsidP="00E42F27">
            <w:pPr>
              <w:cnfStyle w:val="000000010000" w:firstRow="0" w:lastRow="0" w:firstColumn="0" w:lastColumn="0" w:oddVBand="0" w:evenVBand="0" w:oddHBand="0" w:evenHBand="1" w:firstRowFirstColumn="0" w:firstRowLastColumn="0" w:lastRowFirstColumn="0" w:lastRowLastColumn="0"/>
            </w:pPr>
            <w:r w:rsidRPr="00B703F0">
              <w:t xml:space="preserve">Yes </w:t>
            </w:r>
          </w:p>
        </w:tc>
        <w:tc>
          <w:tcPr>
            <w:tcW w:w="3245" w:type="dxa"/>
          </w:tcPr>
          <w:p w14:paraId="03222B24" w14:textId="77777777" w:rsidR="00AE7365" w:rsidRPr="00B703F0" w:rsidRDefault="00AE7365" w:rsidP="00E42F27">
            <w:pPr>
              <w:cnfStyle w:val="000000010000" w:firstRow="0" w:lastRow="0" w:firstColumn="0" w:lastColumn="0" w:oddVBand="0" w:evenVBand="0" w:oddHBand="0" w:evenHBand="1" w:firstRowFirstColumn="0" w:firstRowLastColumn="0" w:lastRowFirstColumn="0" w:lastRowLastColumn="0"/>
            </w:pPr>
            <w:r w:rsidRPr="00B703F0">
              <w:t>Yes</w:t>
            </w:r>
          </w:p>
        </w:tc>
      </w:tr>
      <w:tr w:rsidR="00AE7365" w:rsidRPr="00B703F0" w14:paraId="4005AD84" w14:textId="77777777" w:rsidTr="00E42F27">
        <w:trPr>
          <w:trHeight w:val="396"/>
        </w:trPr>
        <w:tc>
          <w:tcPr>
            <w:cnfStyle w:val="001000000000" w:firstRow="0" w:lastRow="0" w:firstColumn="1" w:lastColumn="0" w:oddVBand="0" w:evenVBand="0" w:oddHBand="0" w:evenHBand="0" w:firstRowFirstColumn="0" w:firstRowLastColumn="0" w:lastRowFirstColumn="0" w:lastRowLastColumn="0"/>
            <w:tcW w:w="3243" w:type="dxa"/>
          </w:tcPr>
          <w:p w14:paraId="6475D8A8" w14:textId="77777777" w:rsidR="00AE7365" w:rsidRPr="00B703F0" w:rsidRDefault="00AE7365" w:rsidP="00E42F27">
            <w:pPr>
              <w:rPr>
                <w:b w:val="0"/>
              </w:rPr>
            </w:pPr>
            <w:r w:rsidRPr="00B703F0">
              <w:rPr>
                <w:b w:val="0"/>
              </w:rPr>
              <w:t>Switzerland</w:t>
            </w:r>
          </w:p>
        </w:tc>
        <w:tc>
          <w:tcPr>
            <w:tcW w:w="3245" w:type="dxa"/>
          </w:tcPr>
          <w:p w14:paraId="18058817" w14:textId="77777777" w:rsidR="00AE7365" w:rsidRPr="00B703F0" w:rsidRDefault="00AE7365" w:rsidP="00E42F27">
            <w:pPr>
              <w:cnfStyle w:val="000000000000" w:firstRow="0" w:lastRow="0" w:firstColumn="0" w:lastColumn="0" w:oddVBand="0" w:evenVBand="0" w:oddHBand="0" w:evenHBand="0" w:firstRowFirstColumn="0" w:firstRowLastColumn="0" w:lastRowFirstColumn="0" w:lastRowLastColumn="0"/>
            </w:pPr>
            <w:r w:rsidRPr="00B703F0">
              <w:t xml:space="preserve">Yes </w:t>
            </w:r>
          </w:p>
        </w:tc>
        <w:tc>
          <w:tcPr>
            <w:tcW w:w="3245" w:type="dxa"/>
          </w:tcPr>
          <w:p w14:paraId="274292C7" w14:textId="77777777" w:rsidR="00AE7365" w:rsidRPr="00B703F0" w:rsidRDefault="00AE7365" w:rsidP="00E42F27">
            <w:pPr>
              <w:cnfStyle w:val="000000000000" w:firstRow="0" w:lastRow="0" w:firstColumn="0" w:lastColumn="0" w:oddVBand="0" w:evenVBand="0" w:oddHBand="0" w:evenHBand="0" w:firstRowFirstColumn="0" w:firstRowLastColumn="0" w:lastRowFirstColumn="0" w:lastRowLastColumn="0"/>
            </w:pPr>
          </w:p>
        </w:tc>
      </w:tr>
      <w:tr w:rsidR="00E45A58" w:rsidRPr="00E45A58" w14:paraId="0DDD55CF" w14:textId="77777777" w:rsidTr="00E42F27">
        <w:trPr>
          <w:cnfStyle w:val="000000010000" w:firstRow="0" w:lastRow="0" w:firstColumn="0" w:lastColumn="0" w:oddVBand="0" w:evenVBand="0" w:oddHBand="0" w:evenHBand="1"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3243" w:type="dxa"/>
          </w:tcPr>
          <w:p w14:paraId="532FB23A" w14:textId="046BB831" w:rsidR="00E45A58" w:rsidRPr="00E45A58" w:rsidRDefault="00E45A58" w:rsidP="00E42F27">
            <w:pPr>
              <w:rPr>
                <w:b w:val="0"/>
              </w:rPr>
            </w:pPr>
            <w:r w:rsidRPr="00E45A58">
              <w:rPr>
                <w:b w:val="0"/>
              </w:rPr>
              <w:t>Togo</w:t>
            </w:r>
          </w:p>
        </w:tc>
        <w:tc>
          <w:tcPr>
            <w:tcW w:w="3245" w:type="dxa"/>
          </w:tcPr>
          <w:p w14:paraId="67D53DD3" w14:textId="4F9054B7" w:rsidR="00E45A58" w:rsidRPr="00E45A58" w:rsidRDefault="00E45A58" w:rsidP="00E42F27">
            <w:pPr>
              <w:cnfStyle w:val="000000010000" w:firstRow="0" w:lastRow="0" w:firstColumn="0" w:lastColumn="0" w:oddVBand="0" w:evenVBand="0" w:oddHBand="0" w:evenHBand="1" w:firstRowFirstColumn="0" w:firstRowLastColumn="0" w:lastRowFirstColumn="0" w:lastRowLastColumn="0"/>
            </w:pPr>
            <w:r w:rsidRPr="00E45A58">
              <w:t>Yes</w:t>
            </w:r>
          </w:p>
        </w:tc>
        <w:tc>
          <w:tcPr>
            <w:tcW w:w="3245" w:type="dxa"/>
          </w:tcPr>
          <w:p w14:paraId="7AB1B0EC" w14:textId="77777777" w:rsidR="00E45A58" w:rsidRPr="00E45A58" w:rsidRDefault="00E45A58" w:rsidP="00E42F27">
            <w:pPr>
              <w:cnfStyle w:val="000000010000" w:firstRow="0" w:lastRow="0" w:firstColumn="0" w:lastColumn="0" w:oddVBand="0" w:evenVBand="0" w:oddHBand="0" w:evenHBand="1" w:firstRowFirstColumn="0" w:firstRowLastColumn="0" w:lastRowFirstColumn="0" w:lastRowLastColumn="0"/>
            </w:pPr>
          </w:p>
        </w:tc>
      </w:tr>
      <w:tr w:rsidR="00AE7365" w:rsidRPr="00B703F0" w14:paraId="3C44EF06" w14:textId="77777777" w:rsidTr="00E42F27">
        <w:trPr>
          <w:trHeight w:val="396"/>
        </w:trPr>
        <w:tc>
          <w:tcPr>
            <w:cnfStyle w:val="001000000000" w:firstRow="0" w:lastRow="0" w:firstColumn="1" w:lastColumn="0" w:oddVBand="0" w:evenVBand="0" w:oddHBand="0" w:evenHBand="0" w:firstRowFirstColumn="0" w:firstRowLastColumn="0" w:lastRowFirstColumn="0" w:lastRowLastColumn="0"/>
            <w:tcW w:w="3243" w:type="dxa"/>
          </w:tcPr>
          <w:p w14:paraId="34DE76E6" w14:textId="77777777" w:rsidR="00AE7365" w:rsidRPr="00B703F0" w:rsidRDefault="00AE7365" w:rsidP="00E42F27">
            <w:pPr>
              <w:rPr>
                <w:b w:val="0"/>
              </w:rPr>
            </w:pPr>
            <w:r w:rsidRPr="00B703F0">
              <w:rPr>
                <w:b w:val="0"/>
              </w:rPr>
              <w:t>Tonga</w:t>
            </w:r>
          </w:p>
        </w:tc>
        <w:tc>
          <w:tcPr>
            <w:tcW w:w="3245" w:type="dxa"/>
          </w:tcPr>
          <w:p w14:paraId="55841624" w14:textId="77777777" w:rsidR="00AE7365" w:rsidRPr="00B703F0" w:rsidRDefault="00AE7365" w:rsidP="00E42F27">
            <w:pPr>
              <w:cnfStyle w:val="000000000000" w:firstRow="0" w:lastRow="0" w:firstColumn="0" w:lastColumn="0" w:oddVBand="0" w:evenVBand="0" w:oddHBand="0" w:evenHBand="0" w:firstRowFirstColumn="0" w:firstRowLastColumn="0" w:lastRowFirstColumn="0" w:lastRowLastColumn="0"/>
            </w:pPr>
            <w:r w:rsidRPr="00B703F0">
              <w:t xml:space="preserve">Yes </w:t>
            </w:r>
          </w:p>
        </w:tc>
        <w:tc>
          <w:tcPr>
            <w:tcW w:w="3245" w:type="dxa"/>
          </w:tcPr>
          <w:p w14:paraId="475252F2" w14:textId="77777777" w:rsidR="00AE7365" w:rsidRPr="00B703F0" w:rsidRDefault="00AE7365" w:rsidP="00E42F27">
            <w:pPr>
              <w:cnfStyle w:val="000000000000" w:firstRow="0" w:lastRow="0" w:firstColumn="0" w:lastColumn="0" w:oddVBand="0" w:evenVBand="0" w:oddHBand="0" w:evenHBand="0" w:firstRowFirstColumn="0" w:firstRowLastColumn="0" w:lastRowFirstColumn="0" w:lastRowLastColumn="0"/>
            </w:pPr>
          </w:p>
        </w:tc>
      </w:tr>
      <w:tr w:rsidR="00AE7365" w:rsidRPr="00B703F0" w14:paraId="0165C523" w14:textId="77777777" w:rsidTr="00E42F27">
        <w:trPr>
          <w:cnfStyle w:val="000000010000" w:firstRow="0" w:lastRow="0" w:firstColumn="0" w:lastColumn="0" w:oddVBand="0" w:evenVBand="0" w:oddHBand="0" w:evenHBand="1"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3243" w:type="dxa"/>
          </w:tcPr>
          <w:p w14:paraId="3B927C3E" w14:textId="77777777" w:rsidR="00AE7365" w:rsidRPr="00B703F0" w:rsidRDefault="00AE7365" w:rsidP="00E42F27">
            <w:pPr>
              <w:rPr>
                <w:b w:val="0"/>
              </w:rPr>
            </w:pPr>
            <w:r w:rsidRPr="00B703F0">
              <w:rPr>
                <w:b w:val="0"/>
              </w:rPr>
              <w:t>Tuvalu</w:t>
            </w:r>
          </w:p>
        </w:tc>
        <w:tc>
          <w:tcPr>
            <w:tcW w:w="3245" w:type="dxa"/>
          </w:tcPr>
          <w:p w14:paraId="7DB51FCD" w14:textId="77777777" w:rsidR="00AE7365" w:rsidRPr="00B703F0" w:rsidRDefault="00AE7365" w:rsidP="00E42F27">
            <w:pPr>
              <w:cnfStyle w:val="000000010000" w:firstRow="0" w:lastRow="0" w:firstColumn="0" w:lastColumn="0" w:oddVBand="0" w:evenVBand="0" w:oddHBand="0" w:evenHBand="1" w:firstRowFirstColumn="0" w:firstRowLastColumn="0" w:lastRowFirstColumn="0" w:lastRowLastColumn="0"/>
            </w:pPr>
            <w:r w:rsidRPr="00B703F0">
              <w:t xml:space="preserve">Yes </w:t>
            </w:r>
          </w:p>
        </w:tc>
        <w:tc>
          <w:tcPr>
            <w:tcW w:w="3245" w:type="dxa"/>
          </w:tcPr>
          <w:p w14:paraId="2891EE0A" w14:textId="77777777" w:rsidR="00AE7365" w:rsidRPr="00B703F0" w:rsidRDefault="00AE7365" w:rsidP="00E42F27">
            <w:pPr>
              <w:cnfStyle w:val="000000010000" w:firstRow="0" w:lastRow="0" w:firstColumn="0" w:lastColumn="0" w:oddVBand="0" w:evenVBand="0" w:oddHBand="0" w:evenHBand="1" w:firstRowFirstColumn="0" w:firstRowLastColumn="0" w:lastRowFirstColumn="0" w:lastRowLastColumn="0"/>
            </w:pPr>
          </w:p>
        </w:tc>
      </w:tr>
      <w:tr w:rsidR="00AE7365" w:rsidRPr="00B703F0" w14:paraId="2D9012C7" w14:textId="77777777" w:rsidTr="00E42F27">
        <w:trPr>
          <w:cnfStyle w:val="010000000000" w:firstRow="0" w:lastRow="1" w:firstColumn="0" w:lastColumn="0" w:oddVBand="0" w:evenVBand="0" w:oddHBand="0"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3243" w:type="dxa"/>
            <w:shd w:val="clear" w:color="auto" w:fill="F2F2F2" w:themeFill="background1" w:themeFillShade="F2"/>
          </w:tcPr>
          <w:p w14:paraId="3848787A" w14:textId="77777777" w:rsidR="00AE7365" w:rsidRPr="00B703F0" w:rsidRDefault="00AE7365" w:rsidP="00E42F27">
            <w:pPr>
              <w:rPr>
                <w:b w:val="0"/>
              </w:rPr>
            </w:pPr>
            <w:r w:rsidRPr="00B703F0">
              <w:rPr>
                <w:b w:val="0"/>
              </w:rPr>
              <w:t>United Kingdom</w:t>
            </w:r>
          </w:p>
        </w:tc>
        <w:tc>
          <w:tcPr>
            <w:tcW w:w="3245" w:type="dxa"/>
            <w:shd w:val="clear" w:color="auto" w:fill="F2F2F2" w:themeFill="background1" w:themeFillShade="F2"/>
          </w:tcPr>
          <w:p w14:paraId="4F42B2F7" w14:textId="77777777" w:rsidR="00AE7365" w:rsidRPr="00B703F0" w:rsidRDefault="00AE7365" w:rsidP="00E42F27">
            <w:pPr>
              <w:cnfStyle w:val="010000000000" w:firstRow="0" w:lastRow="1" w:firstColumn="0" w:lastColumn="0" w:oddVBand="0" w:evenVBand="0" w:oddHBand="0" w:evenHBand="0" w:firstRowFirstColumn="0" w:firstRowLastColumn="0" w:lastRowFirstColumn="0" w:lastRowLastColumn="0"/>
              <w:rPr>
                <w:b w:val="0"/>
              </w:rPr>
            </w:pPr>
            <w:r w:rsidRPr="00B703F0">
              <w:rPr>
                <w:b w:val="0"/>
              </w:rPr>
              <w:t xml:space="preserve">Yes </w:t>
            </w:r>
          </w:p>
        </w:tc>
        <w:tc>
          <w:tcPr>
            <w:tcW w:w="3245" w:type="dxa"/>
            <w:shd w:val="clear" w:color="auto" w:fill="F2F2F2" w:themeFill="background1" w:themeFillShade="F2"/>
          </w:tcPr>
          <w:p w14:paraId="4CD8A072" w14:textId="77777777" w:rsidR="00AE7365" w:rsidRPr="00B703F0" w:rsidRDefault="00AE7365" w:rsidP="00E42F27">
            <w:pPr>
              <w:cnfStyle w:val="010000000000" w:firstRow="0" w:lastRow="1" w:firstColumn="0" w:lastColumn="0" w:oddVBand="0" w:evenVBand="0" w:oddHBand="0" w:evenHBand="0" w:firstRowFirstColumn="0" w:firstRowLastColumn="0" w:lastRowFirstColumn="0" w:lastRowLastColumn="0"/>
              <w:rPr>
                <w:b w:val="0"/>
              </w:rPr>
            </w:pPr>
            <w:r w:rsidRPr="00B703F0">
              <w:rPr>
                <w:b w:val="0"/>
              </w:rPr>
              <w:t>Yes</w:t>
            </w:r>
          </w:p>
        </w:tc>
      </w:tr>
    </w:tbl>
    <w:p w14:paraId="37382B88" w14:textId="5DA2CA56" w:rsidR="0010454B" w:rsidRPr="00B703F0" w:rsidRDefault="002A413F">
      <w:pPr>
        <w:suppressAutoHyphens w:val="0"/>
        <w:rPr>
          <w:rFonts w:cstheme="minorHAnsi"/>
          <w:sz w:val="18"/>
        </w:rPr>
        <w:sectPr w:rsidR="0010454B" w:rsidRPr="00B703F0" w:rsidSect="00D87AD8">
          <w:headerReference w:type="even" r:id="rId32"/>
          <w:headerReference w:type="default" r:id="rId33"/>
          <w:headerReference w:type="first" r:id="rId34"/>
          <w:pgSz w:w="11906" w:h="16838" w:code="9"/>
          <w:pgMar w:top="1021" w:right="1021" w:bottom="1021" w:left="1021" w:header="510" w:footer="567" w:gutter="0"/>
          <w:cols w:space="708"/>
          <w:docGrid w:linePitch="360"/>
        </w:sectPr>
      </w:pPr>
      <w:r w:rsidRPr="00B703F0">
        <w:rPr>
          <w:sz w:val="18"/>
        </w:rPr>
        <w:lastRenderedPageBreak/>
        <w:t>Reference:</w:t>
      </w:r>
      <w:r w:rsidR="00BE7625" w:rsidRPr="00B703F0">
        <w:rPr>
          <w:sz w:val="18"/>
        </w:rPr>
        <w:t xml:space="preserve"> </w:t>
      </w:r>
      <w:r w:rsidR="00C40B95" w:rsidRPr="00B50619">
        <w:rPr>
          <w:rFonts w:cstheme="minorHAnsi"/>
          <w:szCs w:val="22"/>
          <w:lang w:val="en-US"/>
        </w:rPr>
        <w:t xml:space="preserve">International Maritime Organization, </w:t>
      </w:r>
      <w:r w:rsidR="00C40B95" w:rsidRPr="00FF2BB0">
        <w:rPr>
          <w:rFonts w:cstheme="minorHAnsi"/>
          <w:szCs w:val="22"/>
          <w:lang w:val="en-US"/>
        </w:rPr>
        <w:t>Status of Conventions - Comprehensive information including Signatories, Contracting States, declarations, reservations, objections and amendments</w:t>
      </w:r>
      <w:r w:rsidR="00C40B95">
        <w:rPr>
          <w:rFonts w:cstheme="minorHAnsi"/>
          <w:szCs w:val="22"/>
          <w:lang w:val="en-US"/>
        </w:rPr>
        <w:t xml:space="preserve">, </w:t>
      </w:r>
      <w:r w:rsidR="00C40B95" w:rsidRPr="00C40B95">
        <w:rPr>
          <w:rFonts w:cstheme="minorHAnsi"/>
          <w:szCs w:val="22"/>
          <w:lang w:val="en-US"/>
        </w:rPr>
        <w:t>IMO</w:t>
      </w:r>
      <w:r w:rsidR="00C40B95">
        <w:rPr>
          <w:rFonts w:cstheme="minorHAnsi"/>
          <w:szCs w:val="22"/>
          <w:lang w:val="en-US"/>
        </w:rPr>
        <w:t>, 2021</w:t>
      </w:r>
      <w:r w:rsidR="00007209">
        <w:rPr>
          <w:rFonts w:cstheme="minorHAnsi"/>
          <w:szCs w:val="22"/>
          <w:lang w:val="en-US"/>
        </w:rPr>
        <w:t xml:space="preserve">, accessed </w:t>
      </w:r>
      <w:r w:rsidR="001175A0">
        <w:rPr>
          <w:rFonts w:cstheme="minorHAnsi"/>
          <w:szCs w:val="22"/>
          <w:lang w:val="en-US"/>
        </w:rPr>
        <w:t>22 August</w:t>
      </w:r>
      <w:r w:rsidR="001F1831" w:rsidRPr="001F1831">
        <w:rPr>
          <w:rFonts w:cstheme="minorHAnsi"/>
          <w:szCs w:val="22"/>
          <w:lang w:val="en-US"/>
        </w:rPr>
        <w:t xml:space="preserve"> 2022</w:t>
      </w:r>
      <w:r w:rsidR="00950E54">
        <w:rPr>
          <w:rFonts w:cstheme="minorHAnsi"/>
          <w:szCs w:val="22"/>
          <w:lang w:val="en-US"/>
        </w:rPr>
        <w:t>.</w:t>
      </w:r>
    </w:p>
    <w:p w14:paraId="64D09C44" w14:textId="14542F74" w:rsidR="005F794B" w:rsidRPr="00B703F0" w:rsidRDefault="004E107A" w:rsidP="00891740">
      <w:pPr>
        <w:pStyle w:val="AppendixHeading1"/>
        <w:ind w:left="0"/>
      </w:pPr>
      <w:bookmarkStart w:id="241" w:name="_Toc96355003"/>
      <w:bookmarkStart w:id="242" w:name="_Toc105060792"/>
      <w:r w:rsidRPr="00B703F0">
        <w:lastRenderedPageBreak/>
        <w:t>Stakeholders consulted</w:t>
      </w:r>
      <w:bookmarkEnd w:id="241"/>
      <w:bookmarkEnd w:id="242"/>
    </w:p>
    <w:p w14:paraId="5BC699D9" w14:textId="4B06FFD7" w:rsidR="004E107A" w:rsidRPr="00B703F0" w:rsidRDefault="004E107A">
      <w:r w:rsidRPr="00B703F0">
        <w:t xml:space="preserve">The Department </w:t>
      </w:r>
      <w:r w:rsidR="00815958" w:rsidRPr="00B703F0">
        <w:t>engaged</w:t>
      </w:r>
      <w:r w:rsidRPr="00B703F0">
        <w:t xml:space="preserve"> with a number of stakeholders </w:t>
      </w:r>
      <w:r w:rsidR="00815958" w:rsidRPr="00B703F0">
        <w:t>in</w:t>
      </w:r>
      <w:r w:rsidRPr="00B703F0">
        <w:t xml:space="preserve"> developing t</w:t>
      </w:r>
      <w:r w:rsidR="00815958" w:rsidRPr="00B703F0">
        <w:t>his Regulatory Impact Statement, the full list is below</w:t>
      </w:r>
      <w:r w:rsidRPr="00B703F0">
        <w:t xml:space="preserve">. </w:t>
      </w:r>
    </w:p>
    <w:tbl>
      <w:tblPr>
        <w:tblStyle w:val="DefaultTable1"/>
        <w:tblW w:w="14620" w:type="dxa"/>
        <w:tblLook w:val="04E0" w:firstRow="1" w:lastRow="1" w:firstColumn="1" w:lastColumn="0" w:noHBand="0" w:noVBand="1"/>
        <w:tblCaption w:val="Sample table"/>
        <w:tblDescription w:val="Sample table"/>
      </w:tblPr>
      <w:tblGrid>
        <w:gridCol w:w="2268"/>
        <w:gridCol w:w="2552"/>
        <w:gridCol w:w="3118"/>
        <w:gridCol w:w="2429"/>
        <w:gridCol w:w="4253"/>
      </w:tblGrid>
      <w:tr w:rsidR="004E107A" w:rsidRPr="00B703F0" w14:paraId="41E9ED9E" w14:textId="77777777" w:rsidTr="00CE7A6F">
        <w:trPr>
          <w:cnfStyle w:val="100000000000" w:firstRow="1" w:lastRow="0" w:firstColumn="0" w:lastColumn="0" w:oddVBand="0" w:evenVBand="0" w:oddHBand="0" w:evenHBand="0" w:firstRowFirstColumn="0" w:firstRowLastColumn="0" w:lastRowFirstColumn="0" w:lastRowLastColumn="0"/>
          <w:trHeight w:val="653"/>
        </w:trPr>
        <w:tc>
          <w:tcPr>
            <w:cnfStyle w:val="001000000000" w:firstRow="0" w:lastRow="0" w:firstColumn="1" w:lastColumn="0" w:oddVBand="0" w:evenVBand="0" w:oddHBand="0" w:evenHBand="0" w:firstRowFirstColumn="0" w:firstRowLastColumn="0" w:lastRowFirstColumn="0" w:lastRowLastColumn="0"/>
            <w:tcW w:w="2268" w:type="dxa"/>
          </w:tcPr>
          <w:p w14:paraId="1E9E1560" w14:textId="54A48C6C" w:rsidR="004E107A" w:rsidRPr="00B703F0" w:rsidRDefault="004E107A" w:rsidP="00A114E6">
            <w:r w:rsidRPr="00B703F0">
              <w:t>Academics</w:t>
            </w:r>
          </w:p>
        </w:tc>
        <w:tc>
          <w:tcPr>
            <w:tcW w:w="2552" w:type="dxa"/>
          </w:tcPr>
          <w:p w14:paraId="31A6D5B3" w14:textId="77777777" w:rsidR="004E107A" w:rsidRPr="00B703F0" w:rsidRDefault="004E107A" w:rsidP="00A114E6">
            <w:pPr>
              <w:cnfStyle w:val="100000000000" w:firstRow="1" w:lastRow="0" w:firstColumn="0" w:lastColumn="0" w:oddVBand="0" w:evenVBand="0" w:oddHBand="0" w:evenHBand="0" w:firstRowFirstColumn="0" w:firstRowLastColumn="0" w:lastRowFirstColumn="0" w:lastRowLastColumn="0"/>
            </w:pPr>
            <w:r w:rsidRPr="00B703F0">
              <w:t>Australian Government</w:t>
            </w:r>
          </w:p>
        </w:tc>
        <w:tc>
          <w:tcPr>
            <w:tcW w:w="3118" w:type="dxa"/>
          </w:tcPr>
          <w:p w14:paraId="6860F4FD" w14:textId="77777777" w:rsidR="004E107A" w:rsidRPr="00B703F0" w:rsidRDefault="004E107A" w:rsidP="00A114E6">
            <w:pPr>
              <w:cnfStyle w:val="100000000000" w:firstRow="1" w:lastRow="0" w:firstColumn="0" w:lastColumn="0" w:oddVBand="0" w:evenVBand="0" w:oddHBand="0" w:evenHBand="0" w:firstRowFirstColumn="0" w:firstRowLastColumn="0" w:lastRowFirstColumn="0" w:lastRowLastColumn="0"/>
            </w:pPr>
            <w:r w:rsidRPr="00B703F0">
              <w:t>State and Territory Governments</w:t>
            </w:r>
          </w:p>
        </w:tc>
        <w:tc>
          <w:tcPr>
            <w:tcW w:w="2429" w:type="dxa"/>
          </w:tcPr>
          <w:p w14:paraId="6AA37A41" w14:textId="77777777" w:rsidR="004E107A" w:rsidRPr="00B703F0" w:rsidRDefault="004E107A" w:rsidP="00A114E6">
            <w:pPr>
              <w:cnfStyle w:val="100000000000" w:firstRow="1" w:lastRow="0" w:firstColumn="0" w:lastColumn="0" w:oddVBand="0" w:evenVBand="0" w:oddHBand="0" w:evenHBand="0" w:firstRowFirstColumn="0" w:firstRowLastColumn="0" w:lastRowFirstColumn="0" w:lastRowLastColumn="0"/>
            </w:pPr>
            <w:r w:rsidRPr="00B703F0">
              <w:t>Local Government</w:t>
            </w:r>
          </w:p>
        </w:tc>
        <w:tc>
          <w:tcPr>
            <w:tcW w:w="4253" w:type="dxa"/>
          </w:tcPr>
          <w:p w14:paraId="1C96027B" w14:textId="08E862A6" w:rsidR="004E107A" w:rsidRPr="00B703F0" w:rsidRDefault="004E107A" w:rsidP="005B779A">
            <w:pPr>
              <w:cnfStyle w:val="100000000000" w:firstRow="1" w:lastRow="0" w:firstColumn="0" w:lastColumn="0" w:oddVBand="0" w:evenVBand="0" w:oddHBand="0" w:evenHBand="0" w:firstRowFirstColumn="0" w:firstRowLastColumn="0" w:lastRowFirstColumn="0" w:lastRowLastColumn="0"/>
            </w:pPr>
            <w:r w:rsidRPr="00B703F0">
              <w:t xml:space="preserve">Industry </w:t>
            </w:r>
          </w:p>
        </w:tc>
      </w:tr>
      <w:tr w:rsidR="005B779A" w:rsidRPr="00B703F0" w14:paraId="31BABC3E" w14:textId="77777777" w:rsidTr="00CE7A6F">
        <w:trPr>
          <w:trHeight w:val="96"/>
        </w:trPr>
        <w:tc>
          <w:tcPr>
            <w:cnfStyle w:val="001000000000" w:firstRow="0" w:lastRow="0" w:firstColumn="1" w:lastColumn="0" w:oddVBand="0" w:evenVBand="0" w:oddHBand="0" w:evenHBand="0" w:firstRowFirstColumn="0" w:firstRowLastColumn="0" w:lastRowFirstColumn="0" w:lastRowLastColumn="0"/>
            <w:tcW w:w="2268" w:type="dxa"/>
          </w:tcPr>
          <w:p w14:paraId="464DA46F" w14:textId="77777777" w:rsidR="005B779A" w:rsidRPr="00B703F0" w:rsidRDefault="005B779A" w:rsidP="005B779A">
            <w:pPr>
              <w:spacing w:after="120"/>
              <w:rPr>
                <w:rFonts w:eastAsia="Calibri" w:cstheme="minorHAnsi"/>
                <w:b w:val="0"/>
              </w:rPr>
            </w:pPr>
            <w:r w:rsidRPr="00B703F0">
              <w:rPr>
                <w:rFonts w:cstheme="minorHAnsi"/>
                <w:b w:val="0"/>
              </w:rPr>
              <w:t>Deakin University</w:t>
            </w:r>
          </w:p>
        </w:tc>
        <w:tc>
          <w:tcPr>
            <w:tcW w:w="2552" w:type="dxa"/>
          </w:tcPr>
          <w:p w14:paraId="2BAA0E97" w14:textId="5731C2C7" w:rsidR="005B779A" w:rsidRPr="00B703F0" w:rsidRDefault="005B779A" w:rsidP="005B779A">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B703F0">
              <w:rPr>
                <w:rFonts w:cstheme="minorHAnsi"/>
              </w:rPr>
              <w:t>Australian Maritime Safety Authority</w:t>
            </w:r>
            <w:r w:rsidR="006C74A1">
              <w:rPr>
                <w:rFonts w:cstheme="minorHAnsi"/>
              </w:rPr>
              <w:t>*</w:t>
            </w:r>
            <w:r w:rsidR="00D8414C" w:rsidRPr="00B703F0">
              <w:rPr>
                <w:rFonts w:cstheme="minorHAnsi"/>
                <w:color w:val="000000"/>
                <w:vertAlign w:val="superscript"/>
              </w:rPr>
              <w:t>#</w:t>
            </w:r>
            <w:r w:rsidR="006C74A1">
              <w:rPr>
                <w:rFonts w:cstheme="minorHAnsi"/>
                <w:color w:val="000000"/>
                <w:vertAlign w:val="superscript"/>
              </w:rPr>
              <w:t>^</w:t>
            </w:r>
          </w:p>
        </w:tc>
        <w:tc>
          <w:tcPr>
            <w:tcW w:w="3118" w:type="dxa"/>
          </w:tcPr>
          <w:p w14:paraId="35FE8FA5" w14:textId="77777777" w:rsidR="005B779A" w:rsidRPr="00B703F0" w:rsidRDefault="005B779A" w:rsidP="005B779A">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B703F0">
              <w:rPr>
                <w:rFonts w:cstheme="minorHAnsi"/>
                <w:color w:val="000000"/>
              </w:rPr>
              <w:t>Department of Infrastructure and Transport (SA)</w:t>
            </w:r>
          </w:p>
        </w:tc>
        <w:tc>
          <w:tcPr>
            <w:tcW w:w="2429" w:type="dxa"/>
          </w:tcPr>
          <w:p w14:paraId="01D99027" w14:textId="77777777" w:rsidR="005B779A" w:rsidRPr="00B703F0" w:rsidRDefault="005B779A" w:rsidP="005B779A">
            <w:pPr>
              <w:cnfStyle w:val="000000000000" w:firstRow="0" w:lastRow="0" w:firstColumn="0" w:lastColumn="0" w:oddVBand="0" w:evenVBand="0" w:oddHBand="0" w:evenHBand="0" w:firstRowFirstColumn="0" w:firstRowLastColumn="0" w:lastRowFirstColumn="0" w:lastRowLastColumn="0"/>
              <w:rPr>
                <w:rFonts w:cstheme="minorHAnsi"/>
              </w:rPr>
            </w:pPr>
            <w:r w:rsidRPr="00B703F0">
              <w:rPr>
                <w:rFonts w:cstheme="minorHAnsi"/>
              </w:rPr>
              <w:t>Australian Local Government Association</w:t>
            </w:r>
          </w:p>
        </w:tc>
        <w:tc>
          <w:tcPr>
            <w:tcW w:w="4253" w:type="dxa"/>
          </w:tcPr>
          <w:p w14:paraId="127BC82A" w14:textId="2CA4ECCD" w:rsidR="005B779A" w:rsidRPr="00B703F0" w:rsidRDefault="005B779A" w:rsidP="005B779A">
            <w:pPr>
              <w:cnfStyle w:val="000000000000" w:firstRow="0" w:lastRow="0" w:firstColumn="0" w:lastColumn="0" w:oddVBand="0" w:evenVBand="0" w:oddHBand="0" w:evenHBand="0" w:firstRowFirstColumn="0" w:firstRowLastColumn="0" w:lastRowFirstColumn="0" w:lastRowLastColumn="0"/>
              <w:rPr>
                <w:rFonts w:cstheme="minorHAnsi"/>
              </w:rPr>
            </w:pPr>
            <w:r w:rsidRPr="00B703F0">
              <w:rPr>
                <w:rFonts w:cstheme="minorHAnsi"/>
                <w:color w:val="000000"/>
              </w:rPr>
              <w:t>Australian Aluminium Council</w:t>
            </w:r>
          </w:p>
        </w:tc>
      </w:tr>
      <w:tr w:rsidR="005B779A" w:rsidRPr="00B703F0" w14:paraId="6D17B936" w14:textId="77777777" w:rsidTr="00CE7A6F">
        <w:trPr>
          <w:cnfStyle w:val="000000010000" w:firstRow="0" w:lastRow="0" w:firstColumn="0" w:lastColumn="0" w:oddVBand="0" w:evenVBand="0" w:oddHBand="0" w:evenHBand="1" w:firstRowFirstColumn="0" w:firstRowLastColumn="0" w:lastRowFirstColumn="0" w:lastRowLastColumn="0"/>
          <w:trHeight w:val="96"/>
        </w:trPr>
        <w:tc>
          <w:tcPr>
            <w:cnfStyle w:val="001000000000" w:firstRow="0" w:lastRow="0" w:firstColumn="1" w:lastColumn="0" w:oddVBand="0" w:evenVBand="0" w:oddHBand="0" w:evenHBand="0" w:firstRowFirstColumn="0" w:firstRowLastColumn="0" w:lastRowFirstColumn="0" w:lastRowLastColumn="0"/>
            <w:tcW w:w="2268" w:type="dxa"/>
          </w:tcPr>
          <w:p w14:paraId="63D45DDA" w14:textId="77777777" w:rsidR="005B779A" w:rsidRPr="00B703F0" w:rsidRDefault="005B779A" w:rsidP="005B779A">
            <w:pPr>
              <w:rPr>
                <w:rFonts w:cstheme="minorHAnsi"/>
                <w:b w:val="0"/>
              </w:rPr>
            </w:pPr>
            <w:r w:rsidRPr="00B703F0">
              <w:rPr>
                <w:rFonts w:cstheme="minorHAnsi"/>
                <w:b w:val="0"/>
              </w:rPr>
              <w:t>Melbourne Maritime Heritage Network</w:t>
            </w:r>
          </w:p>
        </w:tc>
        <w:tc>
          <w:tcPr>
            <w:tcW w:w="2552" w:type="dxa"/>
          </w:tcPr>
          <w:p w14:paraId="65217166" w14:textId="1F948512" w:rsidR="005B779A" w:rsidRPr="00B703F0" w:rsidRDefault="005B779A" w:rsidP="005B779A">
            <w:pPr>
              <w:cnfStyle w:val="000000010000" w:firstRow="0" w:lastRow="0" w:firstColumn="0" w:lastColumn="0" w:oddVBand="0" w:evenVBand="0" w:oddHBand="0" w:evenHBand="1" w:firstRowFirstColumn="0" w:firstRowLastColumn="0" w:lastRowFirstColumn="0" w:lastRowLastColumn="0"/>
              <w:rPr>
                <w:rFonts w:cstheme="minorHAnsi"/>
              </w:rPr>
            </w:pPr>
            <w:r w:rsidRPr="00B703F0">
              <w:rPr>
                <w:rFonts w:cstheme="minorHAnsi"/>
                <w:color w:val="000000"/>
              </w:rPr>
              <w:t>Australian Transport Safety Bureau</w:t>
            </w:r>
          </w:p>
        </w:tc>
        <w:tc>
          <w:tcPr>
            <w:tcW w:w="3118" w:type="dxa"/>
          </w:tcPr>
          <w:p w14:paraId="4F0843E6" w14:textId="337AA355" w:rsidR="005B779A" w:rsidRPr="00B703F0" w:rsidRDefault="005B779A" w:rsidP="005B779A">
            <w:pPr>
              <w:spacing w:after="0"/>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rPr>
            </w:pPr>
            <w:r w:rsidRPr="00B703F0">
              <w:rPr>
                <w:rFonts w:cstheme="minorHAnsi"/>
                <w:color w:val="000000"/>
              </w:rPr>
              <w:t>Department of Infrastructure, Planning and Logistics (NT)*</w:t>
            </w:r>
            <w:r w:rsidR="00E60995" w:rsidRPr="006C74A1">
              <w:rPr>
                <w:rFonts w:cstheme="minorHAnsi"/>
                <w:color w:val="000000"/>
              </w:rPr>
              <w:t>^</w:t>
            </w:r>
          </w:p>
        </w:tc>
        <w:tc>
          <w:tcPr>
            <w:tcW w:w="2429" w:type="dxa"/>
          </w:tcPr>
          <w:p w14:paraId="0B21B356" w14:textId="7AE8CEBF" w:rsidR="005B779A" w:rsidRPr="00B703F0" w:rsidRDefault="005B779A" w:rsidP="005B779A">
            <w:pPr>
              <w:spacing w:after="0"/>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rPr>
            </w:pPr>
            <w:r w:rsidRPr="00B703F0">
              <w:rPr>
                <w:rFonts w:cstheme="minorHAnsi"/>
                <w:color w:val="000000"/>
              </w:rPr>
              <w:t>Sydney Coastal Councils Group*</w:t>
            </w:r>
            <w:r w:rsidR="006C74A1">
              <w:rPr>
                <w:rFonts w:cstheme="minorHAnsi"/>
                <w:color w:val="000000"/>
              </w:rPr>
              <w:t>^</w:t>
            </w:r>
          </w:p>
        </w:tc>
        <w:tc>
          <w:tcPr>
            <w:tcW w:w="4253" w:type="dxa"/>
          </w:tcPr>
          <w:p w14:paraId="26E9A97C" w14:textId="4E1D45EB" w:rsidR="005B779A" w:rsidRPr="00B703F0" w:rsidRDefault="005B779A" w:rsidP="005B779A">
            <w:pPr>
              <w:spacing w:after="0"/>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rPr>
            </w:pPr>
            <w:r w:rsidRPr="00B703F0">
              <w:rPr>
                <w:rFonts w:cstheme="minorHAnsi"/>
                <w:color w:val="000000"/>
              </w:rPr>
              <w:t>Australian Cruise Association</w:t>
            </w:r>
          </w:p>
        </w:tc>
      </w:tr>
      <w:tr w:rsidR="005B779A" w:rsidRPr="00B703F0" w14:paraId="0CA4A12B" w14:textId="77777777" w:rsidTr="00CE7A6F">
        <w:trPr>
          <w:trHeight w:val="96"/>
        </w:trPr>
        <w:tc>
          <w:tcPr>
            <w:cnfStyle w:val="001000000000" w:firstRow="0" w:lastRow="0" w:firstColumn="1" w:lastColumn="0" w:oddVBand="0" w:evenVBand="0" w:oddHBand="0" w:evenHBand="0" w:firstRowFirstColumn="0" w:firstRowLastColumn="0" w:lastRowFirstColumn="0" w:lastRowLastColumn="0"/>
            <w:tcW w:w="2268" w:type="dxa"/>
          </w:tcPr>
          <w:p w14:paraId="42292B2D" w14:textId="77777777" w:rsidR="005B779A" w:rsidRPr="00B703F0" w:rsidRDefault="005B779A" w:rsidP="005B779A">
            <w:pPr>
              <w:rPr>
                <w:rFonts w:cstheme="minorHAnsi"/>
                <w:b w:val="0"/>
              </w:rPr>
            </w:pPr>
            <w:r w:rsidRPr="00B703F0">
              <w:rPr>
                <w:rFonts w:cstheme="minorHAnsi"/>
                <w:b w:val="0"/>
              </w:rPr>
              <w:t>RMIT</w:t>
            </w:r>
          </w:p>
        </w:tc>
        <w:tc>
          <w:tcPr>
            <w:tcW w:w="2552" w:type="dxa"/>
          </w:tcPr>
          <w:p w14:paraId="406A402E" w14:textId="73E1B810" w:rsidR="005B779A" w:rsidRPr="006C74A1" w:rsidRDefault="005B779A" w:rsidP="005B779A">
            <w:pPr>
              <w:cnfStyle w:val="000000000000" w:firstRow="0" w:lastRow="0" w:firstColumn="0" w:lastColumn="0" w:oddVBand="0" w:evenVBand="0" w:oddHBand="0" w:evenHBand="0" w:firstRowFirstColumn="0" w:firstRowLastColumn="0" w:lastRowFirstColumn="0" w:lastRowLastColumn="0"/>
              <w:rPr>
                <w:rFonts w:cstheme="minorHAnsi"/>
              </w:rPr>
            </w:pPr>
            <w:r w:rsidRPr="006C74A1">
              <w:rPr>
                <w:rFonts w:cstheme="minorHAnsi"/>
                <w:color w:val="000000"/>
              </w:rPr>
              <w:t>Department of Agriculture, Water Resources and the Environment</w:t>
            </w:r>
            <w:r w:rsidR="006C74A1" w:rsidRPr="006C74A1">
              <w:rPr>
                <w:rFonts w:cstheme="minorHAnsi"/>
                <w:color w:val="000000"/>
              </w:rPr>
              <w:t>*^</w:t>
            </w:r>
          </w:p>
        </w:tc>
        <w:tc>
          <w:tcPr>
            <w:tcW w:w="3118" w:type="dxa"/>
          </w:tcPr>
          <w:p w14:paraId="472CEE97" w14:textId="77777777" w:rsidR="005B779A" w:rsidRPr="006C74A1" w:rsidRDefault="005B779A" w:rsidP="005B779A">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6C74A1">
              <w:rPr>
                <w:rFonts w:cstheme="minorHAnsi"/>
                <w:color w:val="000000"/>
              </w:rPr>
              <w:t>Department of Primary Industries, Water and Environment (Tas)</w:t>
            </w:r>
          </w:p>
        </w:tc>
        <w:tc>
          <w:tcPr>
            <w:tcW w:w="2429" w:type="dxa"/>
          </w:tcPr>
          <w:p w14:paraId="21C9F471" w14:textId="77777777" w:rsidR="005B779A" w:rsidRPr="006C74A1" w:rsidRDefault="005B779A" w:rsidP="005B779A">
            <w:pPr>
              <w:cnfStyle w:val="000000000000" w:firstRow="0" w:lastRow="0" w:firstColumn="0" w:lastColumn="0" w:oddVBand="0" w:evenVBand="0" w:oddHBand="0" w:evenHBand="0" w:firstRowFirstColumn="0" w:firstRowLastColumn="0" w:lastRowFirstColumn="0" w:lastRowLastColumn="0"/>
              <w:rPr>
                <w:rFonts w:cstheme="minorHAnsi"/>
              </w:rPr>
            </w:pPr>
          </w:p>
        </w:tc>
        <w:tc>
          <w:tcPr>
            <w:tcW w:w="4253" w:type="dxa"/>
          </w:tcPr>
          <w:p w14:paraId="5BB367DE" w14:textId="54103338" w:rsidR="005B779A" w:rsidRPr="006C74A1" w:rsidRDefault="005B779A" w:rsidP="005B779A">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6C74A1">
              <w:rPr>
                <w:rFonts w:cstheme="minorHAnsi"/>
                <w:color w:val="000000"/>
              </w:rPr>
              <w:t>Australian Industry Group</w:t>
            </w:r>
          </w:p>
        </w:tc>
      </w:tr>
      <w:tr w:rsidR="005B779A" w:rsidRPr="00B703F0" w14:paraId="0F28366A" w14:textId="77777777" w:rsidTr="00CE7A6F">
        <w:trPr>
          <w:cnfStyle w:val="000000010000" w:firstRow="0" w:lastRow="0" w:firstColumn="0" w:lastColumn="0" w:oddVBand="0" w:evenVBand="0" w:oddHBand="0" w:evenHBand="1" w:firstRowFirstColumn="0" w:firstRowLastColumn="0" w:lastRowFirstColumn="0" w:lastRowLastColumn="0"/>
          <w:trHeight w:val="96"/>
        </w:trPr>
        <w:tc>
          <w:tcPr>
            <w:cnfStyle w:val="001000000000" w:firstRow="0" w:lastRow="0" w:firstColumn="1" w:lastColumn="0" w:oddVBand="0" w:evenVBand="0" w:oddHBand="0" w:evenHBand="0" w:firstRowFirstColumn="0" w:firstRowLastColumn="0" w:lastRowFirstColumn="0" w:lastRowLastColumn="0"/>
            <w:tcW w:w="2268" w:type="dxa"/>
          </w:tcPr>
          <w:p w14:paraId="22C7A938" w14:textId="7A385988" w:rsidR="005B779A" w:rsidRPr="00B703F0" w:rsidRDefault="005B779A" w:rsidP="005B779A">
            <w:pPr>
              <w:rPr>
                <w:rFonts w:cstheme="minorHAnsi"/>
                <w:b w:val="0"/>
              </w:rPr>
            </w:pPr>
            <w:r w:rsidRPr="00B703F0">
              <w:rPr>
                <w:rFonts w:cstheme="minorHAnsi"/>
                <w:b w:val="0"/>
              </w:rPr>
              <w:t>University of Queensland*</w:t>
            </w:r>
            <w:r w:rsidR="006C74A1">
              <w:rPr>
                <w:rFonts w:cstheme="minorHAnsi"/>
                <w:b w:val="0"/>
              </w:rPr>
              <w:t>^</w:t>
            </w:r>
          </w:p>
        </w:tc>
        <w:tc>
          <w:tcPr>
            <w:tcW w:w="2552" w:type="dxa"/>
          </w:tcPr>
          <w:p w14:paraId="60B37E77" w14:textId="25920A4E" w:rsidR="005B779A" w:rsidRPr="006C74A1" w:rsidRDefault="005B779A" w:rsidP="005B779A">
            <w:pPr>
              <w:spacing w:after="0"/>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rPr>
            </w:pPr>
            <w:r w:rsidRPr="006C74A1">
              <w:rPr>
                <w:rFonts w:cstheme="minorHAnsi"/>
              </w:rPr>
              <w:t>Great Barrier Reef Marine Park Authority</w:t>
            </w:r>
            <w:r w:rsidR="006C74A1">
              <w:rPr>
                <w:rFonts w:cstheme="minorHAnsi"/>
              </w:rPr>
              <w:t>^</w:t>
            </w:r>
          </w:p>
        </w:tc>
        <w:tc>
          <w:tcPr>
            <w:tcW w:w="3118" w:type="dxa"/>
          </w:tcPr>
          <w:p w14:paraId="6107931D" w14:textId="3D46A1D0" w:rsidR="005B779A" w:rsidRPr="006C74A1" w:rsidRDefault="005B779A" w:rsidP="00E60995">
            <w:pPr>
              <w:spacing w:after="0"/>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rPr>
            </w:pPr>
            <w:r w:rsidRPr="006C74A1">
              <w:rPr>
                <w:rFonts w:cstheme="minorHAnsi"/>
                <w:color w:val="000000"/>
              </w:rPr>
              <w:t>Department of Transport (NT)</w:t>
            </w:r>
          </w:p>
        </w:tc>
        <w:tc>
          <w:tcPr>
            <w:tcW w:w="2429" w:type="dxa"/>
          </w:tcPr>
          <w:p w14:paraId="7AA3B159" w14:textId="77777777" w:rsidR="005B779A" w:rsidRPr="006C74A1" w:rsidRDefault="005B779A" w:rsidP="005B779A">
            <w:pPr>
              <w:cnfStyle w:val="000000010000" w:firstRow="0" w:lastRow="0" w:firstColumn="0" w:lastColumn="0" w:oddVBand="0" w:evenVBand="0" w:oddHBand="0" w:evenHBand="1" w:firstRowFirstColumn="0" w:firstRowLastColumn="0" w:lastRowFirstColumn="0" w:lastRowLastColumn="0"/>
              <w:rPr>
                <w:rFonts w:cstheme="minorHAnsi"/>
              </w:rPr>
            </w:pPr>
          </w:p>
        </w:tc>
        <w:tc>
          <w:tcPr>
            <w:tcW w:w="4253" w:type="dxa"/>
          </w:tcPr>
          <w:p w14:paraId="74D7A029" w14:textId="0C89C5EF" w:rsidR="005B779A" w:rsidRPr="006C74A1" w:rsidRDefault="005B779A" w:rsidP="005B779A">
            <w:pPr>
              <w:spacing w:after="0"/>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rPr>
            </w:pPr>
            <w:r w:rsidRPr="006C74A1">
              <w:rPr>
                <w:rFonts w:cstheme="minorHAnsi"/>
                <w:color w:val="000000"/>
              </w:rPr>
              <w:t>Australian Institute of Petroleum Ltd</w:t>
            </w:r>
          </w:p>
        </w:tc>
      </w:tr>
      <w:tr w:rsidR="005B779A" w:rsidRPr="00B703F0" w14:paraId="3D663C52" w14:textId="77777777" w:rsidTr="00CE7A6F">
        <w:trPr>
          <w:trHeight w:val="96"/>
        </w:trPr>
        <w:tc>
          <w:tcPr>
            <w:cnfStyle w:val="001000000000" w:firstRow="0" w:lastRow="0" w:firstColumn="1" w:lastColumn="0" w:oddVBand="0" w:evenVBand="0" w:oddHBand="0" w:evenHBand="0" w:firstRowFirstColumn="0" w:firstRowLastColumn="0" w:lastRowFirstColumn="0" w:lastRowLastColumn="0"/>
            <w:tcW w:w="2268" w:type="dxa"/>
          </w:tcPr>
          <w:p w14:paraId="14BC3B2E" w14:textId="77777777" w:rsidR="005B779A" w:rsidRPr="00B703F0" w:rsidRDefault="005B779A" w:rsidP="005B779A">
            <w:pPr>
              <w:rPr>
                <w:rFonts w:cstheme="minorHAnsi"/>
                <w:b w:val="0"/>
              </w:rPr>
            </w:pPr>
          </w:p>
        </w:tc>
        <w:tc>
          <w:tcPr>
            <w:tcW w:w="2552" w:type="dxa"/>
          </w:tcPr>
          <w:p w14:paraId="14370FCE" w14:textId="6E90A1F5" w:rsidR="005B779A" w:rsidRPr="006C74A1" w:rsidRDefault="005B779A" w:rsidP="005B779A">
            <w:pPr>
              <w:cnfStyle w:val="000000000000" w:firstRow="0" w:lastRow="0" w:firstColumn="0" w:lastColumn="0" w:oddVBand="0" w:evenVBand="0" w:oddHBand="0" w:evenHBand="0" w:firstRowFirstColumn="0" w:firstRowLastColumn="0" w:lastRowFirstColumn="0" w:lastRowLastColumn="0"/>
              <w:rPr>
                <w:rFonts w:cstheme="minorHAnsi"/>
              </w:rPr>
            </w:pPr>
          </w:p>
        </w:tc>
        <w:tc>
          <w:tcPr>
            <w:tcW w:w="3118" w:type="dxa"/>
          </w:tcPr>
          <w:p w14:paraId="1F661F3D" w14:textId="77777777" w:rsidR="005B779A" w:rsidRPr="006C74A1" w:rsidRDefault="005B779A" w:rsidP="005B779A">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6C74A1">
              <w:rPr>
                <w:rFonts w:cstheme="minorHAnsi"/>
                <w:color w:val="000000"/>
              </w:rPr>
              <w:t>Department of Transport (Vic)</w:t>
            </w:r>
          </w:p>
        </w:tc>
        <w:tc>
          <w:tcPr>
            <w:tcW w:w="2429" w:type="dxa"/>
          </w:tcPr>
          <w:p w14:paraId="2BC932FD" w14:textId="631C7EA0" w:rsidR="005B779A" w:rsidRPr="006C74A1" w:rsidRDefault="005B779A" w:rsidP="005B779A">
            <w:pPr>
              <w:cnfStyle w:val="000000000000" w:firstRow="0" w:lastRow="0" w:firstColumn="0" w:lastColumn="0" w:oddVBand="0" w:evenVBand="0" w:oddHBand="0" w:evenHBand="0" w:firstRowFirstColumn="0" w:firstRowLastColumn="0" w:lastRowFirstColumn="0" w:lastRowLastColumn="0"/>
              <w:rPr>
                <w:rFonts w:cstheme="minorHAnsi"/>
              </w:rPr>
            </w:pPr>
          </w:p>
        </w:tc>
        <w:tc>
          <w:tcPr>
            <w:tcW w:w="4253" w:type="dxa"/>
          </w:tcPr>
          <w:p w14:paraId="60B5E6DB" w14:textId="1C7B2C75" w:rsidR="005B779A" w:rsidRPr="006C74A1" w:rsidRDefault="005B779A" w:rsidP="005B779A">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6C74A1">
              <w:rPr>
                <w:rFonts w:cstheme="minorHAnsi"/>
                <w:color w:val="000000"/>
              </w:rPr>
              <w:t>Australian Mines &amp; Metals Association</w:t>
            </w:r>
          </w:p>
        </w:tc>
      </w:tr>
      <w:tr w:rsidR="005B779A" w:rsidRPr="00B703F0" w14:paraId="139E88FA" w14:textId="77777777" w:rsidTr="00CE7A6F">
        <w:trPr>
          <w:cnfStyle w:val="000000010000" w:firstRow="0" w:lastRow="0" w:firstColumn="0" w:lastColumn="0" w:oddVBand="0" w:evenVBand="0" w:oddHBand="0" w:evenHBand="1" w:firstRowFirstColumn="0" w:firstRowLastColumn="0" w:lastRowFirstColumn="0" w:lastRowLastColumn="0"/>
          <w:trHeight w:val="96"/>
        </w:trPr>
        <w:tc>
          <w:tcPr>
            <w:cnfStyle w:val="001000000000" w:firstRow="0" w:lastRow="0" w:firstColumn="1" w:lastColumn="0" w:oddVBand="0" w:evenVBand="0" w:oddHBand="0" w:evenHBand="0" w:firstRowFirstColumn="0" w:firstRowLastColumn="0" w:lastRowFirstColumn="0" w:lastRowLastColumn="0"/>
            <w:tcW w:w="2268" w:type="dxa"/>
          </w:tcPr>
          <w:p w14:paraId="1624EAB0" w14:textId="77777777" w:rsidR="005B779A" w:rsidRPr="00B703F0" w:rsidRDefault="005B779A" w:rsidP="005B779A">
            <w:pPr>
              <w:rPr>
                <w:rFonts w:cstheme="minorHAnsi"/>
                <w:b w:val="0"/>
              </w:rPr>
            </w:pPr>
          </w:p>
        </w:tc>
        <w:tc>
          <w:tcPr>
            <w:tcW w:w="2552" w:type="dxa"/>
          </w:tcPr>
          <w:p w14:paraId="214C0DB3" w14:textId="3DA22765" w:rsidR="005B779A" w:rsidRPr="006C74A1" w:rsidRDefault="005B779A" w:rsidP="005B779A">
            <w:pPr>
              <w:cnfStyle w:val="000000010000" w:firstRow="0" w:lastRow="0" w:firstColumn="0" w:lastColumn="0" w:oddVBand="0" w:evenVBand="0" w:oddHBand="0" w:evenHBand="1" w:firstRowFirstColumn="0" w:firstRowLastColumn="0" w:lastRowFirstColumn="0" w:lastRowLastColumn="0"/>
              <w:rPr>
                <w:rFonts w:cstheme="minorHAnsi"/>
              </w:rPr>
            </w:pPr>
          </w:p>
        </w:tc>
        <w:tc>
          <w:tcPr>
            <w:tcW w:w="3118" w:type="dxa"/>
          </w:tcPr>
          <w:p w14:paraId="7DB6427F" w14:textId="77777777" w:rsidR="005B779A" w:rsidRPr="006C74A1" w:rsidRDefault="005B779A" w:rsidP="005B779A">
            <w:pPr>
              <w:spacing w:after="0"/>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rPr>
            </w:pPr>
            <w:r w:rsidRPr="006C74A1">
              <w:rPr>
                <w:rFonts w:cstheme="minorHAnsi"/>
                <w:color w:val="000000"/>
              </w:rPr>
              <w:t>Department of Transport (WA)</w:t>
            </w:r>
          </w:p>
        </w:tc>
        <w:tc>
          <w:tcPr>
            <w:tcW w:w="2429" w:type="dxa"/>
          </w:tcPr>
          <w:p w14:paraId="5422045C" w14:textId="5732A487" w:rsidR="005B779A" w:rsidRPr="006C74A1" w:rsidRDefault="005B779A" w:rsidP="005B779A">
            <w:pPr>
              <w:spacing w:after="0"/>
              <w:cnfStyle w:val="000000010000" w:firstRow="0" w:lastRow="0" w:firstColumn="0" w:lastColumn="0" w:oddVBand="0" w:evenVBand="0" w:oddHBand="0" w:evenHBand="1" w:firstRowFirstColumn="0" w:firstRowLastColumn="0" w:lastRowFirstColumn="0" w:lastRowLastColumn="0"/>
              <w:rPr>
                <w:rFonts w:cstheme="minorHAnsi"/>
              </w:rPr>
            </w:pPr>
          </w:p>
        </w:tc>
        <w:tc>
          <w:tcPr>
            <w:tcW w:w="4253" w:type="dxa"/>
          </w:tcPr>
          <w:p w14:paraId="380E31F0" w14:textId="4FECC06C" w:rsidR="005B779A" w:rsidRPr="006C74A1" w:rsidRDefault="005B779A" w:rsidP="005B779A">
            <w:pPr>
              <w:spacing w:after="0"/>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rPr>
            </w:pPr>
            <w:r w:rsidRPr="006C74A1">
              <w:rPr>
                <w:rFonts w:cstheme="minorHAnsi"/>
                <w:color w:val="000000"/>
              </w:rPr>
              <w:t xml:space="preserve">Australian Peak Shippers Association </w:t>
            </w:r>
            <w:r w:rsidR="00C16831" w:rsidRPr="006C74A1">
              <w:rPr>
                <w:rFonts w:cstheme="minorHAnsi"/>
                <w:color w:val="000000"/>
              </w:rPr>
              <w:t>Inc.</w:t>
            </w:r>
          </w:p>
        </w:tc>
      </w:tr>
      <w:tr w:rsidR="005B779A" w:rsidRPr="00B703F0" w14:paraId="0A923B88" w14:textId="77777777" w:rsidTr="00CE7A6F">
        <w:trPr>
          <w:trHeight w:val="96"/>
        </w:trPr>
        <w:tc>
          <w:tcPr>
            <w:cnfStyle w:val="001000000000" w:firstRow="0" w:lastRow="0" w:firstColumn="1" w:lastColumn="0" w:oddVBand="0" w:evenVBand="0" w:oddHBand="0" w:evenHBand="0" w:firstRowFirstColumn="0" w:firstRowLastColumn="0" w:lastRowFirstColumn="0" w:lastRowLastColumn="0"/>
            <w:tcW w:w="2268" w:type="dxa"/>
          </w:tcPr>
          <w:p w14:paraId="43F9888E" w14:textId="77777777" w:rsidR="005B779A" w:rsidRPr="00B703F0" w:rsidRDefault="005B779A" w:rsidP="005B779A">
            <w:pPr>
              <w:rPr>
                <w:rFonts w:cstheme="minorHAnsi"/>
                <w:b w:val="0"/>
              </w:rPr>
            </w:pPr>
          </w:p>
        </w:tc>
        <w:tc>
          <w:tcPr>
            <w:tcW w:w="2552" w:type="dxa"/>
          </w:tcPr>
          <w:p w14:paraId="56F89018" w14:textId="77777777" w:rsidR="005B779A" w:rsidRPr="006C74A1" w:rsidRDefault="005B779A" w:rsidP="005B779A">
            <w:pPr>
              <w:cnfStyle w:val="000000000000" w:firstRow="0" w:lastRow="0" w:firstColumn="0" w:lastColumn="0" w:oddVBand="0" w:evenVBand="0" w:oddHBand="0" w:evenHBand="0" w:firstRowFirstColumn="0" w:firstRowLastColumn="0" w:lastRowFirstColumn="0" w:lastRowLastColumn="0"/>
              <w:rPr>
                <w:rFonts w:cstheme="minorHAnsi"/>
              </w:rPr>
            </w:pPr>
          </w:p>
        </w:tc>
        <w:tc>
          <w:tcPr>
            <w:tcW w:w="3118" w:type="dxa"/>
          </w:tcPr>
          <w:p w14:paraId="18BCC0C3" w14:textId="77777777" w:rsidR="005B779A" w:rsidRPr="006C74A1" w:rsidRDefault="005B779A" w:rsidP="005B779A">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6C74A1">
              <w:rPr>
                <w:rFonts w:cstheme="minorHAnsi"/>
                <w:color w:val="000000"/>
              </w:rPr>
              <w:t>EPA Tasmania</w:t>
            </w:r>
          </w:p>
        </w:tc>
        <w:tc>
          <w:tcPr>
            <w:tcW w:w="2429" w:type="dxa"/>
          </w:tcPr>
          <w:p w14:paraId="1C3BBCBA" w14:textId="77777777" w:rsidR="005B779A" w:rsidRPr="006C74A1" w:rsidRDefault="005B779A" w:rsidP="005B779A">
            <w:pPr>
              <w:cnfStyle w:val="000000000000" w:firstRow="0" w:lastRow="0" w:firstColumn="0" w:lastColumn="0" w:oddVBand="0" w:evenVBand="0" w:oddHBand="0" w:evenHBand="0" w:firstRowFirstColumn="0" w:firstRowLastColumn="0" w:lastRowFirstColumn="0" w:lastRowLastColumn="0"/>
              <w:rPr>
                <w:rFonts w:cstheme="minorHAnsi"/>
              </w:rPr>
            </w:pPr>
          </w:p>
        </w:tc>
        <w:tc>
          <w:tcPr>
            <w:tcW w:w="4253" w:type="dxa"/>
          </w:tcPr>
          <w:p w14:paraId="3AC3F4C7" w14:textId="11A2EF8D" w:rsidR="005B779A" w:rsidRPr="006C74A1" w:rsidRDefault="005B779A" w:rsidP="005B779A">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6C74A1">
              <w:rPr>
                <w:rFonts w:cstheme="minorHAnsi"/>
                <w:color w:val="000000"/>
              </w:rPr>
              <w:t>Bulk Liquids Industry Association</w:t>
            </w:r>
          </w:p>
        </w:tc>
      </w:tr>
      <w:tr w:rsidR="005B779A" w:rsidRPr="00B703F0" w14:paraId="17981118" w14:textId="77777777" w:rsidTr="00CE7A6F">
        <w:trPr>
          <w:cnfStyle w:val="000000010000" w:firstRow="0" w:lastRow="0" w:firstColumn="0" w:lastColumn="0" w:oddVBand="0" w:evenVBand="0" w:oddHBand="0" w:evenHBand="1" w:firstRowFirstColumn="0" w:firstRowLastColumn="0" w:lastRowFirstColumn="0" w:lastRowLastColumn="0"/>
          <w:trHeight w:val="96"/>
        </w:trPr>
        <w:tc>
          <w:tcPr>
            <w:cnfStyle w:val="001000000000" w:firstRow="0" w:lastRow="0" w:firstColumn="1" w:lastColumn="0" w:oddVBand="0" w:evenVBand="0" w:oddHBand="0" w:evenHBand="0" w:firstRowFirstColumn="0" w:firstRowLastColumn="0" w:lastRowFirstColumn="0" w:lastRowLastColumn="0"/>
            <w:tcW w:w="2268" w:type="dxa"/>
          </w:tcPr>
          <w:p w14:paraId="27027D97" w14:textId="77777777" w:rsidR="005B779A" w:rsidRPr="00B703F0" w:rsidRDefault="005B779A" w:rsidP="005B779A">
            <w:pPr>
              <w:rPr>
                <w:rFonts w:cstheme="minorHAnsi"/>
                <w:b w:val="0"/>
              </w:rPr>
            </w:pPr>
          </w:p>
        </w:tc>
        <w:tc>
          <w:tcPr>
            <w:tcW w:w="2552" w:type="dxa"/>
          </w:tcPr>
          <w:p w14:paraId="2598D1A4" w14:textId="77777777" w:rsidR="005B779A" w:rsidRPr="006C74A1" w:rsidRDefault="005B779A" w:rsidP="005B779A">
            <w:pPr>
              <w:cnfStyle w:val="000000010000" w:firstRow="0" w:lastRow="0" w:firstColumn="0" w:lastColumn="0" w:oddVBand="0" w:evenVBand="0" w:oddHBand="0" w:evenHBand="1" w:firstRowFirstColumn="0" w:firstRowLastColumn="0" w:lastRowFirstColumn="0" w:lastRowLastColumn="0"/>
              <w:rPr>
                <w:rFonts w:cstheme="minorHAnsi"/>
              </w:rPr>
            </w:pPr>
          </w:p>
        </w:tc>
        <w:tc>
          <w:tcPr>
            <w:tcW w:w="3118" w:type="dxa"/>
          </w:tcPr>
          <w:p w14:paraId="72AF3480" w14:textId="2313AD5F" w:rsidR="005B779A" w:rsidRPr="006C74A1" w:rsidRDefault="005B779A" w:rsidP="005B779A">
            <w:pPr>
              <w:spacing w:after="0"/>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rPr>
            </w:pPr>
            <w:r w:rsidRPr="006C74A1">
              <w:rPr>
                <w:rFonts w:cstheme="minorHAnsi"/>
                <w:color w:val="000000"/>
              </w:rPr>
              <w:t xml:space="preserve">Marine &amp; </w:t>
            </w:r>
            <w:r w:rsidRPr="006C74A1">
              <w:rPr>
                <w:color w:val="000000"/>
              </w:rPr>
              <w:t>Safety Tasmania*</w:t>
            </w:r>
            <w:r w:rsidR="00E60995" w:rsidRPr="006C74A1">
              <w:rPr>
                <w:rFonts w:cstheme="minorHAnsi"/>
                <w:color w:val="000000"/>
              </w:rPr>
              <w:t>^</w:t>
            </w:r>
          </w:p>
        </w:tc>
        <w:tc>
          <w:tcPr>
            <w:tcW w:w="2429" w:type="dxa"/>
          </w:tcPr>
          <w:p w14:paraId="467E0DFB" w14:textId="77777777" w:rsidR="005B779A" w:rsidRPr="006C74A1" w:rsidRDefault="005B779A" w:rsidP="005B779A">
            <w:pPr>
              <w:cnfStyle w:val="000000010000" w:firstRow="0" w:lastRow="0" w:firstColumn="0" w:lastColumn="0" w:oddVBand="0" w:evenVBand="0" w:oddHBand="0" w:evenHBand="1" w:firstRowFirstColumn="0" w:firstRowLastColumn="0" w:lastRowFirstColumn="0" w:lastRowLastColumn="0"/>
              <w:rPr>
                <w:rFonts w:cstheme="minorHAnsi"/>
              </w:rPr>
            </w:pPr>
          </w:p>
        </w:tc>
        <w:tc>
          <w:tcPr>
            <w:tcW w:w="4253" w:type="dxa"/>
          </w:tcPr>
          <w:p w14:paraId="6CEB3D35" w14:textId="32667ED7" w:rsidR="005B779A" w:rsidRPr="006C74A1" w:rsidRDefault="005B779A" w:rsidP="005B779A">
            <w:pPr>
              <w:spacing w:after="0"/>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rPr>
            </w:pPr>
            <w:r w:rsidRPr="006C74A1">
              <w:rPr>
                <w:rFonts w:cstheme="minorHAnsi"/>
                <w:color w:val="000000"/>
              </w:rPr>
              <w:t>Cement Industry Federation</w:t>
            </w:r>
          </w:p>
        </w:tc>
      </w:tr>
      <w:tr w:rsidR="005B779A" w:rsidRPr="00B703F0" w14:paraId="01A0602E" w14:textId="77777777" w:rsidTr="00CE7A6F">
        <w:trPr>
          <w:trHeight w:val="96"/>
        </w:trPr>
        <w:tc>
          <w:tcPr>
            <w:cnfStyle w:val="001000000000" w:firstRow="0" w:lastRow="0" w:firstColumn="1" w:lastColumn="0" w:oddVBand="0" w:evenVBand="0" w:oddHBand="0" w:evenHBand="0" w:firstRowFirstColumn="0" w:firstRowLastColumn="0" w:lastRowFirstColumn="0" w:lastRowLastColumn="0"/>
            <w:tcW w:w="2268" w:type="dxa"/>
          </w:tcPr>
          <w:p w14:paraId="3FD47C7E" w14:textId="77777777" w:rsidR="005B779A" w:rsidRPr="00B703F0" w:rsidRDefault="005B779A" w:rsidP="005B779A">
            <w:pPr>
              <w:rPr>
                <w:rFonts w:cstheme="minorHAnsi"/>
                <w:b w:val="0"/>
              </w:rPr>
            </w:pPr>
          </w:p>
        </w:tc>
        <w:tc>
          <w:tcPr>
            <w:tcW w:w="2552" w:type="dxa"/>
          </w:tcPr>
          <w:p w14:paraId="55B8BF25" w14:textId="77777777" w:rsidR="005B779A" w:rsidRPr="006C74A1" w:rsidRDefault="005B779A" w:rsidP="005B779A">
            <w:pPr>
              <w:cnfStyle w:val="000000000000" w:firstRow="0" w:lastRow="0" w:firstColumn="0" w:lastColumn="0" w:oddVBand="0" w:evenVBand="0" w:oddHBand="0" w:evenHBand="0" w:firstRowFirstColumn="0" w:firstRowLastColumn="0" w:lastRowFirstColumn="0" w:lastRowLastColumn="0"/>
              <w:rPr>
                <w:rFonts w:cstheme="minorHAnsi"/>
              </w:rPr>
            </w:pPr>
          </w:p>
        </w:tc>
        <w:tc>
          <w:tcPr>
            <w:tcW w:w="3118" w:type="dxa"/>
          </w:tcPr>
          <w:p w14:paraId="2B89D253" w14:textId="75021863" w:rsidR="005B779A" w:rsidRPr="006C74A1" w:rsidRDefault="005B779A" w:rsidP="005B779A">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6C74A1">
              <w:rPr>
                <w:rFonts w:cstheme="minorHAnsi"/>
                <w:color w:val="000000"/>
              </w:rPr>
              <w:t>Maritime Safety Queensland</w:t>
            </w:r>
            <w:r w:rsidR="00B46B77" w:rsidRPr="006C74A1">
              <w:rPr>
                <w:color w:val="000000"/>
              </w:rPr>
              <w:t>*</w:t>
            </w:r>
            <w:r w:rsidR="00D8414C" w:rsidRPr="006C74A1">
              <w:rPr>
                <w:rFonts w:cstheme="minorHAnsi"/>
                <w:color w:val="000000"/>
                <w:vertAlign w:val="superscript"/>
              </w:rPr>
              <w:t>#</w:t>
            </w:r>
            <w:r w:rsidR="006C74A1" w:rsidRPr="006C74A1">
              <w:rPr>
                <w:rFonts w:cstheme="minorHAnsi"/>
                <w:color w:val="000000"/>
              </w:rPr>
              <w:t>^</w:t>
            </w:r>
          </w:p>
        </w:tc>
        <w:tc>
          <w:tcPr>
            <w:tcW w:w="2429" w:type="dxa"/>
          </w:tcPr>
          <w:p w14:paraId="6156727F" w14:textId="77777777" w:rsidR="005B779A" w:rsidRPr="006C74A1" w:rsidRDefault="005B779A" w:rsidP="005B779A">
            <w:pPr>
              <w:cnfStyle w:val="000000000000" w:firstRow="0" w:lastRow="0" w:firstColumn="0" w:lastColumn="0" w:oddVBand="0" w:evenVBand="0" w:oddHBand="0" w:evenHBand="0" w:firstRowFirstColumn="0" w:firstRowLastColumn="0" w:lastRowFirstColumn="0" w:lastRowLastColumn="0"/>
              <w:rPr>
                <w:rFonts w:cstheme="minorHAnsi"/>
              </w:rPr>
            </w:pPr>
          </w:p>
        </w:tc>
        <w:tc>
          <w:tcPr>
            <w:tcW w:w="4253" w:type="dxa"/>
          </w:tcPr>
          <w:p w14:paraId="4C7362C1" w14:textId="042BA51A" w:rsidR="005B779A" w:rsidRPr="006C74A1" w:rsidRDefault="005B779A" w:rsidP="005B779A">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6C74A1">
              <w:rPr>
                <w:rFonts w:cstheme="minorHAnsi"/>
                <w:color w:val="000000"/>
              </w:rPr>
              <w:t>Cocks</w:t>
            </w:r>
            <w:r w:rsidR="008B1DFF" w:rsidRPr="006C74A1">
              <w:rPr>
                <w:rFonts w:cstheme="minorHAnsi"/>
                <w:color w:val="000000"/>
              </w:rPr>
              <w:t xml:space="preserve"> </w:t>
            </w:r>
            <w:r w:rsidRPr="006C74A1">
              <w:rPr>
                <w:rFonts w:cstheme="minorHAnsi"/>
                <w:color w:val="000000"/>
              </w:rPr>
              <w:t>Macnish</w:t>
            </w:r>
          </w:p>
        </w:tc>
      </w:tr>
      <w:tr w:rsidR="005B779A" w:rsidRPr="00B703F0" w14:paraId="5947722A" w14:textId="77777777" w:rsidTr="00CE7A6F">
        <w:trPr>
          <w:cnfStyle w:val="000000010000" w:firstRow="0" w:lastRow="0" w:firstColumn="0" w:lastColumn="0" w:oddVBand="0" w:evenVBand="0" w:oddHBand="0" w:evenHBand="1" w:firstRowFirstColumn="0" w:firstRowLastColumn="0" w:lastRowFirstColumn="0" w:lastRowLastColumn="0"/>
          <w:trHeight w:val="96"/>
        </w:trPr>
        <w:tc>
          <w:tcPr>
            <w:cnfStyle w:val="001000000000" w:firstRow="0" w:lastRow="0" w:firstColumn="1" w:lastColumn="0" w:oddVBand="0" w:evenVBand="0" w:oddHBand="0" w:evenHBand="0" w:firstRowFirstColumn="0" w:firstRowLastColumn="0" w:lastRowFirstColumn="0" w:lastRowLastColumn="0"/>
            <w:tcW w:w="2268" w:type="dxa"/>
          </w:tcPr>
          <w:p w14:paraId="009684EE" w14:textId="77777777" w:rsidR="005B779A" w:rsidRPr="00B703F0" w:rsidRDefault="005B779A" w:rsidP="005B779A">
            <w:pPr>
              <w:rPr>
                <w:rFonts w:cstheme="minorHAnsi"/>
                <w:b w:val="0"/>
              </w:rPr>
            </w:pPr>
          </w:p>
        </w:tc>
        <w:tc>
          <w:tcPr>
            <w:tcW w:w="2552" w:type="dxa"/>
          </w:tcPr>
          <w:p w14:paraId="29764520" w14:textId="77777777" w:rsidR="005B779A" w:rsidRPr="006C74A1" w:rsidRDefault="005B779A" w:rsidP="005B779A">
            <w:pPr>
              <w:cnfStyle w:val="000000010000" w:firstRow="0" w:lastRow="0" w:firstColumn="0" w:lastColumn="0" w:oddVBand="0" w:evenVBand="0" w:oddHBand="0" w:evenHBand="1" w:firstRowFirstColumn="0" w:firstRowLastColumn="0" w:lastRowFirstColumn="0" w:lastRowLastColumn="0"/>
              <w:rPr>
                <w:rFonts w:cstheme="minorHAnsi"/>
              </w:rPr>
            </w:pPr>
          </w:p>
        </w:tc>
        <w:tc>
          <w:tcPr>
            <w:tcW w:w="3118" w:type="dxa"/>
          </w:tcPr>
          <w:p w14:paraId="3946B779" w14:textId="77777777" w:rsidR="005B779A" w:rsidRPr="006C74A1" w:rsidRDefault="005B779A" w:rsidP="005B779A">
            <w:pPr>
              <w:spacing w:after="0"/>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rPr>
            </w:pPr>
            <w:r w:rsidRPr="006C74A1">
              <w:rPr>
                <w:rFonts w:cstheme="minorHAnsi"/>
                <w:color w:val="000000"/>
              </w:rPr>
              <w:t>Northern Territory EPA</w:t>
            </w:r>
          </w:p>
        </w:tc>
        <w:tc>
          <w:tcPr>
            <w:tcW w:w="2429" w:type="dxa"/>
          </w:tcPr>
          <w:p w14:paraId="68F97C27" w14:textId="77777777" w:rsidR="005B779A" w:rsidRPr="006C74A1" w:rsidRDefault="005B779A" w:rsidP="005B779A">
            <w:pPr>
              <w:cnfStyle w:val="000000010000" w:firstRow="0" w:lastRow="0" w:firstColumn="0" w:lastColumn="0" w:oddVBand="0" w:evenVBand="0" w:oddHBand="0" w:evenHBand="1" w:firstRowFirstColumn="0" w:firstRowLastColumn="0" w:lastRowFirstColumn="0" w:lastRowLastColumn="0"/>
              <w:rPr>
                <w:rFonts w:cstheme="minorHAnsi"/>
              </w:rPr>
            </w:pPr>
          </w:p>
        </w:tc>
        <w:tc>
          <w:tcPr>
            <w:tcW w:w="4253" w:type="dxa"/>
          </w:tcPr>
          <w:p w14:paraId="461CC892" w14:textId="689D9725" w:rsidR="005B779A" w:rsidRPr="006C74A1" w:rsidRDefault="005B779A" w:rsidP="005B779A">
            <w:pPr>
              <w:spacing w:after="0"/>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rPr>
            </w:pPr>
            <w:r w:rsidRPr="006C74A1">
              <w:rPr>
                <w:rFonts w:cstheme="minorHAnsi"/>
                <w:color w:val="000000"/>
              </w:rPr>
              <w:t>Colin Biggers &amp; Paisley*</w:t>
            </w:r>
          </w:p>
        </w:tc>
      </w:tr>
      <w:tr w:rsidR="005B779A" w:rsidRPr="00B703F0" w14:paraId="23909FBB" w14:textId="77777777" w:rsidTr="00CE7A6F">
        <w:trPr>
          <w:trHeight w:val="96"/>
        </w:trPr>
        <w:tc>
          <w:tcPr>
            <w:cnfStyle w:val="001000000000" w:firstRow="0" w:lastRow="0" w:firstColumn="1" w:lastColumn="0" w:oddVBand="0" w:evenVBand="0" w:oddHBand="0" w:evenHBand="0" w:firstRowFirstColumn="0" w:firstRowLastColumn="0" w:lastRowFirstColumn="0" w:lastRowLastColumn="0"/>
            <w:tcW w:w="2268" w:type="dxa"/>
          </w:tcPr>
          <w:p w14:paraId="24F38908" w14:textId="77777777" w:rsidR="005B779A" w:rsidRPr="00B703F0" w:rsidRDefault="005B779A" w:rsidP="005B779A">
            <w:pPr>
              <w:rPr>
                <w:rFonts w:cstheme="minorHAnsi"/>
                <w:b w:val="0"/>
              </w:rPr>
            </w:pPr>
          </w:p>
        </w:tc>
        <w:tc>
          <w:tcPr>
            <w:tcW w:w="2552" w:type="dxa"/>
          </w:tcPr>
          <w:p w14:paraId="2DDCAE3B" w14:textId="77777777" w:rsidR="005B779A" w:rsidRPr="00B703F0" w:rsidRDefault="005B779A" w:rsidP="005B779A">
            <w:pPr>
              <w:cnfStyle w:val="000000000000" w:firstRow="0" w:lastRow="0" w:firstColumn="0" w:lastColumn="0" w:oddVBand="0" w:evenVBand="0" w:oddHBand="0" w:evenHBand="0" w:firstRowFirstColumn="0" w:firstRowLastColumn="0" w:lastRowFirstColumn="0" w:lastRowLastColumn="0"/>
              <w:rPr>
                <w:rFonts w:cstheme="minorHAnsi"/>
              </w:rPr>
            </w:pPr>
          </w:p>
        </w:tc>
        <w:tc>
          <w:tcPr>
            <w:tcW w:w="3118" w:type="dxa"/>
          </w:tcPr>
          <w:p w14:paraId="0614DB5D" w14:textId="77777777" w:rsidR="005B779A" w:rsidRPr="00B703F0" w:rsidRDefault="005B779A" w:rsidP="005B779A">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B703F0">
              <w:rPr>
                <w:rFonts w:cstheme="minorHAnsi"/>
                <w:color w:val="000000"/>
              </w:rPr>
              <w:t>Transport for NSW</w:t>
            </w:r>
          </w:p>
        </w:tc>
        <w:tc>
          <w:tcPr>
            <w:tcW w:w="2429" w:type="dxa"/>
          </w:tcPr>
          <w:p w14:paraId="69302EAA" w14:textId="77777777" w:rsidR="005B779A" w:rsidRPr="00B703F0" w:rsidRDefault="005B779A" w:rsidP="005B779A">
            <w:pPr>
              <w:cnfStyle w:val="000000000000" w:firstRow="0" w:lastRow="0" w:firstColumn="0" w:lastColumn="0" w:oddVBand="0" w:evenVBand="0" w:oddHBand="0" w:evenHBand="0" w:firstRowFirstColumn="0" w:firstRowLastColumn="0" w:lastRowFirstColumn="0" w:lastRowLastColumn="0"/>
              <w:rPr>
                <w:rFonts w:cstheme="minorHAnsi"/>
              </w:rPr>
            </w:pPr>
          </w:p>
        </w:tc>
        <w:tc>
          <w:tcPr>
            <w:tcW w:w="4253" w:type="dxa"/>
          </w:tcPr>
          <w:p w14:paraId="787B0C37" w14:textId="77777777" w:rsidR="005B779A" w:rsidRPr="00B703F0" w:rsidRDefault="005B779A" w:rsidP="005B779A">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B703F0">
              <w:rPr>
                <w:rFonts w:cstheme="minorHAnsi"/>
                <w:color w:val="000000"/>
              </w:rPr>
              <w:t>Container Transport Alliance Australia</w:t>
            </w:r>
          </w:p>
        </w:tc>
      </w:tr>
      <w:tr w:rsidR="005B779A" w:rsidRPr="00B703F0" w14:paraId="0D09152D" w14:textId="77777777" w:rsidTr="00CE7A6F">
        <w:trPr>
          <w:cnfStyle w:val="000000010000" w:firstRow="0" w:lastRow="0" w:firstColumn="0" w:lastColumn="0" w:oddVBand="0" w:evenVBand="0" w:oddHBand="0" w:evenHBand="1" w:firstRowFirstColumn="0" w:firstRowLastColumn="0" w:lastRowFirstColumn="0" w:lastRowLastColumn="0"/>
          <w:trHeight w:val="96"/>
        </w:trPr>
        <w:tc>
          <w:tcPr>
            <w:cnfStyle w:val="001000000000" w:firstRow="0" w:lastRow="0" w:firstColumn="1" w:lastColumn="0" w:oddVBand="0" w:evenVBand="0" w:oddHBand="0" w:evenHBand="0" w:firstRowFirstColumn="0" w:firstRowLastColumn="0" w:lastRowFirstColumn="0" w:lastRowLastColumn="0"/>
            <w:tcW w:w="2268" w:type="dxa"/>
          </w:tcPr>
          <w:p w14:paraId="7E4C853F" w14:textId="77777777" w:rsidR="005B779A" w:rsidRPr="00B703F0" w:rsidRDefault="005B779A" w:rsidP="005B779A">
            <w:pPr>
              <w:rPr>
                <w:rFonts w:cstheme="minorHAnsi"/>
                <w:b w:val="0"/>
              </w:rPr>
            </w:pPr>
          </w:p>
        </w:tc>
        <w:tc>
          <w:tcPr>
            <w:tcW w:w="2552" w:type="dxa"/>
          </w:tcPr>
          <w:p w14:paraId="58A0CA8E" w14:textId="77777777" w:rsidR="005B779A" w:rsidRPr="00B703F0" w:rsidRDefault="005B779A" w:rsidP="005B779A">
            <w:pPr>
              <w:cnfStyle w:val="000000010000" w:firstRow="0" w:lastRow="0" w:firstColumn="0" w:lastColumn="0" w:oddVBand="0" w:evenVBand="0" w:oddHBand="0" w:evenHBand="1" w:firstRowFirstColumn="0" w:firstRowLastColumn="0" w:lastRowFirstColumn="0" w:lastRowLastColumn="0"/>
              <w:rPr>
                <w:rFonts w:cstheme="minorHAnsi"/>
              </w:rPr>
            </w:pPr>
          </w:p>
        </w:tc>
        <w:tc>
          <w:tcPr>
            <w:tcW w:w="3118" w:type="dxa"/>
          </w:tcPr>
          <w:p w14:paraId="2B878F6A" w14:textId="77777777" w:rsidR="005B779A" w:rsidRPr="00B703F0" w:rsidRDefault="005B779A" w:rsidP="005B779A">
            <w:pPr>
              <w:spacing w:after="0"/>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rPr>
            </w:pPr>
            <w:r w:rsidRPr="00B703F0">
              <w:rPr>
                <w:rFonts w:cstheme="minorHAnsi"/>
                <w:color w:val="000000"/>
              </w:rPr>
              <w:t>Transport Safety Victoria</w:t>
            </w:r>
          </w:p>
        </w:tc>
        <w:tc>
          <w:tcPr>
            <w:tcW w:w="2429" w:type="dxa"/>
          </w:tcPr>
          <w:p w14:paraId="0A95A995" w14:textId="77777777" w:rsidR="005B779A" w:rsidRPr="00B703F0" w:rsidRDefault="005B779A" w:rsidP="005B779A">
            <w:pPr>
              <w:cnfStyle w:val="000000010000" w:firstRow="0" w:lastRow="0" w:firstColumn="0" w:lastColumn="0" w:oddVBand="0" w:evenVBand="0" w:oddHBand="0" w:evenHBand="1" w:firstRowFirstColumn="0" w:firstRowLastColumn="0" w:lastRowFirstColumn="0" w:lastRowLastColumn="0"/>
              <w:rPr>
                <w:rFonts w:cstheme="minorHAnsi"/>
              </w:rPr>
            </w:pPr>
          </w:p>
        </w:tc>
        <w:tc>
          <w:tcPr>
            <w:tcW w:w="4253" w:type="dxa"/>
          </w:tcPr>
          <w:p w14:paraId="2A9764F7" w14:textId="77777777" w:rsidR="005B779A" w:rsidRPr="00B703F0" w:rsidRDefault="005B779A" w:rsidP="005B779A">
            <w:pPr>
              <w:spacing w:after="0"/>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rPr>
            </w:pPr>
            <w:r w:rsidRPr="00B703F0">
              <w:rPr>
                <w:rFonts w:cstheme="minorHAnsi"/>
                <w:color w:val="000000"/>
              </w:rPr>
              <w:t>Cruise Lines International Association</w:t>
            </w:r>
          </w:p>
        </w:tc>
      </w:tr>
      <w:tr w:rsidR="005B779A" w:rsidRPr="00B703F0" w14:paraId="39676EDB" w14:textId="77777777" w:rsidTr="00CE7A6F">
        <w:trPr>
          <w:trHeight w:val="96"/>
        </w:trPr>
        <w:tc>
          <w:tcPr>
            <w:cnfStyle w:val="001000000000" w:firstRow="0" w:lastRow="0" w:firstColumn="1" w:lastColumn="0" w:oddVBand="0" w:evenVBand="0" w:oddHBand="0" w:evenHBand="0" w:firstRowFirstColumn="0" w:firstRowLastColumn="0" w:lastRowFirstColumn="0" w:lastRowLastColumn="0"/>
            <w:tcW w:w="2268" w:type="dxa"/>
          </w:tcPr>
          <w:p w14:paraId="307E10BA" w14:textId="77777777" w:rsidR="005B779A" w:rsidRPr="00B703F0" w:rsidRDefault="005B779A" w:rsidP="005B779A">
            <w:pPr>
              <w:rPr>
                <w:rFonts w:cstheme="minorHAnsi"/>
                <w:b w:val="0"/>
              </w:rPr>
            </w:pPr>
          </w:p>
        </w:tc>
        <w:tc>
          <w:tcPr>
            <w:tcW w:w="2552" w:type="dxa"/>
          </w:tcPr>
          <w:p w14:paraId="6F547DF1" w14:textId="77777777" w:rsidR="005B779A" w:rsidRPr="00B703F0" w:rsidRDefault="005B779A" w:rsidP="005B779A">
            <w:pPr>
              <w:cnfStyle w:val="000000000000" w:firstRow="0" w:lastRow="0" w:firstColumn="0" w:lastColumn="0" w:oddVBand="0" w:evenVBand="0" w:oddHBand="0" w:evenHBand="0" w:firstRowFirstColumn="0" w:firstRowLastColumn="0" w:lastRowFirstColumn="0" w:lastRowLastColumn="0"/>
              <w:rPr>
                <w:rFonts w:cstheme="minorHAnsi"/>
              </w:rPr>
            </w:pPr>
          </w:p>
        </w:tc>
        <w:tc>
          <w:tcPr>
            <w:tcW w:w="3118" w:type="dxa"/>
          </w:tcPr>
          <w:p w14:paraId="1770869B" w14:textId="77777777" w:rsidR="005B779A" w:rsidRPr="00B703F0" w:rsidRDefault="005B779A" w:rsidP="005B779A">
            <w:pPr>
              <w:cnfStyle w:val="000000000000" w:firstRow="0" w:lastRow="0" w:firstColumn="0" w:lastColumn="0" w:oddVBand="0" w:evenVBand="0" w:oddHBand="0" w:evenHBand="0" w:firstRowFirstColumn="0" w:firstRowLastColumn="0" w:lastRowFirstColumn="0" w:lastRowLastColumn="0"/>
              <w:rPr>
                <w:rFonts w:cstheme="minorHAnsi"/>
              </w:rPr>
            </w:pPr>
          </w:p>
        </w:tc>
        <w:tc>
          <w:tcPr>
            <w:tcW w:w="2429" w:type="dxa"/>
          </w:tcPr>
          <w:p w14:paraId="52E8AC1E" w14:textId="77777777" w:rsidR="005B779A" w:rsidRPr="00B703F0" w:rsidRDefault="005B779A" w:rsidP="005B779A">
            <w:pPr>
              <w:cnfStyle w:val="000000000000" w:firstRow="0" w:lastRow="0" w:firstColumn="0" w:lastColumn="0" w:oddVBand="0" w:evenVBand="0" w:oddHBand="0" w:evenHBand="0" w:firstRowFirstColumn="0" w:firstRowLastColumn="0" w:lastRowFirstColumn="0" w:lastRowLastColumn="0"/>
              <w:rPr>
                <w:rFonts w:cstheme="minorHAnsi"/>
              </w:rPr>
            </w:pPr>
          </w:p>
        </w:tc>
        <w:tc>
          <w:tcPr>
            <w:tcW w:w="4253" w:type="dxa"/>
          </w:tcPr>
          <w:p w14:paraId="431FE380" w14:textId="77777777" w:rsidR="005B779A" w:rsidRPr="00B703F0" w:rsidRDefault="005B779A" w:rsidP="005B779A">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B703F0">
              <w:rPr>
                <w:rFonts w:cstheme="minorHAnsi"/>
                <w:color w:val="000000"/>
              </w:rPr>
              <w:t>Customs Brokers and Forwarders Council of Australia</w:t>
            </w:r>
          </w:p>
        </w:tc>
      </w:tr>
      <w:tr w:rsidR="005B779A" w:rsidRPr="00B703F0" w14:paraId="14C305C4" w14:textId="77777777" w:rsidTr="00CE7A6F">
        <w:trPr>
          <w:cnfStyle w:val="000000010000" w:firstRow="0" w:lastRow="0" w:firstColumn="0" w:lastColumn="0" w:oddVBand="0" w:evenVBand="0" w:oddHBand="0" w:evenHBand="1" w:firstRowFirstColumn="0" w:firstRowLastColumn="0" w:lastRowFirstColumn="0" w:lastRowLastColumn="0"/>
          <w:trHeight w:val="96"/>
        </w:trPr>
        <w:tc>
          <w:tcPr>
            <w:cnfStyle w:val="001000000000" w:firstRow="0" w:lastRow="0" w:firstColumn="1" w:lastColumn="0" w:oddVBand="0" w:evenVBand="0" w:oddHBand="0" w:evenHBand="0" w:firstRowFirstColumn="0" w:firstRowLastColumn="0" w:lastRowFirstColumn="0" w:lastRowLastColumn="0"/>
            <w:tcW w:w="2268" w:type="dxa"/>
          </w:tcPr>
          <w:p w14:paraId="50149ABA" w14:textId="77777777" w:rsidR="005B779A" w:rsidRPr="00B703F0" w:rsidRDefault="005B779A" w:rsidP="005B779A">
            <w:pPr>
              <w:rPr>
                <w:rFonts w:cstheme="minorHAnsi"/>
                <w:b w:val="0"/>
              </w:rPr>
            </w:pPr>
          </w:p>
        </w:tc>
        <w:tc>
          <w:tcPr>
            <w:tcW w:w="2552" w:type="dxa"/>
          </w:tcPr>
          <w:p w14:paraId="4180C33D" w14:textId="77777777" w:rsidR="005B779A" w:rsidRPr="00B703F0" w:rsidRDefault="005B779A" w:rsidP="005B779A">
            <w:pPr>
              <w:cnfStyle w:val="000000010000" w:firstRow="0" w:lastRow="0" w:firstColumn="0" w:lastColumn="0" w:oddVBand="0" w:evenVBand="0" w:oddHBand="0" w:evenHBand="1" w:firstRowFirstColumn="0" w:firstRowLastColumn="0" w:lastRowFirstColumn="0" w:lastRowLastColumn="0"/>
              <w:rPr>
                <w:rFonts w:cstheme="minorHAnsi"/>
              </w:rPr>
            </w:pPr>
          </w:p>
        </w:tc>
        <w:tc>
          <w:tcPr>
            <w:tcW w:w="3118" w:type="dxa"/>
          </w:tcPr>
          <w:p w14:paraId="03CEC3B2" w14:textId="77777777" w:rsidR="005B779A" w:rsidRPr="00B703F0" w:rsidRDefault="005B779A" w:rsidP="005B779A">
            <w:pPr>
              <w:cnfStyle w:val="000000010000" w:firstRow="0" w:lastRow="0" w:firstColumn="0" w:lastColumn="0" w:oddVBand="0" w:evenVBand="0" w:oddHBand="0" w:evenHBand="1" w:firstRowFirstColumn="0" w:firstRowLastColumn="0" w:lastRowFirstColumn="0" w:lastRowLastColumn="0"/>
              <w:rPr>
                <w:rFonts w:cstheme="minorHAnsi"/>
              </w:rPr>
            </w:pPr>
          </w:p>
        </w:tc>
        <w:tc>
          <w:tcPr>
            <w:tcW w:w="2429" w:type="dxa"/>
          </w:tcPr>
          <w:p w14:paraId="2E36308C" w14:textId="77777777" w:rsidR="005B779A" w:rsidRPr="00B703F0" w:rsidRDefault="005B779A" w:rsidP="005B779A">
            <w:pPr>
              <w:cnfStyle w:val="000000010000" w:firstRow="0" w:lastRow="0" w:firstColumn="0" w:lastColumn="0" w:oddVBand="0" w:evenVBand="0" w:oddHBand="0" w:evenHBand="1" w:firstRowFirstColumn="0" w:firstRowLastColumn="0" w:lastRowFirstColumn="0" w:lastRowLastColumn="0"/>
              <w:rPr>
                <w:rFonts w:cstheme="minorHAnsi"/>
              </w:rPr>
            </w:pPr>
          </w:p>
        </w:tc>
        <w:tc>
          <w:tcPr>
            <w:tcW w:w="4253" w:type="dxa"/>
          </w:tcPr>
          <w:p w14:paraId="6FF13D21" w14:textId="77777777" w:rsidR="005B779A" w:rsidRPr="00B703F0" w:rsidRDefault="005B779A" w:rsidP="005B779A">
            <w:pPr>
              <w:spacing w:after="0"/>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rPr>
            </w:pPr>
            <w:r w:rsidRPr="00B703F0">
              <w:rPr>
                <w:rFonts w:cstheme="minorHAnsi"/>
                <w:color w:val="000000"/>
              </w:rPr>
              <w:t>Freight and Trade Alliance and Australian Peak Shippers Association</w:t>
            </w:r>
          </w:p>
        </w:tc>
      </w:tr>
      <w:tr w:rsidR="00891466" w:rsidRPr="00B703F0" w14:paraId="69B1B19F" w14:textId="77777777" w:rsidTr="00CE7A6F">
        <w:trPr>
          <w:trHeight w:val="96"/>
        </w:trPr>
        <w:tc>
          <w:tcPr>
            <w:cnfStyle w:val="001000000000" w:firstRow="0" w:lastRow="0" w:firstColumn="1" w:lastColumn="0" w:oddVBand="0" w:evenVBand="0" w:oddHBand="0" w:evenHBand="0" w:firstRowFirstColumn="0" w:firstRowLastColumn="0" w:lastRowFirstColumn="0" w:lastRowLastColumn="0"/>
            <w:tcW w:w="2268" w:type="dxa"/>
          </w:tcPr>
          <w:p w14:paraId="2F3AA77A" w14:textId="77777777" w:rsidR="00891466" w:rsidRPr="00B703F0" w:rsidRDefault="00891466" w:rsidP="005B779A">
            <w:pPr>
              <w:rPr>
                <w:rFonts w:cstheme="minorHAnsi"/>
                <w:b w:val="0"/>
              </w:rPr>
            </w:pPr>
          </w:p>
        </w:tc>
        <w:tc>
          <w:tcPr>
            <w:tcW w:w="2552" w:type="dxa"/>
          </w:tcPr>
          <w:p w14:paraId="7837CA9C" w14:textId="77777777" w:rsidR="00891466" w:rsidRPr="00B703F0" w:rsidRDefault="00891466" w:rsidP="005B779A">
            <w:pPr>
              <w:cnfStyle w:val="000000000000" w:firstRow="0" w:lastRow="0" w:firstColumn="0" w:lastColumn="0" w:oddVBand="0" w:evenVBand="0" w:oddHBand="0" w:evenHBand="0" w:firstRowFirstColumn="0" w:firstRowLastColumn="0" w:lastRowFirstColumn="0" w:lastRowLastColumn="0"/>
              <w:rPr>
                <w:rFonts w:cstheme="minorHAnsi"/>
              </w:rPr>
            </w:pPr>
          </w:p>
        </w:tc>
        <w:tc>
          <w:tcPr>
            <w:tcW w:w="3118" w:type="dxa"/>
          </w:tcPr>
          <w:p w14:paraId="0F64B3F7" w14:textId="77777777" w:rsidR="00891466" w:rsidRPr="00B703F0" w:rsidRDefault="00891466" w:rsidP="005B779A">
            <w:pPr>
              <w:cnfStyle w:val="000000000000" w:firstRow="0" w:lastRow="0" w:firstColumn="0" w:lastColumn="0" w:oddVBand="0" w:evenVBand="0" w:oddHBand="0" w:evenHBand="0" w:firstRowFirstColumn="0" w:firstRowLastColumn="0" w:lastRowFirstColumn="0" w:lastRowLastColumn="0"/>
              <w:rPr>
                <w:rFonts w:cstheme="minorHAnsi"/>
              </w:rPr>
            </w:pPr>
          </w:p>
        </w:tc>
        <w:tc>
          <w:tcPr>
            <w:tcW w:w="2429" w:type="dxa"/>
          </w:tcPr>
          <w:p w14:paraId="2558D6C9" w14:textId="77777777" w:rsidR="00891466" w:rsidRPr="00B703F0" w:rsidRDefault="00891466" w:rsidP="005B779A">
            <w:pPr>
              <w:cnfStyle w:val="000000000000" w:firstRow="0" w:lastRow="0" w:firstColumn="0" w:lastColumn="0" w:oddVBand="0" w:evenVBand="0" w:oddHBand="0" w:evenHBand="0" w:firstRowFirstColumn="0" w:firstRowLastColumn="0" w:lastRowFirstColumn="0" w:lastRowLastColumn="0"/>
              <w:rPr>
                <w:rFonts w:cstheme="minorHAnsi"/>
              </w:rPr>
            </w:pPr>
          </w:p>
        </w:tc>
        <w:tc>
          <w:tcPr>
            <w:tcW w:w="4253" w:type="dxa"/>
          </w:tcPr>
          <w:p w14:paraId="5C349E81" w14:textId="5E52DF0E" w:rsidR="00891466" w:rsidRPr="00B703F0" w:rsidRDefault="00891466" w:rsidP="005B779A">
            <w:pPr>
              <w:spacing w:after="0"/>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Insurance Council of Australia</w:t>
            </w:r>
            <w:r w:rsidR="006C74A1">
              <w:rPr>
                <w:rFonts w:cstheme="minorHAnsi"/>
                <w:color w:val="000000"/>
              </w:rPr>
              <w:t>^</w:t>
            </w:r>
          </w:p>
        </w:tc>
      </w:tr>
      <w:tr w:rsidR="005B779A" w:rsidRPr="00B703F0" w14:paraId="2CA516C4" w14:textId="77777777" w:rsidTr="00CE7A6F">
        <w:trPr>
          <w:cnfStyle w:val="000000010000" w:firstRow="0" w:lastRow="0" w:firstColumn="0" w:lastColumn="0" w:oddVBand="0" w:evenVBand="0" w:oddHBand="0" w:evenHBand="1" w:firstRowFirstColumn="0" w:firstRowLastColumn="0" w:lastRowFirstColumn="0" w:lastRowLastColumn="0"/>
          <w:trHeight w:val="96"/>
        </w:trPr>
        <w:tc>
          <w:tcPr>
            <w:cnfStyle w:val="001000000000" w:firstRow="0" w:lastRow="0" w:firstColumn="1" w:lastColumn="0" w:oddVBand="0" w:evenVBand="0" w:oddHBand="0" w:evenHBand="0" w:firstRowFirstColumn="0" w:firstRowLastColumn="0" w:lastRowFirstColumn="0" w:lastRowLastColumn="0"/>
            <w:tcW w:w="2268" w:type="dxa"/>
          </w:tcPr>
          <w:p w14:paraId="18C0DD8A" w14:textId="77777777" w:rsidR="005B779A" w:rsidRPr="00B703F0" w:rsidRDefault="005B779A" w:rsidP="005B779A">
            <w:pPr>
              <w:rPr>
                <w:rFonts w:cstheme="minorHAnsi"/>
                <w:b w:val="0"/>
              </w:rPr>
            </w:pPr>
          </w:p>
        </w:tc>
        <w:tc>
          <w:tcPr>
            <w:tcW w:w="2552" w:type="dxa"/>
          </w:tcPr>
          <w:p w14:paraId="39FFA67D" w14:textId="77777777" w:rsidR="005B779A" w:rsidRPr="00B703F0" w:rsidRDefault="005B779A" w:rsidP="005B779A">
            <w:pPr>
              <w:cnfStyle w:val="000000010000" w:firstRow="0" w:lastRow="0" w:firstColumn="0" w:lastColumn="0" w:oddVBand="0" w:evenVBand="0" w:oddHBand="0" w:evenHBand="1" w:firstRowFirstColumn="0" w:firstRowLastColumn="0" w:lastRowFirstColumn="0" w:lastRowLastColumn="0"/>
              <w:rPr>
                <w:rFonts w:cstheme="minorHAnsi"/>
              </w:rPr>
            </w:pPr>
          </w:p>
        </w:tc>
        <w:tc>
          <w:tcPr>
            <w:tcW w:w="3118" w:type="dxa"/>
          </w:tcPr>
          <w:p w14:paraId="1FA2DB75" w14:textId="77777777" w:rsidR="005B779A" w:rsidRPr="00B703F0" w:rsidRDefault="005B779A" w:rsidP="005B779A">
            <w:pPr>
              <w:cnfStyle w:val="000000010000" w:firstRow="0" w:lastRow="0" w:firstColumn="0" w:lastColumn="0" w:oddVBand="0" w:evenVBand="0" w:oddHBand="0" w:evenHBand="1" w:firstRowFirstColumn="0" w:firstRowLastColumn="0" w:lastRowFirstColumn="0" w:lastRowLastColumn="0"/>
              <w:rPr>
                <w:rFonts w:cstheme="minorHAnsi"/>
              </w:rPr>
            </w:pPr>
          </w:p>
        </w:tc>
        <w:tc>
          <w:tcPr>
            <w:tcW w:w="2429" w:type="dxa"/>
          </w:tcPr>
          <w:p w14:paraId="45C9ED5F" w14:textId="77777777" w:rsidR="005B779A" w:rsidRPr="00B703F0" w:rsidRDefault="005B779A" w:rsidP="005B779A">
            <w:pPr>
              <w:cnfStyle w:val="000000010000" w:firstRow="0" w:lastRow="0" w:firstColumn="0" w:lastColumn="0" w:oddVBand="0" w:evenVBand="0" w:oddHBand="0" w:evenHBand="1" w:firstRowFirstColumn="0" w:firstRowLastColumn="0" w:lastRowFirstColumn="0" w:lastRowLastColumn="0"/>
              <w:rPr>
                <w:rFonts w:cstheme="minorHAnsi"/>
              </w:rPr>
            </w:pPr>
          </w:p>
        </w:tc>
        <w:tc>
          <w:tcPr>
            <w:tcW w:w="4253" w:type="dxa"/>
          </w:tcPr>
          <w:p w14:paraId="6EA4357E" w14:textId="7EA6020D" w:rsidR="005B779A" w:rsidRPr="00B703F0" w:rsidRDefault="005B779A" w:rsidP="005B779A">
            <w:pPr>
              <w:spacing w:after="0"/>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rPr>
            </w:pPr>
            <w:r w:rsidRPr="00B703F0">
              <w:rPr>
                <w:rFonts w:cstheme="minorHAnsi"/>
                <w:color w:val="000000"/>
              </w:rPr>
              <w:t>International Chamber of Shipping</w:t>
            </w:r>
            <w:r w:rsidRPr="006C74A1">
              <w:rPr>
                <w:rFonts w:cstheme="minorHAnsi"/>
                <w:color w:val="000000"/>
              </w:rPr>
              <w:t>*</w:t>
            </w:r>
            <w:r w:rsidRPr="006C74A1">
              <w:rPr>
                <w:rFonts w:cstheme="minorHAnsi"/>
                <w:color w:val="000000"/>
                <w:vertAlign w:val="superscript"/>
              </w:rPr>
              <w:t>#</w:t>
            </w:r>
            <w:r w:rsidR="006C74A1" w:rsidRPr="006C74A1">
              <w:rPr>
                <w:rFonts w:cstheme="minorHAnsi"/>
                <w:color w:val="000000"/>
              </w:rPr>
              <w:t>^</w:t>
            </w:r>
          </w:p>
        </w:tc>
      </w:tr>
      <w:tr w:rsidR="005B779A" w:rsidRPr="00B703F0" w14:paraId="3681CAB6" w14:textId="77777777" w:rsidTr="00CE7A6F">
        <w:trPr>
          <w:trHeight w:val="96"/>
        </w:trPr>
        <w:tc>
          <w:tcPr>
            <w:cnfStyle w:val="001000000000" w:firstRow="0" w:lastRow="0" w:firstColumn="1" w:lastColumn="0" w:oddVBand="0" w:evenVBand="0" w:oddHBand="0" w:evenHBand="0" w:firstRowFirstColumn="0" w:firstRowLastColumn="0" w:lastRowFirstColumn="0" w:lastRowLastColumn="0"/>
            <w:tcW w:w="2268" w:type="dxa"/>
          </w:tcPr>
          <w:p w14:paraId="415EAF5D" w14:textId="77777777" w:rsidR="005B779A" w:rsidRPr="00B703F0" w:rsidRDefault="005B779A" w:rsidP="005B779A">
            <w:pPr>
              <w:rPr>
                <w:rFonts w:cstheme="minorHAnsi"/>
                <w:b w:val="0"/>
              </w:rPr>
            </w:pPr>
          </w:p>
        </w:tc>
        <w:tc>
          <w:tcPr>
            <w:tcW w:w="2552" w:type="dxa"/>
          </w:tcPr>
          <w:p w14:paraId="687A5188" w14:textId="77777777" w:rsidR="005B779A" w:rsidRPr="00B703F0" w:rsidRDefault="005B779A" w:rsidP="005B779A">
            <w:pPr>
              <w:cnfStyle w:val="000000000000" w:firstRow="0" w:lastRow="0" w:firstColumn="0" w:lastColumn="0" w:oddVBand="0" w:evenVBand="0" w:oddHBand="0" w:evenHBand="0" w:firstRowFirstColumn="0" w:firstRowLastColumn="0" w:lastRowFirstColumn="0" w:lastRowLastColumn="0"/>
              <w:rPr>
                <w:rFonts w:cstheme="minorHAnsi"/>
              </w:rPr>
            </w:pPr>
          </w:p>
        </w:tc>
        <w:tc>
          <w:tcPr>
            <w:tcW w:w="3118" w:type="dxa"/>
          </w:tcPr>
          <w:p w14:paraId="3796CAF0" w14:textId="77777777" w:rsidR="005B779A" w:rsidRPr="00B703F0" w:rsidRDefault="005B779A" w:rsidP="005B779A">
            <w:pPr>
              <w:cnfStyle w:val="000000000000" w:firstRow="0" w:lastRow="0" w:firstColumn="0" w:lastColumn="0" w:oddVBand="0" w:evenVBand="0" w:oddHBand="0" w:evenHBand="0" w:firstRowFirstColumn="0" w:firstRowLastColumn="0" w:lastRowFirstColumn="0" w:lastRowLastColumn="0"/>
              <w:rPr>
                <w:rFonts w:cstheme="minorHAnsi"/>
              </w:rPr>
            </w:pPr>
          </w:p>
        </w:tc>
        <w:tc>
          <w:tcPr>
            <w:tcW w:w="2429" w:type="dxa"/>
          </w:tcPr>
          <w:p w14:paraId="2EF42EAF" w14:textId="77777777" w:rsidR="005B779A" w:rsidRPr="00B703F0" w:rsidRDefault="005B779A" w:rsidP="005B779A">
            <w:pPr>
              <w:cnfStyle w:val="000000000000" w:firstRow="0" w:lastRow="0" w:firstColumn="0" w:lastColumn="0" w:oddVBand="0" w:evenVBand="0" w:oddHBand="0" w:evenHBand="0" w:firstRowFirstColumn="0" w:firstRowLastColumn="0" w:lastRowFirstColumn="0" w:lastRowLastColumn="0"/>
              <w:rPr>
                <w:rFonts w:cstheme="minorHAnsi"/>
              </w:rPr>
            </w:pPr>
          </w:p>
        </w:tc>
        <w:tc>
          <w:tcPr>
            <w:tcW w:w="4253" w:type="dxa"/>
          </w:tcPr>
          <w:p w14:paraId="68AFACB7" w14:textId="304125F6" w:rsidR="005B779A" w:rsidRPr="00B703F0" w:rsidRDefault="005B779A" w:rsidP="005B779A">
            <w:pPr>
              <w:spacing w:after="0"/>
              <w:cnfStyle w:val="000000000000" w:firstRow="0" w:lastRow="0" w:firstColumn="0" w:lastColumn="0" w:oddVBand="0" w:evenVBand="0" w:oddHBand="0" w:evenHBand="0" w:firstRowFirstColumn="0" w:firstRowLastColumn="0" w:lastRowFirstColumn="0" w:lastRowLastColumn="0"/>
              <w:rPr>
                <w:rFonts w:cstheme="minorHAnsi"/>
                <w:color w:val="000000"/>
              </w:rPr>
            </w:pPr>
            <w:r w:rsidRPr="00B703F0">
              <w:rPr>
                <w:rFonts w:cstheme="minorHAnsi"/>
                <w:color w:val="000000"/>
              </w:rPr>
              <w:t>International Group of P&amp;I Clubs</w:t>
            </w:r>
            <w:r w:rsidRPr="006C74A1">
              <w:rPr>
                <w:rFonts w:cstheme="minorHAnsi"/>
                <w:color w:val="000000"/>
              </w:rPr>
              <w:t>*</w:t>
            </w:r>
            <w:r w:rsidRPr="006C74A1">
              <w:rPr>
                <w:rFonts w:cstheme="minorHAnsi"/>
                <w:color w:val="000000"/>
                <w:vertAlign w:val="superscript"/>
              </w:rPr>
              <w:t>#</w:t>
            </w:r>
            <w:r w:rsidR="006C74A1" w:rsidRPr="006C74A1">
              <w:rPr>
                <w:rFonts w:cstheme="minorHAnsi"/>
                <w:color w:val="000000"/>
              </w:rPr>
              <w:t>^</w:t>
            </w:r>
          </w:p>
        </w:tc>
      </w:tr>
      <w:tr w:rsidR="005B779A" w:rsidRPr="00B703F0" w14:paraId="3A0A397C" w14:textId="77777777" w:rsidTr="00CE7A6F">
        <w:trPr>
          <w:cnfStyle w:val="000000010000" w:firstRow="0" w:lastRow="0" w:firstColumn="0" w:lastColumn="0" w:oddVBand="0" w:evenVBand="0" w:oddHBand="0" w:evenHBand="1" w:firstRowFirstColumn="0" w:firstRowLastColumn="0" w:lastRowFirstColumn="0" w:lastRowLastColumn="0"/>
          <w:trHeight w:val="96"/>
        </w:trPr>
        <w:tc>
          <w:tcPr>
            <w:cnfStyle w:val="001000000000" w:firstRow="0" w:lastRow="0" w:firstColumn="1" w:lastColumn="0" w:oddVBand="0" w:evenVBand="0" w:oddHBand="0" w:evenHBand="0" w:firstRowFirstColumn="0" w:firstRowLastColumn="0" w:lastRowFirstColumn="0" w:lastRowLastColumn="0"/>
            <w:tcW w:w="2268" w:type="dxa"/>
          </w:tcPr>
          <w:p w14:paraId="54671792" w14:textId="77777777" w:rsidR="005B779A" w:rsidRPr="00B703F0" w:rsidRDefault="005B779A" w:rsidP="005B779A">
            <w:pPr>
              <w:rPr>
                <w:rFonts w:cstheme="minorHAnsi"/>
                <w:b w:val="0"/>
              </w:rPr>
            </w:pPr>
          </w:p>
        </w:tc>
        <w:tc>
          <w:tcPr>
            <w:tcW w:w="2552" w:type="dxa"/>
          </w:tcPr>
          <w:p w14:paraId="120028FD" w14:textId="77777777" w:rsidR="005B779A" w:rsidRPr="00B703F0" w:rsidRDefault="005B779A" w:rsidP="005B779A">
            <w:pPr>
              <w:cnfStyle w:val="000000010000" w:firstRow="0" w:lastRow="0" w:firstColumn="0" w:lastColumn="0" w:oddVBand="0" w:evenVBand="0" w:oddHBand="0" w:evenHBand="1" w:firstRowFirstColumn="0" w:firstRowLastColumn="0" w:lastRowFirstColumn="0" w:lastRowLastColumn="0"/>
              <w:rPr>
                <w:rFonts w:cstheme="minorHAnsi"/>
              </w:rPr>
            </w:pPr>
          </w:p>
        </w:tc>
        <w:tc>
          <w:tcPr>
            <w:tcW w:w="3118" w:type="dxa"/>
          </w:tcPr>
          <w:p w14:paraId="2B31296F" w14:textId="77777777" w:rsidR="005B779A" w:rsidRPr="00B703F0" w:rsidRDefault="005B779A" w:rsidP="005B779A">
            <w:pPr>
              <w:cnfStyle w:val="000000010000" w:firstRow="0" w:lastRow="0" w:firstColumn="0" w:lastColumn="0" w:oddVBand="0" w:evenVBand="0" w:oddHBand="0" w:evenHBand="1" w:firstRowFirstColumn="0" w:firstRowLastColumn="0" w:lastRowFirstColumn="0" w:lastRowLastColumn="0"/>
              <w:rPr>
                <w:rFonts w:cstheme="minorHAnsi"/>
              </w:rPr>
            </w:pPr>
          </w:p>
        </w:tc>
        <w:tc>
          <w:tcPr>
            <w:tcW w:w="2429" w:type="dxa"/>
          </w:tcPr>
          <w:p w14:paraId="180F51A8" w14:textId="77777777" w:rsidR="005B779A" w:rsidRPr="00B703F0" w:rsidRDefault="005B779A" w:rsidP="005B779A">
            <w:pPr>
              <w:cnfStyle w:val="000000010000" w:firstRow="0" w:lastRow="0" w:firstColumn="0" w:lastColumn="0" w:oddVBand="0" w:evenVBand="0" w:oddHBand="0" w:evenHBand="1" w:firstRowFirstColumn="0" w:firstRowLastColumn="0" w:lastRowFirstColumn="0" w:lastRowLastColumn="0"/>
              <w:rPr>
                <w:rFonts w:cstheme="minorHAnsi"/>
              </w:rPr>
            </w:pPr>
          </w:p>
        </w:tc>
        <w:tc>
          <w:tcPr>
            <w:tcW w:w="4253" w:type="dxa"/>
          </w:tcPr>
          <w:p w14:paraId="1EBC54B4" w14:textId="63787B8A" w:rsidR="005B779A" w:rsidRPr="00B703F0" w:rsidRDefault="005B779A" w:rsidP="005B779A">
            <w:pPr>
              <w:spacing w:after="0"/>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rPr>
            </w:pPr>
            <w:r w:rsidRPr="00B703F0">
              <w:rPr>
                <w:rFonts w:cstheme="minorHAnsi"/>
                <w:color w:val="000000"/>
              </w:rPr>
              <w:t>Maritime Industry Australia Ltd</w:t>
            </w:r>
            <w:r w:rsidRPr="006C74A1">
              <w:rPr>
                <w:rFonts w:cstheme="minorHAnsi"/>
                <w:color w:val="000000"/>
              </w:rPr>
              <w:t>*</w:t>
            </w:r>
          </w:p>
        </w:tc>
      </w:tr>
      <w:tr w:rsidR="005B779A" w:rsidRPr="00B703F0" w14:paraId="342E7FC4" w14:textId="77777777" w:rsidTr="00CE7A6F">
        <w:trPr>
          <w:trHeight w:val="96"/>
        </w:trPr>
        <w:tc>
          <w:tcPr>
            <w:cnfStyle w:val="001000000000" w:firstRow="0" w:lastRow="0" w:firstColumn="1" w:lastColumn="0" w:oddVBand="0" w:evenVBand="0" w:oddHBand="0" w:evenHBand="0" w:firstRowFirstColumn="0" w:firstRowLastColumn="0" w:lastRowFirstColumn="0" w:lastRowLastColumn="0"/>
            <w:tcW w:w="2268" w:type="dxa"/>
          </w:tcPr>
          <w:p w14:paraId="354C1773" w14:textId="77777777" w:rsidR="005B779A" w:rsidRPr="00B703F0" w:rsidRDefault="005B779A" w:rsidP="005B779A">
            <w:pPr>
              <w:rPr>
                <w:rFonts w:cstheme="minorHAnsi"/>
                <w:b w:val="0"/>
              </w:rPr>
            </w:pPr>
          </w:p>
        </w:tc>
        <w:tc>
          <w:tcPr>
            <w:tcW w:w="2552" w:type="dxa"/>
          </w:tcPr>
          <w:p w14:paraId="432C629B" w14:textId="77777777" w:rsidR="005B779A" w:rsidRPr="00B703F0" w:rsidRDefault="005B779A" w:rsidP="005B779A">
            <w:pPr>
              <w:cnfStyle w:val="000000000000" w:firstRow="0" w:lastRow="0" w:firstColumn="0" w:lastColumn="0" w:oddVBand="0" w:evenVBand="0" w:oddHBand="0" w:evenHBand="0" w:firstRowFirstColumn="0" w:firstRowLastColumn="0" w:lastRowFirstColumn="0" w:lastRowLastColumn="0"/>
              <w:rPr>
                <w:rFonts w:cstheme="minorHAnsi"/>
              </w:rPr>
            </w:pPr>
          </w:p>
        </w:tc>
        <w:tc>
          <w:tcPr>
            <w:tcW w:w="3118" w:type="dxa"/>
          </w:tcPr>
          <w:p w14:paraId="18CFA742" w14:textId="77777777" w:rsidR="005B779A" w:rsidRPr="00B703F0" w:rsidRDefault="005B779A" w:rsidP="005B779A">
            <w:pPr>
              <w:cnfStyle w:val="000000000000" w:firstRow="0" w:lastRow="0" w:firstColumn="0" w:lastColumn="0" w:oddVBand="0" w:evenVBand="0" w:oddHBand="0" w:evenHBand="0" w:firstRowFirstColumn="0" w:firstRowLastColumn="0" w:lastRowFirstColumn="0" w:lastRowLastColumn="0"/>
              <w:rPr>
                <w:rFonts w:cstheme="minorHAnsi"/>
              </w:rPr>
            </w:pPr>
          </w:p>
        </w:tc>
        <w:tc>
          <w:tcPr>
            <w:tcW w:w="2429" w:type="dxa"/>
          </w:tcPr>
          <w:p w14:paraId="7150455F" w14:textId="77777777" w:rsidR="005B779A" w:rsidRPr="00B703F0" w:rsidRDefault="005B779A" w:rsidP="005B779A">
            <w:pPr>
              <w:cnfStyle w:val="000000000000" w:firstRow="0" w:lastRow="0" w:firstColumn="0" w:lastColumn="0" w:oddVBand="0" w:evenVBand="0" w:oddHBand="0" w:evenHBand="0" w:firstRowFirstColumn="0" w:firstRowLastColumn="0" w:lastRowFirstColumn="0" w:lastRowLastColumn="0"/>
              <w:rPr>
                <w:rFonts w:cstheme="minorHAnsi"/>
              </w:rPr>
            </w:pPr>
          </w:p>
        </w:tc>
        <w:tc>
          <w:tcPr>
            <w:tcW w:w="4253" w:type="dxa"/>
          </w:tcPr>
          <w:p w14:paraId="2F8248C5" w14:textId="5D0AFE88" w:rsidR="005B779A" w:rsidRPr="00B703F0" w:rsidRDefault="005B779A" w:rsidP="005B779A">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B703F0">
              <w:rPr>
                <w:rFonts w:cstheme="minorHAnsi"/>
                <w:color w:val="000000"/>
              </w:rPr>
              <w:t>Maritime Law Association of Australia and New Zealand</w:t>
            </w:r>
            <w:r w:rsidRPr="006C74A1">
              <w:rPr>
                <w:rFonts w:cstheme="minorHAnsi"/>
                <w:color w:val="000000"/>
              </w:rPr>
              <w:t>*</w:t>
            </w:r>
            <w:r w:rsidR="006C74A1" w:rsidRPr="006C74A1">
              <w:rPr>
                <w:rFonts w:cstheme="minorHAnsi"/>
                <w:color w:val="000000"/>
              </w:rPr>
              <w:t>^</w:t>
            </w:r>
          </w:p>
        </w:tc>
      </w:tr>
      <w:tr w:rsidR="005B779A" w:rsidRPr="00B703F0" w14:paraId="447281DA" w14:textId="77777777" w:rsidTr="00CE7A6F">
        <w:trPr>
          <w:cnfStyle w:val="000000010000" w:firstRow="0" w:lastRow="0" w:firstColumn="0" w:lastColumn="0" w:oddVBand="0" w:evenVBand="0" w:oddHBand="0" w:evenHBand="1" w:firstRowFirstColumn="0" w:firstRowLastColumn="0" w:lastRowFirstColumn="0" w:lastRowLastColumn="0"/>
          <w:trHeight w:val="96"/>
        </w:trPr>
        <w:tc>
          <w:tcPr>
            <w:cnfStyle w:val="001000000000" w:firstRow="0" w:lastRow="0" w:firstColumn="1" w:lastColumn="0" w:oddVBand="0" w:evenVBand="0" w:oddHBand="0" w:evenHBand="0" w:firstRowFirstColumn="0" w:firstRowLastColumn="0" w:lastRowFirstColumn="0" w:lastRowLastColumn="0"/>
            <w:tcW w:w="2268" w:type="dxa"/>
          </w:tcPr>
          <w:p w14:paraId="76E83FA4" w14:textId="77777777" w:rsidR="005B779A" w:rsidRPr="00B703F0" w:rsidRDefault="005B779A" w:rsidP="005B779A">
            <w:pPr>
              <w:rPr>
                <w:rFonts w:cstheme="minorHAnsi"/>
                <w:b w:val="0"/>
              </w:rPr>
            </w:pPr>
          </w:p>
        </w:tc>
        <w:tc>
          <w:tcPr>
            <w:tcW w:w="2552" w:type="dxa"/>
          </w:tcPr>
          <w:p w14:paraId="46DE74AF" w14:textId="77777777" w:rsidR="005B779A" w:rsidRPr="00B703F0" w:rsidRDefault="005B779A" w:rsidP="005B779A">
            <w:pPr>
              <w:cnfStyle w:val="000000010000" w:firstRow="0" w:lastRow="0" w:firstColumn="0" w:lastColumn="0" w:oddVBand="0" w:evenVBand="0" w:oddHBand="0" w:evenHBand="1" w:firstRowFirstColumn="0" w:firstRowLastColumn="0" w:lastRowFirstColumn="0" w:lastRowLastColumn="0"/>
              <w:rPr>
                <w:rFonts w:cstheme="minorHAnsi"/>
              </w:rPr>
            </w:pPr>
          </w:p>
        </w:tc>
        <w:tc>
          <w:tcPr>
            <w:tcW w:w="3118" w:type="dxa"/>
          </w:tcPr>
          <w:p w14:paraId="5F2F2C06" w14:textId="77777777" w:rsidR="005B779A" w:rsidRPr="00B703F0" w:rsidRDefault="005B779A" w:rsidP="005B779A">
            <w:pPr>
              <w:cnfStyle w:val="000000010000" w:firstRow="0" w:lastRow="0" w:firstColumn="0" w:lastColumn="0" w:oddVBand="0" w:evenVBand="0" w:oddHBand="0" w:evenHBand="1" w:firstRowFirstColumn="0" w:firstRowLastColumn="0" w:lastRowFirstColumn="0" w:lastRowLastColumn="0"/>
              <w:rPr>
                <w:rFonts w:cstheme="minorHAnsi"/>
              </w:rPr>
            </w:pPr>
          </w:p>
        </w:tc>
        <w:tc>
          <w:tcPr>
            <w:tcW w:w="2429" w:type="dxa"/>
          </w:tcPr>
          <w:p w14:paraId="2FB8C2D7" w14:textId="77777777" w:rsidR="005B779A" w:rsidRPr="00B703F0" w:rsidRDefault="005B779A" w:rsidP="005B779A">
            <w:pPr>
              <w:cnfStyle w:val="000000010000" w:firstRow="0" w:lastRow="0" w:firstColumn="0" w:lastColumn="0" w:oddVBand="0" w:evenVBand="0" w:oddHBand="0" w:evenHBand="1" w:firstRowFirstColumn="0" w:firstRowLastColumn="0" w:lastRowFirstColumn="0" w:lastRowLastColumn="0"/>
              <w:rPr>
                <w:rFonts w:cstheme="minorHAnsi"/>
              </w:rPr>
            </w:pPr>
          </w:p>
        </w:tc>
        <w:tc>
          <w:tcPr>
            <w:tcW w:w="4253" w:type="dxa"/>
          </w:tcPr>
          <w:p w14:paraId="5E1771B8" w14:textId="77777777" w:rsidR="005B779A" w:rsidRPr="00B703F0" w:rsidRDefault="005B779A" w:rsidP="005B779A">
            <w:pPr>
              <w:spacing w:after="0"/>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rPr>
            </w:pPr>
            <w:r w:rsidRPr="00B703F0">
              <w:rPr>
                <w:rFonts w:cstheme="minorHAnsi"/>
                <w:color w:val="000000"/>
              </w:rPr>
              <w:t>Meat and Livestock Australia</w:t>
            </w:r>
          </w:p>
        </w:tc>
      </w:tr>
      <w:tr w:rsidR="005B779A" w:rsidRPr="00B703F0" w14:paraId="7838A294" w14:textId="77777777" w:rsidTr="00CE7A6F">
        <w:trPr>
          <w:trHeight w:val="96"/>
        </w:trPr>
        <w:tc>
          <w:tcPr>
            <w:cnfStyle w:val="001000000000" w:firstRow="0" w:lastRow="0" w:firstColumn="1" w:lastColumn="0" w:oddVBand="0" w:evenVBand="0" w:oddHBand="0" w:evenHBand="0" w:firstRowFirstColumn="0" w:firstRowLastColumn="0" w:lastRowFirstColumn="0" w:lastRowLastColumn="0"/>
            <w:tcW w:w="2268" w:type="dxa"/>
          </w:tcPr>
          <w:p w14:paraId="77EC5225" w14:textId="77777777" w:rsidR="005B779A" w:rsidRPr="00B703F0" w:rsidRDefault="005B779A" w:rsidP="005B779A">
            <w:pPr>
              <w:rPr>
                <w:rFonts w:cstheme="minorHAnsi"/>
                <w:b w:val="0"/>
              </w:rPr>
            </w:pPr>
          </w:p>
        </w:tc>
        <w:tc>
          <w:tcPr>
            <w:tcW w:w="2552" w:type="dxa"/>
          </w:tcPr>
          <w:p w14:paraId="4018605C" w14:textId="77777777" w:rsidR="005B779A" w:rsidRPr="00B703F0" w:rsidRDefault="005B779A" w:rsidP="005B779A">
            <w:pPr>
              <w:cnfStyle w:val="000000000000" w:firstRow="0" w:lastRow="0" w:firstColumn="0" w:lastColumn="0" w:oddVBand="0" w:evenVBand="0" w:oddHBand="0" w:evenHBand="0" w:firstRowFirstColumn="0" w:firstRowLastColumn="0" w:lastRowFirstColumn="0" w:lastRowLastColumn="0"/>
              <w:rPr>
                <w:rFonts w:cstheme="minorHAnsi"/>
              </w:rPr>
            </w:pPr>
          </w:p>
        </w:tc>
        <w:tc>
          <w:tcPr>
            <w:tcW w:w="3118" w:type="dxa"/>
          </w:tcPr>
          <w:p w14:paraId="02357A46" w14:textId="77777777" w:rsidR="005B779A" w:rsidRPr="00B703F0" w:rsidRDefault="005B779A" w:rsidP="005B779A">
            <w:pPr>
              <w:cnfStyle w:val="000000000000" w:firstRow="0" w:lastRow="0" w:firstColumn="0" w:lastColumn="0" w:oddVBand="0" w:evenVBand="0" w:oddHBand="0" w:evenHBand="0" w:firstRowFirstColumn="0" w:firstRowLastColumn="0" w:lastRowFirstColumn="0" w:lastRowLastColumn="0"/>
              <w:rPr>
                <w:rFonts w:cstheme="minorHAnsi"/>
              </w:rPr>
            </w:pPr>
          </w:p>
        </w:tc>
        <w:tc>
          <w:tcPr>
            <w:tcW w:w="2429" w:type="dxa"/>
          </w:tcPr>
          <w:p w14:paraId="58A08288" w14:textId="77777777" w:rsidR="005B779A" w:rsidRPr="00B703F0" w:rsidRDefault="005B779A" w:rsidP="005B779A">
            <w:pPr>
              <w:cnfStyle w:val="000000000000" w:firstRow="0" w:lastRow="0" w:firstColumn="0" w:lastColumn="0" w:oddVBand="0" w:evenVBand="0" w:oddHBand="0" w:evenHBand="0" w:firstRowFirstColumn="0" w:firstRowLastColumn="0" w:lastRowFirstColumn="0" w:lastRowLastColumn="0"/>
              <w:rPr>
                <w:rFonts w:cstheme="minorHAnsi"/>
              </w:rPr>
            </w:pPr>
          </w:p>
        </w:tc>
        <w:tc>
          <w:tcPr>
            <w:tcW w:w="4253" w:type="dxa"/>
          </w:tcPr>
          <w:p w14:paraId="20BC709B" w14:textId="77777777" w:rsidR="005B779A" w:rsidRPr="00B703F0" w:rsidRDefault="005B779A" w:rsidP="005B779A">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B703F0">
              <w:rPr>
                <w:rFonts w:cstheme="minorHAnsi"/>
                <w:color w:val="000000"/>
              </w:rPr>
              <w:t>Minerals Council of Australia</w:t>
            </w:r>
          </w:p>
        </w:tc>
      </w:tr>
      <w:tr w:rsidR="005B779A" w:rsidRPr="00B703F0" w14:paraId="616C797F" w14:textId="77777777" w:rsidTr="00CE7A6F">
        <w:trPr>
          <w:cnfStyle w:val="000000010000" w:firstRow="0" w:lastRow="0" w:firstColumn="0" w:lastColumn="0" w:oddVBand="0" w:evenVBand="0" w:oddHBand="0" w:evenHBand="1" w:firstRowFirstColumn="0" w:firstRowLastColumn="0" w:lastRowFirstColumn="0" w:lastRowLastColumn="0"/>
          <w:trHeight w:val="96"/>
        </w:trPr>
        <w:tc>
          <w:tcPr>
            <w:cnfStyle w:val="001000000000" w:firstRow="0" w:lastRow="0" w:firstColumn="1" w:lastColumn="0" w:oddVBand="0" w:evenVBand="0" w:oddHBand="0" w:evenHBand="0" w:firstRowFirstColumn="0" w:firstRowLastColumn="0" w:lastRowFirstColumn="0" w:lastRowLastColumn="0"/>
            <w:tcW w:w="2268" w:type="dxa"/>
          </w:tcPr>
          <w:p w14:paraId="2FC1F16A" w14:textId="77777777" w:rsidR="005B779A" w:rsidRPr="00B703F0" w:rsidRDefault="005B779A" w:rsidP="005B779A">
            <w:pPr>
              <w:rPr>
                <w:rFonts w:cstheme="minorHAnsi"/>
                <w:b w:val="0"/>
              </w:rPr>
            </w:pPr>
          </w:p>
        </w:tc>
        <w:tc>
          <w:tcPr>
            <w:tcW w:w="2552" w:type="dxa"/>
          </w:tcPr>
          <w:p w14:paraId="3E574DD8" w14:textId="77777777" w:rsidR="005B779A" w:rsidRPr="00B703F0" w:rsidRDefault="005B779A" w:rsidP="005B779A">
            <w:pPr>
              <w:cnfStyle w:val="000000010000" w:firstRow="0" w:lastRow="0" w:firstColumn="0" w:lastColumn="0" w:oddVBand="0" w:evenVBand="0" w:oddHBand="0" w:evenHBand="1" w:firstRowFirstColumn="0" w:firstRowLastColumn="0" w:lastRowFirstColumn="0" w:lastRowLastColumn="0"/>
              <w:rPr>
                <w:rFonts w:cstheme="minorHAnsi"/>
              </w:rPr>
            </w:pPr>
          </w:p>
        </w:tc>
        <w:tc>
          <w:tcPr>
            <w:tcW w:w="3118" w:type="dxa"/>
          </w:tcPr>
          <w:p w14:paraId="3652253F" w14:textId="77777777" w:rsidR="005B779A" w:rsidRPr="00B703F0" w:rsidRDefault="005B779A" w:rsidP="005B779A">
            <w:pPr>
              <w:cnfStyle w:val="000000010000" w:firstRow="0" w:lastRow="0" w:firstColumn="0" w:lastColumn="0" w:oddVBand="0" w:evenVBand="0" w:oddHBand="0" w:evenHBand="1" w:firstRowFirstColumn="0" w:firstRowLastColumn="0" w:lastRowFirstColumn="0" w:lastRowLastColumn="0"/>
              <w:rPr>
                <w:rFonts w:cstheme="minorHAnsi"/>
              </w:rPr>
            </w:pPr>
          </w:p>
        </w:tc>
        <w:tc>
          <w:tcPr>
            <w:tcW w:w="2429" w:type="dxa"/>
          </w:tcPr>
          <w:p w14:paraId="086BAA32" w14:textId="77777777" w:rsidR="005B779A" w:rsidRPr="00B703F0" w:rsidRDefault="005B779A" w:rsidP="005B779A">
            <w:pPr>
              <w:cnfStyle w:val="000000010000" w:firstRow="0" w:lastRow="0" w:firstColumn="0" w:lastColumn="0" w:oddVBand="0" w:evenVBand="0" w:oddHBand="0" w:evenHBand="1" w:firstRowFirstColumn="0" w:firstRowLastColumn="0" w:lastRowFirstColumn="0" w:lastRowLastColumn="0"/>
              <w:rPr>
                <w:rFonts w:cstheme="minorHAnsi"/>
              </w:rPr>
            </w:pPr>
          </w:p>
        </w:tc>
        <w:tc>
          <w:tcPr>
            <w:tcW w:w="4253" w:type="dxa"/>
          </w:tcPr>
          <w:p w14:paraId="256CFE82" w14:textId="77777777" w:rsidR="005B779A" w:rsidRPr="00B703F0" w:rsidRDefault="005B779A" w:rsidP="005B779A">
            <w:pPr>
              <w:spacing w:after="0"/>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rPr>
            </w:pPr>
            <w:r w:rsidRPr="00B703F0">
              <w:rPr>
                <w:rFonts w:cstheme="minorHAnsi"/>
                <w:color w:val="000000"/>
              </w:rPr>
              <w:t>National Farmers Federation</w:t>
            </w:r>
          </w:p>
        </w:tc>
      </w:tr>
      <w:tr w:rsidR="005B779A" w:rsidRPr="00B703F0" w14:paraId="24F39795" w14:textId="77777777" w:rsidTr="00CE7A6F">
        <w:trPr>
          <w:trHeight w:val="96"/>
        </w:trPr>
        <w:tc>
          <w:tcPr>
            <w:cnfStyle w:val="001000000000" w:firstRow="0" w:lastRow="0" w:firstColumn="1" w:lastColumn="0" w:oddVBand="0" w:evenVBand="0" w:oddHBand="0" w:evenHBand="0" w:firstRowFirstColumn="0" w:firstRowLastColumn="0" w:lastRowFirstColumn="0" w:lastRowLastColumn="0"/>
            <w:tcW w:w="2268" w:type="dxa"/>
          </w:tcPr>
          <w:p w14:paraId="197DE6CA" w14:textId="77777777" w:rsidR="005B779A" w:rsidRPr="00B703F0" w:rsidRDefault="005B779A" w:rsidP="005B779A">
            <w:pPr>
              <w:rPr>
                <w:rFonts w:cstheme="minorHAnsi"/>
                <w:b w:val="0"/>
              </w:rPr>
            </w:pPr>
          </w:p>
        </w:tc>
        <w:tc>
          <w:tcPr>
            <w:tcW w:w="2552" w:type="dxa"/>
          </w:tcPr>
          <w:p w14:paraId="0E0B8B35" w14:textId="77777777" w:rsidR="005B779A" w:rsidRPr="00B703F0" w:rsidRDefault="005B779A" w:rsidP="005B779A">
            <w:pPr>
              <w:cnfStyle w:val="000000000000" w:firstRow="0" w:lastRow="0" w:firstColumn="0" w:lastColumn="0" w:oddVBand="0" w:evenVBand="0" w:oddHBand="0" w:evenHBand="0" w:firstRowFirstColumn="0" w:firstRowLastColumn="0" w:lastRowFirstColumn="0" w:lastRowLastColumn="0"/>
              <w:rPr>
                <w:rFonts w:cstheme="minorHAnsi"/>
              </w:rPr>
            </w:pPr>
          </w:p>
        </w:tc>
        <w:tc>
          <w:tcPr>
            <w:tcW w:w="3118" w:type="dxa"/>
          </w:tcPr>
          <w:p w14:paraId="6BE83017" w14:textId="77777777" w:rsidR="005B779A" w:rsidRPr="00B703F0" w:rsidRDefault="005B779A" w:rsidP="005B779A">
            <w:pPr>
              <w:cnfStyle w:val="000000000000" w:firstRow="0" w:lastRow="0" w:firstColumn="0" w:lastColumn="0" w:oddVBand="0" w:evenVBand="0" w:oddHBand="0" w:evenHBand="0" w:firstRowFirstColumn="0" w:firstRowLastColumn="0" w:lastRowFirstColumn="0" w:lastRowLastColumn="0"/>
              <w:rPr>
                <w:rFonts w:cstheme="minorHAnsi"/>
              </w:rPr>
            </w:pPr>
          </w:p>
        </w:tc>
        <w:tc>
          <w:tcPr>
            <w:tcW w:w="2429" w:type="dxa"/>
          </w:tcPr>
          <w:p w14:paraId="4589D944" w14:textId="77777777" w:rsidR="005B779A" w:rsidRPr="00B703F0" w:rsidRDefault="005B779A" w:rsidP="005B779A">
            <w:pPr>
              <w:cnfStyle w:val="000000000000" w:firstRow="0" w:lastRow="0" w:firstColumn="0" w:lastColumn="0" w:oddVBand="0" w:evenVBand="0" w:oddHBand="0" w:evenHBand="0" w:firstRowFirstColumn="0" w:firstRowLastColumn="0" w:lastRowFirstColumn="0" w:lastRowLastColumn="0"/>
              <w:rPr>
                <w:rFonts w:cstheme="minorHAnsi"/>
              </w:rPr>
            </w:pPr>
          </w:p>
        </w:tc>
        <w:tc>
          <w:tcPr>
            <w:tcW w:w="4253" w:type="dxa"/>
          </w:tcPr>
          <w:p w14:paraId="5460E9BB" w14:textId="48C5CB5C" w:rsidR="005B779A" w:rsidRPr="00B703F0" w:rsidRDefault="005B779A" w:rsidP="005B779A">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B703F0">
              <w:rPr>
                <w:rFonts w:cstheme="minorHAnsi"/>
                <w:color w:val="000000"/>
              </w:rPr>
              <w:t>Shipping Australia Limited</w:t>
            </w:r>
            <w:r w:rsidRPr="006C74A1">
              <w:rPr>
                <w:rFonts w:cstheme="minorHAnsi"/>
                <w:color w:val="000000"/>
              </w:rPr>
              <w:t>*</w:t>
            </w:r>
            <w:r w:rsidRPr="006C74A1">
              <w:rPr>
                <w:rFonts w:cstheme="minorHAnsi"/>
                <w:color w:val="000000"/>
                <w:vertAlign w:val="superscript"/>
              </w:rPr>
              <w:t>#</w:t>
            </w:r>
          </w:p>
        </w:tc>
      </w:tr>
      <w:tr w:rsidR="005B779A" w:rsidRPr="00B703F0" w14:paraId="13B2465A" w14:textId="77777777" w:rsidTr="00CE7A6F">
        <w:trPr>
          <w:cnfStyle w:val="000000010000" w:firstRow="0" w:lastRow="0" w:firstColumn="0" w:lastColumn="0" w:oddVBand="0" w:evenVBand="0" w:oddHBand="0" w:evenHBand="1" w:firstRowFirstColumn="0" w:firstRowLastColumn="0" w:lastRowFirstColumn="0" w:lastRowLastColumn="0"/>
          <w:trHeight w:val="96"/>
        </w:trPr>
        <w:tc>
          <w:tcPr>
            <w:cnfStyle w:val="001000000000" w:firstRow="0" w:lastRow="0" w:firstColumn="1" w:lastColumn="0" w:oddVBand="0" w:evenVBand="0" w:oddHBand="0" w:evenHBand="0" w:firstRowFirstColumn="0" w:firstRowLastColumn="0" w:lastRowFirstColumn="0" w:lastRowLastColumn="0"/>
            <w:tcW w:w="2268" w:type="dxa"/>
          </w:tcPr>
          <w:p w14:paraId="300AF124" w14:textId="77777777" w:rsidR="005B779A" w:rsidRPr="00B703F0" w:rsidRDefault="005B779A" w:rsidP="005B779A">
            <w:pPr>
              <w:rPr>
                <w:rFonts w:cstheme="minorHAnsi"/>
                <w:b w:val="0"/>
              </w:rPr>
            </w:pPr>
          </w:p>
        </w:tc>
        <w:tc>
          <w:tcPr>
            <w:tcW w:w="2552" w:type="dxa"/>
          </w:tcPr>
          <w:p w14:paraId="2ED1CCE5" w14:textId="77777777" w:rsidR="005B779A" w:rsidRPr="00B703F0" w:rsidRDefault="005B779A" w:rsidP="005B779A">
            <w:pPr>
              <w:cnfStyle w:val="000000010000" w:firstRow="0" w:lastRow="0" w:firstColumn="0" w:lastColumn="0" w:oddVBand="0" w:evenVBand="0" w:oddHBand="0" w:evenHBand="1" w:firstRowFirstColumn="0" w:firstRowLastColumn="0" w:lastRowFirstColumn="0" w:lastRowLastColumn="0"/>
              <w:rPr>
                <w:rFonts w:cstheme="minorHAnsi"/>
              </w:rPr>
            </w:pPr>
          </w:p>
        </w:tc>
        <w:tc>
          <w:tcPr>
            <w:tcW w:w="3118" w:type="dxa"/>
          </w:tcPr>
          <w:p w14:paraId="41AE265D" w14:textId="77777777" w:rsidR="005B779A" w:rsidRPr="00B703F0" w:rsidRDefault="005B779A" w:rsidP="005B779A">
            <w:pPr>
              <w:cnfStyle w:val="000000010000" w:firstRow="0" w:lastRow="0" w:firstColumn="0" w:lastColumn="0" w:oddVBand="0" w:evenVBand="0" w:oddHBand="0" w:evenHBand="1" w:firstRowFirstColumn="0" w:firstRowLastColumn="0" w:lastRowFirstColumn="0" w:lastRowLastColumn="0"/>
              <w:rPr>
                <w:rFonts w:cstheme="minorHAnsi"/>
              </w:rPr>
            </w:pPr>
          </w:p>
        </w:tc>
        <w:tc>
          <w:tcPr>
            <w:tcW w:w="2429" w:type="dxa"/>
          </w:tcPr>
          <w:p w14:paraId="510287F7" w14:textId="77777777" w:rsidR="005B779A" w:rsidRPr="00B703F0" w:rsidRDefault="005B779A" w:rsidP="005B779A">
            <w:pPr>
              <w:cnfStyle w:val="000000010000" w:firstRow="0" w:lastRow="0" w:firstColumn="0" w:lastColumn="0" w:oddVBand="0" w:evenVBand="0" w:oddHBand="0" w:evenHBand="1" w:firstRowFirstColumn="0" w:firstRowLastColumn="0" w:lastRowFirstColumn="0" w:lastRowLastColumn="0"/>
              <w:rPr>
                <w:rFonts w:cstheme="minorHAnsi"/>
              </w:rPr>
            </w:pPr>
          </w:p>
        </w:tc>
        <w:tc>
          <w:tcPr>
            <w:tcW w:w="4253" w:type="dxa"/>
          </w:tcPr>
          <w:p w14:paraId="6926E1D3" w14:textId="77777777" w:rsidR="005B779A" w:rsidRPr="00B703F0" w:rsidRDefault="005B779A" w:rsidP="005B779A">
            <w:pPr>
              <w:spacing w:after="0"/>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rPr>
            </w:pPr>
            <w:r w:rsidRPr="00B703F0">
              <w:rPr>
                <w:rFonts w:cstheme="minorHAnsi"/>
                <w:color w:val="000000"/>
              </w:rPr>
              <w:t>South Australian Freight Council</w:t>
            </w:r>
          </w:p>
        </w:tc>
      </w:tr>
      <w:tr w:rsidR="005B779A" w:rsidRPr="00B703F0" w14:paraId="43638461" w14:textId="77777777" w:rsidTr="00CE7A6F">
        <w:trPr>
          <w:trHeight w:val="96"/>
        </w:trPr>
        <w:tc>
          <w:tcPr>
            <w:cnfStyle w:val="001000000000" w:firstRow="0" w:lastRow="0" w:firstColumn="1" w:lastColumn="0" w:oddVBand="0" w:evenVBand="0" w:oddHBand="0" w:evenHBand="0" w:firstRowFirstColumn="0" w:firstRowLastColumn="0" w:lastRowFirstColumn="0" w:lastRowLastColumn="0"/>
            <w:tcW w:w="2268" w:type="dxa"/>
          </w:tcPr>
          <w:p w14:paraId="3941B759" w14:textId="77777777" w:rsidR="005B779A" w:rsidRPr="00B703F0" w:rsidRDefault="005B779A" w:rsidP="005B779A">
            <w:pPr>
              <w:rPr>
                <w:rFonts w:cstheme="minorHAnsi"/>
                <w:b w:val="0"/>
              </w:rPr>
            </w:pPr>
          </w:p>
        </w:tc>
        <w:tc>
          <w:tcPr>
            <w:tcW w:w="2552" w:type="dxa"/>
          </w:tcPr>
          <w:p w14:paraId="2923A434" w14:textId="77777777" w:rsidR="005B779A" w:rsidRPr="00B703F0" w:rsidRDefault="005B779A" w:rsidP="005B779A">
            <w:pPr>
              <w:cnfStyle w:val="000000000000" w:firstRow="0" w:lastRow="0" w:firstColumn="0" w:lastColumn="0" w:oddVBand="0" w:evenVBand="0" w:oddHBand="0" w:evenHBand="0" w:firstRowFirstColumn="0" w:firstRowLastColumn="0" w:lastRowFirstColumn="0" w:lastRowLastColumn="0"/>
              <w:rPr>
                <w:rFonts w:cstheme="minorHAnsi"/>
              </w:rPr>
            </w:pPr>
          </w:p>
        </w:tc>
        <w:tc>
          <w:tcPr>
            <w:tcW w:w="3118" w:type="dxa"/>
          </w:tcPr>
          <w:p w14:paraId="575F34AF" w14:textId="77777777" w:rsidR="005B779A" w:rsidRPr="00B703F0" w:rsidRDefault="005B779A" w:rsidP="005B779A">
            <w:pPr>
              <w:cnfStyle w:val="000000000000" w:firstRow="0" w:lastRow="0" w:firstColumn="0" w:lastColumn="0" w:oddVBand="0" w:evenVBand="0" w:oddHBand="0" w:evenHBand="0" w:firstRowFirstColumn="0" w:firstRowLastColumn="0" w:lastRowFirstColumn="0" w:lastRowLastColumn="0"/>
              <w:rPr>
                <w:rFonts w:cstheme="minorHAnsi"/>
              </w:rPr>
            </w:pPr>
          </w:p>
        </w:tc>
        <w:tc>
          <w:tcPr>
            <w:tcW w:w="2429" w:type="dxa"/>
          </w:tcPr>
          <w:p w14:paraId="7A74F696" w14:textId="77777777" w:rsidR="005B779A" w:rsidRPr="00B703F0" w:rsidRDefault="005B779A" w:rsidP="005B779A">
            <w:pPr>
              <w:cnfStyle w:val="000000000000" w:firstRow="0" w:lastRow="0" w:firstColumn="0" w:lastColumn="0" w:oddVBand="0" w:evenVBand="0" w:oddHBand="0" w:evenHBand="0" w:firstRowFirstColumn="0" w:firstRowLastColumn="0" w:lastRowFirstColumn="0" w:lastRowLastColumn="0"/>
              <w:rPr>
                <w:rFonts w:cstheme="minorHAnsi"/>
              </w:rPr>
            </w:pPr>
          </w:p>
        </w:tc>
        <w:tc>
          <w:tcPr>
            <w:tcW w:w="4253" w:type="dxa"/>
          </w:tcPr>
          <w:p w14:paraId="7424D099" w14:textId="77777777" w:rsidR="005B779A" w:rsidRPr="00B703F0" w:rsidRDefault="005B779A" w:rsidP="005B779A">
            <w:pPr>
              <w:spacing w:after="0"/>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rPr>
            </w:pPr>
            <w:r w:rsidRPr="00B703F0">
              <w:rPr>
                <w:rFonts w:cstheme="minorHAnsi"/>
                <w:color w:val="000000"/>
              </w:rPr>
              <w:t>Superyachts Australia</w:t>
            </w:r>
          </w:p>
        </w:tc>
      </w:tr>
      <w:tr w:rsidR="005B779A" w:rsidRPr="00B703F0" w14:paraId="33B2F173" w14:textId="77777777" w:rsidTr="00CE7A6F">
        <w:trPr>
          <w:cnfStyle w:val="000000010000" w:firstRow="0" w:lastRow="0" w:firstColumn="0" w:lastColumn="0" w:oddVBand="0" w:evenVBand="0" w:oddHBand="0" w:evenHBand="1" w:firstRowFirstColumn="0" w:firstRowLastColumn="0" w:lastRowFirstColumn="0" w:lastRowLastColumn="0"/>
          <w:trHeight w:val="96"/>
        </w:trPr>
        <w:tc>
          <w:tcPr>
            <w:cnfStyle w:val="001000000000" w:firstRow="0" w:lastRow="0" w:firstColumn="1" w:lastColumn="0" w:oddVBand="0" w:evenVBand="0" w:oddHBand="0" w:evenHBand="0" w:firstRowFirstColumn="0" w:firstRowLastColumn="0" w:lastRowFirstColumn="0" w:lastRowLastColumn="0"/>
            <w:tcW w:w="2268" w:type="dxa"/>
          </w:tcPr>
          <w:p w14:paraId="5BDA4E62" w14:textId="77777777" w:rsidR="005B779A" w:rsidRPr="00B703F0" w:rsidRDefault="005B779A" w:rsidP="005B779A">
            <w:pPr>
              <w:rPr>
                <w:rFonts w:cstheme="minorHAnsi"/>
                <w:b w:val="0"/>
              </w:rPr>
            </w:pPr>
          </w:p>
        </w:tc>
        <w:tc>
          <w:tcPr>
            <w:tcW w:w="2552" w:type="dxa"/>
          </w:tcPr>
          <w:p w14:paraId="60FDFAF0" w14:textId="77777777" w:rsidR="005B779A" w:rsidRPr="00B703F0" w:rsidRDefault="005B779A" w:rsidP="005B779A">
            <w:pPr>
              <w:cnfStyle w:val="000000010000" w:firstRow="0" w:lastRow="0" w:firstColumn="0" w:lastColumn="0" w:oddVBand="0" w:evenVBand="0" w:oddHBand="0" w:evenHBand="1" w:firstRowFirstColumn="0" w:firstRowLastColumn="0" w:lastRowFirstColumn="0" w:lastRowLastColumn="0"/>
              <w:rPr>
                <w:rFonts w:cstheme="minorHAnsi"/>
              </w:rPr>
            </w:pPr>
          </w:p>
        </w:tc>
        <w:tc>
          <w:tcPr>
            <w:tcW w:w="3118" w:type="dxa"/>
          </w:tcPr>
          <w:p w14:paraId="0A90B443" w14:textId="77777777" w:rsidR="005B779A" w:rsidRPr="00B703F0" w:rsidRDefault="005B779A" w:rsidP="005B779A">
            <w:pPr>
              <w:cnfStyle w:val="000000010000" w:firstRow="0" w:lastRow="0" w:firstColumn="0" w:lastColumn="0" w:oddVBand="0" w:evenVBand="0" w:oddHBand="0" w:evenHBand="1" w:firstRowFirstColumn="0" w:firstRowLastColumn="0" w:lastRowFirstColumn="0" w:lastRowLastColumn="0"/>
              <w:rPr>
                <w:rFonts w:cstheme="minorHAnsi"/>
              </w:rPr>
            </w:pPr>
          </w:p>
        </w:tc>
        <w:tc>
          <w:tcPr>
            <w:tcW w:w="2429" w:type="dxa"/>
          </w:tcPr>
          <w:p w14:paraId="6C603778" w14:textId="77777777" w:rsidR="005B779A" w:rsidRPr="00B703F0" w:rsidRDefault="005B779A" w:rsidP="005B779A">
            <w:pPr>
              <w:cnfStyle w:val="000000010000" w:firstRow="0" w:lastRow="0" w:firstColumn="0" w:lastColumn="0" w:oddVBand="0" w:evenVBand="0" w:oddHBand="0" w:evenHBand="1" w:firstRowFirstColumn="0" w:firstRowLastColumn="0" w:lastRowFirstColumn="0" w:lastRowLastColumn="0"/>
              <w:rPr>
                <w:rFonts w:cstheme="minorHAnsi"/>
              </w:rPr>
            </w:pPr>
          </w:p>
        </w:tc>
        <w:tc>
          <w:tcPr>
            <w:tcW w:w="4253" w:type="dxa"/>
          </w:tcPr>
          <w:p w14:paraId="423CDB39" w14:textId="77777777" w:rsidR="005B779A" w:rsidRPr="00B703F0" w:rsidRDefault="005B779A" w:rsidP="005B779A">
            <w:pPr>
              <w:spacing w:after="0"/>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rPr>
            </w:pPr>
            <w:r w:rsidRPr="00B703F0">
              <w:rPr>
                <w:rFonts w:cstheme="minorHAnsi"/>
                <w:color w:val="000000"/>
              </w:rPr>
              <w:t>Tasmanian Logistics Committee</w:t>
            </w:r>
          </w:p>
        </w:tc>
      </w:tr>
      <w:tr w:rsidR="005B779A" w:rsidRPr="00B703F0" w14:paraId="313846B0" w14:textId="77777777" w:rsidTr="00CE7A6F">
        <w:trPr>
          <w:cnfStyle w:val="010000000000" w:firstRow="0" w:lastRow="1" w:firstColumn="0" w:lastColumn="0" w:oddVBand="0" w:evenVBand="0" w:oddHBand="0" w:evenHBand="0" w:firstRowFirstColumn="0" w:firstRowLastColumn="0" w:lastRowFirstColumn="0" w:lastRowLastColumn="0"/>
          <w:trHeight w:val="96"/>
        </w:trPr>
        <w:tc>
          <w:tcPr>
            <w:cnfStyle w:val="001000000000" w:firstRow="0" w:lastRow="0" w:firstColumn="1" w:lastColumn="0" w:oddVBand="0" w:evenVBand="0" w:oddHBand="0" w:evenHBand="0" w:firstRowFirstColumn="0" w:firstRowLastColumn="0" w:lastRowFirstColumn="0" w:lastRowLastColumn="0"/>
            <w:tcW w:w="2268" w:type="dxa"/>
            <w:shd w:val="clear" w:color="auto" w:fill="F2F2F2" w:themeFill="background1" w:themeFillShade="F2"/>
          </w:tcPr>
          <w:p w14:paraId="72E59726" w14:textId="77777777" w:rsidR="005B779A" w:rsidRPr="00B703F0" w:rsidRDefault="005B779A" w:rsidP="005B779A">
            <w:pPr>
              <w:rPr>
                <w:rFonts w:cstheme="minorHAnsi"/>
                <w:b w:val="0"/>
              </w:rPr>
            </w:pPr>
          </w:p>
        </w:tc>
        <w:tc>
          <w:tcPr>
            <w:tcW w:w="2552" w:type="dxa"/>
            <w:shd w:val="clear" w:color="auto" w:fill="F2F2F2" w:themeFill="background1" w:themeFillShade="F2"/>
          </w:tcPr>
          <w:p w14:paraId="6CE48CDB" w14:textId="77777777" w:rsidR="005B779A" w:rsidRPr="00B703F0" w:rsidRDefault="005B779A" w:rsidP="005B779A">
            <w:pPr>
              <w:cnfStyle w:val="010000000000" w:firstRow="0" w:lastRow="1" w:firstColumn="0" w:lastColumn="0" w:oddVBand="0" w:evenVBand="0" w:oddHBand="0" w:evenHBand="0" w:firstRowFirstColumn="0" w:firstRowLastColumn="0" w:lastRowFirstColumn="0" w:lastRowLastColumn="0"/>
              <w:rPr>
                <w:rFonts w:cstheme="minorHAnsi"/>
              </w:rPr>
            </w:pPr>
          </w:p>
        </w:tc>
        <w:tc>
          <w:tcPr>
            <w:tcW w:w="3118" w:type="dxa"/>
            <w:shd w:val="clear" w:color="auto" w:fill="F2F2F2" w:themeFill="background1" w:themeFillShade="F2"/>
          </w:tcPr>
          <w:p w14:paraId="16FC97BC" w14:textId="77777777" w:rsidR="005B779A" w:rsidRPr="00B703F0" w:rsidRDefault="005B779A" w:rsidP="005B779A">
            <w:pPr>
              <w:cnfStyle w:val="010000000000" w:firstRow="0" w:lastRow="1" w:firstColumn="0" w:lastColumn="0" w:oddVBand="0" w:evenVBand="0" w:oddHBand="0" w:evenHBand="0" w:firstRowFirstColumn="0" w:firstRowLastColumn="0" w:lastRowFirstColumn="0" w:lastRowLastColumn="0"/>
              <w:rPr>
                <w:rFonts w:cstheme="minorHAnsi"/>
              </w:rPr>
            </w:pPr>
          </w:p>
        </w:tc>
        <w:tc>
          <w:tcPr>
            <w:tcW w:w="2429" w:type="dxa"/>
            <w:shd w:val="clear" w:color="auto" w:fill="F2F2F2" w:themeFill="background1" w:themeFillShade="F2"/>
          </w:tcPr>
          <w:p w14:paraId="7355C99B" w14:textId="77777777" w:rsidR="005B779A" w:rsidRPr="00B703F0" w:rsidRDefault="005B779A" w:rsidP="005B779A">
            <w:pPr>
              <w:cnfStyle w:val="010000000000" w:firstRow="0" w:lastRow="1" w:firstColumn="0" w:lastColumn="0" w:oddVBand="0" w:evenVBand="0" w:oddHBand="0" w:evenHBand="0" w:firstRowFirstColumn="0" w:firstRowLastColumn="0" w:lastRowFirstColumn="0" w:lastRowLastColumn="0"/>
              <w:rPr>
                <w:rFonts w:cstheme="minorHAnsi"/>
              </w:rPr>
            </w:pPr>
          </w:p>
        </w:tc>
        <w:tc>
          <w:tcPr>
            <w:tcW w:w="4253" w:type="dxa"/>
            <w:shd w:val="clear" w:color="auto" w:fill="F2F2F2" w:themeFill="background1" w:themeFillShade="F2"/>
          </w:tcPr>
          <w:p w14:paraId="3D2435FF" w14:textId="77777777" w:rsidR="005B779A" w:rsidRPr="00B703F0" w:rsidRDefault="005B779A" w:rsidP="005B779A">
            <w:pPr>
              <w:spacing w:after="0"/>
              <w:cnfStyle w:val="010000000000" w:firstRow="0" w:lastRow="1" w:firstColumn="0" w:lastColumn="0" w:oddVBand="0" w:evenVBand="0" w:oddHBand="0" w:evenHBand="0" w:firstRowFirstColumn="0" w:firstRowLastColumn="0" w:lastRowFirstColumn="0" w:lastRowLastColumn="0"/>
              <w:rPr>
                <w:rFonts w:eastAsia="Times New Roman" w:cstheme="minorHAnsi"/>
                <w:b w:val="0"/>
                <w:color w:val="000000"/>
              </w:rPr>
            </w:pPr>
            <w:r w:rsidRPr="00B703F0">
              <w:rPr>
                <w:rFonts w:cstheme="minorHAnsi"/>
                <w:b w:val="0"/>
                <w:color w:val="000000"/>
              </w:rPr>
              <w:t>Tourism and Transport Forum</w:t>
            </w:r>
          </w:p>
        </w:tc>
      </w:tr>
    </w:tbl>
    <w:p w14:paraId="600221B5" w14:textId="4FF8F924" w:rsidR="004E107A" w:rsidRPr="00B703F0" w:rsidRDefault="004E107A" w:rsidP="00030724">
      <w:pPr>
        <w:widowControl w:val="0"/>
        <w:spacing w:before="80" w:after="0"/>
      </w:pPr>
      <w:r w:rsidRPr="00B703F0">
        <w:t>* Stakeholder provided a public submission in response to the</w:t>
      </w:r>
      <w:r w:rsidR="00815958" w:rsidRPr="00B703F0">
        <w:t xml:space="preserve"> </w:t>
      </w:r>
      <w:r w:rsidR="00276E81" w:rsidRPr="00B703F0">
        <w:t xml:space="preserve">2020 </w:t>
      </w:r>
      <w:r w:rsidRPr="00B703F0">
        <w:t>Discussion Paper</w:t>
      </w:r>
      <w:r w:rsidR="00815958" w:rsidRPr="00B703F0">
        <w:t>.</w:t>
      </w:r>
    </w:p>
    <w:p w14:paraId="05E261E3" w14:textId="77777777" w:rsidR="00643B29" w:rsidRPr="00B703F0" w:rsidRDefault="00643B29" w:rsidP="00030724">
      <w:pPr>
        <w:widowControl w:val="0"/>
        <w:spacing w:before="80" w:after="0"/>
      </w:pPr>
      <w:r w:rsidRPr="00B703F0">
        <w:rPr>
          <w:vertAlign w:val="superscript"/>
        </w:rPr>
        <w:t>#</w:t>
      </w:r>
      <w:r w:rsidRPr="00B703F0">
        <w:t xml:space="preserve"> Stakeholder engaged as part of the cost benefit analysis development process. </w:t>
      </w:r>
    </w:p>
    <w:p w14:paraId="23720537" w14:textId="4B6E2B55" w:rsidR="00E60995" w:rsidRDefault="004E107A" w:rsidP="00030724">
      <w:pPr>
        <w:widowControl w:val="0"/>
        <w:suppressAutoHyphens w:val="0"/>
        <w:spacing w:before="80" w:after="0"/>
      </w:pPr>
      <w:r w:rsidRPr="00B703F0">
        <w:t xml:space="preserve">^ Stakeholder </w:t>
      </w:r>
      <w:r w:rsidR="00643B29" w:rsidRPr="00B703F0">
        <w:t xml:space="preserve">provided a </w:t>
      </w:r>
      <w:r w:rsidR="006C74A1">
        <w:t xml:space="preserve">non-confidential </w:t>
      </w:r>
      <w:r w:rsidR="00643B29" w:rsidRPr="00B703F0">
        <w:t xml:space="preserve">submission </w:t>
      </w:r>
      <w:r w:rsidR="00643B29">
        <w:t xml:space="preserve">in response to the draft </w:t>
      </w:r>
      <w:r w:rsidR="00E60995">
        <w:t xml:space="preserve">or revised </w:t>
      </w:r>
      <w:r w:rsidR="00643B29">
        <w:t>regulatory impact s</w:t>
      </w:r>
      <w:r w:rsidRPr="00B703F0">
        <w:t>tatement</w:t>
      </w:r>
      <w:r w:rsidR="00815958" w:rsidRPr="00B703F0">
        <w:t>.</w:t>
      </w:r>
    </w:p>
    <w:p w14:paraId="3D9E6DA1" w14:textId="35E613D3" w:rsidR="004E107A" w:rsidRPr="00891740" w:rsidRDefault="00221DE2" w:rsidP="00030724">
      <w:pPr>
        <w:pStyle w:val="AppendixHeading1"/>
        <w:keepNext w:val="0"/>
        <w:keepLines w:val="0"/>
        <w:widowControl w:val="0"/>
        <w:spacing w:before="0" w:after="0"/>
        <w:ind w:left="0"/>
        <w:rPr>
          <w:color w:val="FFFFFF" w:themeColor="background1"/>
          <w:sz w:val="2"/>
          <w:szCs w:val="2"/>
          <w:lang w:val="en-US"/>
        </w:rPr>
      </w:pPr>
      <w:bookmarkStart w:id="243" w:name="_Toc96355004"/>
      <w:bookmarkStart w:id="244" w:name="_Toc105060793"/>
      <w:r w:rsidRPr="00891740">
        <w:rPr>
          <w:color w:val="FFFFFF" w:themeColor="background1"/>
          <w:sz w:val="2"/>
          <w:szCs w:val="2"/>
          <w:lang w:val="en-US"/>
        </w:rPr>
        <w:t xml:space="preserve">Cost </w:t>
      </w:r>
      <w:r w:rsidR="00395128" w:rsidRPr="00891740">
        <w:rPr>
          <w:color w:val="FFFFFF" w:themeColor="background1"/>
          <w:sz w:val="2"/>
          <w:szCs w:val="2"/>
          <w:lang w:val="en-US"/>
        </w:rPr>
        <w:t>b</w:t>
      </w:r>
      <w:r w:rsidRPr="00891740">
        <w:rPr>
          <w:color w:val="FFFFFF" w:themeColor="background1"/>
          <w:sz w:val="2"/>
          <w:szCs w:val="2"/>
          <w:lang w:val="en-US"/>
        </w:rPr>
        <w:t xml:space="preserve">enefit </w:t>
      </w:r>
      <w:r w:rsidR="00395128" w:rsidRPr="00891740">
        <w:rPr>
          <w:color w:val="FFFFFF" w:themeColor="background1"/>
          <w:sz w:val="2"/>
          <w:szCs w:val="2"/>
          <w:lang w:val="en-US"/>
        </w:rPr>
        <w:t>a</w:t>
      </w:r>
      <w:r w:rsidRPr="00891740">
        <w:rPr>
          <w:color w:val="FFFFFF" w:themeColor="background1"/>
          <w:sz w:val="2"/>
          <w:szCs w:val="2"/>
          <w:lang w:val="en-US"/>
        </w:rPr>
        <w:t>nalysis</w:t>
      </w:r>
      <w:bookmarkEnd w:id="243"/>
      <w:bookmarkEnd w:id="244"/>
      <w:r w:rsidRPr="00891740">
        <w:rPr>
          <w:color w:val="FFFFFF" w:themeColor="background1"/>
          <w:sz w:val="2"/>
          <w:szCs w:val="2"/>
          <w:lang w:val="en-US"/>
        </w:rPr>
        <w:t xml:space="preserve"> </w:t>
      </w:r>
    </w:p>
    <w:p w14:paraId="0F88837E" w14:textId="41D27CB8" w:rsidR="00643B29" w:rsidRPr="00CA1133" w:rsidRDefault="00221DE2" w:rsidP="00030724">
      <w:pPr>
        <w:pStyle w:val="AppendixHeading1"/>
        <w:keepNext w:val="0"/>
        <w:keepLines w:val="0"/>
        <w:widowControl w:val="0"/>
        <w:spacing w:before="0" w:after="0"/>
        <w:ind w:left="0"/>
        <w:rPr>
          <w:i/>
          <w:color w:val="FFFFFF" w:themeColor="background1"/>
          <w:sz w:val="2"/>
          <w:szCs w:val="2"/>
          <w:lang w:val="en-US"/>
        </w:rPr>
      </w:pPr>
      <w:bookmarkStart w:id="245" w:name="_Toc96355005"/>
      <w:bookmarkStart w:id="246" w:name="_Toc105060794"/>
      <w:r w:rsidRPr="00CA1133">
        <w:rPr>
          <w:i/>
          <w:color w:val="FFFFFF" w:themeColor="background1"/>
          <w:sz w:val="2"/>
          <w:szCs w:val="2"/>
          <w:lang w:val="en-US"/>
        </w:rPr>
        <w:t xml:space="preserve">Nairobi International </w:t>
      </w:r>
      <w:r w:rsidR="00CA1133" w:rsidRPr="00CA1133">
        <w:rPr>
          <w:i/>
          <w:color w:val="FFFFFF" w:themeColor="background1"/>
          <w:sz w:val="2"/>
          <w:szCs w:val="2"/>
          <w:lang w:val="en-US"/>
        </w:rPr>
        <w:t xml:space="preserve">Convention on the Removal of </w:t>
      </w:r>
      <w:r w:rsidRPr="00CA1133">
        <w:rPr>
          <w:i/>
          <w:color w:val="FFFFFF" w:themeColor="background1"/>
          <w:sz w:val="2"/>
          <w:szCs w:val="2"/>
          <w:lang w:val="en-US"/>
        </w:rPr>
        <w:t>Wreck</w:t>
      </w:r>
      <w:r w:rsidR="00CA1133" w:rsidRPr="00CA1133">
        <w:rPr>
          <w:i/>
          <w:color w:val="FFFFFF" w:themeColor="background1"/>
          <w:sz w:val="2"/>
          <w:szCs w:val="2"/>
          <w:lang w:val="en-US"/>
        </w:rPr>
        <w:t>s</w:t>
      </w:r>
      <w:bookmarkEnd w:id="245"/>
      <w:bookmarkEnd w:id="246"/>
      <w:r w:rsidRPr="00CA1133">
        <w:rPr>
          <w:i/>
          <w:color w:val="FFFFFF" w:themeColor="background1"/>
          <w:sz w:val="2"/>
          <w:szCs w:val="2"/>
          <w:lang w:val="en-US"/>
        </w:rPr>
        <w:t xml:space="preserve"> </w:t>
      </w:r>
    </w:p>
    <w:sectPr w:rsidR="00643B29" w:rsidRPr="00CA1133" w:rsidSect="00F60A81">
      <w:headerReference w:type="even" r:id="rId35"/>
      <w:headerReference w:type="default" r:id="rId36"/>
      <w:headerReference w:type="first" r:id="rId37"/>
      <w:pgSz w:w="16838" w:h="11906" w:orient="landscape" w:code="9"/>
      <w:pgMar w:top="1021" w:right="1021" w:bottom="1021" w:left="1021" w:header="51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30C421" w14:textId="77777777" w:rsidR="00180970" w:rsidRDefault="00180970" w:rsidP="008456D5">
      <w:pPr>
        <w:spacing w:before="0" w:after="0"/>
      </w:pPr>
      <w:r>
        <w:separator/>
      </w:r>
    </w:p>
  </w:endnote>
  <w:endnote w:type="continuationSeparator" w:id="0">
    <w:p w14:paraId="710B41F6" w14:textId="77777777" w:rsidR="00180970" w:rsidRDefault="00180970" w:rsidP="008456D5">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NewRoman">
    <w:altName w:val="Times New Roman"/>
    <w:panose1 w:val="00000000000000000000"/>
    <w:charset w:val="00"/>
    <w:family w:val="auto"/>
    <w:notTrueType/>
    <w:pitch w:val="default"/>
    <w:sig w:usb0="00000003" w:usb1="00000000" w:usb2="00000000" w:usb3="00000000" w:csb0="00000001" w:csb1="00000000"/>
  </w:font>
  <w:font w:name="GillSans">
    <w:altName w:val="Calibri"/>
    <w:panose1 w:val="00000000000000000000"/>
    <w:charset w:val="00"/>
    <w:family w:val="auto"/>
    <w:notTrueType/>
    <w:pitch w:val="default"/>
    <w:sig w:usb0="00000003" w:usb1="00000000" w:usb2="00000000" w:usb3="00000000" w:csb0="00000001" w:csb1="00000000"/>
  </w:font>
  <w:font w:name="OpenSans">
    <w:altName w:val="Calibri"/>
    <w:panose1 w:val="00000000000000000000"/>
    <w:charset w:val="00"/>
    <w:family w:val="auto"/>
    <w:notTrueType/>
    <w:pitch w:val="default"/>
    <w:sig w:usb0="00000003" w:usb1="00000000" w:usb2="00000000" w:usb3="00000000" w:csb0="00000001" w:csb1="00000000"/>
  </w:font>
  <w:font w:name="Open Sans">
    <w:altName w:val="Times New Roman"/>
    <w:charset w:val="00"/>
    <w:family w:val="auto"/>
    <w:pitch w:val="default"/>
  </w:font>
  <w:font w:name="Arial Narrow">
    <w:panose1 w:val="020B0606020202030204"/>
    <w:charset w:val="00"/>
    <w:family w:val="swiss"/>
    <w:pitch w:val="variable"/>
    <w:sig w:usb0="00000287" w:usb1="00000800" w:usb2="00000000" w:usb3="00000000" w:csb0="000000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A5F797" w14:textId="77777777" w:rsidR="00180970" w:rsidRDefault="00180970" w:rsidP="00E50D64">
    <w:pPr>
      <w:pStyle w:val="Footer"/>
      <w:spacing w:before="720"/>
      <w:jc w:val="right"/>
    </w:pPr>
    <w:r>
      <w:rPr>
        <w:noProof/>
        <w:lang w:eastAsia="en-AU"/>
      </w:rPr>
      <mc:AlternateContent>
        <mc:Choice Requires="wps">
          <w:drawing>
            <wp:anchor distT="0" distB="0" distL="114300" distR="114300" simplePos="0" relativeHeight="251660288" behindDoc="1" locked="1" layoutInCell="1" allowOverlap="1" wp14:anchorId="6574F1BD" wp14:editId="526AD273">
              <wp:simplePos x="0" y="0"/>
              <wp:positionH relativeFrom="page">
                <wp:align>left</wp:align>
              </wp:positionH>
              <wp:positionV relativeFrom="page">
                <wp:align>bottom</wp:align>
              </wp:positionV>
              <wp:extent cx="1007280" cy="539280"/>
              <wp:effectExtent l="0" t="0" r="2540" b="0"/>
              <wp:wrapNone/>
              <wp:docPr id="16" name="Text Box 16" descr="background" title="background"/>
              <wp:cNvGraphicFramePr/>
              <a:graphic xmlns:a="http://schemas.openxmlformats.org/drawingml/2006/main">
                <a:graphicData uri="http://schemas.microsoft.com/office/word/2010/wordprocessingShape">
                  <wps:wsp>
                    <wps:cNvSpPr txBox="1"/>
                    <wps:spPr>
                      <a:xfrm>
                        <a:off x="0" y="0"/>
                        <a:ext cx="1007280" cy="539280"/>
                      </a:xfrm>
                      <a:prstGeom prst="rect">
                        <a:avLst/>
                      </a:prstGeom>
                      <a:noFill/>
                      <a:ln w="6350">
                        <a:noFill/>
                      </a:ln>
                    </wps:spPr>
                    <wps:txbx>
                      <w:txbxContent>
                        <w:p w14:paraId="51746A8A" w14:textId="30E3059D" w:rsidR="00180970" w:rsidRPr="007A05BE" w:rsidRDefault="00180970" w:rsidP="00E50D64">
                          <w:pPr>
                            <w:pStyle w:val="Footer"/>
                            <w:rPr>
                              <w:rStyle w:val="PageNumber"/>
                            </w:rPr>
                          </w:pPr>
                          <w:r w:rsidRPr="007A05BE">
                            <w:rPr>
                              <w:rStyle w:val="PageNumber"/>
                            </w:rPr>
                            <w:fldChar w:fldCharType="begin"/>
                          </w:r>
                          <w:r w:rsidRPr="007A05BE">
                            <w:rPr>
                              <w:rStyle w:val="PageNumber"/>
                            </w:rPr>
                            <w:instrText xml:space="preserve"> PAGE   \* MERGEFORMAT </w:instrText>
                          </w:r>
                          <w:r w:rsidRPr="007A05BE">
                            <w:rPr>
                              <w:rStyle w:val="PageNumber"/>
                            </w:rPr>
                            <w:fldChar w:fldCharType="separate"/>
                          </w:r>
                          <w:r>
                            <w:rPr>
                              <w:rStyle w:val="PageNumber"/>
                              <w:noProof/>
                            </w:rPr>
                            <w:t>46</w:t>
                          </w:r>
                          <w:r w:rsidRPr="007A05BE">
                            <w:rPr>
                              <w:rStyle w:val="PageNumber"/>
                            </w:rPr>
                            <w:fldChar w:fldCharType="end"/>
                          </w:r>
                        </w:p>
                      </w:txbxContent>
                    </wps:txbx>
                    <wps:bodyPr rot="0" spcFirstLastPara="0" vertOverflow="overflow" horzOverflow="overflow" vert="horz" wrap="square" lIns="648000" tIns="0" rIns="0" bIns="360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74F1BD" id="_x0000_t202" coordsize="21600,21600" o:spt="202" path="m,l,21600r21600,l21600,xe">
              <v:stroke joinstyle="miter"/>
              <v:path gradientshapeok="t" o:connecttype="rect"/>
            </v:shapetype>
            <v:shape id="Text Box 16" o:spid="_x0000_s1026" type="#_x0000_t202" alt="Title: background - Description: background" style="position:absolute;left:0;text-align:left;margin-left:0;margin-top:0;width:79.3pt;height:42.45pt;z-index:-251656192;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" filled="f" stroked="f" strokeweight=".5pt">
              <v:textbox inset="18mm,0,0,10mm">
                <w:txbxContent>
                  <w:p w14:paraId="51746A8A" w14:textId="30E3059D" w:rsidR="00180970" w:rsidRPr="007A05BE" w:rsidRDefault="00180970" w:rsidP="00E50D64">
                    <w:pPr>
                      <w:pStyle w:val="Footer"/>
                      <w:rPr>
                        <w:rStyle w:val="PageNumber"/>
                      </w:rPr>
                    </w:pPr>
                    <w:r w:rsidRPr="007A05BE">
                      <w:rPr>
                        <w:rStyle w:val="PageNumber"/>
                      </w:rPr>
                      <w:fldChar w:fldCharType="begin"/>
                    </w:r>
                    <w:r w:rsidRPr="007A05BE">
                      <w:rPr>
                        <w:rStyle w:val="PageNumber"/>
                      </w:rPr>
                      <w:instrText xml:space="preserve"> PAGE   \* MERGEFORMAT </w:instrText>
                    </w:r>
                    <w:r w:rsidRPr="007A05BE">
                      <w:rPr>
                        <w:rStyle w:val="PageNumber"/>
                      </w:rPr>
                      <w:fldChar w:fldCharType="separate"/>
                    </w:r>
                    <w:r>
                      <w:rPr>
                        <w:rStyle w:val="PageNumber"/>
                        <w:noProof/>
                      </w:rPr>
                      <w:t>46</w:t>
                    </w:r>
                    <w:r w:rsidRPr="007A05BE">
                      <w:rPr>
                        <w:rStyle w:val="PageNumber"/>
                      </w:rPr>
                      <w:fldChar w:fldCharType="end"/>
                    </w:r>
                  </w:p>
                </w:txbxContent>
              </v:textbox>
              <w10:wrap anchorx="page" anchory="page"/>
              <w10:anchorlock/>
            </v:shape>
          </w:pict>
        </mc:Fallback>
      </mc:AlternateContent>
    </w:r>
    <w:r>
      <w:rPr>
        <w:noProof/>
        <w:lang w:eastAsia="en-AU"/>
      </w:rPr>
      <mc:AlternateContent>
        <mc:Choice Requires="wps">
          <w:drawing>
            <wp:anchor distT="0" distB="0" distL="114300" distR="114300" simplePos="0" relativeHeight="251659264" behindDoc="1" locked="1" layoutInCell="1" allowOverlap="1" wp14:anchorId="67186A1B" wp14:editId="2EAB6FF7">
              <wp:simplePos x="0" y="0"/>
              <wp:positionH relativeFrom="page">
                <wp:align>left</wp:align>
              </wp:positionH>
              <wp:positionV relativeFrom="page">
                <wp:align>bottom</wp:align>
              </wp:positionV>
              <wp:extent cx="4320000" cy="539280"/>
              <wp:effectExtent l="0" t="0" r="4445" b="0"/>
              <wp:wrapNone/>
              <wp:docPr id="18" name="Text Box 18" descr="background" title="background"/>
              <wp:cNvGraphicFramePr/>
              <a:graphic xmlns:a="http://schemas.openxmlformats.org/drawingml/2006/main">
                <a:graphicData uri="http://schemas.microsoft.com/office/word/2010/wordprocessingShape">
                  <wps:wsp>
                    <wps:cNvSpPr txBox="1"/>
                    <wps:spPr>
                      <a:xfrm>
                        <a:off x="0" y="0"/>
                        <a:ext cx="4320000" cy="539280"/>
                      </a:xfrm>
                      <a:prstGeom prst="rect">
                        <a:avLst/>
                      </a:prstGeom>
                      <a:noFill/>
                      <a:ln w="6350">
                        <a:noFill/>
                      </a:ln>
                    </wps:spPr>
                    <wps:txbx>
                      <w:txbxContent>
                        <w:p w14:paraId="709FBE42" w14:textId="6957907D" w:rsidR="00180970" w:rsidRDefault="00180970" w:rsidP="00E50D64">
                          <w:pPr>
                            <w:pStyle w:val="Footer"/>
                          </w:pPr>
                          <w:r>
                            <w:t>Regulatory Impact Statement</w:t>
                          </w:r>
                        </w:p>
                      </w:txbxContent>
                    </wps:txbx>
                    <wps:bodyPr rot="0" spcFirstLastPara="0" vertOverflow="overflow" horzOverflow="overflow" vert="horz" wrap="square" lIns="1008000" tIns="0" rIns="0" bIns="360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186A1B" id="Text Box 18" o:spid="_x0000_s1027" type="#_x0000_t202" alt="Title: background - Description: background" style="position:absolute;left:0;text-align:left;margin-left:0;margin-top:0;width:340.15pt;height:42.45pt;z-index:-251657216;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" filled="f" stroked="f" strokeweight=".5pt">
              <v:textbox inset="28mm,0,0,10mm">
                <w:txbxContent>
                  <w:p w14:paraId="709FBE42" w14:textId="6957907D" w:rsidR="00180970" w:rsidRDefault="00180970" w:rsidP="00E50D64">
                    <w:pPr>
                      <w:pStyle w:val="Footer"/>
                    </w:pPr>
                    <w:r>
                      <w:t>Regulatory Impact Statement</w:t>
                    </w:r>
                  </w:p>
                </w:txbxContent>
              </v:textbox>
              <w10:wrap anchorx="page" anchory="page"/>
              <w10:anchorlock/>
            </v:shape>
          </w:pict>
        </mc:Fallback>
      </mc:AlternateContent>
    </w:r>
    <w:r>
      <w:rPr>
        <w:noProof/>
        <w:lang w:eastAsia="en-AU"/>
      </w:rPr>
      <w:drawing>
        <wp:anchor distT="0" distB="0" distL="114300" distR="114300" simplePos="0" relativeHeight="251658240" behindDoc="1" locked="1" layoutInCell="1" allowOverlap="1" wp14:anchorId="01F32EA0" wp14:editId="69506612">
          <wp:simplePos x="0" y="0"/>
          <wp:positionH relativeFrom="page">
            <wp:align>right</wp:align>
          </wp:positionH>
          <wp:positionV relativeFrom="page">
            <wp:align>bottom</wp:align>
          </wp:positionV>
          <wp:extent cx="10692000" cy="183240"/>
          <wp:effectExtent l="0" t="0" r="0" b="7620"/>
          <wp:wrapNone/>
          <wp:docPr id="12" name="Picture 12" descr="background" title="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port-Template-Long_BGs-3.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692000" cy="18324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0705DB" w14:textId="2F7EA6CB" w:rsidR="00180970" w:rsidRDefault="00180970" w:rsidP="007A0EF3">
    <w:pPr>
      <w:pStyle w:val="Footer"/>
      <w:tabs>
        <w:tab w:val="clear" w:pos="4513"/>
        <w:tab w:val="clear" w:pos="9026"/>
        <w:tab w:val="left" w:pos="8820"/>
      </w:tabs>
      <w:spacing w:before="720"/>
    </w:pPr>
    <w:r>
      <w:rPr>
        <w:noProof/>
        <w:lang w:eastAsia="en-AU"/>
      </w:rPr>
      <mc:AlternateContent>
        <mc:Choice Requires="wps">
          <w:drawing>
            <wp:anchor distT="0" distB="0" distL="114300" distR="114300" simplePos="0" relativeHeight="251657216" behindDoc="1" locked="1" layoutInCell="1" allowOverlap="1" wp14:anchorId="4C68B85A" wp14:editId="6875302E">
              <wp:simplePos x="0" y="0"/>
              <wp:positionH relativeFrom="page">
                <wp:align>right</wp:align>
              </wp:positionH>
              <wp:positionV relativeFrom="page">
                <wp:align>bottom</wp:align>
              </wp:positionV>
              <wp:extent cx="1007640" cy="539640"/>
              <wp:effectExtent l="0" t="0" r="0" b="0"/>
              <wp:wrapNone/>
              <wp:docPr id="4" name="Text Box 4" descr="background" title="background"/>
              <wp:cNvGraphicFramePr/>
              <a:graphic xmlns:a="http://schemas.openxmlformats.org/drawingml/2006/main">
                <a:graphicData uri="http://schemas.microsoft.com/office/word/2010/wordprocessingShape">
                  <wps:wsp>
                    <wps:cNvSpPr txBox="1"/>
                    <wps:spPr>
                      <a:xfrm>
                        <a:off x="0" y="0"/>
                        <a:ext cx="1007640" cy="539640"/>
                      </a:xfrm>
                      <a:prstGeom prst="rect">
                        <a:avLst/>
                      </a:prstGeom>
                      <a:noFill/>
                      <a:ln w="6350">
                        <a:noFill/>
                      </a:ln>
                    </wps:spPr>
                    <wps:txbx>
                      <w:txbxContent>
                        <w:p w14:paraId="7733B55A" w14:textId="4A9D6608" w:rsidR="00180970" w:rsidRPr="007A05BE" w:rsidRDefault="00180970" w:rsidP="007A05BE">
                          <w:pPr>
                            <w:pStyle w:val="Footer"/>
                            <w:jc w:val="right"/>
                            <w:rPr>
                              <w:rStyle w:val="PageNumber"/>
                            </w:rPr>
                          </w:pPr>
                          <w:r w:rsidRPr="007A05BE">
                            <w:rPr>
                              <w:rStyle w:val="PageNumber"/>
                            </w:rPr>
                            <w:fldChar w:fldCharType="begin"/>
                          </w:r>
                          <w:r w:rsidRPr="007A05BE">
                            <w:rPr>
                              <w:rStyle w:val="PageNumber"/>
                            </w:rPr>
                            <w:instrText xml:space="preserve"> PAGE   \* MERGEFORMAT </w:instrText>
                          </w:r>
                          <w:r w:rsidRPr="007A05BE">
                            <w:rPr>
                              <w:rStyle w:val="PageNumber"/>
                            </w:rPr>
                            <w:fldChar w:fldCharType="separate"/>
                          </w:r>
                          <w:r w:rsidR="000F268E">
                            <w:rPr>
                              <w:rStyle w:val="PageNumber"/>
                              <w:noProof/>
                            </w:rPr>
                            <w:t>4</w:t>
                          </w:r>
                          <w:r w:rsidRPr="007A05BE">
                            <w:rPr>
                              <w:rStyle w:val="PageNumber"/>
                            </w:rPr>
                            <w:fldChar w:fldCharType="end"/>
                          </w:r>
                        </w:p>
                      </w:txbxContent>
                    </wps:txbx>
                    <wps:bodyPr rot="0" spcFirstLastPara="0" vertOverflow="overflow" horzOverflow="overflow" vert="horz" wrap="square" lIns="0" tIns="0" rIns="648000" bIns="360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68B85A" id="_x0000_t202" coordsize="21600,21600" o:spt="202" path="m,l,21600r21600,l21600,xe">
              <v:stroke joinstyle="miter"/>
              <v:path gradientshapeok="t" o:connecttype="rect"/>
            </v:shapetype>
            <v:shape id="Text Box 4" o:spid="_x0000_s1028" type="#_x0000_t202" alt="Title: background - Description: background" style="position:absolute;margin-left:28.15pt;margin-top:0;width:79.35pt;height:42.5pt;z-index:-251659264;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" filled="f" stroked="f" strokeweight=".5pt">
              <v:textbox inset="0,0,18mm,10mm">
                <w:txbxContent>
                  <w:p w14:paraId="7733B55A" w14:textId="4A9D6608" w:rsidR="00180970" w:rsidRPr="007A05BE" w:rsidRDefault="00180970" w:rsidP="007A05BE">
                    <w:pPr>
                      <w:pStyle w:val="Footer"/>
                      <w:jc w:val="right"/>
                      <w:rPr>
                        <w:rStyle w:val="PageNumber"/>
                      </w:rPr>
                    </w:pPr>
                    <w:r w:rsidRPr="007A05BE">
                      <w:rPr>
                        <w:rStyle w:val="PageNumber"/>
                      </w:rPr>
                      <w:fldChar w:fldCharType="begin"/>
                    </w:r>
                    <w:r w:rsidRPr="007A05BE">
                      <w:rPr>
                        <w:rStyle w:val="PageNumber"/>
                      </w:rPr>
                      <w:instrText xml:space="preserve"> PAGE   \* MERGEFORMAT </w:instrText>
                    </w:r>
                    <w:r w:rsidRPr="007A05BE">
                      <w:rPr>
                        <w:rStyle w:val="PageNumber"/>
                      </w:rPr>
                      <w:fldChar w:fldCharType="separate"/>
                    </w:r>
                    <w:r w:rsidR="000F268E">
                      <w:rPr>
                        <w:rStyle w:val="PageNumber"/>
                        <w:noProof/>
                      </w:rPr>
                      <w:t>4</w:t>
                    </w:r>
                    <w:r w:rsidRPr="007A05BE">
                      <w:rPr>
                        <w:rStyle w:val="PageNumber"/>
                      </w:rPr>
                      <w:fldChar w:fldCharType="end"/>
                    </w:r>
                  </w:p>
                </w:txbxContent>
              </v:textbox>
              <w10:wrap anchorx="page" anchory="page"/>
              <w10:anchorlock/>
            </v:shape>
          </w:pict>
        </mc:Fallback>
      </mc:AlternateContent>
    </w:r>
    <w:r>
      <w:rPr>
        <w:noProof/>
        <w:lang w:eastAsia="en-AU"/>
      </w:rPr>
      <mc:AlternateContent>
        <mc:Choice Requires="wps">
          <w:drawing>
            <wp:anchor distT="0" distB="0" distL="114300" distR="114300" simplePos="0" relativeHeight="251656192" behindDoc="1" locked="1" layoutInCell="1" allowOverlap="1" wp14:anchorId="72C64C98" wp14:editId="3C755509">
              <wp:simplePos x="0" y="0"/>
              <wp:positionH relativeFrom="page">
                <wp:align>right</wp:align>
              </wp:positionH>
              <wp:positionV relativeFrom="page">
                <wp:align>bottom</wp:align>
              </wp:positionV>
              <wp:extent cx="4320000" cy="539640"/>
              <wp:effectExtent l="0" t="0" r="0" b="0"/>
              <wp:wrapNone/>
              <wp:docPr id="3" name="Text Box 3" descr="background" title="background"/>
              <wp:cNvGraphicFramePr/>
              <a:graphic xmlns:a="http://schemas.openxmlformats.org/drawingml/2006/main">
                <a:graphicData uri="http://schemas.microsoft.com/office/word/2010/wordprocessingShape">
                  <wps:wsp>
                    <wps:cNvSpPr txBox="1"/>
                    <wps:spPr>
                      <a:xfrm>
                        <a:off x="0" y="0"/>
                        <a:ext cx="4320000" cy="539640"/>
                      </a:xfrm>
                      <a:prstGeom prst="rect">
                        <a:avLst/>
                      </a:prstGeom>
                      <a:noFill/>
                      <a:ln w="6350">
                        <a:noFill/>
                      </a:ln>
                    </wps:spPr>
                    <wps:txbx>
                      <w:txbxContent>
                        <w:p w14:paraId="2F17AD68" w14:textId="738F1975" w:rsidR="00180970" w:rsidRDefault="00180970" w:rsidP="007A05BE">
                          <w:pPr>
                            <w:pStyle w:val="Footer"/>
                            <w:jc w:val="right"/>
                          </w:pPr>
                          <w:r>
                            <w:t>Regulatory Impact Statement</w:t>
                          </w:r>
                        </w:p>
                      </w:txbxContent>
                    </wps:txbx>
                    <wps:bodyPr rot="0" spcFirstLastPara="0" vertOverflow="overflow" horzOverflow="overflow" vert="horz" wrap="square" lIns="0" tIns="0" rIns="1008000" bIns="36000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C64C98" id="Text Box 3" o:spid="_x0000_s1029" type="#_x0000_t202" alt="Title: background - Description: background" style="position:absolute;margin-left:288.95pt;margin-top:0;width:340.15pt;height:42.5pt;z-index:-251660288;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" filled="f" stroked="f" strokeweight=".5pt">
              <v:textbox inset="0,0,28mm,10mm">
                <w:txbxContent>
                  <w:p w14:paraId="2F17AD68" w14:textId="738F1975" w:rsidR="00180970" w:rsidRDefault="00180970" w:rsidP="007A05BE">
                    <w:pPr>
                      <w:pStyle w:val="Footer"/>
                      <w:jc w:val="right"/>
                    </w:pPr>
                    <w:r>
                      <w:t>Regulatory Impact Statement</w:t>
                    </w:r>
                  </w:p>
                </w:txbxContent>
              </v:textbox>
              <w10:wrap anchorx="page" anchory="page"/>
              <w10:anchorlock/>
            </v:shape>
          </w:pict>
        </mc:Fallback>
      </mc:AlternateContent>
    </w:r>
    <w:r>
      <w:rPr>
        <w:noProof/>
        <w:lang w:eastAsia="en-AU"/>
      </w:rPr>
      <w:drawing>
        <wp:anchor distT="0" distB="0" distL="114300" distR="114300" simplePos="0" relativeHeight="251655168" behindDoc="1" locked="1" layoutInCell="1" allowOverlap="1" wp14:anchorId="7C4C10CF" wp14:editId="0D2DCD8A">
          <wp:simplePos x="0" y="0"/>
          <wp:positionH relativeFrom="page">
            <wp:align>right</wp:align>
          </wp:positionH>
          <wp:positionV relativeFrom="page">
            <wp:align>bottom</wp:align>
          </wp:positionV>
          <wp:extent cx="10692000" cy="183240"/>
          <wp:effectExtent l="0" t="0" r="0" b="7620"/>
          <wp:wrapNone/>
          <wp:docPr id="13" name="Picture 13" descr="background" title="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port-Template-Long_BGs-3.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692000" cy="183240"/>
                  </a:xfrm>
                  <a:prstGeom prst="rect">
                    <a:avLst/>
                  </a:prstGeom>
                </pic:spPr>
              </pic:pic>
            </a:graphicData>
          </a:graphic>
          <wp14:sizeRelH relativeFrom="margin">
            <wp14:pctWidth>0</wp14:pctWidth>
          </wp14:sizeRelH>
          <wp14:sizeRelV relativeFrom="margin">
            <wp14:pctHeight>0</wp14:pctHeight>
          </wp14:sizeRelV>
        </wp:anchor>
      </w:drawing>
    </w:r>
    <w:r>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F618FF" w14:textId="77777777" w:rsidR="000F268E" w:rsidRDefault="000F26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E10F15" w14:textId="77777777" w:rsidR="00180970" w:rsidRPr="005912BE" w:rsidRDefault="00180970" w:rsidP="005912BE">
      <w:pPr>
        <w:spacing w:before="300"/>
        <w:rPr>
          <w:color w:val="4BB3B5" w:themeColor="accent2"/>
        </w:rPr>
      </w:pPr>
      <w:r>
        <w:rPr>
          <w:color w:val="4BB3B5" w:themeColor="accent2"/>
        </w:rPr>
        <w:t>----------</w:t>
      </w:r>
    </w:p>
  </w:footnote>
  <w:footnote w:type="continuationSeparator" w:id="0">
    <w:p w14:paraId="191FC54B" w14:textId="77777777" w:rsidR="00180970" w:rsidRDefault="00180970" w:rsidP="008456D5">
      <w:pPr>
        <w:spacing w:before="0" w:after="0"/>
      </w:pPr>
      <w:r>
        <w:continuationSeparator/>
      </w:r>
    </w:p>
  </w:footnote>
  <w:footnote w:id="1">
    <w:p w14:paraId="550E9FF1" w14:textId="55DF0355" w:rsidR="00180970" w:rsidRPr="00855F77" w:rsidRDefault="00180970">
      <w:pPr>
        <w:pStyle w:val="FootnoteText"/>
        <w:rPr>
          <w:lang w:val="en-US"/>
        </w:rPr>
      </w:pPr>
      <w:r>
        <w:rPr>
          <w:rStyle w:val="FootnoteReference"/>
        </w:rPr>
        <w:footnoteRef/>
      </w:r>
      <w:r>
        <w:t xml:space="preserve"> </w:t>
      </w:r>
      <w:r>
        <w:rPr>
          <w:lang w:val="en-US"/>
        </w:rPr>
        <w:t xml:space="preserve">Article 87 </w:t>
      </w:r>
      <w:r w:rsidRPr="00855F77">
        <w:rPr>
          <w:i/>
        </w:rPr>
        <w:t>United Nationals Convention on the Law of the Sea</w:t>
      </w:r>
      <w:r>
        <w:rPr>
          <w:i/>
        </w:rPr>
        <w:t>.</w:t>
      </w:r>
    </w:p>
  </w:footnote>
  <w:footnote w:id="2">
    <w:p w14:paraId="3E569B37" w14:textId="5ED9DAA7" w:rsidR="00180970" w:rsidRDefault="00180970">
      <w:pPr>
        <w:pStyle w:val="FootnoteText"/>
      </w:pPr>
      <w:r>
        <w:rPr>
          <w:rStyle w:val="FootnoteReference"/>
        </w:rPr>
        <w:footnoteRef/>
      </w:r>
      <w:r>
        <w:t xml:space="preserve"> </w:t>
      </w:r>
      <w:r w:rsidRPr="00B50619">
        <w:rPr>
          <w:rFonts w:cstheme="minorHAnsi"/>
          <w:szCs w:val="22"/>
          <w:lang w:val="en-US"/>
        </w:rPr>
        <w:t xml:space="preserve">International Maritime Organization, </w:t>
      </w:r>
      <w:r w:rsidRPr="00007209">
        <w:rPr>
          <w:rFonts w:cstheme="minorHAnsi"/>
          <w:szCs w:val="22"/>
          <w:lang w:val="en-US"/>
        </w:rPr>
        <w:t>Status of Conventions - Comprehensive information including Signatories, Contracting States, declarations, reservations, objections and amendments</w:t>
      </w:r>
      <w:r>
        <w:rPr>
          <w:rFonts w:cstheme="minorHAnsi"/>
          <w:szCs w:val="22"/>
          <w:lang w:val="en-US"/>
        </w:rPr>
        <w:t xml:space="preserve">, </w:t>
      </w:r>
      <w:r w:rsidRPr="00C40B95">
        <w:rPr>
          <w:rFonts w:cstheme="minorHAnsi"/>
          <w:szCs w:val="22"/>
          <w:lang w:val="en-US"/>
        </w:rPr>
        <w:t>IMO</w:t>
      </w:r>
      <w:r>
        <w:rPr>
          <w:rFonts w:cstheme="minorHAnsi"/>
          <w:szCs w:val="22"/>
          <w:lang w:val="en-US"/>
        </w:rPr>
        <w:t>, 2021</w:t>
      </w:r>
      <w:r w:rsidRPr="00B50619">
        <w:rPr>
          <w:rFonts w:cstheme="minorHAnsi"/>
          <w:szCs w:val="22"/>
          <w:lang w:val="en-US"/>
        </w:rPr>
        <w:t xml:space="preserve">, accessed </w:t>
      </w:r>
      <w:r>
        <w:rPr>
          <w:rFonts w:cstheme="minorHAnsi"/>
          <w:szCs w:val="22"/>
          <w:lang w:val="en-US"/>
        </w:rPr>
        <w:t>10 March 2022.</w:t>
      </w:r>
    </w:p>
  </w:footnote>
  <w:footnote w:id="3">
    <w:p w14:paraId="33FC2FAE" w14:textId="00D80447" w:rsidR="00180970" w:rsidRPr="00E149DD" w:rsidRDefault="00180970" w:rsidP="002807CD">
      <w:pPr>
        <w:pStyle w:val="FootnoteText"/>
        <w:rPr>
          <w:lang w:val="en-US"/>
        </w:rPr>
      </w:pPr>
      <w:r>
        <w:rPr>
          <w:rStyle w:val="FootnoteReference"/>
        </w:rPr>
        <w:footnoteRef/>
      </w:r>
      <w:r w:rsidRPr="007B4D62">
        <w:rPr>
          <w:sz w:val="20"/>
        </w:rPr>
        <w:t xml:space="preserve"> </w:t>
      </w:r>
      <w:r w:rsidRPr="00A30F88">
        <w:t xml:space="preserve">Former </w:t>
      </w:r>
      <w:r w:rsidRPr="009754C1">
        <w:t xml:space="preserve">Department of Infrastructure, Transport, Regional Development and Communications, </w:t>
      </w:r>
      <w:r w:rsidRPr="00007209">
        <w:t>Australian Infrastructure Statistics—Yearbook 2020</w:t>
      </w:r>
      <w:r>
        <w:t>, DITRDC, 2020, accessed 12 January 2021.</w:t>
      </w:r>
    </w:p>
  </w:footnote>
  <w:footnote w:id="4">
    <w:p w14:paraId="480600D9" w14:textId="55D572EE" w:rsidR="00180970" w:rsidRPr="00215809" w:rsidRDefault="00180970" w:rsidP="00EC4D5E">
      <w:pPr>
        <w:pStyle w:val="FootnoteText"/>
        <w:rPr>
          <w:lang w:val="en-US"/>
        </w:rPr>
      </w:pPr>
      <w:r w:rsidRPr="00630E28">
        <w:rPr>
          <w:rStyle w:val="FootnoteReference"/>
          <w:szCs w:val="18"/>
        </w:rPr>
        <w:footnoteRef/>
      </w:r>
      <w:r w:rsidRPr="00630E28">
        <w:rPr>
          <w:szCs w:val="18"/>
        </w:rPr>
        <w:t xml:space="preserve"> </w:t>
      </w:r>
      <w:r w:rsidRPr="005408A1">
        <w:rPr>
          <w:szCs w:val="18"/>
        </w:rPr>
        <w:t>Bureau of Infrastructure, Transport and Regional Economics</w:t>
      </w:r>
      <w:r>
        <w:rPr>
          <w:szCs w:val="18"/>
        </w:rPr>
        <w:t>,</w:t>
      </w:r>
      <w:r w:rsidRPr="00641712">
        <w:rPr>
          <w:i/>
          <w:szCs w:val="18"/>
        </w:rPr>
        <w:t xml:space="preserve"> </w:t>
      </w:r>
      <w:r w:rsidRPr="00007209">
        <w:rPr>
          <w:szCs w:val="18"/>
        </w:rPr>
        <w:t>https://www.bitre.gov.au/publications/2019/australian-sea-freight-2016-17</w:t>
      </w:r>
      <w:r w:rsidRPr="005408A1">
        <w:rPr>
          <w:szCs w:val="18"/>
        </w:rPr>
        <w:t xml:space="preserve">, </w:t>
      </w:r>
      <w:r>
        <w:rPr>
          <w:szCs w:val="18"/>
        </w:rPr>
        <w:t xml:space="preserve">BITRE, 2019, accessed 28 January 2021. While the Australian sea freight 2018 to 2019 report has now been released, the 2016 to 2017 report was the most recent at the time of drafting and undertaking the cost benefit analysis. </w:t>
      </w:r>
    </w:p>
  </w:footnote>
  <w:footnote w:id="5">
    <w:p w14:paraId="3384E48D" w14:textId="78A6EADA" w:rsidR="00180970" w:rsidRPr="00227A7C" w:rsidRDefault="00180970" w:rsidP="00227A7C">
      <w:pPr>
        <w:pStyle w:val="FootnoteText"/>
        <w:rPr>
          <w:highlight w:val="yellow"/>
          <w:lang w:val="en-US"/>
        </w:rPr>
      </w:pPr>
      <w:r w:rsidRPr="00E604C4">
        <w:rPr>
          <w:rStyle w:val="FootnoteReference"/>
        </w:rPr>
        <w:footnoteRef/>
      </w:r>
      <w:r w:rsidRPr="00E604C4">
        <w:t xml:space="preserve"> </w:t>
      </w:r>
      <w:r>
        <w:t xml:space="preserve">World Integrated Trade Solution, </w:t>
      </w:r>
      <w:r w:rsidRPr="00007209">
        <w:t>Australia Exports 2017</w:t>
      </w:r>
      <w:r w:rsidRPr="00BE3918">
        <w:t>,</w:t>
      </w:r>
      <w:r>
        <w:rPr>
          <w:i/>
        </w:rPr>
        <w:t xml:space="preserve"> </w:t>
      </w:r>
      <w:r w:rsidRPr="00E604C4">
        <w:t>WITS,</w:t>
      </w:r>
      <w:r>
        <w:rPr>
          <w:i/>
        </w:rPr>
        <w:t xml:space="preserve"> </w:t>
      </w:r>
      <w:r>
        <w:t>2021, accessed 7 July 2021.</w:t>
      </w:r>
    </w:p>
  </w:footnote>
  <w:footnote w:id="6">
    <w:p w14:paraId="61A53F6D" w14:textId="2CB94787" w:rsidR="00180970" w:rsidRPr="008C22C0" w:rsidRDefault="00180970">
      <w:pPr>
        <w:pStyle w:val="FootnoteText"/>
        <w:rPr>
          <w:lang w:val="en-US"/>
        </w:rPr>
      </w:pPr>
      <w:r>
        <w:rPr>
          <w:rStyle w:val="FootnoteReference"/>
        </w:rPr>
        <w:footnoteRef/>
      </w:r>
      <w:r>
        <w:t xml:space="preserve"> </w:t>
      </w:r>
      <w:r>
        <w:rPr>
          <w:szCs w:val="18"/>
        </w:rPr>
        <w:t>BITRE,</w:t>
      </w:r>
      <w:r w:rsidRPr="00641712">
        <w:rPr>
          <w:i/>
          <w:szCs w:val="18"/>
        </w:rPr>
        <w:t xml:space="preserve"> </w:t>
      </w:r>
      <w:r w:rsidRPr="00007209">
        <w:rPr>
          <w:szCs w:val="18"/>
        </w:rPr>
        <w:t>Australian sea freight 2016–17</w:t>
      </w:r>
      <w:r w:rsidRPr="005408A1">
        <w:rPr>
          <w:szCs w:val="18"/>
        </w:rPr>
        <w:t xml:space="preserve">, </w:t>
      </w:r>
      <w:r>
        <w:rPr>
          <w:szCs w:val="18"/>
        </w:rPr>
        <w:t>BITRE, 2019, accessed 28 January 2021.</w:t>
      </w:r>
    </w:p>
  </w:footnote>
  <w:footnote w:id="7">
    <w:p w14:paraId="01C918DF" w14:textId="0B1559B2" w:rsidR="00180970" w:rsidRPr="00722BF1" w:rsidRDefault="00180970" w:rsidP="00722BF1">
      <w:pPr>
        <w:spacing w:before="0" w:after="0"/>
        <w:rPr>
          <w:rFonts w:eastAsia="Times New Roman" w:cs="Arial"/>
          <w:color w:val="000000"/>
          <w:kern w:val="0"/>
          <w:sz w:val="18"/>
          <w:szCs w:val="18"/>
          <w:lang w:val="en-US"/>
        </w:rPr>
      </w:pPr>
      <w:r w:rsidRPr="00722BF1">
        <w:rPr>
          <w:rStyle w:val="FootnoteReference"/>
          <w:sz w:val="18"/>
          <w:szCs w:val="18"/>
        </w:rPr>
        <w:footnoteRef/>
      </w:r>
      <w:r>
        <w:rPr>
          <w:sz w:val="18"/>
          <w:szCs w:val="18"/>
        </w:rPr>
        <w:t xml:space="preserve"> </w:t>
      </w:r>
      <w:r w:rsidRPr="00722BF1">
        <w:rPr>
          <w:sz w:val="18"/>
        </w:rPr>
        <w:t>PriceWaterhouseCoopers</w:t>
      </w:r>
      <w:r>
        <w:rPr>
          <w:sz w:val="18"/>
        </w:rPr>
        <w:t>,</w:t>
      </w:r>
      <w:r w:rsidRPr="00722BF1">
        <w:rPr>
          <w:sz w:val="18"/>
          <w:szCs w:val="18"/>
        </w:rPr>
        <w:t xml:space="preserve"> </w:t>
      </w:r>
      <w:r w:rsidRPr="00007209">
        <w:rPr>
          <w:rFonts w:eastAsia="Times New Roman" w:cs="Arial"/>
          <w:kern w:val="0"/>
          <w:sz w:val="18"/>
          <w:szCs w:val="18"/>
          <w:lang w:val="x-none"/>
        </w:rPr>
        <w:t>The economic contribution of the Australian maritime industry</w:t>
      </w:r>
      <w:r w:rsidRPr="00A81DF1">
        <w:rPr>
          <w:rFonts w:eastAsia="Times New Roman" w:cs="Arial"/>
          <w:color w:val="000000"/>
          <w:kern w:val="0"/>
          <w:sz w:val="18"/>
          <w:szCs w:val="18"/>
          <w:lang w:val="x-none"/>
        </w:rPr>
        <w:t>,</w:t>
      </w:r>
      <w:r w:rsidRPr="006A2629">
        <w:rPr>
          <w:rFonts w:eastAsia="Times New Roman" w:cs="Arial"/>
          <w:color w:val="000000"/>
          <w:kern w:val="0"/>
          <w:sz w:val="18"/>
          <w:szCs w:val="18"/>
          <w:lang w:val="x-none"/>
        </w:rPr>
        <w:t xml:space="preserve"> </w:t>
      </w:r>
      <w:r w:rsidRPr="00D43F58">
        <w:rPr>
          <w:rFonts w:eastAsia="Times New Roman" w:cs="Arial"/>
          <w:color w:val="000000"/>
          <w:kern w:val="0"/>
          <w:sz w:val="18"/>
          <w:szCs w:val="18"/>
          <w:lang w:val="x-none"/>
        </w:rPr>
        <w:t>Australian Shipowners Association</w:t>
      </w:r>
      <w:r>
        <w:rPr>
          <w:rFonts w:eastAsia="Times New Roman" w:cs="Arial"/>
          <w:color w:val="000000"/>
          <w:kern w:val="0"/>
          <w:sz w:val="18"/>
          <w:szCs w:val="18"/>
          <w:lang w:val="en-US"/>
        </w:rPr>
        <w:t xml:space="preserve">, 2015, accessed 16 June </w:t>
      </w:r>
      <w:r w:rsidRPr="00722BF1">
        <w:rPr>
          <w:sz w:val="18"/>
        </w:rPr>
        <w:t>2021</w:t>
      </w:r>
      <w:r>
        <w:rPr>
          <w:rFonts w:eastAsia="Times New Roman" w:cs="Arial"/>
          <w:color w:val="000000"/>
          <w:kern w:val="0"/>
          <w:sz w:val="18"/>
          <w:szCs w:val="18"/>
          <w:lang w:val="en-US"/>
        </w:rPr>
        <w:t xml:space="preserve">. </w:t>
      </w:r>
    </w:p>
  </w:footnote>
  <w:footnote w:id="8">
    <w:p w14:paraId="052EF72A" w14:textId="368C9798" w:rsidR="00180970" w:rsidRPr="00C351AD" w:rsidRDefault="00180970" w:rsidP="009F2069">
      <w:pPr>
        <w:pStyle w:val="FootnoteText"/>
        <w:rPr>
          <w:lang w:val="en-US"/>
        </w:rPr>
      </w:pPr>
      <w:r>
        <w:rPr>
          <w:rStyle w:val="FootnoteReference"/>
        </w:rPr>
        <w:footnoteRef/>
      </w:r>
      <w:r>
        <w:t xml:space="preserve"> </w:t>
      </w:r>
      <w:r>
        <w:rPr>
          <w:szCs w:val="18"/>
        </w:rPr>
        <w:t>BITRE,</w:t>
      </w:r>
      <w:r w:rsidRPr="00BE3918">
        <w:rPr>
          <w:szCs w:val="18"/>
        </w:rPr>
        <w:t xml:space="preserve"> </w:t>
      </w:r>
      <w:r>
        <w:rPr>
          <w:szCs w:val="18"/>
        </w:rPr>
        <w:t>loc. cit.</w:t>
      </w:r>
    </w:p>
  </w:footnote>
  <w:footnote w:id="9">
    <w:p w14:paraId="1ED944CF" w14:textId="5499EF07" w:rsidR="00180970" w:rsidRPr="008C22C0" w:rsidRDefault="00180970">
      <w:pPr>
        <w:pStyle w:val="FootnoteText"/>
        <w:rPr>
          <w:lang w:val="en-US"/>
        </w:rPr>
      </w:pPr>
      <w:r>
        <w:rPr>
          <w:rStyle w:val="FootnoteReference"/>
        </w:rPr>
        <w:footnoteRef/>
      </w:r>
      <w:r>
        <w:t xml:space="preserve"> </w:t>
      </w:r>
      <w:r>
        <w:rPr>
          <w:szCs w:val="18"/>
        </w:rPr>
        <w:t>ibid.</w:t>
      </w:r>
    </w:p>
  </w:footnote>
  <w:footnote w:id="10">
    <w:p w14:paraId="665BADA9" w14:textId="5180B706" w:rsidR="00180970" w:rsidRPr="00713487" w:rsidRDefault="00180970" w:rsidP="00591B9B">
      <w:pPr>
        <w:pStyle w:val="FootnoteText"/>
        <w:rPr>
          <w:lang w:val="en-US"/>
        </w:rPr>
      </w:pPr>
      <w:r>
        <w:rPr>
          <w:rStyle w:val="FootnoteReference"/>
        </w:rPr>
        <w:footnoteRef/>
      </w:r>
      <w:r>
        <w:t xml:space="preserve"> Australian Maritime Safety Authority,</w:t>
      </w:r>
      <w:r w:rsidRPr="00F909C5">
        <w:rPr>
          <w:i/>
        </w:rPr>
        <w:t xml:space="preserve"> </w:t>
      </w:r>
      <w:r w:rsidRPr="00007209">
        <w:t>Analysis of 2020 Inspection Results</w:t>
      </w:r>
      <w:r>
        <w:t>, AMSA, 2021, accessed 8 July 2021.</w:t>
      </w:r>
    </w:p>
  </w:footnote>
  <w:footnote w:id="11">
    <w:p w14:paraId="662219DD" w14:textId="4B2F6A44" w:rsidR="00180970" w:rsidRPr="00D43F58" w:rsidRDefault="00180970" w:rsidP="00591B9B">
      <w:pPr>
        <w:pStyle w:val="FootnoteText"/>
      </w:pPr>
      <w:r>
        <w:rPr>
          <w:rStyle w:val="FootnoteReference"/>
        </w:rPr>
        <w:footnoteRef/>
      </w:r>
      <w:r>
        <w:t xml:space="preserve"> Vanuatu (2020) ‘Work Programme: </w:t>
      </w:r>
      <w:r w:rsidRPr="000A60B9">
        <w:t>Proposal for a new output on containers lost at sea in application of the action plan to address marine plastic litter from ships</w:t>
      </w:r>
      <w:r>
        <w:t>’,</w:t>
      </w:r>
      <w:r w:rsidRPr="00F73DF0">
        <w:t xml:space="preserve"> </w:t>
      </w:r>
      <w:r w:rsidRPr="00D43F58">
        <w:rPr>
          <w:i/>
        </w:rPr>
        <w:t>International Maritime Organization Maritime Safety Committee</w:t>
      </w:r>
      <w:r>
        <w:t xml:space="preserve">, MSC 1-2/21/13. </w:t>
      </w:r>
    </w:p>
  </w:footnote>
  <w:footnote w:id="12">
    <w:p w14:paraId="45471B96" w14:textId="5607611B" w:rsidR="00180970" w:rsidRPr="001223F5" w:rsidRDefault="00180970" w:rsidP="00591B9B">
      <w:pPr>
        <w:pStyle w:val="FootnoteText"/>
        <w:rPr>
          <w:lang w:val="en-US"/>
        </w:rPr>
      </w:pPr>
      <w:r>
        <w:rPr>
          <w:rStyle w:val="FootnoteReference"/>
        </w:rPr>
        <w:footnoteRef/>
      </w:r>
      <w:r>
        <w:t xml:space="preserve"> </w:t>
      </w:r>
      <w:r>
        <w:rPr>
          <w:lang w:val="en-US"/>
        </w:rPr>
        <w:t xml:space="preserve">United Nations Conference on Trade and Development, </w:t>
      </w:r>
      <w:r w:rsidRPr="00007209">
        <w:rPr>
          <w:lang w:val="en-US"/>
        </w:rPr>
        <w:t>Review of Maritime Transport 2019</w:t>
      </w:r>
      <w:r w:rsidRPr="00BE3918">
        <w:rPr>
          <w:lang w:val="en-US"/>
        </w:rPr>
        <w:t>,</w:t>
      </w:r>
      <w:r>
        <w:rPr>
          <w:lang w:val="en-US"/>
        </w:rPr>
        <w:t xml:space="preserve"> UNCTAD, 2021, accessed 15 June 2021.</w:t>
      </w:r>
    </w:p>
  </w:footnote>
  <w:footnote w:id="13">
    <w:p w14:paraId="00B9F45D" w14:textId="6FD022CF" w:rsidR="00180970" w:rsidRPr="006D7BA0" w:rsidRDefault="00180970" w:rsidP="00591B9B">
      <w:pPr>
        <w:pStyle w:val="FootnoteText"/>
        <w:rPr>
          <w:lang w:val="en-US"/>
        </w:rPr>
      </w:pPr>
      <w:r w:rsidRPr="006D7BA0">
        <w:rPr>
          <w:rStyle w:val="FootnoteReference"/>
        </w:rPr>
        <w:footnoteRef/>
      </w:r>
      <w:r>
        <w:t xml:space="preserve"> Former Department of Environment and Energy, </w:t>
      </w:r>
      <w:r w:rsidRPr="00007209">
        <w:t>Australian State of the Environment</w:t>
      </w:r>
      <w:r>
        <w:t>, DoEE, 2016, accessed 12 January 2021.</w:t>
      </w:r>
    </w:p>
  </w:footnote>
  <w:footnote w:id="14">
    <w:p w14:paraId="5E483E2A" w14:textId="21812D6F" w:rsidR="00180970" w:rsidRPr="008C22C0" w:rsidRDefault="00180970" w:rsidP="008C22C0">
      <w:pPr>
        <w:pStyle w:val="FootnoteText"/>
        <w:rPr>
          <w:lang w:val="en-US"/>
        </w:rPr>
      </w:pPr>
      <w:r>
        <w:rPr>
          <w:rStyle w:val="FootnoteReference"/>
        </w:rPr>
        <w:footnoteRef/>
      </w:r>
      <w:r>
        <w:t xml:space="preserve"> Geoscience Australia, </w:t>
      </w:r>
      <w:r w:rsidRPr="00007209">
        <w:t>Maritime Boundary Definitions</w:t>
      </w:r>
      <w:r>
        <w:t xml:space="preserve">, Geoscience Australia, accessed 23 March 2021.  </w:t>
      </w:r>
    </w:p>
  </w:footnote>
  <w:footnote w:id="15">
    <w:p w14:paraId="10721ECA" w14:textId="77777777" w:rsidR="00180970" w:rsidRPr="009F4341" w:rsidRDefault="00180970" w:rsidP="00C2028A">
      <w:pPr>
        <w:pStyle w:val="FootnoteText"/>
        <w:rPr>
          <w:lang w:val="en-US"/>
        </w:rPr>
      </w:pPr>
      <w:r w:rsidRPr="00264FC1">
        <w:rPr>
          <w:rStyle w:val="FootnoteReference"/>
        </w:rPr>
        <w:footnoteRef/>
      </w:r>
      <w:r w:rsidRPr="00264FC1">
        <w:t xml:space="preserve"> </w:t>
      </w:r>
      <w:r>
        <w:rPr>
          <w:rFonts w:cstheme="minorHAnsi"/>
        </w:rPr>
        <w:t xml:space="preserve">Subsections 229(2)(b) and (3)(b) </w:t>
      </w:r>
      <w:r w:rsidRPr="001D2BA1">
        <w:rPr>
          <w:rFonts w:ascii="Calibri" w:hAnsi="Calibri" w:cs="Calibri"/>
          <w:i/>
        </w:rPr>
        <w:t>Navigation Act 2012</w:t>
      </w:r>
      <w:r>
        <w:rPr>
          <w:rFonts w:ascii="Calibri" w:hAnsi="Calibri" w:cs="Calibri"/>
        </w:rPr>
        <w:t xml:space="preserve">. </w:t>
      </w:r>
    </w:p>
  </w:footnote>
  <w:footnote w:id="16">
    <w:p w14:paraId="0513F6C4" w14:textId="1502327B" w:rsidR="00180970" w:rsidRPr="001223F5" w:rsidRDefault="00180970" w:rsidP="00C2028A">
      <w:pPr>
        <w:pStyle w:val="FootnoteText"/>
        <w:rPr>
          <w:lang w:val="en-US"/>
        </w:rPr>
      </w:pPr>
      <w:r>
        <w:rPr>
          <w:rStyle w:val="FootnoteReference"/>
        </w:rPr>
        <w:footnoteRef/>
      </w:r>
      <w:r>
        <w:t xml:space="preserve"> </w:t>
      </w:r>
      <w:r>
        <w:rPr>
          <w:szCs w:val="18"/>
        </w:rPr>
        <w:t>BITRE,</w:t>
      </w:r>
      <w:r w:rsidRPr="00641712">
        <w:rPr>
          <w:i/>
          <w:szCs w:val="18"/>
        </w:rPr>
        <w:t xml:space="preserve"> </w:t>
      </w:r>
      <w:r>
        <w:t>loc. cit</w:t>
      </w:r>
      <w:r>
        <w:rPr>
          <w:szCs w:val="18"/>
        </w:rPr>
        <w:t>.</w:t>
      </w:r>
    </w:p>
  </w:footnote>
  <w:footnote w:id="17">
    <w:p w14:paraId="17EA33B3" w14:textId="1013CD05" w:rsidR="00180970" w:rsidRPr="00CF25F0" w:rsidRDefault="00180970" w:rsidP="00CD3188">
      <w:pPr>
        <w:pStyle w:val="FootnoteText"/>
        <w:rPr>
          <w:rFonts w:cstheme="minorHAnsi"/>
        </w:rPr>
      </w:pPr>
      <w:r>
        <w:rPr>
          <w:rStyle w:val="FootnoteReference"/>
        </w:rPr>
        <w:footnoteRef/>
      </w:r>
      <w:r>
        <w:t xml:space="preserve"> Ann Koh</w:t>
      </w:r>
      <w:r w:rsidRPr="004A403C">
        <w:rPr>
          <w:rFonts w:cstheme="minorHAnsi"/>
        </w:rPr>
        <w:t xml:space="preserve">, </w:t>
      </w:r>
      <w:r w:rsidRPr="00007209">
        <w:rPr>
          <w:rFonts w:cstheme="minorHAnsi"/>
        </w:rPr>
        <w:t>Shipping Containers Fall Overboard at Fastest Rate in Seven Years</w:t>
      </w:r>
      <w:r>
        <w:rPr>
          <w:rFonts w:cstheme="minorHAnsi"/>
        </w:rPr>
        <w:t xml:space="preserve">, </w:t>
      </w:r>
      <w:r w:rsidRPr="004A403C">
        <w:rPr>
          <w:rFonts w:cstheme="minorHAnsi"/>
        </w:rPr>
        <w:t>Bloomberg</w:t>
      </w:r>
      <w:r>
        <w:rPr>
          <w:rFonts w:cstheme="minorHAnsi"/>
        </w:rPr>
        <w:t xml:space="preserve">, 2021, accessed 28 May 2021. </w:t>
      </w:r>
    </w:p>
  </w:footnote>
  <w:footnote w:id="18">
    <w:p w14:paraId="0ECE1C7F" w14:textId="6A458AAC" w:rsidR="00180970" w:rsidRPr="00A70665" w:rsidRDefault="00180970" w:rsidP="00CD3188">
      <w:pPr>
        <w:pStyle w:val="FootnoteText"/>
        <w:rPr>
          <w:lang w:val="en-US"/>
        </w:rPr>
      </w:pPr>
      <w:r>
        <w:rPr>
          <w:rStyle w:val="FootnoteReference"/>
        </w:rPr>
        <w:footnoteRef/>
      </w:r>
      <w:r>
        <w:t xml:space="preserve"> </w:t>
      </w:r>
      <w:r>
        <w:rPr>
          <w:rFonts w:cstheme="minorHAnsi"/>
        </w:rPr>
        <w:t>BITRE</w:t>
      </w:r>
      <w:r w:rsidRPr="00BE3918">
        <w:rPr>
          <w:rFonts w:cstheme="minorHAnsi"/>
        </w:rPr>
        <w:t xml:space="preserve">, </w:t>
      </w:r>
      <w:r>
        <w:t>loc. cit</w:t>
      </w:r>
      <w:r>
        <w:rPr>
          <w:rFonts w:cstheme="minorHAnsi"/>
        </w:rPr>
        <w:t>.</w:t>
      </w:r>
    </w:p>
  </w:footnote>
  <w:footnote w:id="19">
    <w:p w14:paraId="27917468" w14:textId="74E7B593" w:rsidR="00180970" w:rsidRPr="00070DE9" w:rsidRDefault="00180970" w:rsidP="00414E37">
      <w:pPr>
        <w:pStyle w:val="FootnoteText"/>
        <w:rPr>
          <w:lang w:val="en-US"/>
        </w:rPr>
      </w:pPr>
      <w:r>
        <w:rPr>
          <w:rStyle w:val="FootnoteReference"/>
        </w:rPr>
        <w:footnoteRef/>
      </w:r>
      <w:r>
        <w:t xml:space="preserve"> </w:t>
      </w:r>
      <w:r w:rsidRPr="00D458A7">
        <w:t>Jean-Paul Rodrigue</w:t>
      </w:r>
      <w:r>
        <w:t>,</w:t>
      </w:r>
      <w:r w:rsidRPr="00BE3918">
        <w:t xml:space="preserve"> </w:t>
      </w:r>
      <w:r w:rsidRPr="00007209">
        <w:t>Evolution of the Containership</w:t>
      </w:r>
      <w:r>
        <w:t xml:space="preserve">, </w:t>
      </w:r>
      <w:r w:rsidRPr="00BE3918">
        <w:t>The Geography of Transport Systems</w:t>
      </w:r>
      <w:r>
        <w:t>, 2020, accessed 7 July 2021.</w:t>
      </w:r>
    </w:p>
  </w:footnote>
  <w:footnote w:id="20">
    <w:p w14:paraId="4BB72B38" w14:textId="69863811" w:rsidR="00180970" w:rsidRPr="005728E8" w:rsidRDefault="00180970">
      <w:pPr>
        <w:pStyle w:val="FootnoteText"/>
      </w:pPr>
      <w:r>
        <w:rPr>
          <w:rStyle w:val="FootnoteReference"/>
        </w:rPr>
        <w:footnoteRef/>
      </w:r>
      <w:r>
        <w:t xml:space="preserve"> Houston Kemp</w:t>
      </w:r>
      <w:r>
        <w:rPr>
          <w:lang w:val="en-US"/>
        </w:rPr>
        <w:t xml:space="preserve">, </w:t>
      </w:r>
      <w:r w:rsidRPr="00007209">
        <w:t>Containerised trade trends and implications for Australian ports</w:t>
      </w:r>
      <w:r>
        <w:t xml:space="preserve">, NSW Parliament, 2019, </w:t>
      </w:r>
      <w:r>
        <w:rPr>
          <w:lang w:val="en-US"/>
        </w:rPr>
        <w:t>accessed 12 July 2021.</w:t>
      </w:r>
    </w:p>
  </w:footnote>
  <w:footnote w:id="21">
    <w:p w14:paraId="22A591F5" w14:textId="6E7B4B2F" w:rsidR="00180970" w:rsidRPr="00CF25F0" w:rsidRDefault="00180970" w:rsidP="00D76B79">
      <w:pPr>
        <w:pStyle w:val="FootnoteText"/>
        <w:rPr>
          <w:rFonts w:cstheme="minorHAnsi"/>
        </w:rPr>
      </w:pPr>
      <w:r>
        <w:rPr>
          <w:rStyle w:val="FootnoteReference"/>
        </w:rPr>
        <w:footnoteRef/>
      </w:r>
      <w:r>
        <w:t xml:space="preserve"> Ann Koh</w:t>
      </w:r>
      <w:r w:rsidRPr="004A403C">
        <w:rPr>
          <w:rFonts w:cstheme="minorHAnsi"/>
        </w:rPr>
        <w:t xml:space="preserve">, </w:t>
      </w:r>
      <w:r>
        <w:t>loc. cit</w:t>
      </w:r>
      <w:r>
        <w:rPr>
          <w:rFonts w:cstheme="minorHAnsi"/>
        </w:rPr>
        <w:t xml:space="preserve">. </w:t>
      </w:r>
    </w:p>
  </w:footnote>
  <w:footnote w:id="22">
    <w:p w14:paraId="67BAA98E" w14:textId="2BB09ADF" w:rsidR="00180970" w:rsidRPr="004A403C" w:rsidRDefault="00180970" w:rsidP="00677E40">
      <w:pPr>
        <w:pStyle w:val="FootnoteText"/>
        <w:rPr>
          <w:lang w:val="en-US"/>
        </w:rPr>
      </w:pPr>
      <w:r>
        <w:rPr>
          <w:rStyle w:val="FootnoteReference"/>
        </w:rPr>
        <w:footnoteRef/>
      </w:r>
      <w:r>
        <w:t xml:space="preserve"> </w:t>
      </w:r>
      <w:r>
        <w:rPr>
          <w:lang w:val="en-US"/>
        </w:rPr>
        <w:t xml:space="preserve">AMSA, </w:t>
      </w:r>
      <w:r w:rsidRPr="00007209">
        <w:rPr>
          <w:rFonts w:cs="Arial"/>
          <w:lang w:val="en"/>
        </w:rPr>
        <w:t>Historical focused inspection campaigns</w:t>
      </w:r>
      <w:r w:rsidRPr="00D76B79">
        <w:rPr>
          <w:rFonts w:cstheme="minorHAnsi"/>
        </w:rPr>
        <w:t>,</w:t>
      </w:r>
      <w:r>
        <w:rPr>
          <w:rFonts w:cstheme="minorHAnsi"/>
        </w:rPr>
        <w:t xml:space="preserve"> AMSA, 2021, accessed 28 May 2021.</w:t>
      </w:r>
    </w:p>
  </w:footnote>
  <w:footnote w:id="23">
    <w:p w14:paraId="28D492F7" w14:textId="741E0C2B" w:rsidR="00180970" w:rsidRDefault="00180970">
      <w:pPr>
        <w:pStyle w:val="FootnoteText"/>
      </w:pPr>
      <w:r>
        <w:rPr>
          <w:rStyle w:val="FootnoteReference"/>
        </w:rPr>
        <w:footnoteRef/>
      </w:r>
      <w:r>
        <w:t xml:space="preserve"> Rural and Regional Affairs and Transport References Committee</w:t>
      </w:r>
      <w:r w:rsidRPr="00D76B79">
        <w:t xml:space="preserve">, </w:t>
      </w:r>
      <w:r w:rsidRPr="00007209">
        <w:t>Policy, regulatory, taxation, administrative and funding priorities for Australian Shipping</w:t>
      </w:r>
      <w:r>
        <w:t xml:space="preserve">, Parliament of Australia, 2020, accessed 11 December 2020. </w:t>
      </w:r>
    </w:p>
  </w:footnote>
  <w:footnote w:id="24">
    <w:p w14:paraId="345487D1" w14:textId="466F32B4" w:rsidR="00180970" w:rsidRDefault="00180970" w:rsidP="001D270E">
      <w:pPr>
        <w:pStyle w:val="FootnoteText"/>
      </w:pPr>
      <w:r>
        <w:rPr>
          <w:rStyle w:val="FootnoteReference"/>
        </w:rPr>
        <w:footnoteRef/>
      </w:r>
      <w:r>
        <w:t xml:space="preserve"> A fire erupted on the </w:t>
      </w:r>
      <w:r w:rsidRPr="001D270E">
        <w:rPr>
          <w:i/>
        </w:rPr>
        <w:t>MV X-Press Pearl</w:t>
      </w:r>
      <w:r>
        <w:t xml:space="preserve"> on 20 May 2021 before it sank on 2 June 2021 as a salvage crew tried to tow the vessel away from the coast of Sri Lanka. It was carrying chemicals, nitric acid and a large amount of micro plastics. </w:t>
      </w:r>
      <w:r w:rsidRPr="001D270E">
        <w:t xml:space="preserve">The tiny polyethylene pellets </w:t>
      </w:r>
      <w:r>
        <w:t xml:space="preserve">have </w:t>
      </w:r>
      <w:r w:rsidRPr="001D270E">
        <w:t>threatened beaches popular with tourists as well as shallow waters used by fish to breed.</w:t>
      </w:r>
      <w:r>
        <w:t xml:space="preserve"> Sri Lanka is not a party to the Nairobi Convention.</w:t>
      </w:r>
    </w:p>
  </w:footnote>
  <w:footnote w:id="25">
    <w:p w14:paraId="37910EAC" w14:textId="5D2571D7" w:rsidR="00180970" w:rsidRPr="00264FC1" w:rsidRDefault="00180970">
      <w:pPr>
        <w:pStyle w:val="FootnoteText"/>
        <w:rPr>
          <w:lang w:val="en-US"/>
        </w:rPr>
      </w:pPr>
      <w:r w:rsidRPr="00264FC1">
        <w:rPr>
          <w:rStyle w:val="FootnoteReference"/>
        </w:rPr>
        <w:footnoteRef/>
      </w:r>
      <w:r w:rsidRPr="00264FC1">
        <w:t xml:space="preserve"> </w:t>
      </w:r>
      <w:r>
        <w:rPr>
          <w:rFonts w:cstheme="minorHAnsi"/>
        </w:rPr>
        <w:t xml:space="preserve">Subsections 229(2)(b) and (3)(b) </w:t>
      </w:r>
      <w:r w:rsidRPr="001D2BA1">
        <w:rPr>
          <w:rFonts w:ascii="Calibri" w:hAnsi="Calibri" w:cs="Calibri"/>
          <w:i/>
        </w:rPr>
        <w:t>Navigation Act 2012</w:t>
      </w:r>
      <w:r>
        <w:rPr>
          <w:rFonts w:ascii="Calibri" w:hAnsi="Calibri" w:cs="Calibri"/>
        </w:rPr>
        <w:t>.</w:t>
      </w:r>
    </w:p>
  </w:footnote>
  <w:footnote w:id="26">
    <w:p w14:paraId="7484485B" w14:textId="4CA3A9B8" w:rsidR="00180970" w:rsidRPr="00264FC1" w:rsidRDefault="00180970">
      <w:pPr>
        <w:pStyle w:val="FootnoteText"/>
        <w:rPr>
          <w:lang w:val="en-US"/>
        </w:rPr>
      </w:pPr>
      <w:r w:rsidRPr="00264FC1">
        <w:rPr>
          <w:rStyle w:val="FootnoteReference"/>
        </w:rPr>
        <w:footnoteRef/>
      </w:r>
      <w:r w:rsidRPr="00264FC1">
        <w:t xml:space="preserve"> </w:t>
      </w:r>
      <w:r>
        <w:rPr>
          <w:rFonts w:ascii="Calibri" w:hAnsi="Calibri" w:cs="Calibri"/>
        </w:rPr>
        <w:t>Section</w:t>
      </w:r>
      <w:r w:rsidRPr="00264FC1">
        <w:rPr>
          <w:rFonts w:ascii="Calibri" w:hAnsi="Calibri" w:cs="Calibri"/>
        </w:rPr>
        <w:t xml:space="preserve"> 14 </w:t>
      </w:r>
      <w:r w:rsidRPr="001D2BA1">
        <w:rPr>
          <w:rFonts w:ascii="Calibri" w:hAnsi="Calibri" w:cs="Calibri"/>
          <w:i/>
        </w:rPr>
        <w:t>Navigation Act 2012</w:t>
      </w:r>
      <w:r>
        <w:rPr>
          <w:rFonts w:ascii="Calibri" w:hAnsi="Calibri" w:cs="Calibri"/>
        </w:rPr>
        <w:t>.</w:t>
      </w:r>
    </w:p>
  </w:footnote>
  <w:footnote w:id="27">
    <w:p w14:paraId="4580C364" w14:textId="7153ED34" w:rsidR="00180970" w:rsidRPr="00264FC1" w:rsidRDefault="00180970" w:rsidP="001D2BA1">
      <w:pPr>
        <w:pStyle w:val="FootnoteText"/>
        <w:rPr>
          <w:lang w:val="en-US"/>
        </w:rPr>
      </w:pPr>
      <w:r w:rsidRPr="00264FC1">
        <w:rPr>
          <w:rStyle w:val="FootnoteReference"/>
        </w:rPr>
        <w:footnoteRef/>
      </w:r>
      <w:r w:rsidRPr="00264FC1">
        <w:t xml:space="preserve"> </w:t>
      </w:r>
      <w:r>
        <w:rPr>
          <w:rFonts w:cstheme="minorHAnsi"/>
        </w:rPr>
        <w:t xml:space="preserve">Subsections </w:t>
      </w:r>
      <w:r>
        <w:rPr>
          <w:rFonts w:ascii="Calibri" w:hAnsi="Calibri" w:cs="Calibri"/>
        </w:rPr>
        <w:t>229(1)(a) and</w:t>
      </w:r>
      <w:r w:rsidRPr="00264FC1">
        <w:rPr>
          <w:rFonts w:ascii="Calibri" w:hAnsi="Calibri" w:cs="Calibri"/>
        </w:rPr>
        <w:t xml:space="preserve"> (b)</w:t>
      </w:r>
      <w:r>
        <w:rPr>
          <w:rFonts w:ascii="Calibri" w:hAnsi="Calibri" w:cs="Calibri"/>
        </w:rPr>
        <w:t xml:space="preserve"> </w:t>
      </w:r>
      <w:r w:rsidRPr="001D2BA1">
        <w:rPr>
          <w:rFonts w:ascii="Calibri" w:hAnsi="Calibri" w:cs="Calibri"/>
          <w:i/>
        </w:rPr>
        <w:t>Navigation Act 2012</w:t>
      </w:r>
      <w:r>
        <w:rPr>
          <w:rFonts w:ascii="Calibri" w:hAnsi="Calibri" w:cs="Calibri"/>
        </w:rPr>
        <w:t>.</w:t>
      </w:r>
    </w:p>
  </w:footnote>
  <w:footnote w:id="28">
    <w:p w14:paraId="208AD037" w14:textId="52275521" w:rsidR="00180970" w:rsidRPr="008C22C0" w:rsidRDefault="00180970">
      <w:pPr>
        <w:pStyle w:val="FootnoteText"/>
        <w:rPr>
          <w:lang w:val="en-US"/>
        </w:rPr>
      </w:pPr>
      <w:r>
        <w:rPr>
          <w:rStyle w:val="FootnoteReference"/>
        </w:rPr>
        <w:footnoteRef/>
      </w:r>
      <w:r>
        <w:t xml:space="preserve"> </w:t>
      </w:r>
      <w:r>
        <w:rPr>
          <w:lang w:val="en-US"/>
        </w:rPr>
        <w:t xml:space="preserve">Section 14 </w:t>
      </w:r>
      <w:r w:rsidRPr="001D2BA1">
        <w:rPr>
          <w:rFonts w:ascii="Calibri" w:hAnsi="Calibri" w:cs="Calibri"/>
          <w:i/>
        </w:rPr>
        <w:t>Navigation Act 2012</w:t>
      </w:r>
      <w:r>
        <w:rPr>
          <w:rFonts w:ascii="Calibri" w:hAnsi="Calibri" w:cs="Calibri"/>
        </w:rPr>
        <w:t>.</w:t>
      </w:r>
    </w:p>
  </w:footnote>
  <w:footnote w:id="29">
    <w:p w14:paraId="466627B0" w14:textId="7F156628" w:rsidR="00180970" w:rsidRPr="00264FC1" w:rsidRDefault="00180970">
      <w:pPr>
        <w:pStyle w:val="FootnoteText"/>
        <w:rPr>
          <w:lang w:val="en-US"/>
        </w:rPr>
      </w:pPr>
      <w:r w:rsidRPr="00264FC1">
        <w:rPr>
          <w:rStyle w:val="FootnoteReference"/>
        </w:rPr>
        <w:footnoteRef/>
      </w:r>
      <w:r w:rsidRPr="00264FC1">
        <w:t xml:space="preserve"> </w:t>
      </w:r>
      <w:r>
        <w:rPr>
          <w:rFonts w:cstheme="minorHAnsi"/>
        </w:rPr>
        <w:t xml:space="preserve">Subsection </w:t>
      </w:r>
      <w:r>
        <w:rPr>
          <w:rFonts w:ascii="Calibri" w:hAnsi="Calibri" w:cs="Calibri"/>
        </w:rPr>
        <w:t xml:space="preserve">229(1)(c) </w:t>
      </w:r>
      <w:r w:rsidRPr="001D2BA1">
        <w:rPr>
          <w:rFonts w:ascii="Calibri" w:hAnsi="Calibri" w:cs="Calibri"/>
          <w:i/>
        </w:rPr>
        <w:t>Navigation Act 2012</w:t>
      </w:r>
      <w:r>
        <w:rPr>
          <w:rFonts w:ascii="Calibri" w:hAnsi="Calibri" w:cs="Calibri"/>
        </w:rPr>
        <w:t>.</w:t>
      </w:r>
    </w:p>
  </w:footnote>
  <w:footnote w:id="30">
    <w:p w14:paraId="40BF5079" w14:textId="4935666D" w:rsidR="00180970" w:rsidRPr="00264FC1" w:rsidRDefault="00180970">
      <w:pPr>
        <w:pStyle w:val="FootnoteText"/>
        <w:rPr>
          <w:lang w:val="en-US"/>
        </w:rPr>
      </w:pPr>
      <w:r w:rsidRPr="00264FC1">
        <w:rPr>
          <w:rStyle w:val="FootnoteReference"/>
        </w:rPr>
        <w:footnoteRef/>
      </w:r>
      <w:r w:rsidRPr="00264FC1">
        <w:t xml:space="preserve"> </w:t>
      </w:r>
      <w:r>
        <w:rPr>
          <w:rFonts w:cstheme="minorHAnsi"/>
        </w:rPr>
        <w:t xml:space="preserve">Subsection 229(1)(e) </w:t>
      </w:r>
      <w:r w:rsidRPr="001D2BA1">
        <w:rPr>
          <w:rFonts w:ascii="Calibri" w:hAnsi="Calibri" w:cs="Calibri"/>
          <w:i/>
        </w:rPr>
        <w:t>Navigation Act 2012</w:t>
      </w:r>
      <w:r>
        <w:rPr>
          <w:rFonts w:ascii="Calibri" w:hAnsi="Calibri" w:cs="Calibri"/>
        </w:rPr>
        <w:t>.</w:t>
      </w:r>
    </w:p>
  </w:footnote>
  <w:footnote w:id="31">
    <w:p w14:paraId="53C71BDC" w14:textId="301DFA79" w:rsidR="00180970" w:rsidRDefault="00180970" w:rsidP="00AF7A15">
      <w:pPr>
        <w:pStyle w:val="FootnoteText"/>
      </w:pPr>
      <w:r>
        <w:rPr>
          <w:rStyle w:val="FootnoteReference"/>
        </w:rPr>
        <w:footnoteRef/>
      </w:r>
      <w:r>
        <w:t xml:space="preserve"> As at </w:t>
      </w:r>
      <w:r w:rsidR="006545D3">
        <w:t>August 2022.</w:t>
      </w:r>
      <w:r>
        <w:t xml:space="preserve"> </w:t>
      </w:r>
    </w:p>
  </w:footnote>
  <w:footnote w:id="32">
    <w:p w14:paraId="68FE5B72" w14:textId="77777777" w:rsidR="00180970" w:rsidRDefault="00180970" w:rsidP="000149AF">
      <w:pPr>
        <w:pStyle w:val="FootnoteText"/>
      </w:pPr>
      <w:r>
        <w:rPr>
          <w:rStyle w:val="FootnoteReference"/>
        </w:rPr>
        <w:footnoteRef/>
      </w:r>
      <w:r>
        <w:t xml:space="preserve"> These wrecks were located as part of the War on Wrecks program, which targets derelict and/or abandoned vessels, as such these ships may not meet the definition of a ‘wreck’ under the Nairobi Convention.  </w:t>
      </w:r>
    </w:p>
  </w:footnote>
  <w:footnote w:id="33">
    <w:p w14:paraId="499B6CD1" w14:textId="5B8ACE32" w:rsidR="00180970" w:rsidRPr="00264FC1" w:rsidRDefault="00180970">
      <w:pPr>
        <w:pStyle w:val="FootnoteText"/>
        <w:rPr>
          <w:lang w:val="en-US"/>
        </w:rPr>
      </w:pPr>
      <w:r>
        <w:rPr>
          <w:rStyle w:val="FootnoteReference"/>
        </w:rPr>
        <w:footnoteRef/>
      </w:r>
      <w:r>
        <w:t xml:space="preserve"> </w:t>
      </w:r>
      <w:r w:rsidRPr="00264FC1">
        <w:t xml:space="preserve">The </w:t>
      </w:r>
      <w:r w:rsidRPr="006E6212">
        <w:rPr>
          <w:i/>
        </w:rPr>
        <w:t>MV Tycoon</w:t>
      </w:r>
      <w:r w:rsidRPr="00264FC1">
        <w:t xml:space="preserve"> was a cargo </w:t>
      </w:r>
      <w:r>
        <w:t>ship</w:t>
      </w:r>
      <w:r w:rsidRPr="00264FC1">
        <w:t xml:space="preserve"> that broke free from its mooring on Christmas Island spilling oil and phosphate into the sea. The Taiwanese owners did not take any practical actions to commence salvage or wreck removal, forcing the Australian Government to coordinate and fund the operation.</w:t>
      </w:r>
      <w:r>
        <w:t xml:space="preserve"> </w:t>
      </w:r>
    </w:p>
  </w:footnote>
  <w:footnote w:id="34">
    <w:p w14:paraId="3220983F" w14:textId="66D4B77D" w:rsidR="00180970" w:rsidRPr="00B734AB" w:rsidRDefault="00180970" w:rsidP="002A27BC">
      <w:pPr>
        <w:pStyle w:val="FootnoteText"/>
        <w:rPr>
          <w:rFonts w:cstheme="minorHAnsi"/>
          <w:lang w:val="en-US"/>
        </w:rPr>
      </w:pPr>
      <w:r w:rsidRPr="00B734AB">
        <w:rPr>
          <w:rStyle w:val="FootnoteReference"/>
          <w:rFonts w:cstheme="minorHAnsi"/>
        </w:rPr>
        <w:footnoteRef/>
      </w:r>
      <w:r w:rsidRPr="00B734AB">
        <w:rPr>
          <w:rFonts w:cstheme="minorHAnsi"/>
        </w:rPr>
        <w:t xml:space="preserve"> </w:t>
      </w:r>
      <w:r>
        <w:rPr>
          <w:rFonts w:cstheme="minorHAnsi"/>
        </w:rPr>
        <w:t>A</w:t>
      </w:r>
      <w:r w:rsidRPr="00B734AB">
        <w:rPr>
          <w:rFonts w:cstheme="minorHAnsi"/>
        </w:rPr>
        <w:t>rt</w:t>
      </w:r>
      <w:r>
        <w:rPr>
          <w:rFonts w:cstheme="minorHAnsi"/>
        </w:rPr>
        <w:t>icle</w:t>
      </w:r>
      <w:r w:rsidRPr="00B734AB">
        <w:rPr>
          <w:rFonts w:cstheme="minorHAnsi"/>
        </w:rPr>
        <w:t xml:space="preserve"> 1(1)</w:t>
      </w:r>
      <w:r>
        <w:rPr>
          <w:rFonts w:cstheme="minorHAnsi"/>
        </w:rPr>
        <w:t xml:space="preserve"> </w:t>
      </w:r>
      <w:r w:rsidRPr="00252DE8">
        <w:rPr>
          <w:rFonts w:cstheme="minorHAnsi"/>
          <w:i/>
        </w:rPr>
        <w:t xml:space="preserve">Nairobi International Convention on </w:t>
      </w:r>
      <w:r>
        <w:rPr>
          <w:rFonts w:cstheme="minorHAnsi"/>
          <w:i/>
        </w:rPr>
        <w:t xml:space="preserve">the Removal of </w:t>
      </w:r>
      <w:r w:rsidRPr="00252DE8">
        <w:rPr>
          <w:rFonts w:cstheme="minorHAnsi"/>
          <w:i/>
        </w:rPr>
        <w:t>Wreck</w:t>
      </w:r>
      <w:r>
        <w:rPr>
          <w:rFonts w:cstheme="minorHAnsi"/>
          <w:i/>
        </w:rPr>
        <w:t>s.</w:t>
      </w:r>
    </w:p>
  </w:footnote>
  <w:footnote w:id="35">
    <w:p w14:paraId="154C2866" w14:textId="33160A92" w:rsidR="00180970" w:rsidRPr="00252DE8" w:rsidRDefault="00180970" w:rsidP="00252DE8">
      <w:pPr>
        <w:pStyle w:val="FootnoteText"/>
        <w:rPr>
          <w:rFonts w:cstheme="minorHAnsi"/>
        </w:rPr>
      </w:pPr>
      <w:r w:rsidRPr="00B734AB">
        <w:rPr>
          <w:rStyle w:val="FootnoteReference"/>
          <w:rFonts w:cstheme="minorHAnsi"/>
        </w:rPr>
        <w:footnoteRef/>
      </w:r>
      <w:r>
        <w:rPr>
          <w:rFonts w:cstheme="minorHAnsi"/>
        </w:rPr>
        <w:t xml:space="preserve"> Geoscience Australia, </w:t>
      </w:r>
      <w:r w:rsidRPr="00007209">
        <w:rPr>
          <w:rFonts w:cstheme="minorHAnsi"/>
          <w:i/>
        </w:rPr>
        <w:t>Oceans and Seas</w:t>
      </w:r>
      <w:r>
        <w:rPr>
          <w:rFonts w:cstheme="minorHAnsi"/>
        </w:rPr>
        <w:t xml:space="preserve">, Geoscience Australia, accessed 25 January 2021. </w:t>
      </w:r>
    </w:p>
  </w:footnote>
  <w:footnote w:id="36">
    <w:p w14:paraId="2E7B5BDF" w14:textId="77777777" w:rsidR="00180970" w:rsidRPr="0094496F" w:rsidRDefault="00180970" w:rsidP="00632F94">
      <w:pPr>
        <w:pStyle w:val="FootnoteText"/>
        <w:rPr>
          <w:lang w:val="en-US"/>
        </w:rPr>
      </w:pPr>
      <w:r>
        <w:rPr>
          <w:rStyle w:val="FootnoteReference"/>
        </w:rPr>
        <w:footnoteRef/>
      </w:r>
      <w:r>
        <w:t xml:space="preserve"> </w:t>
      </w:r>
      <w:r>
        <w:rPr>
          <w:lang w:val="en-US"/>
        </w:rPr>
        <w:t xml:space="preserve">Article 1(2) </w:t>
      </w:r>
      <w:r w:rsidRPr="00252DE8">
        <w:rPr>
          <w:rFonts w:cstheme="minorHAnsi"/>
          <w:i/>
        </w:rPr>
        <w:t xml:space="preserve">Nairobi International Convention on </w:t>
      </w:r>
      <w:r>
        <w:rPr>
          <w:rFonts w:cstheme="minorHAnsi"/>
          <w:i/>
        </w:rPr>
        <w:t xml:space="preserve">the Removal of </w:t>
      </w:r>
      <w:r w:rsidRPr="00252DE8">
        <w:rPr>
          <w:rFonts w:cstheme="minorHAnsi"/>
          <w:i/>
        </w:rPr>
        <w:t>Wreck</w:t>
      </w:r>
      <w:r>
        <w:rPr>
          <w:rFonts w:cstheme="minorHAnsi"/>
          <w:i/>
        </w:rPr>
        <w:t>s</w:t>
      </w:r>
      <w:r>
        <w:rPr>
          <w:i/>
          <w:lang w:val="en-US"/>
        </w:rPr>
        <w:t>.</w:t>
      </w:r>
    </w:p>
  </w:footnote>
  <w:footnote w:id="37">
    <w:p w14:paraId="4D8039DA" w14:textId="77777777" w:rsidR="00180970" w:rsidRPr="00C330F8" w:rsidRDefault="00180970" w:rsidP="00632F94">
      <w:pPr>
        <w:pStyle w:val="FootnoteText"/>
        <w:rPr>
          <w:lang w:val="en-US"/>
        </w:rPr>
      </w:pPr>
      <w:r>
        <w:rPr>
          <w:rStyle w:val="FootnoteReference"/>
        </w:rPr>
        <w:footnoteRef/>
      </w:r>
      <w:r>
        <w:t xml:space="preserve"> </w:t>
      </w:r>
      <w:r>
        <w:rPr>
          <w:lang w:val="en-US"/>
        </w:rPr>
        <w:t xml:space="preserve">Article 4(2) </w:t>
      </w:r>
      <w:r w:rsidRPr="00252DE8">
        <w:rPr>
          <w:rFonts w:cstheme="minorHAnsi"/>
          <w:i/>
        </w:rPr>
        <w:t xml:space="preserve">Nairobi International Convention on </w:t>
      </w:r>
      <w:r>
        <w:rPr>
          <w:rFonts w:cstheme="minorHAnsi"/>
          <w:i/>
        </w:rPr>
        <w:t xml:space="preserve">the Removal of </w:t>
      </w:r>
      <w:r w:rsidRPr="00252DE8">
        <w:rPr>
          <w:rFonts w:cstheme="minorHAnsi"/>
          <w:i/>
        </w:rPr>
        <w:t>Wreck</w:t>
      </w:r>
      <w:r>
        <w:rPr>
          <w:rFonts w:cstheme="minorHAnsi"/>
          <w:i/>
        </w:rPr>
        <w:t>s</w:t>
      </w:r>
      <w:r>
        <w:rPr>
          <w:i/>
          <w:lang w:val="en-US"/>
        </w:rPr>
        <w:t>.</w:t>
      </w:r>
      <w:r>
        <w:rPr>
          <w:lang w:val="en-US"/>
        </w:rPr>
        <w:t xml:space="preserve"> </w:t>
      </w:r>
    </w:p>
  </w:footnote>
  <w:footnote w:id="38">
    <w:p w14:paraId="65439B4A" w14:textId="12CC8D75" w:rsidR="00180970" w:rsidRPr="00216575" w:rsidRDefault="00180970" w:rsidP="00647975">
      <w:pPr>
        <w:pStyle w:val="FootnoteText"/>
        <w:rPr>
          <w:lang w:val="en-US"/>
        </w:rPr>
      </w:pPr>
      <w:r>
        <w:rPr>
          <w:rStyle w:val="FootnoteReference"/>
        </w:rPr>
        <w:footnoteRef/>
      </w:r>
      <w:r>
        <w:t xml:space="preserve"> Article 1(3) </w:t>
      </w:r>
      <w:r w:rsidRPr="00252DE8">
        <w:rPr>
          <w:rFonts w:cstheme="minorHAnsi"/>
          <w:i/>
        </w:rPr>
        <w:t xml:space="preserve">Nairobi International Convention on </w:t>
      </w:r>
      <w:r>
        <w:rPr>
          <w:rFonts w:cstheme="minorHAnsi"/>
          <w:i/>
        </w:rPr>
        <w:t xml:space="preserve">the Removal of </w:t>
      </w:r>
      <w:r w:rsidRPr="00252DE8">
        <w:rPr>
          <w:rFonts w:cstheme="minorHAnsi"/>
          <w:i/>
        </w:rPr>
        <w:t>Wreck</w:t>
      </w:r>
      <w:r>
        <w:rPr>
          <w:rFonts w:cstheme="minorHAnsi"/>
          <w:i/>
        </w:rPr>
        <w:t>s</w:t>
      </w:r>
      <w:r>
        <w:rPr>
          <w:rFonts w:cstheme="minorHAnsi"/>
        </w:rPr>
        <w:t>.</w:t>
      </w:r>
    </w:p>
  </w:footnote>
  <w:footnote w:id="39">
    <w:p w14:paraId="3201AB1F" w14:textId="2722E6C9" w:rsidR="00180970" w:rsidRPr="005302B1" w:rsidRDefault="00180970">
      <w:pPr>
        <w:pStyle w:val="FootnoteText"/>
        <w:rPr>
          <w:lang w:val="en-US"/>
        </w:rPr>
      </w:pPr>
      <w:r>
        <w:rPr>
          <w:rStyle w:val="FootnoteReference"/>
        </w:rPr>
        <w:footnoteRef/>
      </w:r>
      <w:r>
        <w:t xml:space="preserve"> Articles 8(1) and 9(2) </w:t>
      </w:r>
      <w:r w:rsidRPr="00252DE8">
        <w:rPr>
          <w:rFonts w:cstheme="minorHAnsi"/>
          <w:i/>
        </w:rPr>
        <w:t xml:space="preserve">Nairobi International Convention on </w:t>
      </w:r>
      <w:r>
        <w:rPr>
          <w:rFonts w:cstheme="minorHAnsi"/>
          <w:i/>
        </w:rPr>
        <w:t xml:space="preserve">the Removal of </w:t>
      </w:r>
      <w:r w:rsidRPr="00252DE8">
        <w:rPr>
          <w:rFonts w:cstheme="minorHAnsi"/>
          <w:i/>
        </w:rPr>
        <w:t>Wreck</w:t>
      </w:r>
      <w:r>
        <w:rPr>
          <w:rFonts w:cstheme="minorHAnsi"/>
          <w:i/>
        </w:rPr>
        <w:t>s</w:t>
      </w:r>
      <w:r>
        <w:rPr>
          <w:rFonts w:cstheme="minorHAnsi"/>
        </w:rPr>
        <w:t>.</w:t>
      </w:r>
    </w:p>
  </w:footnote>
  <w:footnote w:id="40">
    <w:p w14:paraId="6DA9603D" w14:textId="23A28E6C" w:rsidR="00180970" w:rsidRPr="00387C36" w:rsidRDefault="00180970" w:rsidP="00647975">
      <w:pPr>
        <w:pStyle w:val="FootnoteText"/>
        <w:rPr>
          <w:lang w:val="en-US"/>
        </w:rPr>
      </w:pPr>
      <w:r>
        <w:rPr>
          <w:rStyle w:val="FootnoteReference"/>
        </w:rPr>
        <w:footnoteRef/>
      </w:r>
      <w:r>
        <w:t xml:space="preserve"> </w:t>
      </w:r>
      <w:r>
        <w:rPr>
          <w:lang w:val="en-US"/>
        </w:rPr>
        <w:t>Article 1(5)</w:t>
      </w:r>
      <w:r w:rsidRPr="00672690">
        <w:rPr>
          <w:rFonts w:cstheme="minorHAnsi"/>
          <w:i/>
        </w:rPr>
        <w:t xml:space="preserve"> </w:t>
      </w:r>
      <w:r w:rsidRPr="00252DE8">
        <w:rPr>
          <w:rFonts w:cstheme="minorHAnsi"/>
          <w:i/>
        </w:rPr>
        <w:t xml:space="preserve">Nairobi International Convention on </w:t>
      </w:r>
      <w:r>
        <w:rPr>
          <w:rFonts w:cstheme="minorHAnsi"/>
          <w:i/>
        </w:rPr>
        <w:t xml:space="preserve">the Removal of </w:t>
      </w:r>
      <w:r w:rsidRPr="00252DE8">
        <w:rPr>
          <w:rFonts w:cstheme="minorHAnsi"/>
          <w:i/>
        </w:rPr>
        <w:t>Wreck</w:t>
      </w:r>
      <w:r>
        <w:rPr>
          <w:rFonts w:cstheme="minorHAnsi"/>
          <w:i/>
        </w:rPr>
        <w:t>s</w:t>
      </w:r>
      <w:r>
        <w:rPr>
          <w:rFonts w:cstheme="minorHAnsi"/>
        </w:rPr>
        <w:t>.</w:t>
      </w:r>
    </w:p>
  </w:footnote>
  <w:footnote w:id="41">
    <w:p w14:paraId="16ED3077" w14:textId="7DE12428" w:rsidR="00180970" w:rsidRPr="00F7361D" w:rsidRDefault="00180970">
      <w:pPr>
        <w:pStyle w:val="FootnoteText"/>
        <w:rPr>
          <w:lang w:val="en-US"/>
        </w:rPr>
      </w:pPr>
      <w:r>
        <w:rPr>
          <w:rStyle w:val="FootnoteReference"/>
        </w:rPr>
        <w:footnoteRef/>
      </w:r>
      <w:r>
        <w:t xml:space="preserve"> </w:t>
      </w:r>
      <w:r>
        <w:rPr>
          <w:lang w:val="en-US"/>
        </w:rPr>
        <w:t>Article 1(8)</w:t>
      </w:r>
      <w:r w:rsidRPr="00672690">
        <w:rPr>
          <w:rFonts w:cstheme="minorHAnsi"/>
          <w:i/>
        </w:rPr>
        <w:t xml:space="preserve"> </w:t>
      </w:r>
      <w:r w:rsidRPr="00252DE8">
        <w:rPr>
          <w:rFonts w:cstheme="minorHAnsi"/>
          <w:i/>
        </w:rPr>
        <w:t xml:space="preserve">Nairobi International Convention on </w:t>
      </w:r>
      <w:r>
        <w:rPr>
          <w:rFonts w:cstheme="minorHAnsi"/>
          <w:i/>
        </w:rPr>
        <w:t xml:space="preserve">the Removal of </w:t>
      </w:r>
      <w:r w:rsidRPr="00252DE8">
        <w:rPr>
          <w:rFonts w:cstheme="minorHAnsi"/>
          <w:i/>
        </w:rPr>
        <w:t>Wreck</w:t>
      </w:r>
      <w:r>
        <w:rPr>
          <w:rFonts w:cstheme="minorHAnsi"/>
          <w:i/>
        </w:rPr>
        <w:t>s</w:t>
      </w:r>
      <w:r>
        <w:rPr>
          <w:rFonts w:cstheme="minorHAnsi"/>
        </w:rPr>
        <w:t>.</w:t>
      </w:r>
    </w:p>
  </w:footnote>
  <w:footnote w:id="42">
    <w:p w14:paraId="3E9AC7B9" w14:textId="3B18054B" w:rsidR="00180970" w:rsidRDefault="00180970" w:rsidP="00011667">
      <w:pPr>
        <w:pStyle w:val="FootnoteText"/>
        <w:rPr>
          <w:lang w:val="en-US"/>
        </w:rPr>
      </w:pPr>
      <w:r>
        <w:rPr>
          <w:rStyle w:val="FootnoteReference"/>
        </w:rPr>
        <w:footnoteRef/>
      </w:r>
      <w:r>
        <w:t xml:space="preserve"> Article</w:t>
      </w:r>
      <w:r>
        <w:rPr>
          <w:lang w:val="en-US"/>
        </w:rPr>
        <w:t xml:space="preserve"> 10(1)</w:t>
      </w:r>
      <w:r w:rsidRPr="00672690">
        <w:rPr>
          <w:rFonts w:cstheme="minorHAnsi"/>
          <w:i/>
        </w:rPr>
        <w:t xml:space="preserve"> </w:t>
      </w:r>
      <w:r w:rsidRPr="00252DE8">
        <w:rPr>
          <w:rFonts w:cstheme="minorHAnsi"/>
          <w:i/>
        </w:rPr>
        <w:t xml:space="preserve">Nairobi International Convention on </w:t>
      </w:r>
      <w:r>
        <w:rPr>
          <w:rFonts w:cstheme="minorHAnsi"/>
          <w:i/>
        </w:rPr>
        <w:t xml:space="preserve">the Removal of </w:t>
      </w:r>
      <w:r w:rsidRPr="00252DE8">
        <w:rPr>
          <w:rFonts w:cstheme="minorHAnsi"/>
          <w:i/>
        </w:rPr>
        <w:t>Wreck</w:t>
      </w:r>
      <w:r>
        <w:rPr>
          <w:rFonts w:cstheme="minorHAnsi"/>
          <w:i/>
        </w:rPr>
        <w:t>s</w:t>
      </w:r>
      <w:r>
        <w:rPr>
          <w:rFonts w:cstheme="minorHAnsi"/>
        </w:rPr>
        <w:t>.</w:t>
      </w:r>
    </w:p>
  </w:footnote>
  <w:footnote w:id="43">
    <w:p w14:paraId="6E321813" w14:textId="4E331270" w:rsidR="00180970" w:rsidRDefault="00180970" w:rsidP="00751CC0">
      <w:pPr>
        <w:pStyle w:val="FootnoteText"/>
      </w:pPr>
      <w:r>
        <w:rPr>
          <w:rStyle w:val="FootnoteReference"/>
        </w:rPr>
        <w:footnoteRef/>
      </w:r>
      <w:r>
        <w:t xml:space="preserve"> </w:t>
      </w:r>
      <w:r w:rsidRPr="00672690">
        <w:t xml:space="preserve">Article 11 </w:t>
      </w:r>
      <w:r w:rsidRPr="00252DE8">
        <w:rPr>
          <w:rFonts w:cstheme="minorHAnsi"/>
          <w:i/>
        </w:rPr>
        <w:t xml:space="preserve">Nairobi International Convention on </w:t>
      </w:r>
      <w:r>
        <w:rPr>
          <w:rFonts w:cstheme="minorHAnsi"/>
          <w:i/>
        </w:rPr>
        <w:t xml:space="preserve">the Removal of </w:t>
      </w:r>
      <w:r w:rsidRPr="00252DE8">
        <w:rPr>
          <w:rFonts w:cstheme="minorHAnsi"/>
          <w:i/>
        </w:rPr>
        <w:t>Wreck</w:t>
      </w:r>
      <w:r>
        <w:rPr>
          <w:rFonts w:cstheme="minorHAnsi"/>
          <w:i/>
        </w:rPr>
        <w:t>s</w:t>
      </w:r>
      <w:r>
        <w:rPr>
          <w:rFonts w:cstheme="minorHAnsi"/>
        </w:rPr>
        <w:t>.</w:t>
      </w:r>
    </w:p>
  </w:footnote>
  <w:footnote w:id="44">
    <w:p w14:paraId="7D9BA937" w14:textId="1C9DAA2A" w:rsidR="00180970" w:rsidRPr="00401403" w:rsidRDefault="00180970" w:rsidP="005302B1">
      <w:pPr>
        <w:pStyle w:val="FootnoteText"/>
        <w:rPr>
          <w:lang w:val="en-US"/>
        </w:rPr>
      </w:pPr>
      <w:r>
        <w:rPr>
          <w:rStyle w:val="FootnoteReference"/>
        </w:rPr>
        <w:footnoteRef/>
      </w:r>
      <w:r>
        <w:t xml:space="preserve"> </w:t>
      </w:r>
      <w:r w:rsidRPr="00401403">
        <w:rPr>
          <w:lang w:val="en-US"/>
        </w:rPr>
        <w:t xml:space="preserve">The </w:t>
      </w:r>
      <w:r>
        <w:rPr>
          <w:lang w:val="en-US"/>
        </w:rPr>
        <w:t>24,192,616</w:t>
      </w:r>
      <w:r w:rsidRPr="00401403">
        <w:rPr>
          <w:lang w:val="en-US"/>
        </w:rPr>
        <w:t xml:space="preserve"> SDR is calculated</w:t>
      </w:r>
      <w:r>
        <w:rPr>
          <w:lang w:val="en-US"/>
        </w:rPr>
        <w:t xml:space="preserve">, using the liability limits for property claims, </w:t>
      </w:r>
      <w:r w:rsidRPr="00401403">
        <w:rPr>
          <w:lang w:val="en-US"/>
        </w:rPr>
        <w:t>as:</w:t>
      </w:r>
    </w:p>
    <w:p w14:paraId="57B790D3" w14:textId="78BEEA91" w:rsidR="00180970" w:rsidRPr="00401403" w:rsidRDefault="00180970" w:rsidP="005302B1">
      <w:pPr>
        <w:pStyle w:val="FootnoteText"/>
        <w:ind w:left="567"/>
        <w:rPr>
          <w:lang w:val="en-US"/>
        </w:rPr>
      </w:pPr>
      <w:r w:rsidRPr="00401403">
        <w:rPr>
          <w:lang w:val="en-US"/>
        </w:rPr>
        <w:t>1,</w:t>
      </w:r>
      <w:r>
        <w:rPr>
          <w:lang w:val="en-US"/>
        </w:rPr>
        <w:t>51</w:t>
      </w:r>
      <w:r w:rsidRPr="00401403">
        <w:rPr>
          <w:lang w:val="en-US"/>
        </w:rPr>
        <w:t>0,000 SDR – for the first 2,000 GT</w:t>
      </w:r>
    </w:p>
    <w:p w14:paraId="383BD395" w14:textId="7457DDC2" w:rsidR="00180970" w:rsidRPr="00401403" w:rsidRDefault="00180970" w:rsidP="005302B1">
      <w:pPr>
        <w:pStyle w:val="FootnoteText"/>
        <w:ind w:left="567"/>
        <w:rPr>
          <w:lang w:val="en-US"/>
        </w:rPr>
      </w:pPr>
      <w:r>
        <w:rPr>
          <w:lang w:val="en-US"/>
        </w:rPr>
        <w:t>16,911,396</w:t>
      </w:r>
      <w:r w:rsidRPr="00401403">
        <w:rPr>
          <w:lang w:val="en-US"/>
        </w:rPr>
        <w:t xml:space="preserve"> SDR – </w:t>
      </w:r>
      <w:r>
        <w:rPr>
          <w:lang w:val="en-US"/>
        </w:rPr>
        <w:t>604</w:t>
      </w:r>
      <w:r w:rsidRPr="00401403">
        <w:rPr>
          <w:lang w:val="en-US"/>
        </w:rPr>
        <w:t xml:space="preserve"> SDR for each ton from 2,001 to 30,000 GT</w:t>
      </w:r>
    </w:p>
    <w:p w14:paraId="6A30C84E" w14:textId="5283110F" w:rsidR="00180970" w:rsidRPr="00314AFD" w:rsidRDefault="00180970" w:rsidP="005302B1">
      <w:pPr>
        <w:pStyle w:val="FootnoteText"/>
        <w:ind w:left="567"/>
        <w:rPr>
          <w:lang w:val="en-US"/>
        </w:rPr>
      </w:pPr>
      <w:r>
        <w:rPr>
          <w:lang w:val="en-US"/>
        </w:rPr>
        <w:t>5,771,220</w:t>
      </w:r>
      <w:r w:rsidRPr="00401403">
        <w:rPr>
          <w:lang w:val="en-US"/>
        </w:rPr>
        <w:t xml:space="preserve"> SDR – </w:t>
      </w:r>
      <w:r>
        <w:rPr>
          <w:lang w:val="en-US"/>
        </w:rPr>
        <w:t>453</w:t>
      </w:r>
      <w:r w:rsidRPr="00401403">
        <w:rPr>
          <w:lang w:val="en-US"/>
        </w:rPr>
        <w:t xml:space="preserve"> SDR for each ton from 30,001 to 42,741 GT</w:t>
      </w:r>
      <w:r>
        <w:rPr>
          <w:lang w:val="en-US"/>
        </w:rPr>
        <w:t>.</w:t>
      </w:r>
    </w:p>
  </w:footnote>
  <w:footnote w:id="45">
    <w:p w14:paraId="6C81359F" w14:textId="77777777" w:rsidR="00180970" w:rsidRPr="009B7038" w:rsidRDefault="00180970" w:rsidP="005302B1">
      <w:pPr>
        <w:pStyle w:val="FootnoteText"/>
        <w:rPr>
          <w:lang w:val="en-US"/>
        </w:rPr>
      </w:pPr>
      <w:r>
        <w:rPr>
          <w:rStyle w:val="FootnoteReference"/>
        </w:rPr>
        <w:footnoteRef/>
      </w:r>
      <w:r>
        <w:t xml:space="preserve"> </w:t>
      </w:r>
      <w:r w:rsidRPr="009B7038">
        <w:rPr>
          <w:lang w:val="en-US"/>
        </w:rPr>
        <w:t xml:space="preserve">The SDR serves as the unit of account of the </w:t>
      </w:r>
      <w:r>
        <w:rPr>
          <w:lang w:val="en-US"/>
        </w:rPr>
        <w:t>International Monetary Fund</w:t>
      </w:r>
      <w:r w:rsidRPr="009B7038">
        <w:rPr>
          <w:lang w:val="en-US"/>
        </w:rPr>
        <w:t xml:space="preserve"> and other international organisations.</w:t>
      </w:r>
    </w:p>
  </w:footnote>
  <w:footnote w:id="46">
    <w:p w14:paraId="33F2F412" w14:textId="093241B9" w:rsidR="00180970" w:rsidRPr="009B7038" w:rsidRDefault="00180970" w:rsidP="005302B1">
      <w:pPr>
        <w:pStyle w:val="FootnoteText"/>
        <w:rPr>
          <w:lang w:val="en-US"/>
        </w:rPr>
      </w:pPr>
      <w:r>
        <w:rPr>
          <w:rStyle w:val="FootnoteReference"/>
        </w:rPr>
        <w:footnoteRef/>
      </w:r>
      <w:r>
        <w:t xml:space="preserve"> </w:t>
      </w:r>
      <w:r>
        <w:rPr>
          <w:lang w:val="en-US"/>
        </w:rPr>
        <w:t xml:space="preserve">At 31 March 2022. </w:t>
      </w:r>
    </w:p>
  </w:footnote>
  <w:footnote w:id="47">
    <w:p w14:paraId="0A8A322E" w14:textId="64F6CB82" w:rsidR="00180970" w:rsidRPr="00E44089" w:rsidRDefault="00180970" w:rsidP="005302B1">
      <w:pPr>
        <w:pStyle w:val="FootnoteText"/>
        <w:rPr>
          <w:lang w:val="en-US"/>
        </w:rPr>
      </w:pPr>
      <w:r>
        <w:rPr>
          <w:rStyle w:val="FootnoteReference"/>
        </w:rPr>
        <w:footnoteRef/>
      </w:r>
      <w:r>
        <w:t xml:space="preserve"> </w:t>
      </w:r>
      <w:r>
        <w:rPr>
          <w:lang w:val="en-US"/>
        </w:rPr>
        <w:t xml:space="preserve">More information on the LLMC Convention calculations can be found on the Department’s </w:t>
      </w:r>
      <w:r w:rsidRPr="00007209">
        <w:rPr>
          <w:lang w:val="en-US"/>
        </w:rPr>
        <w:t>website</w:t>
      </w:r>
      <w:r>
        <w:rPr>
          <w:lang w:val="en-US"/>
        </w:rPr>
        <w:t xml:space="preserve">. </w:t>
      </w:r>
    </w:p>
  </w:footnote>
  <w:footnote w:id="48">
    <w:p w14:paraId="448108AA" w14:textId="14EBF913" w:rsidR="00180970" w:rsidRPr="00574AFC" w:rsidRDefault="00180970" w:rsidP="001A4C07">
      <w:pPr>
        <w:pStyle w:val="FootnoteText"/>
        <w:rPr>
          <w:lang w:val="en-US"/>
        </w:rPr>
      </w:pPr>
      <w:r>
        <w:rPr>
          <w:rStyle w:val="FootnoteReference"/>
        </w:rPr>
        <w:footnoteRef/>
      </w:r>
      <w:r>
        <w:t xml:space="preserve"> </w:t>
      </w:r>
      <w:r w:rsidRPr="00672690">
        <w:t>Article</w:t>
      </w:r>
      <w:r>
        <w:rPr>
          <w:lang w:val="en-US"/>
        </w:rPr>
        <w:t xml:space="preserve"> 13</w:t>
      </w:r>
      <w:r w:rsidRPr="00672690">
        <w:rPr>
          <w:rFonts w:cstheme="minorHAnsi"/>
          <w:i/>
        </w:rPr>
        <w:t xml:space="preserve"> </w:t>
      </w:r>
      <w:r w:rsidRPr="00252DE8">
        <w:rPr>
          <w:rFonts w:cstheme="minorHAnsi"/>
          <w:i/>
        </w:rPr>
        <w:t xml:space="preserve">Nairobi International Convention on </w:t>
      </w:r>
      <w:r>
        <w:rPr>
          <w:rFonts w:cstheme="minorHAnsi"/>
          <w:i/>
        </w:rPr>
        <w:t xml:space="preserve">the Removal of </w:t>
      </w:r>
      <w:r w:rsidRPr="00252DE8">
        <w:rPr>
          <w:rFonts w:cstheme="minorHAnsi"/>
          <w:i/>
        </w:rPr>
        <w:t>Wreck</w:t>
      </w:r>
      <w:r>
        <w:rPr>
          <w:rFonts w:cstheme="minorHAnsi"/>
          <w:i/>
        </w:rPr>
        <w:t>s</w:t>
      </w:r>
      <w:r>
        <w:rPr>
          <w:rFonts w:cstheme="minorHAnsi"/>
        </w:rPr>
        <w:t>.</w:t>
      </w:r>
    </w:p>
  </w:footnote>
  <w:footnote w:id="49">
    <w:p w14:paraId="75E8ABF8" w14:textId="457E3BE8" w:rsidR="00180970" w:rsidRPr="00855A56" w:rsidRDefault="00180970" w:rsidP="004E6864">
      <w:pPr>
        <w:pStyle w:val="FootnoteText"/>
        <w:rPr>
          <w:lang w:val="en-US"/>
        </w:rPr>
      </w:pPr>
      <w:r>
        <w:rPr>
          <w:rStyle w:val="FootnoteReference"/>
        </w:rPr>
        <w:footnoteRef/>
      </w:r>
      <w:r>
        <w:t xml:space="preserve"> </w:t>
      </w:r>
      <w:r w:rsidRPr="00672690">
        <w:t>Article</w:t>
      </w:r>
      <w:r>
        <w:rPr>
          <w:lang w:val="en-US"/>
        </w:rPr>
        <w:t xml:space="preserve"> 9(4)</w:t>
      </w:r>
      <w:r w:rsidRPr="00672690">
        <w:rPr>
          <w:rFonts w:cstheme="minorHAnsi"/>
          <w:i/>
        </w:rPr>
        <w:t xml:space="preserve"> </w:t>
      </w:r>
      <w:r w:rsidRPr="00252DE8">
        <w:rPr>
          <w:rFonts w:cstheme="minorHAnsi"/>
          <w:i/>
        </w:rPr>
        <w:t xml:space="preserve">Nairobi International Convention on </w:t>
      </w:r>
      <w:r>
        <w:rPr>
          <w:rFonts w:cstheme="minorHAnsi"/>
          <w:i/>
        </w:rPr>
        <w:t xml:space="preserve">the Removal of </w:t>
      </w:r>
      <w:r w:rsidRPr="00252DE8">
        <w:rPr>
          <w:rFonts w:cstheme="minorHAnsi"/>
          <w:i/>
        </w:rPr>
        <w:t>Wreck</w:t>
      </w:r>
      <w:r>
        <w:rPr>
          <w:rFonts w:cstheme="minorHAnsi"/>
          <w:i/>
        </w:rPr>
        <w:t>s</w:t>
      </w:r>
      <w:r>
        <w:rPr>
          <w:rFonts w:cstheme="minorHAnsi"/>
        </w:rPr>
        <w:t>.</w:t>
      </w:r>
    </w:p>
  </w:footnote>
  <w:footnote w:id="50">
    <w:p w14:paraId="25B69C82" w14:textId="0335DCDD" w:rsidR="00180970" w:rsidRPr="00B734AB" w:rsidRDefault="00180970" w:rsidP="002A27BC">
      <w:pPr>
        <w:pStyle w:val="FootnoteText"/>
        <w:rPr>
          <w:rFonts w:cstheme="minorHAnsi"/>
          <w:lang w:val="en-US"/>
        </w:rPr>
      </w:pPr>
      <w:r w:rsidRPr="00B734AB">
        <w:rPr>
          <w:rStyle w:val="FootnoteReference"/>
          <w:rFonts w:cstheme="minorHAnsi"/>
        </w:rPr>
        <w:footnoteRef/>
      </w:r>
      <w:r w:rsidRPr="00B734AB">
        <w:rPr>
          <w:rFonts w:cstheme="minorHAnsi"/>
        </w:rPr>
        <w:t xml:space="preserve"> </w:t>
      </w:r>
      <w:r>
        <w:rPr>
          <w:rFonts w:cstheme="minorHAnsi"/>
        </w:rPr>
        <w:t xml:space="preserve">Article 34, </w:t>
      </w:r>
      <w:r w:rsidRPr="00B734AB">
        <w:rPr>
          <w:rFonts w:cstheme="minorHAnsi"/>
          <w:i/>
        </w:rPr>
        <w:t>Vienna Convention on the Law of Treaties</w:t>
      </w:r>
      <w:r w:rsidRPr="00B734AB">
        <w:rPr>
          <w:rFonts w:cstheme="minorHAnsi"/>
        </w:rPr>
        <w:t>, opened for signature 23 May 1969, 1155 UNTS 331 (entered i</w:t>
      </w:r>
      <w:r>
        <w:rPr>
          <w:rFonts w:cstheme="minorHAnsi"/>
        </w:rPr>
        <w:t>nto force 27 January 1980)</w:t>
      </w:r>
      <w:r w:rsidRPr="00B734AB">
        <w:rPr>
          <w:rFonts w:cstheme="minorHAnsi"/>
        </w:rPr>
        <w:t>.</w:t>
      </w:r>
    </w:p>
  </w:footnote>
  <w:footnote w:id="51">
    <w:p w14:paraId="3F6757FA" w14:textId="57FB193F" w:rsidR="00180970" w:rsidRPr="007D63AB" w:rsidRDefault="00180970">
      <w:pPr>
        <w:pStyle w:val="FootnoteText"/>
        <w:rPr>
          <w:lang w:val="en-US"/>
        </w:rPr>
      </w:pPr>
      <w:r>
        <w:rPr>
          <w:rStyle w:val="FootnoteReference"/>
        </w:rPr>
        <w:footnoteRef/>
      </w:r>
      <w:r>
        <w:t xml:space="preserve"> </w:t>
      </w:r>
      <w:r w:rsidRPr="00672690">
        <w:t>Article</w:t>
      </w:r>
      <w:r>
        <w:rPr>
          <w:lang w:val="en-US"/>
        </w:rPr>
        <w:t xml:space="preserve"> 1(7)</w:t>
      </w:r>
      <w:r w:rsidRPr="00672690">
        <w:rPr>
          <w:rFonts w:cstheme="minorHAnsi"/>
          <w:i/>
        </w:rPr>
        <w:t xml:space="preserve"> </w:t>
      </w:r>
      <w:r w:rsidRPr="00252DE8">
        <w:rPr>
          <w:rFonts w:cstheme="minorHAnsi"/>
          <w:i/>
        </w:rPr>
        <w:t xml:space="preserve">Nairobi International Convention on </w:t>
      </w:r>
      <w:r>
        <w:rPr>
          <w:rFonts w:cstheme="minorHAnsi"/>
          <w:i/>
        </w:rPr>
        <w:t xml:space="preserve">the Removal of </w:t>
      </w:r>
      <w:r w:rsidRPr="00252DE8">
        <w:rPr>
          <w:rFonts w:cstheme="minorHAnsi"/>
          <w:i/>
        </w:rPr>
        <w:t>Wreck</w:t>
      </w:r>
      <w:r>
        <w:rPr>
          <w:rFonts w:cstheme="minorHAnsi"/>
          <w:i/>
        </w:rPr>
        <w:t>s</w:t>
      </w:r>
      <w:r>
        <w:rPr>
          <w:rFonts w:cstheme="minorHAnsi"/>
        </w:rPr>
        <w:t>.</w:t>
      </w:r>
    </w:p>
  </w:footnote>
  <w:footnote w:id="52">
    <w:p w14:paraId="4A9735EB" w14:textId="1AA23DAB" w:rsidR="00180970" w:rsidRPr="007D63AB" w:rsidRDefault="00180970">
      <w:pPr>
        <w:pStyle w:val="FootnoteText"/>
        <w:rPr>
          <w:lang w:val="en-US"/>
        </w:rPr>
      </w:pPr>
      <w:r>
        <w:rPr>
          <w:rStyle w:val="FootnoteReference"/>
        </w:rPr>
        <w:footnoteRef/>
      </w:r>
      <w:r>
        <w:t xml:space="preserve"> </w:t>
      </w:r>
      <w:r w:rsidRPr="00672690">
        <w:t>Article</w:t>
      </w:r>
      <w:r>
        <w:rPr>
          <w:lang w:val="en-US"/>
        </w:rPr>
        <w:t xml:space="preserve"> 1(2)</w:t>
      </w:r>
      <w:r w:rsidRPr="00672690">
        <w:rPr>
          <w:rFonts w:cstheme="minorHAnsi"/>
          <w:i/>
        </w:rPr>
        <w:t xml:space="preserve"> </w:t>
      </w:r>
      <w:r w:rsidRPr="00252DE8">
        <w:rPr>
          <w:rFonts w:cstheme="minorHAnsi"/>
          <w:i/>
        </w:rPr>
        <w:t xml:space="preserve">Nairobi International Convention on </w:t>
      </w:r>
      <w:r>
        <w:rPr>
          <w:rFonts w:cstheme="minorHAnsi"/>
          <w:i/>
        </w:rPr>
        <w:t xml:space="preserve">the Removal of </w:t>
      </w:r>
      <w:r w:rsidRPr="00252DE8">
        <w:rPr>
          <w:rFonts w:cstheme="minorHAnsi"/>
          <w:i/>
        </w:rPr>
        <w:t>Wreck</w:t>
      </w:r>
      <w:r>
        <w:rPr>
          <w:rFonts w:cstheme="minorHAnsi"/>
          <w:i/>
        </w:rPr>
        <w:t>s</w:t>
      </w:r>
      <w:r>
        <w:rPr>
          <w:rFonts w:cstheme="minorHAnsi"/>
        </w:rPr>
        <w:t>.</w:t>
      </w:r>
    </w:p>
  </w:footnote>
  <w:footnote w:id="53">
    <w:p w14:paraId="77EED36D" w14:textId="3CDFF55F" w:rsidR="00180970" w:rsidRPr="007A4992" w:rsidRDefault="00180970" w:rsidP="00EF3826">
      <w:pPr>
        <w:pStyle w:val="FootnoteText"/>
        <w:rPr>
          <w:lang w:val="en-US"/>
        </w:rPr>
      </w:pPr>
      <w:r>
        <w:rPr>
          <w:rStyle w:val="FootnoteReference"/>
        </w:rPr>
        <w:footnoteRef/>
      </w:r>
      <w:r>
        <w:t xml:space="preserve"> </w:t>
      </w:r>
      <w:r>
        <w:rPr>
          <w:rFonts w:cstheme="minorHAnsi"/>
        </w:rPr>
        <w:t>Rebecca Turner,</w:t>
      </w:r>
      <w:r w:rsidRPr="00D76B79">
        <w:t xml:space="preserve"> </w:t>
      </w:r>
      <w:r w:rsidRPr="00007209">
        <w:rPr>
          <w:rFonts w:cstheme="minorHAnsi"/>
        </w:rPr>
        <w:t>Companies eye off WA coast for offshore wind energy project sites</w:t>
      </w:r>
      <w:r w:rsidRPr="00D76B79">
        <w:rPr>
          <w:rFonts w:cstheme="minorHAnsi"/>
        </w:rPr>
        <w:t>,</w:t>
      </w:r>
      <w:r>
        <w:rPr>
          <w:rFonts w:cstheme="minorHAnsi"/>
        </w:rPr>
        <w:t xml:space="preserve"> ABC News, 2021, accessed 1 May 2021.</w:t>
      </w:r>
    </w:p>
  </w:footnote>
  <w:footnote w:id="54">
    <w:p w14:paraId="2031EC9E" w14:textId="70AEBE49" w:rsidR="00180970" w:rsidRPr="00102B49" w:rsidRDefault="00180970" w:rsidP="00EF3826">
      <w:pPr>
        <w:pStyle w:val="FootnoteText"/>
        <w:rPr>
          <w:lang w:val="en-US"/>
        </w:rPr>
      </w:pPr>
      <w:r>
        <w:rPr>
          <w:rStyle w:val="FootnoteReference"/>
        </w:rPr>
        <w:footnoteRef/>
      </w:r>
      <w:r>
        <w:t xml:space="preserve"> </w:t>
      </w:r>
      <w:r>
        <w:rPr>
          <w:lang w:val="en-US"/>
        </w:rPr>
        <w:t xml:space="preserve">Department of Industry, Science, Energy and Resources, </w:t>
      </w:r>
      <w:r w:rsidRPr="00007209">
        <w:rPr>
          <w:lang w:val="en-US"/>
        </w:rPr>
        <w:t>Offshore renewable energy</w:t>
      </w:r>
      <w:r>
        <w:rPr>
          <w:rStyle w:val="Hyperlink"/>
          <w:i/>
          <w:lang w:val="en-US"/>
        </w:rPr>
        <w:t>,</w:t>
      </w:r>
      <w:r>
        <w:rPr>
          <w:lang w:val="en-US"/>
        </w:rPr>
        <w:t xml:space="preserve"> DISER, accessed 1 May 2021. </w:t>
      </w:r>
    </w:p>
  </w:footnote>
  <w:footnote w:id="55">
    <w:p w14:paraId="1DCF849C" w14:textId="77777777" w:rsidR="00180970" w:rsidRDefault="00180970" w:rsidP="00585CAF">
      <w:pPr>
        <w:pStyle w:val="FootnoteText"/>
      </w:pPr>
      <w:r>
        <w:rPr>
          <w:rStyle w:val="FootnoteReference"/>
        </w:rPr>
        <w:footnoteRef/>
      </w:r>
      <w:r>
        <w:t xml:space="preserve"> Recreational vessels are surveyed and measured by length, not gross tonnage, so the gross tonnage of the ships must be inferred from their length. </w:t>
      </w:r>
    </w:p>
  </w:footnote>
  <w:footnote w:id="56">
    <w:p w14:paraId="26DCA786" w14:textId="77777777" w:rsidR="00180970" w:rsidRDefault="00180970" w:rsidP="002D0E0F">
      <w:pPr>
        <w:pStyle w:val="FootnoteText"/>
      </w:pPr>
      <w:r>
        <w:rPr>
          <w:rStyle w:val="FootnoteReference"/>
        </w:rPr>
        <w:footnoteRef/>
      </w:r>
      <w:r>
        <w:t xml:space="preserve"> </w:t>
      </w:r>
      <w:r w:rsidRPr="00597FF7">
        <w:t xml:space="preserve">On 13 January 2012, the cruise ship </w:t>
      </w:r>
      <w:r w:rsidRPr="00597FF7">
        <w:rPr>
          <w:i/>
        </w:rPr>
        <w:t>Costa Concordia</w:t>
      </w:r>
      <w:r w:rsidRPr="00597FF7">
        <w:t xml:space="preserve"> ran aground, capsized, and later sank in shallow waters after striking an underwater rock off Tuscany, resulting in 32 deaths.</w:t>
      </w:r>
    </w:p>
  </w:footnote>
  <w:footnote w:id="57">
    <w:p w14:paraId="7A1383B6" w14:textId="77777777" w:rsidR="00180970" w:rsidRDefault="00180970" w:rsidP="002D0E0F">
      <w:pPr>
        <w:pStyle w:val="FootnoteText"/>
      </w:pPr>
      <w:r>
        <w:rPr>
          <w:rStyle w:val="FootnoteReference"/>
        </w:rPr>
        <w:footnoteRef/>
      </w:r>
      <w:r>
        <w:t xml:space="preserve"> </w:t>
      </w:r>
      <w:r w:rsidRPr="00597FF7">
        <w:rPr>
          <w:lang w:val="en-US"/>
        </w:rPr>
        <w:t xml:space="preserve">The </w:t>
      </w:r>
      <w:r w:rsidRPr="00597FF7">
        <w:rPr>
          <w:i/>
          <w:lang w:val="en-US"/>
        </w:rPr>
        <w:t>Rena</w:t>
      </w:r>
      <w:r w:rsidRPr="00597FF7">
        <w:rPr>
          <w:lang w:val="en-US"/>
        </w:rPr>
        <w:t xml:space="preserve"> ran into the reef in the middle of the night on October 5, 2011, leading to New Zealand's worst maritime environmental disaster as 300 tonnes of oil leaked into the ocean, killing marine life and washing up along the coastline.</w:t>
      </w:r>
    </w:p>
  </w:footnote>
  <w:footnote w:id="58">
    <w:p w14:paraId="4751AB57" w14:textId="5F54A6FE" w:rsidR="00180970" w:rsidRPr="004D0DA4" w:rsidRDefault="00180970" w:rsidP="00BC380B">
      <w:pPr>
        <w:pStyle w:val="FootnoteText"/>
        <w:rPr>
          <w:lang w:val="en-US"/>
        </w:rPr>
      </w:pPr>
      <w:r>
        <w:rPr>
          <w:rStyle w:val="FootnoteReference"/>
        </w:rPr>
        <w:footnoteRef/>
      </w:r>
      <w:r>
        <w:t xml:space="preserve"> </w:t>
      </w:r>
      <w:r>
        <w:rPr>
          <w:lang w:val="en-US"/>
        </w:rPr>
        <w:t>Article 4(4)</w:t>
      </w:r>
      <w:r w:rsidRPr="00672690">
        <w:rPr>
          <w:rFonts w:cstheme="minorHAnsi"/>
          <w:i/>
        </w:rPr>
        <w:t xml:space="preserve"> </w:t>
      </w:r>
      <w:r w:rsidRPr="00252DE8">
        <w:rPr>
          <w:rFonts w:cstheme="minorHAnsi"/>
          <w:i/>
        </w:rPr>
        <w:t xml:space="preserve">Nairobi International Convention on </w:t>
      </w:r>
      <w:r>
        <w:rPr>
          <w:rFonts w:cstheme="minorHAnsi"/>
          <w:i/>
        </w:rPr>
        <w:t xml:space="preserve">the Removal of </w:t>
      </w:r>
      <w:r w:rsidRPr="00252DE8">
        <w:rPr>
          <w:rFonts w:cstheme="minorHAnsi"/>
          <w:i/>
        </w:rPr>
        <w:t>Wreck</w:t>
      </w:r>
      <w:r>
        <w:rPr>
          <w:rFonts w:cstheme="minorHAnsi"/>
          <w:i/>
        </w:rPr>
        <w:t>s</w:t>
      </w:r>
      <w:r>
        <w:rPr>
          <w:rFonts w:cstheme="minorHAnsi"/>
        </w:rPr>
        <w:t>.</w:t>
      </w:r>
    </w:p>
  </w:footnote>
  <w:footnote w:id="59">
    <w:p w14:paraId="2327055E" w14:textId="404E6104" w:rsidR="00180970" w:rsidRPr="006E1EB3" w:rsidRDefault="00180970" w:rsidP="00BC380B">
      <w:pPr>
        <w:pStyle w:val="FootnoteText"/>
        <w:rPr>
          <w:lang w:val="en-US"/>
        </w:rPr>
      </w:pPr>
      <w:r>
        <w:rPr>
          <w:rStyle w:val="FootnoteReference"/>
        </w:rPr>
        <w:footnoteRef/>
      </w:r>
      <w:r>
        <w:t xml:space="preserve"> </w:t>
      </w:r>
      <w:r>
        <w:rPr>
          <w:lang w:val="en-US"/>
        </w:rPr>
        <w:t xml:space="preserve">Articles 2(3) and (4) </w:t>
      </w:r>
      <w:r w:rsidRPr="00252DE8">
        <w:rPr>
          <w:rFonts w:cstheme="minorHAnsi"/>
          <w:i/>
        </w:rPr>
        <w:t xml:space="preserve">Nairobi International Convention on </w:t>
      </w:r>
      <w:r>
        <w:rPr>
          <w:rFonts w:cstheme="minorHAnsi"/>
          <w:i/>
        </w:rPr>
        <w:t xml:space="preserve">the Removal of </w:t>
      </w:r>
      <w:r w:rsidRPr="00252DE8">
        <w:rPr>
          <w:rFonts w:cstheme="minorHAnsi"/>
          <w:i/>
        </w:rPr>
        <w:t>Wreck</w:t>
      </w:r>
      <w:r>
        <w:rPr>
          <w:rFonts w:cstheme="minorHAnsi"/>
          <w:i/>
        </w:rPr>
        <w:t>s</w:t>
      </w:r>
      <w:r>
        <w:rPr>
          <w:rFonts w:cstheme="minorHAnsi"/>
        </w:rPr>
        <w:t>.</w:t>
      </w:r>
    </w:p>
  </w:footnote>
  <w:footnote w:id="60">
    <w:p w14:paraId="022E99C1" w14:textId="19D94178" w:rsidR="00180970" w:rsidRPr="00243599" w:rsidRDefault="00180970" w:rsidP="00F21021">
      <w:pPr>
        <w:pStyle w:val="FootnoteText"/>
        <w:rPr>
          <w:lang w:val="en-US"/>
        </w:rPr>
      </w:pPr>
      <w:r>
        <w:rPr>
          <w:rStyle w:val="FootnoteReference"/>
        </w:rPr>
        <w:footnoteRef/>
      </w:r>
      <w:r>
        <w:t xml:space="preserve"> Subsections </w:t>
      </w:r>
      <w:r w:rsidRPr="007A2197">
        <w:t xml:space="preserve">229(1)(a)(ii) and (b)(ii) of the </w:t>
      </w:r>
      <w:r w:rsidRPr="00E10605">
        <w:rPr>
          <w:i/>
        </w:rPr>
        <w:t>Navigation Act 2012</w:t>
      </w:r>
      <w:r>
        <w:t>.</w:t>
      </w:r>
    </w:p>
  </w:footnote>
  <w:footnote w:id="61">
    <w:p w14:paraId="6AA5190E" w14:textId="77777777" w:rsidR="00180970" w:rsidRPr="00E10605" w:rsidRDefault="00180970" w:rsidP="00675E96">
      <w:pPr>
        <w:pStyle w:val="FootnoteText"/>
        <w:rPr>
          <w:lang w:val="en-US"/>
        </w:rPr>
      </w:pPr>
      <w:r>
        <w:rPr>
          <w:rStyle w:val="FootnoteReference"/>
        </w:rPr>
        <w:footnoteRef/>
      </w:r>
      <w:r>
        <w:t xml:space="preserve"> </w:t>
      </w:r>
      <w:r w:rsidRPr="00672690">
        <w:t>Article</w:t>
      </w:r>
      <w:r>
        <w:rPr>
          <w:lang w:val="en-US"/>
        </w:rPr>
        <w:t xml:space="preserve"> 1</w:t>
      </w:r>
      <w:r w:rsidRPr="00672690">
        <w:rPr>
          <w:rFonts w:cstheme="minorHAnsi"/>
          <w:i/>
        </w:rPr>
        <w:t xml:space="preserve"> </w:t>
      </w:r>
      <w:r w:rsidRPr="00D76B79">
        <w:rPr>
          <w:rFonts w:cstheme="minorHAnsi"/>
          <w:i/>
        </w:rPr>
        <w:t>Nairobi International Convention on the Removal of Wrecks</w:t>
      </w:r>
      <w:r>
        <w:rPr>
          <w:rFonts w:cstheme="minorHAnsi"/>
        </w:rPr>
        <w:t>.</w:t>
      </w:r>
    </w:p>
  </w:footnote>
  <w:footnote w:id="62">
    <w:p w14:paraId="2832C730" w14:textId="4CB0EC71" w:rsidR="00180970" w:rsidRPr="0014015A" w:rsidRDefault="00180970">
      <w:pPr>
        <w:pStyle w:val="FootnoteText"/>
        <w:rPr>
          <w:lang w:val="en-US"/>
        </w:rPr>
      </w:pPr>
      <w:r>
        <w:rPr>
          <w:rStyle w:val="FootnoteReference"/>
        </w:rPr>
        <w:footnoteRef/>
      </w:r>
      <w:r>
        <w:t xml:space="preserve"> The </w:t>
      </w:r>
      <w:r w:rsidRPr="00021574">
        <w:t>Off</w:t>
      </w:r>
      <w:r>
        <w:t xml:space="preserve">shore Constitutional Settlement </w:t>
      </w:r>
      <w:r w:rsidRPr="00021574">
        <w:t xml:space="preserve">deals with Commonwealth and state jurisdiction in the waters to the edge of the territorial sea. The settlement also includes arrangements on managing oil, gas and other seabed minerals, the Great Barrier Reef Marine Park, other marine parks, historic shipwrecks, shipping, marine pollution and fishing. In general, the states have responsibility for areas up to </w:t>
      </w:r>
      <w:r>
        <w:t>3</w:t>
      </w:r>
      <w:r w:rsidRPr="00021574">
        <w:t xml:space="preserve"> </w:t>
      </w:r>
      <w:r>
        <w:t>nm</w:t>
      </w:r>
      <w:r w:rsidRPr="00021574">
        <w:t xml:space="preserve"> from the territorial sea baseline, which are termed 'coastal waters'.</w:t>
      </w:r>
    </w:p>
  </w:footnote>
  <w:footnote w:id="63">
    <w:p w14:paraId="18ED63FE" w14:textId="6064AD59" w:rsidR="00180970" w:rsidRPr="001F41B5" w:rsidRDefault="00180970" w:rsidP="001F41B5">
      <w:pPr>
        <w:pStyle w:val="FootnoteText"/>
      </w:pPr>
      <w:r>
        <w:rPr>
          <w:rStyle w:val="FootnoteReference"/>
        </w:rPr>
        <w:footnoteRef/>
      </w:r>
      <w:r>
        <w:t xml:space="preserve"> Maritime Safety Queensland, </w:t>
      </w:r>
      <w:r w:rsidRPr="00007209">
        <w:t>Submission in response to Discussion paper: Australia’s accession to the Nairobi International Convention on the Removal of Wrecks</w:t>
      </w:r>
      <w:r>
        <w:t xml:space="preserve">, Department of Infrastructure, Transport, Regional Development and Communications, 2020, accessed 20 September 2020. </w:t>
      </w:r>
    </w:p>
  </w:footnote>
  <w:footnote w:id="64">
    <w:p w14:paraId="68B4C048" w14:textId="5A7A9834" w:rsidR="00180970" w:rsidRPr="00852727" w:rsidRDefault="00180970" w:rsidP="008B4708">
      <w:pPr>
        <w:pStyle w:val="FootnoteText"/>
        <w:rPr>
          <w:lang w:val="en-US"/>
        </w:rPr>
      </w:pPr>
      <w:r>
        <w:rPr>
          <w:rStyle w:val="FootnoteReference"/>
        </w:rPr>
        <w:footnoteRef/>
      </w:r>
      <w:r>
        <w:t xml:space="preserve"> Appendix C: </w:t>
      </w:r>
      <w:r w:rsidRPr="00CB382C">
        <w:t>ACIL Allen (2021) A cost benefit analysis on Australia’s possible accession to the Nairobi Convention, Final Report prepared for the Department of Infrastructure, Transport, Regional Development and Communications, Australian Government</w:t>
      </w:r>
      <w:r>
        <w:t xml:space="preserve"> (p33).</w:t>
      </w:r>
    </w:p>
  </w:footnote>
  <w:footnote w:id="65">
    <w:p w14:paraId="6FD4AB20" w14:textId="090100A3" w:rsidR="00180970" w:rsidRPr="00852727" w:rsidRDefault="00180970" w:rsidP="00C06075">
      <w:pPr>
        <w:pStyle w:val="FootnoteText"/>
        <w:rPr>
          <w:lang w:val="en-US"/>
        </w:rPr>
      </w:pPr>
      <w:r>
        <w:rPr>
          <w:rStyle w:val="FootnoteReference"/>
        </w:rPr>
        <w:footnoteRef/>
      </w:r>
      <w:r>
        <w:t xml:space="preserve"> ibid., p 21.</w:t>
      </w:r>
    </w:p>
  </w:footnote>
  <w:footnote w:id="66">
    <w:p w14:paraId="48B2BDB6" w14:textId="1FA1C2EB" w:rsidR="00180970" w:rsidRPr="002D1408" w:rsidRDefault="00180970" w:rsidP="00F242FB">
      <w:pPr>
        <w:pStyle w:val="FootnoteText"/>
      </w:pPr>
      <w:r>
        <w:rPr>
          <w:rStyle w:val="FootnoteReference"/>
        </w:rPr>
        <w:footnoteRef/>
      </w:r>
      <w:r>
        <w:t xml:space="preserve"> UK </w:t>
      </w:r>
      <w:r w:rsidRPr="002D1408">
        <w:t>Depa</w:t>
      </w:r>
      <w:r>
        <w:t>rtment of Transport</w:t>
      </w:r>
      <w:r w:rsidRPr="002D1408">
        <w:t xml:space="preserve">, </w:t>
      </w:r>
      <w:r w:rsidRPr="00007209">
        <w:t>Impact Assessment of the Wreck Removal Convention Bill</w:t>
      </w:r>
      <w:r>
        <w:t xml:space="preserve">, UK </w:t>
      </w:r>
      <w:r w:rsidRPr="002D1408">
        <w:t>Department of Transport</w:t>
      </w:r>
      <w:r>
        <w:t xml:space="preserve">, 2010, accessed 21 February 2021. </w:t>
      </w:r>
    </w:p>
  </w:footnote>
  <w:footnote w:id="67">
    <w:p w14:paraId="0A51D7A8" w14:textId="5267EA4D" w:rsidR="00180970" w:rsidRDefault="00180970" w:rsidP="001D7737">
      <w:pPr>
        <w:pStyle w:val="FootnoteText"/>
        <w:ind w:left="0" w:firstLine="0"/>
      </w:pPr>
      <w:r>
        <w:rPr>
          <w:rStyle w:val="FootnoteReference"/>
        </w:rPr>
        <w:footnoteRef/>
      </w:r>
      <w:r>
        <w:t xml:space="preserve"> This figure includes RAVs and may include DCVs and recreational vessels if they meet the threshold to pay the </w:t>
      </w:r>
      <w:r w:rsidRPr="005A60D6">
        <w:t>Protection of the Sea Levy</w:t>
      </w:r>
      <w:r>
        <w:t xml:space="preserve">. This would most likely occur where the vessel is over 300 GT. </w:t>
      </w:r>
    </w:p>
  </w:footnote>
  <w:footnote w:id="68">
    <w:p w14:paraId="4B8A5718" w14:textId="01A71126" w:rsidR="00180970" w:rsidRPr="00764114" w:rsidRDefault="00180970">
      <w:pPr>
        <w:pStyle w:val="FootnoteText"/>
        <w:rPr>
          <w:lang w:val="en-US"/>
        </w:rPr>
      </w:pPr>
      <w:r>
        <w:rPr>
          <w:rStyle w:val="FootnoteReference"/>
        </w:rPr>
        <w:footnoteRef/>
      </w:r>
      <w:r>
        <w:t xml:space="preserve"> Appendix C, </w:t>
      </w:r>
      <w:r w:rsidRPr="00192507">
        <w:t>op. cit., p</w:t>
      </w:r>
      <w:r>
        <w:t xml:space="preserve"> 35.</w:t>
      </w:r>
    </w:p>
  </w:footnote>
  <w:footnote w:id="69">
    <w:p w14:paraId="78FB0BD7" w14:textId="77777777" w:rsidR="00180970" w:rsidRDefault="00180970" w:rsidP="00C049A7">
      <w:pPr>
        <w:pStyle w:val="FootnoteText"/>
      </w:pPr>
      <w:r>
        <w:rPr>
          <w:rStyle w:val="FootnoteReference"/>
        </w:rPr>
        <w:footnoteRef/>
      </w:r>
      <w:r>
        <w:t xml:space="preserve"> NSW Government, </w:t>
      </w:r>
      <w:r w:rsidRPr="00007209">
        <w:t>NSW Boat Registrations and licences</w:t>
      </w:r>
      <w:r>
        <w:t>, Open Data, accessed 17 February 2022.</w:t>
      </w:r>
    </w:p>
  </w:footnote>
  <w:footnote w:id="70">
    <w:p w14:paraId="520223AD" w14:textId="77777777" w:rsidR="00180970" w:rsidRDefault="00180970" w:rsidP="00C049A7">
      <w:pPr>
        <w:pStyle w:val="FootnoteText"/>
      </w:pPr>
      <w:r w:rsidRPr="001C269D">
        <w:rPr>
          <w:vertAlign w:val="superscript"/>
        </w:rPr>
        <w:footnoteRef/>
      </w:r>
      <w:r>
        <w:t xml:space="preserve"> Queensland Government,</w:t>
      </w:r>
      <w:r w:rsidRPr="001C269D">
        <w:t xml:space="preserve"> </w:t>
      </w:r>
      <w:r w:rsidRPr="00007209">
        <w:t>Length of marine vessels registered by local authority</w:t>
      </w:r>
      <w:r>
        <w:t xml:space="preserve">, Open Data Portal, accessed 17 February 2022. </w:t>
      </w:r>
    </w:p>
  </w:footnote>
  <w:footnote w:id="71">
    <w:p w14:paraId="371F8555" w14:textId="77777777" w:rsidR="00180970" w:rsidRDefault="00180970" w:rsidP="00C049A7">
      <w:pPr>
        <w:pStyle w:val="FootnoteText"/>
      </w:pPr>
      <w:r>
        <w:rPr>
          <w:rStyle w:val="FootnoteReference"/>
        </w:rPr>
        <w:footnoteRef/>
      </w:r>
      <w:r>
        <w:t xml:space="preserve"> South Australian Government, </w:t>
      </w:r>
      <w:r w:rsidRPr="00007209">
        <w:t>Boat Registrations 2020-21</w:t>
      </w:r>
      <w:r>
        <w:t>, Data.SA, accessed 17 February 2022.</w:t>
      </w:r>
    </w:p>
  </w:footnote>
  <w:footnote w:id="72">
    <w:p w14:paraId="4F4ACD6B" w14:textId="77777777" w:rsidR="00180970" w:rsidRDefault="00180970" w:rsidP="00C049A7">
      <w:pPr>
        <w:pStyle w:val="FootnoteText"/>
      </w:pPr>
      <w:r>
        <w:rPr>
          <w:rStyle w:val="FootnoteReference"/>
        </w:rPr>
        <w:footnoteRef/>
      </w:r>
      <w:r>
        <w:t xml:space="preserve"> Maritime and Safety Tasmania, </w:t>
      </w:r>
      <w:r w:rsidRPr="00007209">
        <w:t>Annual Report 2019-20</w:t>
      </w:r>
      <w:r>
        <w:t>, accessed 18 February 2022.</w:t>
      </w:r>
    </w:p>
  </w:footnote>
  <w:footnote w:id="73">
    <w:p w14:paraId="03B75CEA" w14:textId="77777777" w:rsidR="00180970" w:rsidRDefault="00180970" w:rsidP="00C049A7">
      <w:pPr>
        <w:pStyle w:val="FootnoteText"/>
      </w:pPr>
      <w:r>
        <w:rPr>
          <w:rStyle w:val="FootnoteReference"/>
        </w:rPr>
        <w:footnoteRef/>
      </w:r>
      <w:r>
        <w:t xml:space="preserve"> Victoria State Government, </w:t>
      </w:r>
      <w:r w:rsidRPr="00007209">
        <w:t>Fishing and Boating</w:t>
      </w:r>
      <w:r>
        <w:t>, Department of Transport, accessed 17 February 2022.</w:t>
      </w:r>
    </w:p>
  </w:footnote>
  <w:footnote w:id="74">
    <w:p w14:paraId="2C7424B9" w14:textId="77777777" w:rsidR="00180970" w:rsidRDefault="00180970" w:rsidP="00C049A7">
      <w:pPr>
        <w:pStyle w:val="FootnoteText"/>
      </w:pPr>
      <w:r>
        <w:rPr>
          <w:rStyle w:val="FootnoteReference"/>
        </w:rPr>
        <w:footnoteRef/>
      </w:r>
      <w:r>
        <w:t xml:space="preserve"> Government of WA, </w:t>
      </w:r>
      <w:r w:rsidRPr="00007209">
        <w:t>Recreational boating advice</w:t>
      </w:r>
      <w:r>
        <w:t>, Department of Transport, accessed on 17 February 2022.</w:t>
      </w:r>
    </w:p>
  </w:footnote>
  <w:footnote w:id="75">
    <w:p w14:paraId="7816F776" w14:textId="77777777" w:rsidR="00180970" w:rsidRPr="009B318D" w:rsidRDefault="00180970" w:rsidP="00AA3262">
      <w:pPr>
        <w:pStyle w:val="FootnoteText"/>
        <w:rPr>
          <w:lang w:val="en-US"/>
        </w:rPr>
      </w:pPr>
      <w:r>
        <w:rPr>
          <w:rStyle w:val="FootnoteReference"/>
        </w:rPr>
        <w:footnoteRef/>
      </w:r>
      <w:r>
        <w:t xml:space="preserve"> Ibid., p 44.</w:t>
      </w:r>
    </w:p>
  </w:footnote>
  <w:footnote w:id="76">
    <w:p w14:paraId="60811296" w14:textId="3A9C54CC" w:rsidR="00180970" w:rsidRPr="00764114" w:rsidRDefault="00180970" w:rsidP="008B4708">
      <w:pPr>
        <w:pStyle w:val="FootnoteText"/>
        <w:rPr>
          <w:lang w:val="en-US"/>
        </w:rPr>
      </w:pPr>
      <w:r>
        <w:rPr>
          <w:rStyle w:val="FootnoteReference"/>
        </w:rPr>
        <w:footnoteRef/>
      </w:r>
      <w:r>
        <w:t xml:space="preserve"> Ibid</w:t>
      </w:r>
      <w:r w:rsidRPr="003E3246">
        <w:t>., p</w:t>
      </w:r>
      <w:r>
        <w:t xml:space="preserve"> 38.</w:t>
      </w:r>
    </w:p>
  </w:footnote>
  <w:footnote w:id="77">
    <w:p w14:paraId="02F24A9B" w14:textId="6285FC8E" w:rsidR="00180970" w:rsidRPr="00902740" w:rsidRDefault="00180970" w:rsidP="008B4708">
      <w:pPr>
        <w:pStyle w:val="FootnoteText"/>
        <w:rPr>
          <w:lang w:val="en-US"/>
        </w:rPr>
      </w:pPr>
      <w:r>
        <w:rPr>
          <w:rStyle w:val="FootnoteReference"/>
        </w:rPr>
        <w:footnoteRef/>
      </w:r>
      <w:r>
        <w:t xml:space="preserve"> Ibid., p 41.</w:t>
      </w:r>
    </w:p>
  </w:footnote>
  <w:footnote w:id="78">
    <w:p w14:paraId="3961C156" w14:textId="615A68D0" w:rsidR="00180970" w:rsidRPr="001B380D" w:rsidRDefault="00180970" w:rsidP="00EE4136">
      <w:pPr>
        <w:pStyle w:val="FootnoteText"/>
        <w:rPr>
          <w:lang w:val="en-US"/>
        </w:rPr>
      </w:pPr>
      <w:r>
        <w:rPr>
          <w:rStyle w:val="FootnoteReference"/>
        </w:rPr>
        <w:footnoteRef/>
      </w:r>
      <w:r>
        <w:t xml:space="preserve"> Ibid., p 8.</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550048" w14:textId="656F8872" w:rsidR="00180970" w:rsidRDefault="00664028" w:rsidP="00D87AD8">
    <w:pPr>
      <w:pStyle w:val="Header"/>
      <w:spacing w:after="1320"/>
      <w:jc w:val="left"/>
    </w:pPr>
    <w:fldSimple w:instr=" STYLEREF  &quot;Heading 1&quot;  \* MERGEFORMAT ">
      <w:r w:rsidR="000F268E" w:rsidRPr="000F268E">
        <w:rPr>
          <w:b/>
          <w:bCs/>
          <w:noProof/>
          <w:lang w:val="en-US"/>
        </w:rPr>
        <w:t>Glossary</w:t>
      </w:r>
    </w:fldSimple>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74F76B" w14:textId="58827946" w:rsidR="00180970" w:rsidRDefault="00180970">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8B4D8C" w14:textId="20735DA8" w:rsidR="00180970" w:rsidRPr="009E06AF" w:rsidRDefault="00180970" w:rsidP="009E06AF">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06C793" w14:textId="50A1568E" w:rsidR="00180970" w:rsidRDefault="00180970">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98DA6F" w14:textId="1FF556B0" w:rsidR="00180970" w:rsidRDefault="00180970">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12A42C" w14:textId="220B4FFE" w:rsidR="00180970" w:rsidRPr="0064427A" w:rsidRDefault="00180970" w:rsidP="0064427A">
    <w:pPr>
      <w:pStyle w:val="Header"/>
    </w:pPr>
    <w:r>
      <w:rPr>
        <w:noProof/>
      </w:rPr>
      <w:t>State Parties to the Nairobi Convention</w:t>
    </w:r>
    <w:r w:rsidRPr="0064427A">
      <w:t xml:space="preserve"> </w: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5CE716" w14:textId="04DCA6BD" w:rsidR="00180970" w:rsidRDefault="00180970">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746309" w14:textId="0CAEDF2E" w:rsidR="00180970" w:rsidRDefault="00180970">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CC87D9" w14:textId="684E0B97" w:rsidR="00180970" w:rsidRDefault="000F268E" w:rsidP="005912BE">
    <w:pPr>
      <w:pStyle w:val="Header"/>
      <w:spacing w:after="1320"/>
    </w:pPr>
    <w:sdt>
      <w:sdtPr>
        <w:id w:val="2094199272"/>
        <w:docPartObj>
          <w:docPartGallery w:val="Watermarks"/>
          <w:docPartUnique/>
        </w:docPartObj>
      </w:sdtPr>
      <w:sdtEndPr/>
      <w:sdtContent>
        <w:r>
          <w:rPr>
            <w:noProof/>
            <w:lang w:val="en-US"/>
          </w:rPr>
          <w:pict w14:anchorId="2965B8A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3" type="#_x0000_t136" style="position:absolute;left:0;text-align:left;margin-left:0;margin-top:0;width:412.4pt;height:247.45pt;rotation:315;z-index:-25165516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180970">
      <w:fldChar w:fldCharType="begin"/>
    </w:r>
    <w:r w:rsidR="00180970">
      <w:instrText xml:space="preserve"> STYLEREF  "Appendix Heading 1"  \* MERGEFORMAT </w:instrText>
    </w:r>
    <w:r w:rsidR="00180970">
      <w:fldChar w:fldCharType="separate"/>
    </w:r>
    <w:r>
      <w:rPr>
        <w:noProof/>
      </w:rPr>
      <w:t>Cost benefit analysis</w:t>
    </w:r>
    <w:r w:rsidR="00180970">
      <w:fldChar w:fldCharType="end"/>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4E9DFD" w14:textId="270883A4" w:rsidR="00180970" w:rsidRDefault="0018097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D4A712" w14:textId="0C739671" w:rsidR="00180970" w:rsidRDefault="00180970" w:rsidP="00546218">
    <w:pPr>
      <w:pStyle w:val="Header"/>
      <w:spacing w:after="132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091006" w14:textId="34C5E968" w:rsidR="00180970" w:rsidRDefault="00180970">
    <w:pPr>
      <w:pStyle w:val="Header"/>
    </w:pPr>
    <w:r>
      <w:rPr>
        <w:noProof/>
        <w:lang w:eastAsia="en-AU"/>
      </w:rPr>
      <w:drawing>
        <wp:anchor distT="0" distB="0" distL="114300" distR="114300" simplePos="0" relativeHeight="251654144" behindDoc="1" locked="1" layoutInCell="1" allowOverlap="1" wp14:anchorId="3132CFD2" wp14:editId="055B76F8">
          <wp:simplePos x="0" y="0"/>
          <wp:positionH relativeFrom="page">
            <wp:align>left</wp:align>
          </wp:positionH>
          <wp:positionV relativeFrom="page">
            <wp:align>top</wp:align>
          </wp:positionV>
          <wp:extent cx="10692000" cy="10692000"/>
          <wp:effectExtent l="0" t="0" r="0" b="0"/>
          <wp:wrapNone/>
          <wp:docPr id="17" name="Picture 17" descr="background" title="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port-Template-Long_BGs-1.png"/>
                  <pic:cNvPicPr/>
                </pic:nvPicPr>
                <pic:blipFill>
                  <a:blip r:embed="rId1">
                    <a:extLst>
                      <a:ext uri="{28A0092B-C50C-407E-A947-70E740481C1C}">
                        <a14:useLocalDpi xmlns:a14="http://schemas.microsoft.com/office/drawing/2010/main" val="0"/>
                      </a:ext>
                    </a:extLst>
                  </a:blip>
                  <a:stretch>
                    <a:fillRect/>
                  </a:stretch>
                </pic:blipFill>
                <pic:spPr>
                  <a:xfrm>
                    <a:off x="0" y="0"/>
                    <a:ext cx="10692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CECBAD" w14:textId="6391D424" w:rsidR="00180970" w:rsidRDefault="0018097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0F3C05" w14:textId="6C845918" w:rsidR="00180970" w:rsidRPr="0064427A" w:rsidRDefault="00180970" w:rsidP="0064427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75DFD4" w14:textId="495F2EC3" w:rsidR="00180970" w:rsidRDefault="00180970">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E5DAE2" w14:textId="34D4062C" w:rsidR="00180970" w:rsidRDefault="00180970">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27FDB9" w14:textId="1EA8F4F7" w:rsidR="00180970" w:rsidRPr="0064427A" w:rsidRDefault="00664028" w:rsidP="0064427A">
    <w:pPr>
      <w:pStyle w:val="Header"/>
    </w:pPr>
    <w:fldSimple w:instr=" STYLEREF  &quot;Heading 1&quot;  \* MERGEFORMAT ">
      <w:r w:rsidR="000F268E">
        <w:rPr>
          <w:noProof/>
        </w:rPr>
        <w:t>Glossary</w:t>
      </w:r>
    </w:fldSimple>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0E4321" w14:textId="2C5ADCC4" w:rsidR="00180970" w:rsidRDefault="0018097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F552B9"/>
    <w:multiLevelType w:val="multilevel"/>
    <w:tmpl w:val="9E1E9102"/>
    <w:styleLink w:val="ListNumbered"/>
    <w:lvl w:ilvl="0">
      <w:start w:val="1"/>
      <w:numFmt w:val="decimal"/>
      <w:pStyle w:val="ListNumbered1"/>
      <w:lvlText w:val="%1."/>
      <w:lvlJc w:val="left"/>
      <w:pPr>
        <w:ind w:left="284" w:hanging="284"/>
      </w:pPr>
      <w:rPr>
        <w:rFonts w:hint="default"/>
      </w:rPr>
    </w:lvl>
    <w:lvl w:ilvl="1">
      <w:start w:val="1"/>
      <w:numFmt w:val="decimal"/>
      <w:pStyle w:val="ListNumbered21"/>
      <w:lvlText w:val="%1.%2"/>
      <w:lvlJc w:val="left"/>
      <w:pPr>
        <w:ind w:left="851" w:hanging="567"/>
      </w:pPr>
      <w:rPr>
        <w:rFonts w:hint="default"/>
      </w:rPr>
    </w:lvl>
    <w:lvl w:ilvl="2">
      <w:start w:val="1"/>
      <w:numFmt w:val="decimal"/>
      <w:pStyle w:val="ListNumbered311"/>
      <w:lvlText w:val="%1.%2.%3"/>
      <w:lvlJc w:val="left"/>
      <w:pPr>
        <w:ind w:left="1701" w:hanging="850"/>
      </w:pPr>
      <w:rPr>
        <w:rFonts w:hint="default"/>
      </w:rPr>
    </w:lvl>
    <w:lvl w:ilvl="3">
      <w:start w:val="1"/>
      <w:numFmt w:val="decimal"/>
      <w:lvlText w:val="%1.%2.%3.%4"/>
      <w:lvlJc w:val="left"/>
      <w:pPr>
        <w:ind w:left="1440" w:hanging="360"/>
      </w:pPr>
      <w:rPr>
        <w:rFonts w:hint="default"/>
      </w:rPr>
    </w:lvl>
    <w:lvl w:ilvl="4">
      <w:start w:val="1"/>
      <w:numFmt w:val="decimal"/>
      <w:lvlText w:val="%1.%2.%3.%4.%5"/>
      <w:lvlJc w:val="left"/>
      <w:pPr>
        <w:ind w:left="2552" w:hanging="851"/>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6E23173"/>
    <w:multiLevelType w:val="multilevel"/>
    <w:tmpl w:val="86F6EEB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0D621AED"/>
    <w:multiLevelType w:val="multilevel"/>
    <w:tmpl w:val="C2EED61A"/>
    <w:numStyleLink w:val="NumberedHeadings"/>
  </w:abstractNum>
  <w:abstractNum w:abstractNumId="3" w15:restartNumberingAfterBreak="0">
    <w:nsid w:val="15161EA3"/>
    <w:multiLevelType w:val="multilevel"/>
    <w:tmpl w:val="3062A7C2"/>
    <w:lvl w:ilvl="0">
      <w:start w:val="1"/>
      <w:numFmt w:val="decimal"/>
      <w:lvlText w:val="%1."/>
      <w:lvlJc w:val="left"/>
      <w:pPr>
        <w:ind w:left="284" w:hanging="284"/>
      </w:pPr>
      <w:rPr>
        <w:rFonts w:hint="default"/>
        <w:color w:val="auto"/>
      </w:rPr>
    </w:lvl>
    <w:lvl w:ilvl="1">
      <w:start w:val="1"/>
      <w:numFmt w:val="bullet"/>
      <w:lvlText w:val="–"/>
      <w:lvlJc w:val="left"/>
      <w:pPr>
        <w:ind w:left="568" w:hanging="284"/>
      </w:pPr>
      <w:rPr>
        <w:rFonts w:ascii="Calibri" w:hAnsi="Calibri" w:hint="default"/>
        <w:color w:val="auto"/>
      </w:rPr>
    </w:lvl>
    <w:lvl w:ilvl="2">
      <w:start w:val="1"/>
      <w:numFmt w:val="bullet"/>
      <w:lvlText w:val="›"/>
      <w:lvlJc w:val="left"/>
      <w:pPr>
        <w:ind w:left="852" w:hanging="284"/>
      </w:pPr>
      <w:rPr>
        <w:rFonts w:ascii="Calibri" w:hAnsi="Calibri" w:hint="default"/>
        <w:color w:val="auto"/>
      </w:rPr>
    </w:lvl>
    <w:lvl w:ilvl="3">
      <w:start w:val="1"/>
      <w:numFmt w:val="bullet"/>
      <w:lvlText w:val="▫"/>
      <w:lvlJc w:val="left"/>
      <w:pPr>
        <w:ind w:left="1136" w:hanging="284"/>
      </w:pPr>
      <w:rPr>
        <w:rFonts w:ascii="Calibri" w:hAnsi="Calibri" w:hint="default"/>
        <w:color w:val="auto"/>
      </w:rPr>
    </w:lvl>
    <w:lvl w:ilvl="4">
      <w:start w:val="1"/>
      <w:numFmt w:val="bullet"/>
      <w:lvlText w:val="—"/>
      <w:lvlJc w:val="left"/>
      <w:pPr>
        <w:ind w:left="1420" w:hanging="284"/>
      </w:pPr>
      <w:rPr>
        <w:rFonts w:ascii="Calibri" w:hAnsi="Calibri" w:hint="default"/>
        <w:color w:val="auto"/>
      </w:rPr>
    </w:lvl>
    <w:lvl w:ilvl="5">
      <w:start w:val="1"/>
      <w:numFmt w:val="bullet"/>
      <w:lvlText w:val="»"/>
      <w:lvlJc w:val="left"/>
      <w:pPr>
        <w:ind w:left="1704" w:hanging="284"/>
      </w:pPr>
      <w:rPr>
        <w:rFonts w:ascii="Calibri" w:hAnsi="Calibri" w:hint="default"/>
        <w:color w:val="auto"/>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4" w15:restartNumberingAfterBreak="0">
    <w:nsid w:val="2F160C5E"/>
    <w:multiLevelType w:val="multilevel"/>
    <w:tmpl w:val="298C34E4"/>
    <w:styleLink w:val="AppendixNumbers"/>
    <w:lvl w:ilvl="0">
      <w:start w:val="1"/>
      <w:numFmt w:val="upperLetter"/>
      <w:pStyle w:val="AppendixHeading1"/>
      <w:suff w:val="space"/>
      <w:lvlText w:val="Appendix %1 –"/>
      <w:lvlJc w:val="left"/>
      <w:pPr>
        <w:ind w:left="9782" w:firstLine="0"/>
      </w:pPr>
      <w:rPr>
        <w:rFonts w:hint="default"/>
      </w:rPr>
    </w:lvl>
    <w:lvl w:ilvl="1">
      <w:start w:val="1"/>
      <w:numFmt w:val="decimal"/>
      <w:pStyle w:val="AppendixHeading2"/>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3AA51938"/>
    <w:multiLevelType w:val="multilevel"/>
    <w:tmpl w:val="298C34E4"/>
    <w:numStyleLink w:val="AppendixNumbers"/>
  </w:abstractNum>
  <w:abstractNum w:abstractNumId="6" w15:restartNumberingAfterBreak="0">
    <w:nsid w:val="3F166873"/>
    <w:multiLevelType w:val="multilevel"/>
    <w:tmpl w:val="C2EED61A"/>
    <w:styleLink w:val="NumberedHeadings"/>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ind w:left="851" w:hanging="851"/>
      </w:pPr>
      <w:rPr>
        <w:rFonts w:hint="default"/>
      </w:rPr>
    </w:lvl>
    <w:lvl w:ilvl="2">
      <w:start w:val="1"/>
      <w:numFmt w:val="decimal"/>
      <w:pStyle w:val="Heading3Numbered"/>
      <w:lvlText w:val="%1.%2.%3"/>
      <w:lvlJc w:val="left"/>
      <w:pPr>
        <w:ind w:left="1134" w:hanging="1134"/>
      </w:pPr>
      <w:rPr>
        <w:rFonts w:hint="default"/>
      </w:rPr>
    </w:lvl>
    <w:lvl w:ilvl="3">
      <w:start w:val="1"/>
      <w:numFmt w:val="decimal"/>
      <w:pStyle w:val="Heading4Numbered"/>
      <w:lvlText w:val="%1.%2.%3.%4"/>
      <w:lvlJc w:val="left"/>
      <w:pPr>
        <w:ind w:left="1134" w:hanging="1134"/>
      </w:pPr>
      <w:rPr>
        <w:rFonts w:hint="default"/>
      </w:rPr>
    </w:lvl>
    <w:lvl w:ilvl="4">
      <w:start w:val="1"/>
      <w:numFmt w:val="decimal"/>
      <w:pStyle w:val="Heading5Numbered"/>
      <w:lvlText w:val="%1.%2.%3.%4.%5"/>
      <w:lvlJc w:val="left"/>
      <w:pPr>
        <w:ind w:left="1134" w:hanging="1134"/>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4173295E"/>
    <w:multiLevelType w:val="multilevel"/>
    <w:tmpl w:val="5B2C35CE"/>
    <w:styleLink w:val="Bullets"/>
    <w:lvl w:ilvl="0">
      <w:start w:val="1"/>
      <w:numFmt w:val="bullet"/>
      <w:pStyle w:val="Bullet1"/>
      <w:lvlText w:val="•"/>
      <w:lvlJc w:val="left"/>
      <w:pPr>
        <w:ind w:left="284" w:hanging="284"/>
      </w:pPr>
      <w:rPr>
        <w:rFonts w:ascii="Calibri" w:hAnsi="Calibri" w:hint="default"/>
        <w:color w:val="auto"/>
      </w:rPr>
    </w:lvl>
    <w:lvl w:ilvl="1">
      <w:start w:val="1"/>
      <w:numFmt w:val="bullet"/>
      <w:pStyle w:val="Bullet2"/>
      <w:lvlText w:val="–"/>
      <w:lvlJc w:val="left"/>
      <w:pPr>
        <w:ind w:left="568" w:hanging="284"/>
      </w:pPr>
      <w:rPr>
        <w:rFonts w:ascii="Calibri" w:hAnsi="Calibri" w:hint="default"/>
        <w:color w:val="auto"/>
      </w:rPr>
    </w:lvl>
    <w:lvl w:ilvl="2">
      <w:start w:val="1"/>
      <w:numFmt w:val="bullet"/>
      <w:pStyle w:val="Bullet3"/>
      <w:lvlText w:val="›"/>
      <w:lvlJc w:val="left"/>
      <w:pPr>
        <w:ind w:left="852" w:hanging="284"/>
      </w:pPr>
      <w:rPr>
        <w:rFonts w:ascii="Calibri" w:hAnsi="Calibri" w:hint="default"/>
        <w:color w:val="auto"/>
      </w:rPr>
    </w:lvl>
    <w:lvl w:ilvl="3">
      <w:start w:val="1"/>
      <w:numFmt w:val="bullet"/>
      <w:lvlText w:val="▫"/>
      <w:lvlJc w:val="left"/>
      <w:pPr>
        <w:ind w:left="1136" w:hanging="284"/>
      </w:pPr>
      <w:rPr>
        <w:rFonts w:ascii="Calibri" w:hAnsi="Calibri" w:hint="default"/>
        <w:color w:val="auto"/>
      </w:rPr>
    </w:lvl>
    <w:lvl w:ilvl="4">
      <w:start w:val="1"/>
      <w:numFmt w:val="bullet"/>
      <w:lvlText w:val="—"/>
      <w:lvlJc w:val="left"/>
      <w:pPr>
        <w:ind w:left="1420" w:hanging="284"/>
      </w:pPr>
      <w:rPr>
        <w:rFonts w:ascii="Calibri" w:hAnsi="Calibri" w:hint="default"/>
        <w:color w:val="auto"/>
      </w:rPr>
    </w:lvl>
    <w:lvl w:ilvl="5">
      <w:start w:val="1"/>
      <w:numFmt w:val="bullet"/>
      <w:lvlText w:val="»"/>
      <w:lvlJc w:val="left"/>
      <w:pPr>
        <w:ind w:left="1704" w:hanging="284"/>
      </w:pPr>
      <w:rPr>
        <w:rFonts w:ascii="Calibri" w:hAnsi="Calibri" w:hint="default"/>
        <w:color w:val="auto"/>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8" w15:restartNumberingAfterBreak="0">
    <w:nsid w:val="44525103"/>
    <w:multiLevelType w:val="hybridMultilevel"/>
    <w:tmpl w:val="66EA7CB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5C7C5C3D"/>
    <w:multiLevelType w:val="multilevel"/>
    <w:tmpl w:val="4B5A47B2"/>
    <w:styleLink w:val="AttachmentNumbers"/>
    <w:lvl w:ilvl="0">
      <w:start w:val="1"/>
      <w:numFmt w:val="upperLetter"/>
      <w:pStyle w:val="AttachmentHeading1"/>
      <w:suff w:val="space"/>
      <w:lvlText w:val="Attachment %1 –"/>
      <w:lvlJc w:val="left"/>
      <w:pPr>
        <w:ind w:left="0" w:firstLine="0"/>
      </w:pPr>
      <w:rPr>
        <w:rFonts w:hint="default"/>
      </w:rPr>
    </w:lvl>
    <w:lvl w:ilvl="1">
      <w:start w:val="1"/>
      <w:numFmt w:val="decimal"/>
      <w:pStyle w:val="AttachmentHeading2"/>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6A355072"/>
    <w:multiLevelType w:val="multilevel"/>
    <w:tmpl w:val="FD58B96C"/>
    <w:lvl w:ilvl="0">
      <w:start w:val="2"/>
      <w:numFmt w:val="bullet"/>
      <w:lvlText w:val="-"/>
      <w:lvlJc w:val="left"/>
      <w:pPr>
        <w:ind w:left="284" w:hanging="284"/>
      </w:pPr>
      <w:rPr>
        <w:rFonts w:ascii="Calibri" w:eastAsia="Times New Roman" w:hAnsi="Calibri" w:cs="Calibri" w:hint="default"/>
        <w:color w:val="auto"/>
        <w:sz w:val="22"/>
      </w:rPr>
    </w:lvl>
    <w:lvl w:ilvl="1">
      <w:start w:val="1"/>
      <w:numFmt w:val="bullet"/>
      <w:lvlText w:val="–"/>
      <w:lvlJc w:val="left"/>
      <w:pPr>
        <w:ind w:left="568" w:hanging="284"/>
      </w:pPr>
      <w:rPr>
        <w:rFonts w:ascii="Calibri" w:hAnsi="Calibri" w:hint="default"/>
        <w:color w:val="auto"/>
      </w:rPr>
    </w:lvl>
    <w:lvl w:ilvl="2">
      <w:start w:val="1"/>
      <w:numFmt w:val="bullet"/>
      <w:lvlText w:val="›"/>
      <w:lvlJc w:val="left"/>
      <w:pPr>
        <w:ind w:left="852" w:hanging="284"/>
      </w:pPr>
      <w:rPr>
        <w:rFonts w:ascii="Calibri" w:hAnsi="Calibri" w:hint="default"/>
        <w:color w:val="auto"/>
      </w:rPr>
    </w:lvl>
    <w:lvl w:ilvl="3">
      <w:start w:val="1"/>
      <w:numFmt w:val="bullet"/>
      <w:lvlText w:val="▫"/>
      <w:lvlJc w:val="left"/>
      <w:pPr>
        <w:ind w:left="1136" w:hanging="284"/>
      </w:pPr>
      <w:rPr>
        <w:rFonts w:ascii="Calibri" w:hAnsi="Calibri" w:hint="default"/>
        <w:color w:val="auto"/>
      </w:rPr>
    </w:lvl>
    <w:lvl w:ilvl="4">
      <w:start w:val="1"/>
      <w:numFmt w:val="bullet"/>
      <w:lvlText w:val="—"/>
      <w:lvlJc w:val="left"/>
      <w:pPr>
        <w:ind w:left="1420" w:hanging="284"/>
      </w:pPr>
      <w:rPr>
        <w:rFonts w:ascii="Calibri" w:hAnsi="Calibri" w:hint="default"/>
        <w:color w:val="auto"/>
      </w:rPr>
    </w:lvl>
    <w:lvl w:ilvl="5">
      <w:start w:val="1"/>
      <w:numFmt w:val="bullet"/>
      <w:lvlText w:val="»"/>
      <w:lvlJc w:val="left"/>
      <w:pPr>
        <w:ind w:left="1704" w:hanging="284"/>
      </w:pPr>
      <w:rPr>
        <w:rFonts w:ascii="Calibri" w:hAnsi="Calibri" w:hint="default"/>
        <w:color w:val="auto"/>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1" w15:restartNumberingAfterBreak="0">
    <w:nsid w:val="705B345A"/>
    <w:multiLevelType w:val="multilevel"/>
    <w:tmpl w:val="3062A7C2"/>
    <w:lvl w:ilvl="0">
      <w:start w:val="1"/>
      <w:numFmt w:val="decimal"/>
      <w:lvlText w:val="%1."/>
      <w:lvlJc w:val="left"/>
      <w:pPr>
        <w:ind w:left="284" w:hanging="284"/>
      </w:pPr>
      <w:rPr>
        <w:rFonts w:hint="default"/>
        <w:color w:val="auto"/>
      </w:rPr>
    </w:lvl>
    <w:lvl w:ilvl="1">
      <w:start w:val="1"/>
      <w:numFmt w:val="bullet"/>
      <w:lvlText w:val="–"/>
      <w:lvlJc w:val="left"/>
      <w:pPr>
        <w:ind w:left="568" w:hanging="284"/>
      </w:pPr>
      <w:rPr>
        <w:rFonts w:ascii="Calibri" w:hAnsi="Calibri" w:hint="default"/>
        <w:color w:val="auto"/>
      </w:rPr>
    </w:lvl>
    <w:lvl w:ilvl="2">
      <w:start w:val="1"/>
      <w:numFmt w:val="bullet"/>
      <w:lvlText w:val="›"/>
      <w:lvlJc w:val="left"/>
      <w:pPr>
        <w:ind w:left="852" w:hanging="284"/>
      </w:pPr>
      <w:rPr>
        <w:rFonts w:ascii="Calibri" w:hAnsi="Calibri" w:hint="default"/>
        <w:color w:val="auto"/>
      </w:rPr>
    </w:lvl>
    <w:lvl w:ilvl="3">
      <w:start w:val="1"/>
      <w:numFmt w:val="bullet"/>
      <w:lvlText w:val="▫"/>
      <w:lvlJc w:val="left"/>
      <w:pPr>
        <w:ind w:left="1136" w:hanging="284"/>
      </w:pPr>
      <w:rPr>
        <w:rFonts w:ascii="Calibri" w:hAnsi="Calibri" w:hint="default"/>
        <w:color w:val="auto"/>
      </w:rPr>
    </w:lvl>
    <w:lvl w:ilvl="4">
      <w:start w:val="1"/>
      <w:numFmt w:val="bullet"/>
      <w:lvlText w:val="—"/>
      <w:lvlJc w:val="left"/>
      <w:pPr>
        <w:ind w:left="1420" w:hanging="284"/>
      </w:pPr>
      <w:rPr>
        <w:rFonts w:ascii="Calibri" w:hAnsi="Calibri" w:hint="default"/>
        <w:color w:val="auto"/>
      </w:rPr>
    </w:lvl>
    <w:lvl w:ilvl="5">
      <w:start w:val="1"/>
      <w:numFmt w:val="bullet"/>
      <w:lvlText w:val="»"/>
      <w:lvlJc w:val="left"/>
      <w:pPr>
        <w:ind w:left="1704" w:hanging="284"/>
      </w:pPr>
      <w:rPr>
        <w:rFonts w:ascii="Calibri" w:hAnsi="Calibri" w:hint="default"/>
        <w:color w:val="auto"/>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2" w15:restartNumberingAfterBreak="0">
    <w:nsid w:val="7E554E84"/>
    <w:multiLevelType w:val="multilevel"/>
    <w:tmpl w:val="8FCE6D18"/>
    <w:styleLink w:val="ListLegal"/>
    <w:lvl w:ilvl="0">
      <w:start w:val="1"/>
      <w:numFmt w:val="decimal"/>
      <w:pStyle w:val="ListLegal1"/>
      <w:lvlText w:val="%1."/>
      <w:lvlJc w:val="left"/>
      <w:pPr>
        <w:ind w:left="284" w:hanging="284"/>
      </w:pPr>
      <w:rPr>
        <w:rFonts w:hint="default"/>
      </w:rPr>
    </w:lvl>
    <w:lvl w:ilvl="1">
      <w:start w:val="1"/>
      <w:numFmt w:val="lowerLetter"/>
      <w:pStyle w:val="ListLegal2"/>
      <w:lvlText w:val="%2."/>
      <w:lvlJc w:val="left"/>
      <w:pPr>
        <w:ind w:left="568" w:hanging="284"/>
      </w:pPr>
      <w:rPr>
        <w:rFonts w:hint="default"/>
      </w:rPr>
    </w:lvl>
    <w:lvl w:ilvl="2">
      <w:start w:val="1"/>
      <w:numFmt w:val="lowerRoman"/>
      <w:pStyle w:val="ListLegal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1" w:hanging="281"/>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num w:numId="1">
    <w:abstractNumId w:val="7"/>
  </w:num>
  <w:num w:numId="2">
    <w:abstractNumId w:val="12"/>
  </w:num>
  <w:num w:numId="3">
    <w:abstractNumId w:val="0"/>
  </w:num>
  <w:num w:numId="4">
    <w:abstractNumId w:val="6"/>
  </w:num>
  <w:num w:numId="5">
    <w:abstractNumId w:val="2"/>
  </w:num>
  <w:num w:numId="6">
    <w:abstractNumId w:val="4"/>
  </w:num>
  <w:num w:numId="7">
    <w:abstractNumId w:val="5"/>
    <w:lvlOverride w:ilvl="0">
      <w:lvl w:ilvl="0">
        <w:start w:val="1"/>
        <w:numFmt w:val="upperLetter"/>
        <w:pStyle w:val="AppendixHeading1"/>
        <w:suff w:val="space"/>
        <w:lvlText w:val="Appendix %1 –"/>
        <w:lvlJc w:val="left"/>
        <w:pPr>
          <w:ind w:left="9782" w:firstLine="0"/>
        </w:pPr>
        <w:rPr>
          <w:rFonts w:hint="default"/>
        </w:rPr>
      </w:lvl>
    </w:lvlOverride>
  </w:num>
  <w:num w:numId="8">
    <w:abstractNumId w:val="9"/>
  </w:num>
  <w:num w:numId="9">
    <w:abstractNumId w:val="8"/>
  </w:num>
  <w:num w:numId="10">
    <w:abstractNumId w:val="10"/>
  </w:num>
  <w:num w:numId="11">
    <w:abstractNumId w:val="3"/>
  </w:num>
  <w:num w:numId="12">
    <w:abstractNumId w:val="11"/>
  </w:num>
  <w:num w:numId="13">
    <w:abstractNumId w:val="1"/>
  </w:num>
  <w:num w:numId="14">
    <w:abstractNumId w:val="7"/>
  </w:num>
  <w:num w:numId="15">
    <w:abstractNumId w:val="7"/>
  </w:num>
  <w:num w:numId="16">
    <w:abstractNumId w:val="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3B9B"/>
    <w:rsid w:val="0000004D"/>
    <w:rsid w:val="00001A02"/>
    <w:rsid w:val="00001BDF"/>
    <w:rsid w:val="00003556"/>
    <w:rsid w:val="0000448B"/>
    <w:rsid w:val="00005ECD"/>
    <w:rsid w:val="00006316"/>
    <w:rsid w:val="00006521"/>
    <w:rsid w:val="00007209"/>
    <w:rsid w:val="000072CA"/>
    <w:rsid w:val="0000762C"/>
    <w:rsid w:val="00007C97"/>
    <w:rsid w:val="000107AE"/>
    <w:rsid w:val="00011667"/>
    <w:rsid w:val="00011D9D"/>
    <w:rsid w:val="00012758"/>
    <w:rsid w:val="000133C0"/>
    <w:rsid w:val="0001430B"/>
    <w:rsid w:val="000149AF"/>
    <w:rsid w:val="0001508C"/>
    <w:rsid w:val="00015425"/>
    <w:rsid w:val="000154D0"/>
    <w:rsid w:val="00015626"/>
    <w:rsid w:val="00015833"/>
    <w:rsid w:val="00015934"/>
    <w:rsid w:val="000161C4"/>
    <w:rsid w:val="00016221"/>
    <w:rsid w:val="0001641E"/>
    <w:rsid w:val="0001675A"/>
    <w:rsid w:val="00016BF1"/>
    <w:rsid w:val="00017082"/>
    <w:rsid w:val="0002056B"/>
    <w:rsid w:val="00020EC9"/>
    <w:rsid w:val="00021574"/>
    <w:rsid w:val="00021727"/>
    <w:rsid w:val="00021E72"/>
    <w:rsid w:val="00022081"/>
    <w:rsid w:val="00022C7F"/>
    <w:rsid w:val="0002301D"/>
    <w:rsid w:val="0002372B"/>
    <w:rsid w:val="000241A3"/>
    <w:rsid w:val="00024846"/>
    <w:rsid w:val="0002484C"/>
    <w:rsid w:val="0002528E"/>
    <w:rsid w:val="000252C7"/>
    <w:rsid w:val="00025612"/>
    <w:rsid w:val="000256C2"/>
    <w:rsid w:val="00025E09"/>
    <w:rsid w:val="000262CC"/>
    <w:rsid w:val="000270FF"/>
    <w:rsid w:val="00027346"/>
    <w:rsid w:val="00027F3B"/>
    <w:rsid w:val="00030724"/>
    <w:rsid w:val="000311A3"/>
    <w:rsid w:val="000314F8"/>
    <w:rsid w:val="0003227C"/>
    <w:rsid w:val="000322B6"/>
    <w:rsid w:val="000330B6"/>
    <w:rsid w:val="00033188"/>
    <w:rsid w:val="0003340A"/>
    <w:rsid w:val="000338FE"/>
    <w:rsid w:val="0003394F"/>
    <w:rsid w:val="00033DEE"/>
    <w:rsid w:val="00033DFC"/>
    <w:rsid w:val="00035043"/>
    <w:rsid w:val="000376CC"/>
    <w:rsid w:val="0004234A"/>
    <w:rsid w:val="00042F18"/>
    <w:rsid w:val="00043296"/>
    <w:rsid w:val="000433B3"/>
    <w:rsid w:val="000435FE"/>
    <w:rsid w:val="00043B65"/>
    <w:rsid w:val="000453AD"/>
    <w:rsid w:val="000453EC"/>
    <w:rsid w:val="00046C2F"/>
    <w:rsid w:val="0004726F"/>
    <w:rsid w:val="000477A1"/>
    <w:rsid w:val="00047A4B"/>
    <w:rsid w:val="00050CC3"/>
    <w:rsid w:val="00051704"/>
    <w:rsid w:val="00053B9B"/>
    <w:rsid w:val="00053DC3"/>
    <w:rsid w:val="00054219"/>
    <w:rsid w:val="000546A7"/>
    <w:rsid w:val="00054E39"/>
    <w:rsid w:val="00054E52"/>
    <w:rsid w:val="000555ED"/>
    <w:rsid w:val="000558DA"/>
    <w:rsid w:val="00055A54"/>
    <w:rsid w:val="00056C27"/>
    <w:rsid w:val="00057F84"/>
    <w:rsid w:val="00060E48"/>
    <w:rsid w:val="00060F6D"/>
    <w:rsid w:val="00061893"/>
    <w:rsid w:val="00063784"/>
    <w:rsid w:val="00063FCA"/>
    <w:rsid w:val="000649B7"/>
    <w:rsid w:val="00064A91"/>
    <w:rsid w:val="00064D58"/>
    <w:rsid w:val="000655EA"/>
    <w:rsid w:val="00067036"/>
    <w:rsid w:val="000675B4"/>
    <w:rsid w:val="0006796F"/>
    <w:rsid w:val="00067A4E"/>
    <w:rsid w:val="0007051B"/>
    <w:rsid w:val="00070AAD"/>
    <w:rsid w:val="00070DE9"/>
    <w:rsid w:val="0007124E"/>
    <w:rsid w:val="000715B6"/>
    <w:rsid w:val="000733AB"/>
    <w:rsid w:val="000754A9"/>
    <w:rsid w:val="00075851"/>
    <w:rsid w:val="00076494"/>
    <w:rsid w:val="00076B57"/>
    <w:rsid w:val="0008061C"/>
    <w:rsid w:val="00080D57"/>
    <w:rsid w:val="00081611"/>
    <w:rsid w:val="00081BA3"/>
    <w:rsid w:val="00082B34"/>
    <w:rsid w:val="00084051"/>
    <w:rsid w:val="000864B1"/>
    <w:rsid w:val="00086D92"/>
    <w:rsid w:val="00087592"/>
    <w:rsid w:val="00087674"/>
    <w:rsid w:val="00087861"/>
    <w:rsid w:val="00087F71"/>
    <w:rsid w:val="000908B1"/>
    <w:rsid w:val="00090BF8"/>
    <w:rsid w:val="000910D1"/>
    <w:rsid w:val="000911D9"/>
    <w:rsid w:val="00091A33"/>
    <w:rsid w:val="00092970"/>
    <w:rsid w:val="00092C73"/>
    <w:rsid w:val="00094AC9"/>
    <w:rsid w:val="00097B7A"/>
    <w:rsid w:val="000A1F20"/>
    <w:rsid w:val="000A2431"/>
    <w:rsid w:val="000A270D"/>
    <w:rsid w:val="000A3372"/>
    <w:rsid w:val="000A38D9"/>
    <w:rsid w:val="000A3AD1"/>
    <w:rsid w:val="000A60B9"/>
    <w:rsid w:val="000A610E"/>
    <w:rsid w:val="000A6D8A"/>
    <w:rsid w:val="000A6DB5"/>
    <w:rsid w:val="000A762A"/>
    <w:rsid w:val="000A7CA9"/>
    <w:rsid w:val="000B07AC"/>
    <w:rsid w:val="000B07D7"/>
    <w:rsid w:val="000B0A05"/>
    <w:rsid w:val="000B2FBA"/>
    <w:rsid w:val="000B3150"/>
    <w:rsid w:val="000B41FA"/>
    <w:rsid w:val="000B4460"/>
    <w:rsid w:val="000B50A9"/>
    <w:rsid w:val="000B5486"/>
    <w:rsid w:val="000B6EE6"/>
    <w:rsid w:val="000B72C3"/>
    <w:rsid w:val="000B7D6A"/>
    <w:rsid w:val="000B7EC1"/>
    <w:rsid w:val="000C051B"/>
    <w:rsid w:val="000C09F4"/>
    <w:rsid w:val="000C0C07"/>
    <w:rsid w:val="000C0E62"/>
    <w:rsid w:val="000C1BEC"/>
    <w:rsid w:val="000C2EEE"/>
    <w:rsid w:val="000C33E6"/>
    <w:rsid w:val="000C39BA"/>
    <w:rsid w:val="000C3C0C"/>
    <w:rsid w:val="000C474D"/>
    <w:rsid w:val="000C47E2"/>
    <w:rsid w:val="000C4995"/>
    <w:rsid w:val="000C49F7"/>
    <w:rsid w:val="000C52E1"/>
    <w:rsid w:val="000C5302"/>
    <w:rsid w:val="000C5941"/>
    <w:rsid w:val="000C59B8"/>
    <w:rsid w:val="000C5A11"/>
    <w:rsid w:val="000C6093"/>
    <w:rsid w:val="000C7B24"/>
    <w:rsid w:val="000D02D6"/>
    <w:rsid w:val="000D03C7"/>
    <w:rsid w:val="000D16EE"/>
    <w:rsid w:val="000D2BCE"/>
    <w:rsid w:val="000D3823"/>
    <w:rsid w:val="000D3ADB"/>
    <w:rsid w:val="000D419D"/>
    <w:rsid w:val="000D55D3"/>
    <w:rsid w:val="000D6D34"/>
    <w:rsid w:val="000D78A7"/>
    <w:rsid w:val="000E02C1"/>
    <w:rsid w:val="000E24BA"/>
    <w:rsid w:val="000E29CF"/>
    <w:rsid w:val="000E2E9E"/>
    <w:rsid w:val="000E5674"/>
    <w:rsid w:val="000E650B"/>
    <w:rsid w:val="000E6A11"/>
    <w:rsid w:val="000E6DE6"/>
    <w:rsid w:val="000E6DF4"/>
    <w:rsid w:val="000E7402"/>
    <w:rsid w:val="000E794D"/>
    <w:rsid w:val="000F041A"/>
    <w:rsid w:val="000F077A"/>
    <w:rsid w:val="000F0A14"/>
    <w:rsid w:val="000F0BA1"/>
    <w:rsid w:val="000F1826"/>
    <w:rsid w:val="000F22EC"/>
    <w:rsid w:val="000F268E"/>
    <w:rsid w:val="000F2A77"/>
    <w:rsid w:val="000F33FF"/>
    <w:rsid w:val="000F4063"/>
    <w:rsid w:val="000F44B7"/>
    <w:rsid w:val="000F5DFD"/>
    <w:rsid w:val="000F6D22"/>
    <w:rsid w:val="000F7DBD"/>
    <w:rsid w:val="00100D3F"/>
    <w:rsid w:val="00101103"/>
    <w:rsid w:val="0010375C"/>
    <w:rsid w:val="00103D72"/>
    <w:rsid w:val="00103EDA"/>
    <w:rsid w:val="0010400A"/>
    <w:rsid w:val="00104176"/>
    <w:rsid w:val="0010454B"/>
    <w:rsid w:val="001048D1"/>
    <w:rsid w:val="00105565"/>
    <w:rsid w:val="00105726"/>
    <w:rsid w:val="00106FBE"/>
    <w:rsid w:val="001102D2"/>
    <w:rsid w:val="00110325"/>
    <w:rsid w:val="001119E0"/>
    <w:rsid w:val="0011343B"/>
    <w:rsid w:val="00113A23"/>
    <w:rsid w:val="0011416F"/>
    <w:rsid w:val="00114595"/>
    <w:rsid w:val="00114AD0"/>
    <w:rsid w:val="00114FF4"/>
    <w:rsid w:val="0011529D"/>
    <w:rsid w:val="001152EE"/>
    <w:rsid w:val="00116761"/>
    <w:rsid w:val="001175A0"/>
    <w:rsid w:val="001176A6"/>
    <w:rsid w:val="00117B6F"/>
    <w:rsid w:val="00117F50"/>
    <w:rsid w:val="0012031F"/>
    <w:rsid w:val="001208DC"/>
    <w:rsid w:val="00120D88"/>
    <w:rsid w:val="00121357"/>
    <w:rsid w:val="001223F5"/>
    <w:rsid w:val="00123F2D"/>
    <w:rsid w:val="001267C9"/>
    <w:rsid w:val="001279A4"/>
    <w:rsid w:val="001300EB"/>
    <w:rsid w:val="00130993"/>
    <w:rsid w:val="00130B58"/>
    <w:rsid w:val="001320D3"/>
    <w:rsid w:val="0013283B"/>
    <w:rsid w:val="001328B8"/>
    <w:rsid w:val="001328C3"/>
    <w:rsid w:val="00132A17"/>
    <w:rsid w:val="001334B0"/>
    <w:rsid w:val="0013421D"/>
    <w:rsid w:val="00134363"/>
    <w:rsid w:val="001349C6"/>
    <w:rsid w:val="00134DB7"/>
    <w:rsid w:val="00135FCF"/>
    <w:rsid w:val="00136B64"/>
    <w:rsid w:val="0013718F"/>
    <w:rsid w:val="0014015A"/>
    <w:rsid w:val="00141640"/>
    <w:rsid w:val="00141CDB"/>
    <w:rsid w:val="00143810"/>
    <w:rsid w:val="00143A5E"/>
    <w:rsid w:val="001444F3"/>
    <w:rsid w:val="00144762"/>
    <w:rsid w:val="00144B39"/>
    <w:rsid w:val="0014537A"/>
    <w:rsid w:val="0014678C"/>
    <w:rsid w:val="001509FD"/>
    <w:rsid w:val="001518DD"/>
    <w:rsid w:val="00153F3A"/>
    <w:rsid w:val="001543A5"/>
    <w:rsid w:val="0015479C"/>
    <w:rsid w:val="00154F10"/>
    <w:rsid w:val="00155001"/>
    <w:rsid w:val="0015621E"/>
    <w:rsid w:val="001577DC"/>
    <w:rsid w:val="00157AC0"/>
    <w:rsid w:val="00157E06"/>
    <w:rsid w:val="0016020C"/>
    <w:rsid w:val="00161133"/>
    <w:rsid w:val="00161229"/>
    <w:rsid w:val="00161D25"/>
    <w:rsid w:val="00161E6F"/>
    <w:rsid w:val="0016209B"/>
    <w:rsid w:val="00162616"/>
    <w:rsid w:val="00164FD0"/>
    <w:rsid w:val="001652E8"/>
    <w:rsid w:val="0016537B"/>
    <w:rsid w:val="0016771D"/>
    <w:rsid w:val="00170613"/>
    <w:rsid w:val="001718E9"/>
    <w:rsid w:val="00171E8D"/>
    <w:rsid w:val="001721FD"/>
    <w:rsid w:val="00172F46"/>
    <w:rsid w:val="00173157"/>
    <w:rsid w:val="0017424E"/>
    <w:rsid w:val="001743D2"/>
    <w:rsid w:val="0017456E"/>
    <w:rsid w:val="0017518E"/>
    <w:rsid w:val="001755BA"/>
    <w:rsid w:val="0017599C"/>
    <w:rsid w:val="00175A24"/>
    <w:rsid w:val="00175E47"/>
    <w:rsid w:val="00175EB1"/>
    <w:rsid w:val="00175FEF"/>
    <w:rsid w:val="0017624F"/>
    <w:rsid w:val="00176512"/>
    <w:rsid w:val="00176B6B"/>
    <w:rsid w:val="00176F96"/>
    <w:rsid w:val="001770B4"/>
    <w:rsid w:val="001774CB"/>
    <w:rsid w:val="00177AD6"/>
    <w:rsid w:val="001802C5"/>
    <w:rsid w:val="00180970"/>
    <w:rsid w:val="00180A7B"/>
    <w:rsid w:val="00182F08"/>
    <w:rsid w:val="00184120"/>
    <w:rsid w:val="00185CF4"/>
    <w:rsid w:val="00185E04"/>
    <w:rsid w:val="001865EC"/>
    <w:rsid w:val="00187D59"/>
    <w:rsid w:val="0019044E"/>
    <w:rsid w:val="00191310"/>
    <w:rsid w:val="00192101"/>
    <w:rsid w:val="00192507"/>
    <w:rsid w:val="00194119"/>
    <w:rsid w:val="0019463F"/>
    <w:rsid w:val="001947F1"/>
    <w:rsid w:val="00194F75"/>
    <w:rsid w:val="00195725"/>
    <w:rsid w:val="001964F6"/>
    <w:rsid w:val="001978F5"/>
    <w:rsid w:val="001A088D"/>
    <w:rsid w:val="001A0C33"/>
    <w:rsid w:val="001A1AD2"/>
    <w:rsid w:val="001A1B0B"/>
    <w:rsid w:val="001A1FA6"/>
    <w:rsid w:val="001A3999"/>
    <w:rsid w:val="001A3E19"/>
    <w:rsid w:val="001A3ED6"/>
    <w:rsid w:val="001A4431"/>
    <w:rsid w:val="001A478A"/>
    <w:rsid w:val="001A4C07"/>
    <w:rsid w:val="001A52D5"/>
    <w:rsid w:val="001A54EF"/>
    <w:rsid w:val="001A6A6E"/>
    <w:rsid w:val="001A6D16"/>
    <w:rsid w:val="001A79DF"/>
    <w:rsid w:val="001B02CC"/>
    <w:rsid w:val="001B09DC"/>
    <w:rsid w:val="001B0B52"/>
    <w:rsid w:val="001B0CF2"/>
    <w:rsid w:val="001B16E9"/>
    <w:rsid w:val="001B199A"/>
    <w:rsid w:val="001B2666"/>
    <w:rsid w:val="001B29A1"/>
    <w:rsid w:val="001B380D"/>
    <w:rsid w:val="001B3915"/>
    <w:rsid w:val="001B3AA7"/>
    <w:rsid w:val="001B3BEF"/>
    <w:rsid w:val="001B4636"/>
    <w:rsid w:val="001B5640"/>
    <w:rsid w:val="001B7C02"/>
    <w:rsid w:val="001C03A3"/>
    <w:rsid w:val="001C0732"/>
    <w:rsid w:val="001C079F"/>
    <w:rsid w:val="001C0AE1"/>
    <w:rsid w:val="001C116B"/>
    <w:rsid w:val="001C1DEE"/>
    <w:rsid w:val="001C2233"/>
    <w:rsid w:val="001C3C47"/>
    <w:rsid w:val="001C4730"/>
    <w:rsid w:val="001C48B5"/>
    <w:rsid w:val="001C4A91"/>
    <w:rsid w:val="001C5521"/>
    <w:rsid w:val="001C55C2"/>
    <w:rsid w:val="001C6864"/>
    <w:rsid w:val="001C689A"/>
    <w:rsid w:val="001C6D9B"/>
    <w:rsid w:val="001C778D"/>
    <w:rsid w:val="001C78B2"/>
    <w:rsid w:val="001C7947"/>
    <w:rsid w:val="001C7C1A"/>
    <w:rsid w:val="001D00AC"/>
    <w:rsid w:val="001D0478"/>
    <w:rsid w:val="001D1924"/>
    <w:rsid w:val="001D270E"/>
    <w:rsid w:val="001D27B2"/>
    <w:rsid w:val="001D2A93"/>
    <w:rsid w:val="001D2BA1"/>
    <w:rsid w:val="001D3F74"/>
    <w:rsid w:val="001D4B99"/>
    <w:rsid w:val="001D4BE7"/>
    <w:rsid w:val="001D4D4A"/>
    <w:rsid w:val="001D50F7"/>
    <w:rsid w:val="001D5D7A"/>
    <w:rsid w:val="001D5FB0"/>
    <w:rsid w:val="001D697F"/>
    <w:rsid w:val="001D7737"/>
    <w:rsid w:val="001E02B9"/>
    <w:rsid w:val="001E0EEB"/>
    <w:rsid w:val="001E1930"/>
    <w:rsid w:val="001E1ED5"/>
    <w:rsid w:val="001E229E"/>
    <w:rsid w:val="001E2321"/>
    <w:rsid w:val="001E2D5D"/>
    <w:rsid w:val="001E3912"/>
    <w:rsid w:val="001E40FD"/>
    <w:rsid w:val="001E41E3"/>
    <w:rsid w:val="001E494F"/>
    <w:rsid w:val="001E6FF4"/>
    <w:rsid w:val="001E76C8"/>
    <w:rsid w:val="001E7839"/>
    <w:rsid w:val="001F00CB"/>
    <w:rsid w:val="001F0263"/>
    <w:rsid w:val="001F0571"/>
    <w:rsid w:val="001F1765"/>
    <w:rsid w:val="001F17C0"/>
    <w:rsid w:val="001F1831"/>
    <w:rsid w:val="001F264A"/>
    <w:rsid w:val="001F2B68"/>
    <w:rsid w:val="001F3555"/>
    <w:rsid w:val="001F35D3"/>
    <w:rsid w:val="001F3DEE"/>
    <w:rsid w:val="001F41B5"/>
    <w:rsid w:val="001F4EFD"/>
    <w:rsid w:val="001F61F6"/>
    <w:rsid w:val="001F7023"/>
    <w:rsid w:val="001F7CB5"/>
    <w:rsid w:val="002002E3"/>
    <w:rsid w:val="00200FC7"/>
    <w:rsid w:val="00201265"/>
    <w:rsid w:val="00202DAD"/>
    <w:rsid w:val="00202E6B"/>
    <w:rsid w:val="00203585"/>
    <w:rsid w:val="0020386B"/>
    <w:rsid w:val="0020398E"/>
    <w:rsid w:val="002041D0"/>
    <w:rsid w:val="0020433C"/>
    <w:rsid w:val="00204890"/>
    <w:rsid w:val="00204EB3"/>
    <w:rsid w:val="00205596"/>
    <w:rsid w:val="00206B73"/>
    <w:rsid w:val="00206EDB"/>
    <w:rsid w:val="00206F12"/>
    <w:rsid w:val="002074CF"/>
    <w:rsid w:val="002076F1"/>
    <w:rsid w:val="0021016E"/>
    <w:rsid w:val="00211C87"/>
    <w:rsid w:val="00212099"/>
    <w:rsid w:val="002125DB"/>
    <w:rsid w:val="00212949"/>
    <w:rsid w:val="00213ABA"/>
    <w:rsid w:val="00213EC7"/>
    <w:rsid w:val="00214998"/>
    <w:rsid w:val="00214A13"/>
    <w:rsid w:val="0021507E"/>
    <w:rsid w:val="002167CE"/>
    <w:rsid w:val="00216D6B"/>
    <w:rsid w:val="00216F1C"/>
    <w:rsid w:val="00220C9F"/>
    <w:rsid w:val="00221316"/>
    <w:rsid w:val="00221655"/>
    <w:rsid w:val="00221DE2"/>
    <w:rsid w:val="00221E65"/>
    <w:rsid w:val="0022222A"/>
    <w:rsid w:val="002234FC"/>
    <w:rsid w:val="00224842"/>
    <w:rsid w:val="002254D5"/>
    <w:rsid w:val="0022611D"/>
    <w:rsid w:val="002273EE"/>
    <w:rsid w:val="00227595"/>
    <w:rsid w:val="00227769"/>
    <w:rsid w:val="00227A7C"/>
    <w:rsid w:val="00227DD7"/>
    <w:rsid w:val="002309FB"/>
    <w:rsid w:val="00231719"/>
    <w:rsid w:val="0023179E"/>
    <w:rsid w:val="00231EDE"/>
    <w:rsid w:val="002335AE"/>
    <w:rsid w:val="002355EF"/>
    <w:rsid w:val="002359E4"/>
    <w:rsid w:val="00235DDD"/>
    <w:rsid w:val="00236023"/>
    <w:rsid w:val="002364AE"/>
    <w:rsid w:val="00236BDE"/>
    <w:rsid w:val="00236E02"/>
    <w:rsid w:val="00240A99"/>
    <w:rsid w:val="00240F9E"/>
    <w:rsid w:val="002415C0"/>
    <w:rsid w:val="00242393"/>
    <w:rsid w:val="002429DF"/>
    <w:rsid w:val="00242FD8"/>
    <w:rsid w:val="0024451C"/>
    <w:rsid w:val="002449A9"/>
    <w:rsid w:val="00244AB2"/>
    <w:rsid w:val="00245B36"/>
    <w:rsid w:val="00245CC6"/>
    <w:rsid w:val="00245E97"/>
    <w:rsid w:val="002469E1"/>
    <w:rsid w:val="00247459"/>
    <w:rsid w:val="00247579"/>
    <w:rsid w:val="00247DA9"/>
    <w:rsid w:val="00247E0B"/>
    <w:rsid w:val="002505AA"/>
    <w:rsid w:val="00250D8B"/>
    <w:rsid w:val="002512D9"/>
    <w:rsid w:val="00251E73"/>
    <w:rsid w:val="002524AC"/>
    <w:rsid w:val="0025286C"/>
    <w:rsid w:val="00252981"/>
    <w:rsid w:val="00252AF1"/>
    <w:rsid w:val="00252DE8"/>
    <w:rsid w:val="00252FD4"/>
    <w:rsid w:val="0025342D"/>
    <w:rsid w:val="00254157"/>
    <w:rsid w:val="00255B68"/>
    <w:rsid w:val="00256807"/>
    <w:rsid w:val="00256D30"/>
    <w:rsid w:val="0025793A"/>
    <w:rsid w:val="00257C3D"/>
    <w:rsid w:val="00257D33"/>
    <w:rsid w:val="002601EA"/>
    <w:rsid w:val="00261CF6"/>
    <w:rsid w:val="00263484"/>
    <w:rsid w:val="002634BD"/>
    <w:rsid w:val="00263E82"/>
    <w:rsid w:val="002640E7"/>
    <w:rsid w:val="00264136"/>
    <w:rsid w:val="00264FC1"/>
    <w:rsid w:val="00264FF7"/>
    <w:rsid w:val="0026596D"/>
    <w:rsid w:val="00265DF4"/>
    <w:rsid w:val="002666AD"/>
    <w:rsid w:val="00266DE7"/>
    <w:rsid w:val="00266EEC"/>
    <w:rsid w:val="00267184"/>
    <w:rsid w:val="00267C08"/>
    <w:rsid w:val="00270585"/>
    <w:rsid w:val="002707FB"/>
    <w:rsid w:val="00270A59"/>
    <w:rsid w:val="002714AA"/>
    <w:rsid w:val="0027157D"/>
    <w:rsid w:val="002718EA"/>
    <w:rsid w:val="00271F4E"/>
    <w:rsid w:val="00273309"/>
    <w:rsid w:val="0027373E"/>
    <w:rsid w:val="00273A59"/>
    <w:rsid w:val="00273B56"/>
    <w:rsid w:val="00273D82"/>
    <w:rsid w:val="00274460"/>
    <w:rsid w:val="0027452E"/>
    <w:rsid w:val="002750DF"/>
    <w:rsid w:val="002755A6"/>
    <w:rsid w:val="00276E81"/>
    <w:rsid w:val="00276E9D"/>
    <w:rsid w:val="00277DC2"/>
    <w:rsid w:val="002804E6"/>
    <w:rsid w:val="0028058C"/>
    <w:rsid w:val="002807CD"/>
    <w:rsid w:val="00280A93"/>
    <w:rsid w:val="00280CA1"/>
    <w:rsid w:val="0028255C"/>
    <w:rsid w:val="002829F2"/>
    <w:rsid w:val="00282F47"/>
    <w:rsid w:val="00283A03"/>
    <w:rsid w:val="00283E8B"/>
    <w:rsid w:val="00284164"/>
    <w:rsid w:val="00284316"/>
    <w:rsid w:val="00284CF2"/>
    <w:rsid w:val="00285185"/>
    <w:rsid w:val="0028590F"/>
    <w:rsid w:val="00286C6E"/>
    <w:rsid w:val="00286D43"/>
    <w:rsid w:val="00287137"/>
    <w:rsid w:val="002874C6"/>
    <w:rsid w:val="00287587"/>
    <w:rsid w:val="00287A54"/>
    <w:rsid w:val="00290B7D"/>
    <w:rsid w:val="00290E27"/>
    <w:rsid w:val="00291A72"/>
    <w:rsid w:val="00291C5B"/>
    <w:rsid w:val="00291D63"/>
    <w:rsid w:val="002925B6"/>
    <w:rsid w:val="00292E13"/>
    <w:rsid w:val="00293924"/>
    <w:rsid w:val="002939E3"/>
    <w:rsid w:val="0029427D"/>
    <w:rsid w:val="00294FBD"/>
    <w:rsid w:val="002951D4"/>
    <w:rsid w:val="00295834"/>
    <w:rsid w:val="002958A5"/>
    <w:rsid w:val="00296613"/>
    <w:rsid w:val="00296721"/>
    <w:rsid w:val="00296971"/>
    <w:rsid w:val="002A1149"/>
    <w:rsid w:val="002A1883"/>
    <w:rsid w:val="002A1DDC"/>
    <w:rsid w:val="002A27BC"/>
    <w:rsid w:val="002A283E"/>
    <w:rsid w:val="002A2EBD"/>
    <w:rsid w:val="002A3118"/>
    <w:rsid w:val="002A37EC"/>
    <w:rsid w:val="002A4079"/>
    <w:rsid w:val="002A413F"/>
    <w:rsid w:val="002A4247"/>
    <w:rsid w:val="002A570B"/>
    <w:rsid w:val="002A66C7"/>
    <w:rsid w:val="002A74E3"/>
    <w:rsid w:val="002B052C"/>
    <w:rsid w:val="002B0B59"/>
    <w:rsid w:val="002B1270"/>
    <w:rsid w:val="002B1989"/>
    <w:rsid w:val="002B1C30"/>
    <w:rsid w:val="002B2375"/>
    <w:rsid w:val="002B3439"/>
    <w:rsid w:val="002B3569"/>
    <w:rsid w:val="002B7197"/>
    <w:rsid w:val="002C17EF"/>
    <w:rsid w:val="002C211B"/>
    <w:rsid w:val="002C2BCA"/>
    <w:rsid w:val="002C317C"/>
    <w:rsid w:val="002C440B"/>
    <w:rsid w:val="002C4B13"/>
    <w:rsid w:val="002C4C6A"/>
    <w:rsid w:val="002C564D"/>
    <w:rsid w:val="002C5C45"/>
    <w:rsid w:val="002C7233"/>
    <w:rsid w:val="002C7AAF"/>
    <w:rsid w:val="002D0E0F"/>
    <w:rsid w:val="002D1408"/>
    <w:rsid w:val="002D2592"/>
    <w:rsid w:val="002D3723"/>
    <w:rsid w:val="002D3D5A"/>
    <w:rsid w:val="002D51B1"/>
    <w:rsid w:val="002D594A"/>
    <w:rsid w:val="002D5A84"/>
    <w:rsid w:val="002D65EE"/>
    <w:rsid w:val="002D6F09"/>
    <w:rsid w:val="002D79B4"/>
    <w:rsid w:val="002E016D"/>
    <w:rsid w:val="002E1117"/>
    <w:rsid w:val="002E1ADA"/>
    <w:rsid w:val="002E1EDF"/>
    <w:rsid w:val="002E398F"/>
    <w:rsid w:val="002E4021"/>
    <w:rsid w:val="002E4471"/>
    <w:rsid w:val="002E4635"/>
    <w:rsid w:val="002E4A4D"/>
    <w:rsid w:val="002E4C5D"/>
    <w:rsid w:val="002E4F22"/>
    <w:rsid w:val="002E5BBC"/>
    <w:rsid w:val="002E5ED3"/>
    <w:rsid w:val="002E6754"/>
    <w:rsid w:val="002E68B3"/>
    <w:rsid w:val="002E7BC0"/>
    <w:rsid w:val="002F195F"/>
    <w:rsid w:val="002F2EE4"/>
    <w:rsid w:val="002F3CCF"/>
    <w:rsid w:val="002F44E2"/>
    <w:rsid w:val="002F4F56"/>
    <w:rsid w:val="002F5A03"/>
    <w:rsid w:val="002F6C8E"/>
    <w:rsid w:val="002F6FE0"/>
    <w:rsid w:val="002F7FA7"/>
    <w:rsid w:val="00300C83"/>
    <w:rsid w:val="00300CFD"/>
    <w:rsid w:val="00301180"/>
    <w:rsid w:val="003017D3"/>
    <w:rsid w:val="003018E2"/>
    <w:rsid w:val="003020C4"/>
    <w:rsid w:val="00303EBB"/>
    <w:rsid w:val="003060EE"/>
    <w:rsid w:val="0030720A"/>
    <w:rsid w:val="00307599"/>
    <w:rsid w:val="00307E9D"/>
    <w:rsid w:val="00310F8E"/>
    <w:rsid w:val="003114BB"/>
    <w:rsid w:val="00311EA1"/>
    <w:rsid w:val="0031241E"/>
    <w:rsid w:val="0031264C"/>
    <w:rsid w:val="00316197"/>
    <w:rsid w:val="003162DF"/>
    <w:rsid w:val="00317C6A"/>
    <w:rsid w:val="003208CC"/>
    <w:rsid w:val="00320C17"/>
    <w:rsid w:val="00321764"/>
    <w:rsid w:val="003219B9"/>
    <w:rsid w:val="00321F4D"/>
    <w:rsid w:val="00322476"/>
    <w:rsid w:val="00322749"/>
    <w:rsid w:val="00322A17"/>
    <w:rsid w:val="003235CE"/>
    <w:rsid w:val="003236F2"/>
    <w:rsid w:val="003242FA"/>
    <w:rsid w:val="00325442"/>
    <w:rsid w:val="003274CB"/>
    <w:rsid w:val="00327626"/>
    <w:rsid w:val="00327632"/>
    <w:rsid w:val="00327863"/>
    <w:rsid w:val="003308C8"/>
    <w:rsid w:val="00330C7C"/>
    <w:rsid w:val="0033133E"/>
    <w:rsid w:val="00331851"/>
    <w:rsid w:val="00332898"/>
    <w:rsid w:val="00332F32"/>
    <w:rsid w:val="00332F48"/>
    <w:rsid w:val="0033346F"/>
    <w:rsid w:val="0033413A"/>
    <w:rsid w:val="003343EE"/>
    <w:rsid w:val="003350EB"/>
    <w:rsid w:val="00335309"/>
    <w:rsid w:val="0033625F"/>
    <w:rsid w:val="003377A7"/>
    <w:rsid w:val="0034084A"/>
    <w:rsid w:val="00340C22"/>
    <w:rsid w:val="00341DB7"/>
    <w:rsid w:val="0034220F"/>
    <w:rsid w:val="0034267C"/>
    <w:rsid w:val="003428BB"/>
    <w:rsid w:val="00343200"/>
    <w:rsid w:val="00343767"/>
    <w:rsid w:val="00344BA4"/>
    <w:rsid w:val="00344D23"/>
    <w:rsid w:val="00345090"/>
    <w:rsid w:val="003458E1"/>
    <w:rsid w:val="00345D28"/>
    <w:rsid w:val="003466A7"/>
    <w:rsid w:val="00346B48"/>
    <w:rsid w:val="00346E13"/>
    <w:rsid w:val="00347F78"/>
    <w:rsid w:val="003500F8"/>
    <w:rsid w:val="0035013B"/>
    <w:rsid w:val="00350690"/>
    <w:rsid w:val="0035179B"/>
    <w:rsid w:val="003520EB"/>
    <w:rsid w:val="003527A2"/>
    <w:rsid w:val="00352E39"/>
    <w:rsid w:val="003539F6"/>
    <w:rsid w:val="00354004"/>
    <w:rsid w:val="0035514E"/>
    <w:rsid w:val="003557F0"/>
    <w:rsid w:val="00356B07"/>
    <w:rsid w:val="00357847"/>
    <w:rsid w:val="00357E85"/>
    <w:rsid w:val="003605AE"/>
    <w:rsid w:val="003606AE"/>
    <w:rsid w:val="003618B5"/>
    <w:rsid w:val="00361C03"/>
    <w:rsid w:val="00361CA7"/>
    <w:rsid w:val="003628E9"/>
    <w:rsid w:val="00362B44"/>
    <w:rsid w:val="00365667"/>
    <w:rsid w:val="003666AA"/>
    <w:rsid w:val="00367046"/>
    <w:rsid w:val="00367A54"/>
    <w:rsid w:val="00370462"/>
    <w:rsid w:val="00371B52"/>
    <w:rsid w:val="003720E9"/>
    <w:rsid w:val="00373955"/>
    <w:rsid w:val="003741D2"/>
    <w:rsid w:val="003749F5"/>
    <w:rsid w:val="00375332"/>
    <w:rsid w:val="00375850"/>
    <w:rsid w:val="00375E47"/>
    <w:rsid w:val="00375E88"/>
    <w:rsid w:val="00376075"/>
    <w:rsid w:val="00376834"/>
    <w:rsid w:val="003769CE"/>
    <w:rsid w:val="00377976"/>
    <w:rsid w:val="00377B8C"/>
    <w:rsid w:val="00380482"/>
    <w:rsid w:val="0038350B"/>
    <w:rsid w:val="00383DC5"/>
    <w:rsid w:val="00384136"/>
    <w:rsid w:val="00385D46"/>
    <w:rsid w:val="00386162"/>
    <w:rsid w:val="0038788E"/>
    <w:rsid w:val="003903BC"/>
    <w:rsid w:val="003918DA"/>
    <w:rsid w:val="00391F1D"/>
    <w:rsid w:val="00393621"/>
    <w:rsid w:val="0039393B"/>
    <w:rsid w:val="00394F30"/>
    <w:rsid w:val="00394F43"/>
    <w:rsid w:val="00395128"/>
    <w:rsid w:val="00396559"/>
    <w:rsid w:val="00396F30"/>
    <w:rsid w:val="00397BFE"/>
    <w:rsid w:val="00397D29"/>
    <w:rsid w:val="003A00A7"/>
    <w:rsid w:val="003A0645"/>
    <w:rsid w:val="003A1123"/>
    <w:rsid w:val="003A14B1"/>
    <w:rsid w:val="003A164C"/>
    <w:rsid w:val="003A2138"/>
    <w:rsid w:val="003A2387"/>
    <w:rsid w:val="003A23C6"/>
    <w:rsid w:val="003A2C2B"/>
    <w:rsid w:val="003A34D8"/>
    <w:rsid w:val="003A3665"/>
    <w:rsid w:val="003A3991"/>
    <w:rsid w:val="003A40FA"/>
    <w:rsid w:val="003A44B7"/>
    <w:rsid w:val="003A4FD0"/>
    <w:rsid w:val="003A5D95"/>
    <w:rsid w:val="003A6030"/>
    <w:rsid w:val="003A6193"/>
    <w:rsid w:val="003A6AF7"/>
    <w:rsid w:val="003A7066"/>
    <w:rsid w:val="003A73E8"/>
    <w:rsid w:val="003B0C2B"/>
    <w:rsid w:val="003B172C"/>
    <w:rsid w:val="003B3723"/>
    <w:rsid w:val="003B3E46"/>
    <w:rsid w:val="003B49F1"/>
    <w:rsid w:val="003B5671"/>
    <w:rsid w:val="003B58B0"/>
    <w:rsid w:val="003B59C6"/>
    <w:rsid w:val="003B5B30"/>
    <w:rsid w:val="003B5F2E"/>
    <w:rsid w:val="003B6C5D"/>
    <w:rsid w:val="003C0460"/>
    <w:rsid w:val="003C2A48"/>
    <w:rsid w:val="003C2A5E"/>
    <w:rsid w:val="003C34D6"/>
    <w:rsid w:val="003C4D65"/>
    <w:rsid w:val="003C5C98"/>
    <w:rsid w:val="003C625A"/>
    <w:rsid w:val="003C7793"/>
    <w:rsid w:val="003D0E1C"/>
    <w:rsid w:val="003D10D1"/>
    <w:rsid w:val="003D1BF6"/>
    <w:rsid w:val="003D1C49"/>
    <w:rsid w:val="003D27D7"/>
    <w:rsid w:val="003D2B2E"/>
    <w:rsid w:val="003D301B"/>
    <w:rsid w:val="003D3720"/>
    <w:rsid w:val="003D3A76"/>
    <w:rsid w:val="003D3B1D"/>
    <w:rsid w:val="003D5848"/>
    <w:rsid w:val="003D5B44"/>
    <w:rsid w:val="003D5E06"/>
    <w:rsid w:val="003D6E44"/>
    <w:rsid w:val="003D7065"/>
    <w:rsid w:val="003D708C"/>
    <w:rsid w:val="003D7709"/>
    <w:rsid w:val="003E0EB3"/>
    <w:rsid w:val="003E1DD8"/>
    <w:rsid w:val="003E2469"/>
    <w:rsid w:val="003E261A"/>
    <w:rsid w:val="003E27BE"/>
    <w:rsid w:val="003E303B"/>
    <w:rsid w:val="003E3B7F"/>
    <w:rsid w:val="003E40AF"/>
    <w:rsid w:val="003E4CFB"/>
    <w:rsid w:val="003E537C"/>
    <w:rsid w:val="003E590F"/>
    <w:rsid w:val="003E75BD"/>
    <w:rsid w:val="003E79AF"/>
    <w:rsid w:val="003F100E"/>
    <w:rsid w:val="003F25F4"/>
    <w:rsid w:val="003F2FF7"/>
    <w:rsid w:val="003F3526"/>
    <w:rsid w:val="003F60BA"/>
    <w:rsid w:val="003F775D"/>
    <w:rsid w:val="004003F9"/>
    <w:rsid w:val="00400A36"/>
    <w:rsid w:val="00402325"/>
    <w:rsid w:val="004036A2"/>
    <w:rsid w:val="00403A61"/>
    <w:rsid w:val="004042AE"/>
    <w:rsid w:val="004048FD"/>
    <w:rsid w:val="00404A95"/>
    <w:rsid w:val="00404CB6"/>
    <w:rsid w:val="00405887"/>
    <w:rsid w:val="00405EB2"/>
    <w:rsid w:val="004069C4"/>
    <w:rsid w:val="00406F1A"/>
    <w:rsid w:val="00410F51"/>
    <w:rsid w:val="00411A33"/>
    <w:rsid w:val="004139D4"/>
    <w:rsid w:val="00413FA9"/>
    <w:rsid w:val="004143B6"/>
    <w:rsid w:val="004145F6"/>
    <w:rsid w:val="004146E4"/>
    <w:rsid w:val="00414E37"/>
    <w:rsid w:val="00415CA2"/>
    <w:rsid w:val="00415CE2"/>
    <w:rsid w:val="00415D76"/>
    <w:rsid w:val="0041600A"/>
    <w:rsid w:val="004176C2"/>
    <w:rsid w:val="0042006F"/>
    <w:rsid w:val="00420261"/>
    <w:rsid w:val="00420E23"/>
    <w:rsid w:val="00420F04"/>
    <w:rsid w:val="00421265"/>
    <w:rsid w:val="00421854"/>
    <w:rsid w:val="00422812"/>
    <w:rsid w:val="00422BCB"/>
    <w:rsid w:val="004232E2"/>
    <w:rsid w:val="0042330D"/>
    <w:rsid w:val="004236FF"/>
    <w:rsid w:val="0042430E"/>
    <w:rsid w:val="0042457B"/>
    <w:rsid w:val="004261D8"/>
    <w:rsid w:val="004262A7"/>
    <w:rsid w:val="0042670F"/>
    <w:rsid w:val="004270D1"/>
    <w:rsid w:val="00427AC4"/>
    <w:rsid w:val="00427FBF"/>
    <w:rsid w:val="0043019D"/>
    <w:rsid w:val="0043029B"/>
    <w:rsid w:val="00432736"/>
    <w:rsid w:val="0043337E"/>
    <w:rsid w:val="00436033"/>
    <w:rsid w:val="00436E6E"/>
    <w:rsid w:val="00437366"/>
    <w:rsid w:val="00440840"/>
    <w:rsid w:val="00440E8D"/>
    <w:rsid w:val="0044290D"/>
    <w:rsid w:val="004429FA"/>
    <w:rsid w:val="00443403"/>
    <w:rsid w:val="004437FF"/>
    <w:rsid w:val="00443897"/>
    <w:rsid w:val="0044462F"/>
    <w:rsid w:val="00444664"/>
    <w:rsid w:val="00444BC8"/>
    <w:rsid w:val="00444CAE"/>
    <w:rsid w:val="004455CD"/>
    <w:rsid w:val="0044653F"/>
    <w:rsid w:val="0044736A"/>
    <w:rsid w:val="00447700"/>
    <w:rsid w:val="00450038"/>
    <w:rsid w:val="00450BFD"/>
    <w:rsid w:val="004516BF"/>
    <w:rsid w:val="00451E0B"/>
    <w:rsid w:val="00454441"/>
    <w:rsid w:val="00454EFE"/>
    <w:rsid w:val="004555D0"/>
    <w:rsid w:val="0045646E"/>
    <w:rsid w:val="00456A2E"/>
    <w:rsid w:val="0045746B"/>
    <w:rsid w:val="004575EA"/>
    <w:rsid w:val="00457BE0"/>
    <w:rsid w:val="0046178D"/>
    <w:rsid w:val="00462CCD"/>
    <w:rsid w:val="00463458"/>
    <w:rsid w:val="00464624"/>
    <w:rsid w:val="00464629"/>
    <w:rsid w:val="00466A5A"/>
    <w:rsid w:val="00466E93"/>
    <w:rsid w:val="00466F1C"/>
    <w:rsid w:val="004671EF"/>
    <w:rsid w:val="00467900"/>
    <w:rsid w:val="00467A1D"/>
    <w:rsid w:val="00470E73"/>
    <w:rsid w:val="0047140B"/>
    <w:rsid w:val="00471DCA"/>
    <w:rsid w:val="00472211"/>
    <w:rsid w:val="00472C95"/>
    <w:rsid w:val="00473778"/>
    <w:rsid w:val="00474738"/>
    <w:rsid w:val="0047586D"/>
    <w:rsid w:val="00475BE0"/>
    <w:rsid w:val="00475E62"/>
    <w:rsid w:val="00477285"/>
    <w:rsid w:val="00477BDC"/>
    <w:rsid w:val="00477E77"/>
    <w:rsid w:val="00480415"/>
    <w:rsid w:val="0048047D"/>
    <w:rsid w:val="004804E1"/>
    <w:rsid w:val="00480655"/>
    <w:rsid w:val="0048162A"/>
    <w:rsid w:val="004828FD"/>
    <w:rsid w:val="00482952"/>
    <w:rsid w:val="00482A84"/>
    <w:rsid w:val="00482DC8"/>
    <w:rsid w:val="00483AEB"/>
    <w:rsid w:val="00483B1E"/>
    <w:rsid w:val="00483BF8"/>
    <w:rsid w:val="00485010"/>
    <w:rsid w:val="00485B92"/>
    <w:rsid w:val="00487254"/>
    <w:rsid w:val="00490208"/>
    <w:rsid w:val="004908DC"/>
    <w:rsid w:val="0049090D"/>
    <w:rsid w:val="004909AF"/>
    <w:rsid w:val="00490DA2"/>
    <w:rsid w:val="00491883"/>
    <w:rsid w:val="00492003"/>
    <w:rsid w:val="0049230C"/>
    <w:rsid w:val="00496C48"/>
    <w:rsid w:val="00496E99"/>
    <w:rsid w:val="004A07A9"/>
    <w:rsid w:val="004A1DE4"/>
    <w:rsid w:val="004A2BB3"/>
    <w:rsid w:val="004A384B"/>
    <w:rsid w:val="004A6E06"/>
    <w:rsid w:val="004A6F01"/>
    <w:rsid w:val="004A7704"/>
    <w:rsid w:val="004A79C1"/>
    <w:rsid w:val="004B045B"/>
    <w:rsid w:val="004B0CB4"/>
    <w:rsid w:val="004B1B8A"/>
    <w:rsid w:val="004B43AA"/>
    <w:rsid w:val="004B4880"/>
    <w:rsid w:val="004B490F"/>
    <w:rsid w:val="004B4D8F"/>
    <w:rsid w:val="004B5435"/>
    <w:rsid w:val="004B5812"/>
    <w:rsid w:val="004B5B4B"/>
    <w:rsid w:val="004B60E8"/>
    <w:rsid w:val="004B7280"/>
    <w:rsid w:val="004B7344"/>
    <w:rsid w:val="004B7ECA"/>
    <w:rsid w:val="004C13C5"/>
    <w:rsid w:val="004C1979"/>
    <w:rsid w:val="004C1DDF"/>
    <w:rsid w:val="004C2A49"/>
    <w:rsid w:val="004C2AB0"/>
    <w:rsid w:val="004C3219"/>
    <w:rsid w:val="004C3C0D"/>
    <w:rsid w:val="004C4741"/>
    <w:rsid w:val="004C4E3B"/>
    <w:rsid w:val="004C604A"/>
    <w:rsid w:val="004C67EE"/>
    <w:rsid w:val="004C6826"/>
    <w:rsid w:val="004C6F07"/>
    <w:rsid w:val="004D0720"/>
    <w:rsid w:val="004D0743"/>
    <w:rsid w:val="004D0A87"/>
    <w:rsid w:val="004D1EC8"/>
    <w:rsid w:val="004D2AAC"/>
    <w:rsid w:val="004D309A"/>
    <w:rsid w:val="004D3928"/>
    <w:rsid w:val="004D3F94"/>
    <w:rsid w:val="004D41D0"/>
    <w:rsid w:val="004D43BE"/>
    <w:rsid w:val="004D45B1"/>
    <w:rsid w:val="004D4DF5"/>
    <w:rsid w:val="004D6589"/>
    <w:rsid w:val="004D7459"/>
    <w:rsid w:val="004E0754"/>
    <w:rsid w:val="004E107A"/>
    <w:rsid w:val="004E10EA"/>
    <w:rsid w:val="004E1DDD"/>
    <w:rsid w:val="004E3145"/>
    <w:rsid w:val="004E4168"/>
    <w:rsid w:val="004E5165"/>
    <w:rsid w:val="004E53A4"/>
    <w:rsid w:val="004E6864"/>
    <w:rsid w:val="004E70AE"/>
    <w:rsid w:val="004E7A53"/>
    <w:rsid w:val="004F03B4"/>
    <w:rsid w:val="004F045E"/>
    <w:rsid w:val="004F0705"/>
    <w:rsid w:val="004F079A"/>
    <w:rsid w:val="004F1A50"/>
    <w:rsid w:val="004F2764"/>
    <w:rsid w:val="004F3C0C"/>
    <w:rsid w:val="004F4298"/>
    <w:rsid w:val="004F4421"/>
    <w:rsid w:val="004F453D"/>
    <w:rsid w:val="004F4726"/>
    <w:rsid w:val="004F5D5D"/>
    <w:rsid w:val="004F667D"/>
    <w:rsid w:val="004F705F"/>
    <w:rsid w:val="004F7F66"/>
    <w:rsid w:val="00500D0F"/>
    <w:rsid w:val="0050165E"/>
    <w:rsid w:val="00501A3E"/>
    <w:rsid w:val="00502440"/>
    <w:rsid w:val="005027DB"/>
    <w:rsid w:val="00502A43"/>
    <w:rsid w:val="0050438F"/>
    <w:rsid w:val="00504F81"/>
    <w:rsid w:val="00505C36"/>
    <w:rsid w:val="00505E74"/>
    <w:rsid w:val="005064BD"/>
    <w:rsid w:val="00506C02"/>
    <w:rsid w:val="00506DD6"/>
    <w:rsid w:val="00507204"/>
    <w:rsid w:val="005100A1"/>
    <w:rsid w:val="0051056F"/>
    <w:rsid w:val="00511D28"/>
    <w:rsid w:val="0051284A"/>
    <w:rsid w:val="00512DC7"/>
    <w:rsid w:val="00512F91"/>
    <w:rsid w:val="005132BC"/>
    <w:rsid w:val="005132C5"/>
    <w:rsid w:val="0051435C"/>
    <w:rsid w:val="005149E0"/>
    <w:rsid w:val="00515E57"/>
    <w:rsid w:val="0051643C"/>
    <w:rsid w:val="005166BE"/>
    <w:rsid w:val="005175DB"/>
    <w:rsid w:val="005213A8"/>
    <w:rsid w:val="00522688"/>
    <w:rsid w:val="00522B34"/>
    <w:rsid w:val="00524464"/>
    <w:rsid w:val="00524EC3"/>
    <w:rsid w:val="005254C4"/>
    <w:rsid w:val="005255A3"/>
    <w:rsid w:val="005261F5"/>
    <w:rsid w:val="005274C7"/>
    <w:rsid w:val="005278F0"/>
    <w:rsid w:val="005302B1"/>
    <w:rsid w:val="0053131D"/>
    <w:rsid w:val="0053326B"/>
    <w:rsid w:val="00533299"/>
    <w:rsid w:val="00533F66"/>
    <w:rsid w:val="00534274"/>
    <w:rsid w:val="00535A64"/>
    <w:rsid w:val="00535D22"/>
    <w:rsid w:val="00536FC3"/>
    <w:rsid w:val="00537BE8"/>
    <w:rsid w:val="00537E9E"/>
    <w:rsid w:val="0054024D"/>
    <w:rsid w:val="00540811"/>
    <w:rsid w:val="005408A1"/>
    <w:rsid w:val="005408FF"/>
    <w:rsid w:val="00541213"/>
    <w:rsid w:val="005414DD"/>
    <w:rsid w:val="005424CE"/>
    <w:rsid w:val="00542978"/>
    <w:rsid w:val="0054362F"/>
    <w:rsid w:val="00543BC4"/>
    <w:rsid w:val="005444D7"/>
    <w:rsid w:val="00544753"/>
    <w:rsid w:val="005451FC"/>
    <w:rsid w:val="00546218"/>
    <w:rsid w:val="00546639"/>
    <w:rsid w:val="00546A5C"/>
    <w:rsid w:val="00547379"/>
    <w:rsid w:val="00547D37"/>
    <w:rsid w:val="005515AA"/>
    <w:rsid w:val="00552674"/>
    <w:rsid w:val="005537FC"/>
    <w:rsid w:val="00553AA7"/>
    <w:rsid w:val="00553E54"/>
    <w:rsid w:val="00553E76"/>
    <w:rsid w:val="00554594"/>
    <w:rsid w:val="0055500E"/>
    <w:rsid w:val="00556F67"/>
    <w:rsid w:val="005603DF"/>
    <w:rsid w:val="00560BAA"/>
    <w:rsid w:val="00560E54"/>
    <w:rsid w:val="00561FA9"/>
    <w:rsid w:val="00562853"/>
    <w:rsid w:val="00564A2D"/>
    <w:rsid w:val="00565522"/>
    <w:rsid w:val="00565561"/>
    <w:rsid w:val="0056599C"/>
    <w:rsid w:val="00565C9E"/>
    <w:rsid w:val="00566C0A"/>
    <w:rsid w:val="00566D32"/>
    <w:rsid w:val="00567315"/>
    <w:rsid w:val="00567478"/>
    <w:rsid w:val="005707BB"/>
    <w:rsid w:val="00570D78"/>
    <w:rsid w:val="00570FF8"/>
    <w:rsid w:val="00571EF2"/>
    <w:rsid w:val="005728E8"/>
    <w:rsid w:val="00572A37"/>
    <w:rsid w:val="00572F24"/>
    <w:rsid w:val="00573C4B"/>
    <w:rsid w:val="00574CC3"/>
    <w:rsid w:val="00575549"/>
    <w:rsid w:val="00575EF4"/>
    <w:rsid w:val="00575F74"/>
    <w:rsid w:val="00576BEF"/>
    <w:rsid w:val="00577A29"/>
    <w:rsid w:val="00577F8D"/>
    <w:rsid w:val="0058087D"/>
    <w:rsid w:val="005812FE"/>
    <w:rsid w:val="0058155B"/>
    <w:rsid w:val="005827BA"/>
    <w:rsid w:val="00582F35"/>
    <w:rsid w:val="00583FE2"/>
    <w:rsid w:val="00584B22"/>
    <w:rsid w:val="005856BE"/>
    <w:rsid w:val="00585CAF"/>
    <w:rsid w:val="00585E93"/>
    <w:rsid w:val="00585FCF"/>
    <w:rsid w:val="00586B46"/>
    <w:rsid w:val="00587C18"/>
    <w:rsid w:val="0059025F"/>
    <w:rsid w:val="00590F91"/>
    <w:rsid w:val="005912BE"/>
    <w:rsid w:val="00591B9B"/>
    <w:rsid w:val="00591BFD"/>
    <w:rsid w:val="00591E71"/>
    <w:rsid w:val="00591F16"/>
    <w:rsid w:val="00592280"/>
    <w:rsid w:val="005922EE"/>
    <w:rsid w:val="00593524"/>
    <w:rsid w:val="00593768"/>
    <w:rsid w:val="00595443"/>
    <w:rsid w:val="00595506"/>
    <w:rsid w:val="00595625"/>
    <w:rsid w:val="0059602F"/>
    <w:rsid w:val="00596914"/>
    <w:rsid w:val="00596BC5"/>
    <w:rsid w:val="00597FF7"/>
    <w:rsid w:val="005A0024"/>
    <w:rsid w:val="005A096E"/>
    <w:rsid w:val="005A110D"/>
    <w:rsid w:val="005A1459"/>
    <w:rsid w:val="005A15CB"/>
    <w:rsid w:val="005A2A59"/>
    <w:rsid w:val="005A405F"/>
    <w:rsid w:val="005A4C94"/>
    <w:rsid w:val="005A526B"/>
    <w:rsid w:val="005A60D6"/>
    <w:rsid w:val="005A6D58"/>
    <w:rsid w:val="005A703A"/>
    <w:rsid w:val="005A79F8"/>
    <w:rsid w:val="005B0D53"/>
    <w:rsid w:val="005B1579"/>
    <w:rsid w:val="005B1A8D"/>
    <w:rsid w:val="005B1C10"/>
    <w:rsid w:val="005B23B7"/>
    <w:rsid w:val="005B2D8A"/>
    <w:rsid w:val="005B34FD"/>
    <w:rsid w:val="005B36AF"/>
    <w:rsid w:val="005B3EFE"/>
    <w:rsid w:val="005B455A"/>
    <w:rsid w:val="005B4E42"/>
    <w:rsid w:val="005B53E9"/>
    <w:rsid w:val="005B6237"/>
    <w:rsid w:val="005B6F2E"/>
    <w:rsid w:val="005B7193"/>
    <w:rsid w:val="005B779A"/>
    <w:rsid w:val="005C011D"/>
    <w:rsid w:val="005C0744"/>
    <w:rsid w:val="005C08E0"/>
    <w:rsid w:val="005C176C"/>
    <w:rsid w:val="005C1E1B"/>
    <w:rsid w:val="005C1E90"/>
    <w:rsid w:val="005C36B3"/>
    <w:rsid w:val="005C472D"/>
    <w:rsid w:val="005C547F"/>
    <w:rsid w:val="005C6827"/>
    <w:rsid w:val="005C6E8F"/>
    <w:rsid w:val="005C78C4"/>
    <w:rsid w:val="005D0381"/>
    <w:rsid w:val="005D04A1"/>
    <w:rsid w:val="005D1404"/>
    <w:rsid w:val="005D1EC5"/>
    <w:rsid w:val="005D2345"/>
    <w:rsid w:val="005D2E69"/>
    <w:rsid w:val="005D3099"/>
    <w:rsid w:val="005D44D0"/>
    <w:rsid w:val="005D61E0"/>
    <w:rsid w:val="005D79B6"/>
    <w:rsid w:val="005D7EE0"/>
    <w:rsid w:val="005E00BD"/>
    <w:rsid w:val="005E1607"/>
    <w:rsid w:val="005E251D"/>
    <w:rsid w:val="005E28BF"/>
    <w:rsid w:val="005E2C52"/>
    <w:rsid w:val="005E2CE9"/>
    <w:rsid w:val="005E6E08"/>
    <w:rsid w:val="005E75E9"/>
    <w:rsid w:val="005F0E54"/>
    <w:rsid w:val="005F1977"/>
    <w:rsid w:val="005F1B92"/>
    <w:rsid w:val="005F22AA"/>
    <w:rsid w:val="005F54E7"/>
    <w:rsid w:val="005F5B71"/>
    <w:rsid w:val="005F794B"/>
    <w:rsid w:val="005F7959"/>
    <w:rsid w:val="00600720"/>
    <w:rsid w:val="006010CC"/>
    <w:rsid w:val="00602D0E"/>
    <w:rsid w:val="006034C0"/>
    <w:rsid w:val="00606BD0"/>
    <w:rsid w:val="0060760F"/>
    <w:rsid w:val="00610DB6"/>
    <w:rsid w:val="006116D6"/>
    <w:rsid w:val="00611DEF"/>
    <w:rsid w:val="00612334"/>
    <w:rsid w:val="00613160"/>
    <w:rsid w:val="0061371C"/>
    <w:rsid w:val="00613B3F"/>
    <w:rsid w:val="00615613"/>
    <w:rsid w:val="00615C2D"/>
    <w:rsid w:val="0061645F"/>
    <w:rsid w:val="00616E40"/>
    <w:rsid w:val="006174EA"/>
    <w:rsid w:val="00617680"/>
    <w:rsid w:val="00620336"/>
    <w:rsid w:val="00620701"/>
    <w:rsid w:val="006207FE"/>
    <w:rsid w:val="00620B5F"/>
    <w:rsid w:val="00620CD5"/>
    <w:rsid w:val="006226F5"/>
    <w:rsid w:val="00624BE9"/>
    <w:rsid w:val="00625AD8"/>
    <w:rsid w:val="006277A8"/>
    <w:rsid w:val="00627A1B"/>
    <w:rsid w:val="00630E28"/>
    <w:rsid w:val="006313B4"/>
    <w:rsid w:val="006320CB"/>
    <w:rsid w:val="00632249"/>
    <w:rsid w:val="00632B67"/>
    <w:rsid w:val="00632DD9"/>
    <w:rsid w:val="00632F94"/>
    <w:rsid w:val="0063362F"/>
    <w:rsid w:val="00633837"/>
    <w:rsid w:val="00633AD1"/>
    <w:rsid w:val="00634EA4"/>
    <w:rsid w:val="00635073"/>
    <w:rsid w:val="006361E0"/>
    <w:rsid w:val="006367C5"/>
    <w:rsid w:val="00637417"/>
    <w:rsid w:val="00637716"/>
    <w:rsid w:val="00640125"/>
    <w:rsid w:val="00640E09"/>
    <w:rsid w:val="00641712"/>
    <w:rsid w:val="00641B88"/>
    <w:rsid w:val="00643AA8"/>
    <w:rsid w:val="00643B29"/>
    <w:rsid w:val="00643DEB"/>
    <w:rsid w:val="006441AC"/>
    <w:rsid w:val="0064427A"/>
    <w:rsid w:val="00644815"/>
    <w:rsid w:val="00644866"/>
    <w:rsid w:val="00644E7A"/>
    <w:rsid w:val="0064549D"/>
    <w:rsid w:val="006457FA"/>
    <w:rsid w:val="00647975"/>
    <w:rsid w:val="00647F43"/>
    <w:rsid w:val="006507A1"/>
    <w:rsid w:val="00650ACE"/>
    <w:rsid w:val="00651EFC"/>
    <w:rsid w:val="00653566"/>
    <w:rsid w:val="00653617"/>
    <w:rsid w:val="00653CFD"/>
    <w:rsid w:val="006540F4"/>
    <w:rsid w:val="006545D3"/>
    <w:rsid w:val="00654673"/>
    <w:rsid w:val="00654D0B"/>
    <w:rsid w:val="00656874"/>
    <w:rsid w:val="00660284"/>
    <w:rsid w:val="00660518"/>
    <w:rsid w:val="00660695"/>
    <w:rsid w:val="00660AD5"/>
    <w:rsid w:val="00662563"/>
    <w:rsid w:val="00662A0E"/>
    <w:rsid w:val="00663146"/>
    <w:rsid w:val="006632D3"/>
    <w:rsid w:val="00664028"/>
    <w:rsid w:val="006643BB"/>
    <w:rsid w:val="00665439"/>
    <w:rsid w:val="00665831"/>
    <w:rsid w:val="006676F1"/>
    <w:rsid w:val="00667770"/>
    <w:rsid w:val="00670336"/>
    <w:rsid w:val="00670D8F"/>
    <w:rsid w:val="006714F8"/>
    <w:rsid w:val="00671907"/>
    <w:rsid w:val="00672690"/>
    <w:rsid w:val="0067280F"/>
    <w:rsid w:val="00673195"/>
    <w:rsid w:val="00674869"/>
    <w:rsid w:val="00675710"/>
    <w:rsid w:val="00675E96"/>
    <w:rsid w:val="0067604A"/>
    <w:rsid w:val="00676E70"/>
    <w:rsid w:val="0067779E"/>
    <w:rsid w:val="00677BEA"/>
    <w:rsid w:val="00677E40"/>
    <w:rsid w:val="00677F9E"/>
    <w:rsid w:val="006800B6"/>
    <w:rsid w:val="006820DF"/>
    <w:rsid w:val="0068290E"/>
    <w:rsid w:val="0068376E"/>
    <w:rsid w:val="006837E7"/>
    <w:rsid w:val="00683C3A"/>
    <w:rsid w:val="00685F3C"/>
    <w:rsid w:val="00686C8B"/>
    <w:rsid w:val="006871B0"/>
    <w:rsid w:val="00687DDE"/>
    <w:rsid w:val="006905CA"/>
    <w:rsid w:val="00691859"/>
    <w:rsid w:val="006927DA"/>
    <w:rsid w:val="00692B93"/>
    <w:rsid w:val="00693114"/>
    <w:rsid w:val="00693A06"/>
    <w:rsid w:val="00694222"/>
    <w:rsid w:val="00694772"/>
    <w:rsid w:val="00696B31"/>
    <w:rsid w:val="0069740C"/>
    <w:rsid w:val="00697477"/>
    <w:rsid w:val="00697518"/>
    <w:rsid w:val="00697FE5"/>
    <w:rsid w:val="006A0904"/>
    <w:rsid w:val="006A0F13"/>
    <w:rsid w:val="006A20A6"/>
    <w:rsid w:val="006A2629"/>
    <w:rsid w:val="006A286D"/>
    <w:rsid w:val="006A2E76"/>
    <w:rsid w:val="006A3BA8"/>
    <w:rsid w:val="006A44B2"/>
    <w:rsid w:val="006A4550"/>
    <w:rsid w:val="006A565E"/>
    <w:rsid w:val="006A5665"/>
    <w:rsid w:val="006A58C7"/>
    <w:rsid w:val="006A6EFB"/>
    <w:rsid w:val="006A79AB"/>
    <w:rsid w:val="006B02A7"/>
    <w:rsid w:val="006B0350"/>
    <w:rsid w:val="006B050F"/>
    <w:rsid w:val="006B055A"/>
    <w:rsid w:val="006B0C9B"/>
    <w:rsid w:val="006B18A8"/>
    <w:rsid w:val="006B1994"/>
    <w:rsid w:val="006B19D8"/>
    <w:rsid w:val="006B218B"/>
    <w:rsid w:val="006B2687"/>
    <w:rsid w:val="006B35B0"/>
    <w:rsid w:val="006B36C2"/>
    <w:rsid w:val="006B4725"/>
    <w:rsid w:val="006B6899"/>
    <w:rsid w:val="006C0F31"/>
    <w:rsid w:val="006C0F76"/>
    <w:rsid w:val="006C2BE6"/>
    <w:rsid w:val="006C3077"/>
    <w:rsid w:val="006C341E"/>
    <w:rsid w:val="006C3E27"/>
    <w:rsid w:val="006C3F34"/>
    <w:rsid w:val="006C547D"/>
    <w:rsid w:val="006C5897"/>
    <w:rsid w:val="006C67D4"/>
    <w:rsid w:val="006C74A1"/>
    <w:rsid w:val="006C75B0"/>
    <w:rsid w:val="006C7F84"/>
    <w:rsid w:val="006C7F8F"/>
    <w:rsid w:val="006D0A7A"/>
    <w:rsid w:val="006D0E4E"/>
    <w:rsid w:val="006D2B1F"/>
    <w:rsid w:val="006D2B80"/>
    <w:rsid w:val="006D3A19"/>
    <w:rsid w:val="006D3CC4"/>
    <w:rsid w:val="006D3DB1"/>
    <w:rsid w:val="006D5037"/>
    <w:rsid w:val="006D50D9"/>
    <w:rsid w:val="006D5C5E"/>
    <w:rsid w:val="006D6243"/>
    <w:rsid w:val="006D704C"/>
    <w:rsid w:val="006D7F2E"/>
    <w:rsid w:val="006E0342"/>
    <w:rsid w:val="006E0B6F"/>
    <w:rsid w:val="006E0CE0"/>
    <w:rsid w:val="006E1071"/>
    <w:rsid w:val="006E107C"/>
    <w:rsid w:val="006E1390"/>
    <w:rsid w:val="006E18F0"/>
    <w:rsid w:val="006E1ECA"/>
    <w:rsid w:val="006E27BC"/>
    <w:rsid w:val="006E2E67"/>
    <w:rsid w:val="006E3427"/>
    <w:rsid w:val="006E4571"/>
    <w:rsid w:val="006E4912"/>
    <w:rsid w:val="006E4E60"/>
    <w:rsid w:val="006E5907"/>
    <w:rsid w:val="006E6212"/>
    <w:rsid w:val="006E75BB"/>
    <w:rsid w:val="006F0D4C"/>
    <w:rsid w:val="006F39B8"/>
    <w:rsid w:val="006F493B"/>
    <w:rsid w:val="006F4E03"/>
    <w:rsid w:val="006F4E0A"/>
    <w:rsid w:val="007001E3"/>
    <w:rsid w:val="0070142D"/>
    <w:rsid w:val="0070188A"/>
    <w:rsid w:val="0070240B"/>
    <w:rsid w:val="00702AFF"/>
    <w:rsid w:val="007042E4"/>
    <w:rsid w:val="007050FC"/>
    <w:rsid w:val="00705692"/>
    <w:rsid w:val="0070641B"/>
    <w:rsid w:val="00706CBD"/>
    <w:rsid w:val="0070739D"/>
    <w:rsid w:val="007122F8"/>
    <w:rsid w:val="007124CD"/>
    <w:rsid w:val="00712A64"/>
    <w:rsid w:val="00712BAF"/>
    <w:rsid w:val="00712E84"/>
    <w:rsid w:val="00713487"/>
    <w:rsid w:val="00713CA6"/>
    <w:rsid w:val="00713DC2"/>
    <w:rsid w:val="00714510"/>
    <w:rsid w:val="00714635"/>
    <w:rsid w:val="0071479B"/>
    <w:rsid w:val="007153B6"/>
    <w:rsid w:val="007169D3"/>
    <w:rsid w:val="007170E2"/>
    <w:rsid w:val="007173BF"/>
    <w:rsid w:val="007175C3"/>
    <w:rsid w:val="0072012A"/>
    <w:rsid w:val="0072027C"/>
    <w:rsid w:val="0072060B"/>
    <w:rsid w:val="0072062C"/>
    <w:rsid w:val="00720D64"/>
    <w:rsid w:val="00720F35"/>
    <w:rsid w:val="0072155D"/>
    <w:rsid w:val="00721ABE"/>
    <w:rsid w:val="00722729"/>
    <w:rsid w:val="00722BF1"/>
    <w:rsid w:val="00723C9C"/>
    <w:rsid w:val="00724C90"/>
    <w:rsid w:val="0072527F"/>
    <w:rsid w:val="0072534B"/>
    <w:rsid w:val="00725657"/>
    <w:rsid w:val="00725CA9"/>
    <w:rsid w:val="00727ED4"/>
    <w:rsid w:val="007307DB"/>
    <w:rsid w:val="007308D0"/>
    <w:rsid w:val="0073199D"/>
    <w:rsid w:val="00731B81"/>
    <w:rsid w:val="007321F2"/>
    <w:rsid w:val="007325C6"/>
    <w:rsid w:val="0073375F"/>
    <w:rsid w:val="007338CD"/>
    <w:rsid w:val="007342A0"/>
    <w:rsid w:val="0073520F"/>
    <w:rsid w:val="007357DC"/>
    <w:rsid w:val="007360D0"/>
    <w:rsid w:val="00736AC5"/>
    <w:rsid w:val="007371CA"/>
    <w:rsid w:val="007372E8"/>
    <w:rsid w:val="00737922"/>
    <w:rsid w:val="007404F4"/>
    <w:rsid w:val="00742CCC"/>
    <w:rsid w:val="007430F5"/>
    <w:rsid w:val="00743AE2"/>
    <w:rsid w:val="00743C3D"/>
    <w:rsid w:val="007445E5"/>
    <w:rsid w:val="0074499F"/>
    <w:rsid w:val="00745526"/>
    <w:rsid w:val="00746362"/>
    <w:rsid w:val="00747742"/>
    <w:rsid w:val="00747CE1"/>
    <w:rsid w:val="00747F03"/>
    <w:rsid w:val="00750043"/>
    <w:rsid w:val="007503B3"/>
    <w:rsid w:val="00750EA8"/>
    <w:rsid w:val="00751C00"/>
    <w:rsid w:val="00751CC0"/>
    <w:rsid w:val="00752307"/>
    <w:rsid w:val="00752FD7"/>
    <w:rsid w:val="007532DD"/>
    <w:rsid w:val="007574D5"/>
    <w:rsid w:val="00760406"/>
    <w:rsid w:val="00760494"/>
    <w:rsid w:val="00760F89"/>
    <w:rsid w:val="00761127"/>
    <w:rsid w:val="00762122"/>
    <w:rsid w:val="007623F5"/>
    <w:rsid w:val="00762FDB"/>
    <w:rsid w:val="00763AE0"/>
    <w:rsid w:val="00764114"/>
    <w:rsid w:val="00767A6E"/>
    <w:rsid w:val="00770FE0"/>
    <w:rsid w:val="00771072"/>
    <w:rsid w:val="00771DFB"/>
    <w:rsid w:val="00771FF7"/>
    <w:rsid w:val="00772D78"/>
    <w:rsid w:val="00772F00"/>
    <w:rsid w:val="007734F2"/>
    <w:rsid w:val="00774495"/>
    <w:rsid w:val="007749F8"/>
    <w:rsid w:val="007751AD"/>
    <w:rsid w:val="007766C0"/>
    <w:rsid w:val="00777960"/>
    <w:rsid w:val="00777DAB"/>
    <w:rsid w:val="00780C82"/>
    <w:rsid w:val="00780E84"/>
    <w:rsid w:val="0078159D"/>
    <w:rsid w:val="007819C7"/>
    <w:rsid w:val="00781DCE"/>
    <w:rsid w:val="00782FFF"/>
    <w:rsid w:val="007833B2"/>
    <w:rsid w:val="0078459B"/>
    <w:rsid w:val="00784E26"/>
    <w:rsid w:val="00785153"/>
    <w:rsid w:val="00785D9C"/>
    <w:rsid w:val="0078650E"/>
    <w:rsid w:val="00786609"/>
    <w:rsid w:val="00787652"/>
    <w:rsid w:val="00787927"/>
    <w:rsid w:val="00787FE4"/>
    <w:rsid w:val="00790C0E"/>
    <w:rsid w:val="007939B9"/>
    <w:rsid w:val="00793BDD"/>
    <w:rsid w:val="0079409E"/>
    <w:rsid w:val="00794ECB"/>
    <w:rsid w:val="00794F0C"/>
    <w:rsid w:val="007950E0"/>
    <w:rsid w:val="007954FC"/>
    <w:rsid w:val="007969AD"/>
    <w:rsid w:val="00796C4B"/>
    <w:rsid w:val="00796CA4"/>
    <w:rsid w:val="007978F8"/>
    <w:rsid w:val="007A05BE"/>
    <w:rsid w:val="007A0C96"/>
    <w:rsid w:val="007A0CB4"/>
    <w:rsid w:val="007A0EF3"/>
    <w:rsid w:val="007A1239"/>
    <w:rsid w:val="007A16AE"/>
    <w:rsid w:val="007A1BC8"/>
    <w:rsid w:val="007A2BE0"/>
    <w:rsid w:val="007A2E24"/>
    <w:rsid w:val="007A586E"/>
    <w:rsid w:val="007A5B05"/>
    <w:rsid w:val="007A5D06"/>
    <w:rsid w:val="007A61DC"/>
    <w:rsid w:val="007A70A0"/>
    <w:rsid w:val="007A75B7"/>
    <w:rsid w:val="007B039D"/>
    <w:rsid w:val="007B1251"/>
    <w:rsid w:val="007B18B8"/>
    <w:rsid w:val="007B1922"/>
    <w:rsid w:val="007B1B12"/>
    <w:rsid w:val="007B1D71"/>
    <w:rsid w:val="007B2281"/>
    <w:rsid w:val="007B2872"/>
    <w:rsid w:val="007B29F8"/>
    <w:rsid w:val="007B2FED"/>
    <w:rsid w:val="007B3532"/>
    <w:rsid w:val="007B36E0"/>
    <w:rsid w:val="007B4D62"/>
    <w:rsid w:val="007B58A7"/>
    <w:rsid w:val="007C034F"/>
    <w:rsid w:val="007C068E"/>
    <w:rsid w:val="007C347A"/>
    <w:rsid w:val="007C3E83"/>
    <w:rsid w:val="007C4893"/>
    <w:rsid w:val="007C58D1"/>
    <w:rsid w:val="007C5951"/>
    <w:rsid w:val="007C700F"/>
    <w:rsid w:val="007C710C"/>
    <w:rsid w:val="007C73B0"/>
    <w:rsid w:val="007C7B3C"/>
    <w:rsid w:val="007D0466"/>
    <w:rsid w:val="007D0D84"/>
    <w:rsid w:val="007D1303"/>
    <w:rsid w:val="007D1C26"/>
    <w:rsid w:val="007D2E42"/>
    <w:rsid w:val="007D3453"/>
    <w:rsid w:val="007D3DE5"/>
    <w:rsid w:val="007D4108"/>
    <w:rsid w:val="007D44EC"/>
    <w:rsid w:val="007D468F"/>
    <w:rsid w:val="007D5449"/>
    <w:rsid w:val="007D5657"/>
    <w:rsid w:val="007D63AB"/>
    <w:rsid w:val="007D72CE"/>
    <w:rsid w:val="007E0978"/>
    <w:rsid w:val="007E1531"/>
    <w:rsid w:val="007E1664"/>
    <w:rsid w:val="007E1ECC"/>
    <w:rsid w:val="007E215C"/>
    <w:rsid w:val="007E30DD"/>
    <w:rsid w:val="007E3690"/>
    <w:rsid w:val="007E38AE"/>
    <w:rsid w:val="007E39FE"/>
    <w:rsid w:val="007E3BE9"/>
    <w:rsid w:val="007E3E36"/>
    <w:rsid w:val="007E435D"/>
    <w:rsid w:val="007E5337"/>
    <w:rsid w:val="007E5606"/>
    <w:rsid w:val="007E59E2"/>
    <w:rsid w:val="007E7123"/>
    <w:rsid w:val="007E772C"/>
    <w:rsid w:val="007E7737"/>
    <w:rsid w:val="007F05BA"/>
    <w:rsid w:val="007F2270"/>
    <w:rsid w:val="007F22E5"/>
    <w:rsid w:val="007F241B"/>
    <w:rsid w:val="007F28EC"/>
    <w:rsid w:val="007F2B8D"/>
    <w:rsid w:val="007F3130"/>
    <w:rsid w:val="007F545B"/>
    <w:rsid w:val="007F5B4D"/>
    <w:rsid w:val="007F618B"/>
    <w:rsid w:val="007F6813"/>
    <w:rsid w:val="007F6EA2"/>
    <w:rsid w:val="007F7655"/>
    <w:rsid w:val="007F7AEB"/>
    <w:rsid w:val="0080013B"/>
    <w:rsid w:val="00800889"/>
    <w:rsid w:val="00801854"/>
    <w:rsid w:val="00802289"/>
    <w:rsid w:val="008024BB"/>
    <w:rsid w:val="00802E98"/>
    <w:rsid w:val="00802FF2"/>
    <w:rsid w:val="00803F5E"/>
    <w:rsid w:val="00805B98"/>
    <w:rsid w:val="00805E9B"/>
    <w:rsid w:val="00805ECD"/>
    <w:rsid w:val="0080651B"/>
    <w:rsid w:val="008067A1"/>
    <w:rsid w:val="00806E4C"/>
    <w:rsid w:val="008073C3"/>
    <w:rsid w:val="00807605"/>
    <w:rsid w:val="00807DBA"/>
    <w:rsid w:val="00810676"/>
    <w:rsid w:val="00810EA1"/>
    <w:rsid w:val="008114DA"/>
    <w:rsid w:val="008119DD"/>
    <w:rsid w:val="00811AA2"/>
    <w:rsid w:val="00811BE1"/>
    <w:rsid w:val="0081259A"/>
    <w:rsid w:val="00812CA4"/>
    <w:rsid w:val="00812F53"/>
    <w:rsid w:val="00813169"/>
    <w:rsid w:val="0081425C"/>
    <w:rsid w:val="008145B9"/>
    <w:rsid w:val="00814E40"/>
    <w:rsid w:val="00815086"/>
    <w:rsid w:val="008152E1"/>
    <w:rsid w:val="00815958"/>
    <w:rsid w:val="008159B4"/>
    <w:rsid w:val="00815D5C"/>
    <w:rsid w:val="00816109"/>
    <w:rsid w:val="00816689"/>
    <w:rsid w:val="0081732D"/>
    <w:rsid w:val="00817B82"/>
    <w:rsid w:val="008200FD"/>
    <w:rsid w:val="008207B8"/>
    <w:rsid w:val="0082180B"/>
    <w:rsid w:val="008231C3"/>
    <w:rsid w:val="00824472"/>
    <w:rsid w:val="008246EA"/>
    <w:rsid w:val="00824DE1"/>
    <w:rsid w:val="00825A61"/>
    <w:rsid w:val="00825C3A"/>
    <w:rsid w:val="008267DD"/>
    <w:rsid w:val="00827665"/>
    <w:rsid w:val="008303A1"/>
    <w:rsid w:val="0083171B"/>
    <w:rsid w:val="00832B55"/>
    <w:rsid w:val="00834263"/>
    <w:rsid w:val="0083695B"/>
    <w:rsid w:val="00842792"/>
    <w:rsid w:val="00843150"/>
    <w:rsid w:val="00843715"/>
    <w:rsid w:val="00843F65"/>
    <w:rsid w:val="00844B2D"/>
    <w:rsid w:val="008456D5"/>
    <w:rsid w:val="00845A35"/>
    <w:rsid w:val="0084634B"/>
    <w:rsid w:val="00846F49"/>
    <w:rsid w:val="008479AD"/>
    <w:rsid w:val="00847D40"/>
    <w:rsid w:val="00850645"/>
    <w:rsid w:val="0085070B"/>
    <w:rsid w:val="00850CFB"/>
    <w:rsid w:val="00851D2B"/>
    <w:rsid w:val="00851EB9"/>
    <w:rsid w:val="008525D1"/>
    <w:rsid w:val="00852727"/>
    <w:rsid w:val="00852E78"/>
    <w:rsid w:val="00853137"/>
    <w:rsid w:val="008535EB"/>
    <w:rsid w:val="00855009"/>
    <w:rsid w:val="00855F77"/>
    <w:rsid w:val="008561F0"/>
    <w:rsid w:val="00856F1E"/>
    <w:rsid w:val="00860014"/>
    <w:rsid w:val="008608FE"/>
    <w:rsid w:val="008616DA"/>
    <w:rsid w:val="008626E0"/>
    <w:rsid w:val="0086319E"/>
    <w:rsid w:val="0086348F"/>
    <w:rsid w:val="00863FBA"/>
    <w:rsid w:val="00864776"/>
    <w:rsid w:val="00864C88"/>
    <w:rsid w:val="0086631D"/>
    <w:rsid w:val="0086666A"/>
    <w:rsid w:val="00866F4A"/>
    <w:rsid w:val="00866F63"/>
    <w:rsid w:val="00867D70"/>
    <w:rsid w:val="00870A54"/>
    <w:rsid w:val="00871392"/>
    <w:rsid w:val="00871937"/>
    <w:rsid w:val="00871F34"/>
    <w:rsid w:val="00872DF8"/>
    <w:rsid w:val="00872E97"/>
    <w:rsid w:val="008739C6"/>
    <w:rsid w:val="0087441A"/>
    <w:rsid w:val="0087518D"/>
    <w:rsid w:val="008752A8"/>
    <w:rsid w:val="0087540F"/>
    <w:rsid w:val="008762B4"/>
    <w:rsid w:val="0087782F"/>
    <w:rsid w:val="00877E8C"/>
    <w:rsid w:val="00880021"/>
    <w:rsid w:val="00881B50"/>
    <w:rsid w:val="00881CC5"/>
    <w:rsid w:val="00882B01"/>
    <w:rsid w:val="00882DEB"/>
    <w:rsid w:val="00883501"/>
    <w:rsid w:val="008848B8"/>
    <w:rsid w:val="00884A57"/>
    <w:rsid w:val="0088529F"/>
    <w:rsid w:val="008852EA"/>
    <w:rsid w:val="0088614A"/>
    <w:rsid w:val="008874B2"/>
    <w:rsid w:val="0089038A"/>
    <w:rsid w:val="008913E6"/>
    <w:rsid w:val="00891466"/>
    <w:rsid w:val="00891740"/>
    <w:rsid w:val="00892F78"/>
    <w:rsid w:val="008930DD"/>
    <w:rsid w:val="0089332D"/>
    <w:rsid w:val="00894BEE"/>
    <w:rsid w:val="00895A9C"/>
    <w:rsid w:val="00895E98"/>
    <w:rsid w:val="0089630B"/>
    <w:rsid w:val="00896CB8"/>
    <w:rsid w:val="008979EA"/>
    <w:rsid w:val="00897D0B"/>
    <w:rsid w:val="008A044B"/>
    <w:rsid w:val="008A10E6"/>
    <w:rsid w:val="008A1707"/>
    <w:rsid w:val="008A1809"/>
    <w:rsid w:val="008A1887"/>
    <w:rsid w:val="008A1C2D"/>
    <w:rsid w:val="008A2142"/>
    <w:rsid w:val="008A4C47"/>
    <w:rsid w:val="008B0120"/>
    <w:rsid w:val="008B0885"/>
    <w:rsid w:val="008B1D1C"/>
    <w:rsid w:val="008B1DFF"/>
    <w:rsid w:val="008B2F02"/>
    <w:rsid w:val="008B4708"/>
    <w:rsid w:val="008B50CC"/>
    <w:rsid w:val="008B5C47"/>
    <w:rsid w:val="008B61D2"/>
    <w:rsid w:val="008B6A53"/>
    <w:rsid w:val="008B6A81"/>
    <w:rsid w:val="008B6EB0"/>
    <w:rsid w:val="008B7F74"/>
    <w:rsid w:val="008C0C27"/>
    <w:rsid w:val="008C0CE5"/>
    <w:rsid w:val="008C1169"/>
    <w:rsid w:val="008C22C0"/>
    <w:rsid w:val="008C2673"/>
    <w:rsid w:val="008C2C21"/>
    <w:rsid w:val="008C3543"/>
    <w:rsid w:val="008C4563"/>
    <w:rsid w:val="008C5058"/>
    <w:rsid w:val="008C6DD5"/>
    <w:rsid w:val="008C7444"/>
    <w:rsid w:val="008D0C42"/>
    <w:rsid w:val="008D137F"/>
    <w:rsid w:val="008D16E4"/>
    <w:rsid w:val="008D2132"/>
    <w:rsid w:val="008D290F"/>
    <w:rsid w:val="008D3AB9"/>
    <w:rsid w:val="008D3B7B"/>
    <w:rsid w:val="008D55CD"/>
    <w:rsid w:val="008D59A2"/>
    <w:rsid w:val="008D67AB"/>
    <w:rsid w:val="008D748F"/>
    <w:rsid w:val="008E038A"/>
    <w:rsid w:val="008E0E39"/>
    <w:rsid w:val="008E1F04"/>
    <w:rsid w:val="008E276C"/>
    <w:rsid w:val="008E2A0D"/>
    <w:rsid w:val="008E310A"/>
    <w:rsid w:val="008E3DFE"/>
    <w:rsid w:val="008E484E"/>
    <w:rsid w:val="008E5CC0"/>
    <w:rsid w:val="008E6664"/>
    <w:rsid w:val="008E71BC"/>
    <w:rsid w:val="008E77D2"/>
    <w:rsid w:val="008E7A3E"/>
    <w:rsid w:val="008E7BCB"/>
    <w:rsid w:val="008F0291"/>
    <w:rsid w:val="008F0868"/>
    <w:rsid w:val="008F3390"/>
    <w:rsid w:val="008F3573"/>
    <w:rsid w:val="008F3DA7"/>
    <w:rsid w:val="008F47A2"/>
    <w:rsid w:val="008F4B52"/>
    <w:rsid w:val="008F4C82"/>
    <w:rsid w:val="008F51F6"/>
    <w:rsid w:val="008F6D34"/>
    <w:rsid w:val="008F723F"/>
    <w:rsid w:val="008F75F1"/>
    <w:rsid w:val="008F7C79"/>
    <w:rsid w:val="00902740"/>
    <w:rsid w:val="00903093"/>
    <w:rsid w:val="009030CC"/>
    <w:rsid w:val="00903C63"/>
    <w:rsid w:val="009046DD"/>
    <w:rsid w:val="009047D6"/>
    <w:rsid w:val="00904F22"/>
    <w:rsid w:val="00905485"/>
    <w:rsid w:val="0090559A"/>
    <w:rsid w:val="0090632A"/>
    <w:rsid w:val="0090675D"/>
    <w:rsid w:val="0090679F"/>
    <w:rsid w:val="0090793D"/>
    <w:rsid w:val="00910536"/>
    <w:rsid w:val="00910C25"/>
    <w:rsid w:val="00911ED6"/>
    <w:rsid w:val="009134D6"/>
    <w:rsid w:val="00913D89"/>
    <w:rsid w:val="009147E8"/>
    <w:rsid w:val="0091534B"/>
    <w:rsid w:val="00915A0A"/>
    <w:rsid w:val="00916BA8"/>
    <w:rsid w:val="00916BAB"/>
    <w:rsid w:val="00916F6A"/>
    <w:rsid w:val="00920B45"/>
    <w:rsid w:val="009218BA"/>
    <w:rsid w:val="009218C3"/>
    <w:rsid w:val="009226CC"/>
    <w:rsid w:val="009228D6"/>
    <w:rsid w:val="00923968"/>
    <w:rsid w:val="00923A58"/>
    <w:rsid w:val="0092432D"/>
    <w:rsid w:val="009248E3"/>
    <w:rsid w:val="00925BD8"/>
    <w:rsid w:val="00926AC0"/>
    <w:rsid w:val="00927A4F"/>
    <w:rsid w:val="00930410"/>
    <w:rsid w:val="00930592"/>
    <w:rsid w:val="00930598"/>
    <w:rsid w:val="00930D2E"/>
    <w:rsid w:val="009310CA"/>
    <w:rsid w:val="00932C57"/>
    <w:rsid w:val="00933271"/>
    <w:rsid w:val="00933881"/>
    <w:rsid w:val="00933DD6"/>
    <w:rsid w:val="0093475D"/>
    <w:rsid w:val="00934C3C"/>
    <w:rsid w:val="00936166"/>
    <w:rsid w:val="00936DCC"/>
    <w:rsid w:val="009370B8"/>
    <w:rsid w:val="00937B37"/>
    <w:rsid w:val="009405B2"/>
    <w:rsid w:val="0094111C"/>
    <w:rsid w:val="00942295"/>
    <w:rsid w:val="009425CD"/>
    <w:rsid w:val="00942AE4"/>
    <w:rsid w:val="00942F79"/>
    <w:rsid w:val="00943953"/>
    <w:rsid w:val="00944343"/>
    <w:rsid w:val="0094496F"/>
    <w:rsid w:val="00944BBE"/>
    <w:rsid w:val="00944DD2"/>
    <w:rsid w:val="0094530F"/>
    <w:rsid w:val="009458A0"/>
    <w:rsid w:val="00945E61"/>
    <w:rsid w:val="00945F85"/>
    <w:rsid w:val="009462C7"/>
    <w:rsid w:val="009464F4"/>
    <w:rsid w:val="00947DCC"/>
    <w:rsid w:val="00947E6F"/>
    <w:rsid w:val="00950682"/>
    <w:rsid w:val="00950DE6"/>
    <w:rsid w:val="00950E54"/>
    <w:rsid w:val="009523AF"/>
    <w:rsid w:val="00953440"/>
    <w:rsid w:val="00953C2F"/>
    <w:rsid w:val="00953E27"/>
    <w:rsid w:val="009542C5"/>
    <w:rsid w:val="009545BB"/>
    <w:rsid w:val="00954934"/>
    <w:rsid w:val="00954EFA"/>
    <w:rsid w:val="00955F4C"/>
    <w:rsid w:val="00956376"/>
    <w:rsid w:val="009568C6"/>
    <w:rsid w:val="00957F16"/>
    <w:rsid w:val="009600BF"/>
    <w:rsid w:val="00960249"/>
    <w:rsid w:val="00960946"/>
    <w:rsid w:val="00960B31"/>
    <w:rsid w:val="009619BC"/>
    <w:rsid w:val="00961C80"/>
    <w:rsid w:val="00962575"/>
    <w:rsid w:val="00965613"/>
    <w:rsid w:val="00966C75"/>
    <w:rsid w:val="0097046D"/>
    <w:rsid w:val="00972468"/>
    <w:rsid w:val="00973686"/>
    <w:rsid w:val="009749AC"/>
    <w:rsid w:val="009754C1"/>
    <w:rsid w:val="00975650"/>
    <w:rsid w:val="00975A94"/>
    <w:rsid w:val="00975FD5"/>
    <w:rsid w:val="00976465"/>
    <w:rsid w:val="00977A16"/>
    <w:rsid w:val="0098076A"/>
    <w:rsid w:val="0098155C"/>
    <w:rsid w:val="00982B7D"/>
    <w:rsid w:val="009837FD"/>
    <w:rsid w:val="00984205"/>
    <w:rsid w:val="00984E69"/>
    <w:rsid w:val="00985284"/>
    <w:rsid w:val="00986730"/>
    <w:rsid w:val="00986F88"/>
    <w:rsid w:val="00990287"/>
    <w:rsid w:val="00990A0A"/>
    <w:rsid w:val="00990DAE"/>
    <w:rsid w:val="009910FE"/>
    <w:rsid w:val="0099143B"/>
    <w:rsid w:val="00991457"/>
    <w:rsid w:val="00991CF9"/>
    <w:rsid w:val="0099253E"/>
    <w:rsid w:val="0099290D"/>
    <w:rsid w:val="00993704"/>
    <w:rsid w:val="009937B8"/>
    <w:rsid w:val="00993F8C"/>
    <w:rsid w:val="009951C5"/>
    <w:rsid w:val="00995ACD"/>
    <w:rsid w:val="00995BBD"/>
    <w:rsid w:val="00995CC6"/>
    <w:rsid w:val="00995DDE"/>
    <w:rsid w:val="00996434"/>
    <w:rsid w:val="00996D5D"/>
    <w:rsid w:val="00996FC6"/>
    <w:rsid w:val="00997D4F"/>
    <w:rsid w:val="00997F0D"/>
    <w:rsid w:val="009A00AF"/>
    <w:rsid w:val="009A042B"/>
    <w:rsid w:val="009A0521"/>
    <w:rsid w:val="009A0B68"/>
    <w:rsid w:val="009A0E22"/>
    <w:rsid w:val="009A2E59"/>
    <w:rsid w:val="009A30C9"/>
    <w:rsid w:val="009A43B3"/>
    <w:rsid w:val="009A4837"/>
    <w:rsid w:val="009A4D59"/>
    <w:rsid w:val="009A51DD"/>
    <w:rsid w:val="009A639B"/>
    <w:rsid w:val="009A7088"/>
    <w:rsid w:val="009A77C8"/>
    <w:rsid w:val="009B00F2"/>
    <w:rsid w:val="009B08D4"/>
    <w:rsid w:val="009B112D"/>
    <w:rsid w:val="009B1AF5"/>
    <w:rsid w:val="009B1C69"/>
    <w:rsid w:val="009B1FF2"/>
    <w:rsid w:val="009B27AC"/>
    <w:rsid w:val="009B29E8"/>
    <w:rsid w:val="009B318D"/>
    <w:rsid w:val="009B37F1"/>
    <w:rsid w:val="009B39DE"/>
    <w:rsid w:val="009B3E16"/>
    <w:rsid w:val="009B4599"/>
    <w:rsid w:val="009B5806"/>
    <w:rsid w:val="009B58BD"/>
    <w:rsid w:val="009B5CF3"/>
    <w:rsid w:val="009B67B7"/>
    <w:rsid w:val="009B7B88"/>
    <w:rsid w:val="009C1017"/>
    <w:rsid w:val="009C2D6C"/>
    <w:rsid w:val="009C4EE2"/>
    <w:rsid w:val="009C500A"/>
    <w:rsid w:val="009C613F"/>
    <w:rsid w:val="009C68E5"/>
    <w:rsid w:val="009C6BB8"/>
    <w:rsid w:val="009C6D02"/>
    <w:rsid w:val="009D008C"/>
    <w:rsid w:val="009D0411"/>
    <w:rsid w:val="009D17CE"/>
    <w:rsid w:val="009D24EE"/>
    <w:rsid w:val="009D2525"/>
    <w:rsid w:val="009D261E"/>
    <w:rsid w:val="009D43CC"/>
    <w:rsid w:val="009D47A9"/>
    <w:rsid w:val="009D5997"/>
    <w:rsid w:val="009D64C5"/>
    <w:rsid w:val="009D70AB"/>
    <w:rsid w:val="009D7597"/>
    <w:rsid w:val="009D77D5"/>
    <w:rsid w:val="009D7F36"/>
    <w:rsid w:val="009E029D"/>
    <w:rsid w:val="009E06AF"/>
    <w:rsid w:val="009E1802"/>
    <w:rsid w:val="009E1B16"/>
    <w:rsid w:val="009E1CBB"/>
    <w:rsid w:val="009E2661"/>
    <w:rsid w:val="009E278D"/>
    <w:rsid w:val="009E3520"/>
    <w:rsid w:val="009E3B44"/>
    <w:rsid w:val="009E54FF"/>
    <w:rsid w:val="009E5ABB"/>
    <w:rsid w:val="009E634B"/>
    <w:rsid w:val="009E6718"/>
    <w:rsid w:val="009E6745"/>
    <w:rsid w:val="009E6CF8"/>
    <w:rsid w:val="009E6F59"/>
    <w:rsid w:val="009F023C"/>
    <w:rsid w:val="009F0D9D"/>
    <w:rsid w:val="009F2069"/>
    <w:rsid w:val="009F27A5"/>
    <w:rsid w:val="009F3EBF"/>
    <w:rsid w:val="009F4915"/>
    <w:rsid w:val="009F504E"/>
    <w:rsid w:val="009F51A9"/>
    <w:rsid w:val="009F5AD9"/>
    <w:rsid w:val="009F66CE"/>
    <w:rsid w:val="009F6790"/>
    <w:rsid w:val="009F73E6"/>
    <w:rsid w:val="009F7EBF"/>
    <w:rsid w:val="00A00257"/>
    <w:rsid w:val="00A011E3"/>
    <w:rsid w:val="00A01BBB"/>
    <w:rsid w:val="00A020BA"/>
    <w:rsid w:val="00A023FF"/>
    <w:rsid w:val="00A02AB8"/>
    <w:rsid w:val="00A02B6F"/>
    <w:rsid w:val="00A02CF2"/>
    <w:rsid w:val="00A0454B"/>
    <w:rsid w:val="00A04590"/>
    <w:rsid w:val="00A04611"/>
    <w:rsid w:val="00A047E8"/>
    <w:rsid w:val="00A04E3E"/>
    <w:rsid w:val="00A05093"/>
    <w:rsid w:val="00A056F6"/>
    <w:rsid w:val="00A05E1A"/>
    <w:rsid w:val="00A061AF"/>
    <w:rsid w:val="00A070A2"/>
    <w:rsid w:val="00A1111E"/>
    <w:rsid w:val="00A114E6"/>
    <w:rsid w:val="00A1151C"/>
    <w:rsid w:val="00A1212E"/>
    <w:rsid w:val="00A12B12"/>
    <w:rsid w:val="00A12FDB"/>
    <w:rsid w:val="00A1478A"/>
    <w:rsid w:val="00A149F5"/>
    <w:rsid w:val="00A1534B"/>
    <w:rsid w:val="00A155D8"/>
    <w:rsid w:val="00A15B00"/>
    <w:rsid w:val="00A16409"/>
    <w:rsid w:val="00A16489"/>
    <w:rsid w:val="00A16BD4"/>
    <w:rsid w:val="00A20495"/>
    <w:rsid w:val="00A21688"/>
    <w:rsid w:val="00A2183A"/>
    <w:rsid w:val="00A225E6"/>
    <w:rsid w:val="00A232A3"/>
    <w:rsid w:val="00A238A9"/>
    <w:rsid w:val="00A24045"/>
    <w:rsid w:val="00A24246"/>
    <w:rsid w:val="00A244B3"/>
    <w:rsid w:val="00A24B8B"/>
    <w:rsid w:val="00A257D0"/>
    <w:rsid w:val="00A2589C"/>
    <w:rsid w:val="00A25C84"/>
    <w:rsid w:val="00A2785A"/>
    <w:rsid w:val="00A27BCD"/>
    <w:rsid w:val="00A30796"/>
    <w:rsid w:val="00A3084C"/>
    <w:rsid w:val="00A30CFE"/>
    <w:rsid w:val="00A30F88"/>
    <w:rsid w:val="00A3137E"/>
    <w:rsid w:val="00A31B70"/>
    <w:rsid w:val="00A328A4"/>
    <w:rsid w:val="00A32EF0"/>
    <w:rsid w:val="00A335AF"/>
    <w:rsid w:val="00A34BB7"/>
    <w:rsid w:val="00A364F1"/>
    <w:rsid w:val="00A36857"/>
    <w:rsid w:val="00A37533"/>
    <w:rsid w:val="00A37BE1"/>
    <w:rsid w:val="00A4053F"/>
    <w:rsid w:val="00A41807"/>
    <w:rsid w:val="00A41D7E"/>
    <w:rsid w:val="00A433E2"/>
    <w:rsid w:val="00A43465"/>
    <w:rsid w:val="00A4421F"/>
    <w:rsid w:val="00A44C67"/>
    <w:rsid w:val="00A453A2"/>
    <w:rsid w:val="00A459DC"/>
    <w:rsid w:val="00A46593"/>
    <w:rsid w:val="00A46623"/>
    <w:rsid w:val="00A50AEA"/>
    <w:rsid w:val="00A51210"/>
    <w:rsid w:val="00A5263A"/>
    <w:rsid w:val="00A5290A"/>
    <w:rsid w:val="00A5291D"/>
    <w:rsid w:val="00A536F2"/>
    <w:rsid w:val="00A5435A"/>
    <w:rsid w:val="00A54521"/>
    <w:rsid w:val="00A55366"/>
    <w:rsid w:val="00A5737D"/>
    <w:rsid w:val="00A5751C"/>
    <w:rsid w:val="00A6015D"/>
    <w:rsid w:val="00A606D5"/>
    <w:rsid w:val="00A6145E"/>
    <w:rsid w:val="00A62226"/>
    <w:rsid w:val="00A625D3"/>
    <w:rsid w:val="00A62B83"/>
    <w:rsid w:val="00A62CA3"/>
    <w:rsid w:val="00A637B2"/>
    <w:rsid w:val="00A63E75"/>
    <w:rsid w:val="00A64C00"/>
    <w:rsid w:val="00A65432"/>
    <w:rsid w:val="00A669A3"/>
    <w:rsid w:val="00A66D71"/>
    <w:rsid w:val="00A71242"/>
    <w:rsid w:val="00A7385B"/>
    <w:rsid w:val="00A7452A"/>
    <w:rsid w:val="00A74593"/>
    <w:rsid w:val="00A7585E"/>
    <w:rsid w:val="00A76A8D"/>
    <w:rsid w:val="00A76E4E"/>
    <w:rsid w:val="00A80470"/>
    <w:rsid w:val="00A819FA"/>
    <w:rsid w:val="00A81DF1"/>
    <w:rsid w:val="00A82501"/>
    <w:rsid w:val="00A82FBA"/>
    <w:rsid w:val="00A83238"/>
    <w:rsid w:val="00A83640"/>
    <w:rsid w:val="00A83F68"/>
    <w:rsid w:val="00A8404A"/>
    <w:rsid w:val="00A840B4"/>
    <w:rsid w:val="00A8422C"/>
    <w:rsid w:val="00A84591"/>
    <w:rsid w:val="00A847F9"/>
    <w:rsid w:val="00A851A4"/>
    <w:rsid w:val="00A85D67"/>
    <w:rsid w:val="00A85DEE"/>
    <w:rsid w:val="00A8654A"/>
    <w:rsid w:val="00A86C07"/>
    <w:rsid w:val="00A870EC"/>
    <w:rsid w:val="00A87D16"/>
    <w:rsid w:val="00A87FF0"/>
    <w:rsid w:val="00A911DD"/>
    <w:rsid w:val="00A912A6"/>
    <w:rsid w:val="00A91853"/>
    <w:rsid w:val="00A92406"/>
    <w:rsid w:val="00A92D70"/>
    <w:rsid w:val="00A9339A"/>
    <w:rsid w:val="00A933B7"/>
    <w:rsid w:val="00A9489B"/>
    <w:rsid w:val="00A94FF9"/>
    <w:rsid w:val="00A9501E"/>
    <w:rsid w:val="00A9532D"/>
    <w:rsid w:val="00A954A5"/>
    <w:rsid w:val="00A957C5"/>
    <w:rsid w:val="00A95970"/>
    <w:rsid w:val="00A95BF3"/>
    <w:rsid w:val="00A960C7"/>
    <w:rsid w:val="00A971D2"/>
    <w:rsid w:val="00A9798E"/>
    <w:rsid w:val="00A97A64"/>
    <w:rsid w:val="00A97B7A"/>
    <w:rsid w:val="00AA1402"/>
    <w:rsid w:val="00AA1E83"/>
    <w:rsid w:val="00AA1F95"/>
    <w:rsid w:val="00AA3262"/>
    <w:rsid w:val="00AA3634"/>
    <w:rsid w:val="00AA39A3"/>
    <w:rsid w:val="00AA7DC6"/>
    <w:rsid w:val="00AA7E45"/>
    <w:rsid w:val="00AA7EB5"/>
    <w:rsid w:val="00AB05F2"/>
    <w:rsid w:val="00AB0D41"/>
    <w:rsid w:val="00AB17D7"/>
    <w:rsid w:val="00AB1E90"/>
    <w:rsid w:val="00AB2F52"/>
    <w:rsid w:val="00AB30AE"/>
    <w:rsid w:val="00AB45E6"/>
    <w:rsid w:val="00AB5ABC"/>
    <w:rsid w:val="00AB690C"/>
    <w:rsid w:val="00AB73BF"/>
    <w:rsid w:val="00AC0C3B"/>
    <w:rsid w:val="00AC11A5"/>
    <w:rsid w:val="00AC1396"/>
    <w:rsid w:val="00AC1B83"/>
    <w:rsid w:val="00AC1F38"/>
    <w:rsid w:val="00AC3F16"/>
    <w:rsid w:val="00AC41C8"/>
    <w:rsid w:val="00AC5168"/>
    <w:rsid w:val="00AC5409"/>
    <w:rsid w:val="00AC5E04"/>
    <w:rsid w:val="00AC5FBC"/>
    <w:rsid w:val="00AC6938"/>
    <w:rsid w:val="00AC6E21"/>
    <w:rsid w:val="00AC749E"/>
    <w:rsid w:val="00AC7D90"/>
    <w:rsid w:val="00AD18F3"/>
    <w:rsid w:val="00AD1CC3"/>
    <w:rsid w:val="00AD1FA6"/>
    <w:rsid w:val="00AD250D"/>
    <w:rsid w:val="00AD2897"/>
    <w:rsid w:val="00AD29F4"/>
    <w:rsid w:val="00AD356B"/>
    <w:rsid w:val="00AD38D8"/>
    <w:rsid w:val="00AD4B78"/>
    <w:rsid w:val="00AD5D1F"/>
    <w:rsid w:val="00AD6303"/>
    <w:rsid w:val="00AD682B"/>
    <w:rsid w:val="00AD69CD"/>
    <w:rsid w:val="00AD7703"/>
    <w:rsid w:val="00AD7BAB"/>
    <w:rsid w:val="00AE215F"/>
    <w:rsid w:val="00AE36EB"/>
    <w:rsid w:val="00AE48D4"/>
    <w:rsid w:val="00AE5035"/>
    <w:rsid w:val="00AE50B2"/>
    <w:rsid w:val="00AE6426"/>
    <w:rsid w:val="00AE6586"/>
    <w:rsid w:val="00AE7365"/>
    <w:rsid w:val="00AF0BE3"/>
    <w:rsid w:val="00AF0F4F"/>
    <w:rsid w:val="00AF15CE"/>
    <w:rsid w:val="00AF1886"/>
    <w:rsid w:val="00AF1C2E"/>
    <w:rsid w:val="00AF1FB9"/>
    <w:rsid w:val="00AF2688"/>
    <w:rsid w:val="00AF29C1"/>
    <w:rsid w:val="00AF2A95"/>
    <w:rsid w:val="00AF433F"/>
    <w:rsid w:val="00AF596D"/>
    <w:rsid w:val="00AF79EB"/>
    <w:rsid w:val="00AF7A15"/>
    <w:rsid w:val="00AF7B32"/>
    <w:rsid w:val="00B02AB0"/>
    <w:rsid w:val="00B02CEC"/>
    <w:rsid w:val="00B03595"/>
    <w:rsid w:val="00B0366A"/>
    <w:rsid w:val="00B06560"/>
    <w:rsid w:val="00B07B15"/>
    <w:rsid w:val="00B07D53"/>
    <w:rsid w:val="00B108CD"/>
    <w:rsid w:val="00B12C0B"/>
    <w:rsid w:val="00B14D0E"/>
    <w:rsid w:val="00B14D3A"/>
    <w:rsid w:val="00B15A8B"/>
    <w:rsid w:val="00B22202"/>
    <w:rsid w:val="00B2496C"/>
    <w:rsid w:val="00B24DBD"/>
    <w:rsid w:val="00B24E74"/>
    <w:rsid w:val="00B27D52"/>
    <w:rsid w:val="00B3073E"/>
    <w:rsid w:val="00B31251"/>
    <w:rsid w:val="00B32015"/>
    <w:rsid w:val="00B320AF"/>
    <w:rsid w:val="00B328A0"/>
    <w:rsid w:val="00B33FDF"/>
    <w:rsid w:val="00B344D1"/>
    <w:rsid w:val="00B351CF"/>
    <w:rsid w:val="00B35354"/>
    <w:rsid w:val="00B35B4A"/>
    <w:rsid w:val="00B36D9D"/>
    <w:rsid w:val="00B377F7"/>
    <w:rsid w:val="00B41909"/>
    <w:rsid w:val="00B42514"/>
    <w:rsid w:val="00B42733"/>
    <w:rsid w:val="00B42AC2"/>
    <w:rsid w:val="00B4312F"/>
    <w:rsid w:val="00B43609"/>
    <w:rsid w:val="00B44C16"/>
    <w:rsid w:val="00B44EDA"/>
    <w:rsid w:val="00B4531F"/>
    <w:rsid w:val="00B465F8"/>
    <w:rsid w:val="00B46B77"/>
    <w:rsid w:val="00B46D0C"/>
    <w:rsid w:val="00B50619"/>
    <w:rsid w:val="00B5085C"/>
    <w:rsid w:val="00B51026"/>
    <w:rsid w:val="00B515C9"/>
    <w:rsid w:val="00B51DD3"/>
    <w:rsid w:val="00B5357E"/>
    <w:rsid w:val="00B53AA1"/>
    <w:rsid w:val="00B546EF"/>
    <w:rsid w:val="00B547F2"/>
    <w:rsid w:val="00B55473"/>
    <w:rsid w:val="00B558C9"/>
    <w:rsid w:val="00B57EEB"/>
    <w:rsid w:val="00B601DF"/>
    <w:rsid w:val="00B6139B"/>
    <w:rsid w:val="00B63472"/>
    <w:rsid w:val="00B63E7B"/>
    <w:rsid w:val="00B656F9"/>
    <w:rsid w:val="00B65F88"/>
    <w:rsid w:val="00B66FB8"/>
    <w:rsid w:val="00B703F0"/>
    <w:rsid w:val="00B70FD4"/>
    <w:rsid w:val="00B70FFF"/>
    <w:rsid w:val="00B716F5"/>
    <w:rsid w:val="00B71C4D"/>
    <w:rsid w:val="00B720E3"/>
    <w:rsid w:val="00B72E37"/>
    <w:rsid w:val="00B72F0A"/>
    <w:rsid w:val="00B73251"/>
    <w:rsid w:val="00B73310"/>
    <w:rsid w:val="00B73832"/>
    <w:rsid w:val="00B73F70"/>
    <w:rsid w:val="00B74434"/>
    <w:rsid w:val="00B752EB"/>
    <w:rsid w:val="00B767FC"/>
    <w:rsid w:val="00B7747F"/>
    <w:rsid w:val="00B7768D"/>
    <w:rsid w:val="00B8014F"/>
    <w:rsid w:val="00B81BED"/>
    <w:rsid w:val="00B82192"/>
    <w:rsid w:val="00B8277A"/>
    <w:rsid w:val="00B82804"/>
    <w:rsid w:val="00B82A0E"/>
    <w:rsid w:val="00B83BC0"/>
    <w:rsid w:val="00B83E5D"/>
    <w:rsid w:val="00B84C28"/>
    <w:rsid w:val="00B85AAB"/>
    <w:rsid w:val="00B85C39"/>
    <w:rsid w:val="00B86053"/>
    <w:rsid w:val="00B87253"/>
    <w:rsid w:val="00B9080A"/>
    <w:rsid w:val="00B919DC"/>
    <w:rsid w:val="00B92A4F"/>
    <w:rsid w:val="00B95639"/>
    <w:rsid w:val="00B959E4"/>
    <w:rsid w:val="00B95D9F"/>
    <w:rsid w:val="00B9671C"/>
    <w:rsid w:val="00BA34CC"/>
    <w:rsid w:val="00BA3F3E"/>
    <w:rsid w:val="00BA401D"/>
    <w:rsid w:val="00BA5857"/>
    <w:rsid w:val="00BA7241"/>
    <w:rsid w:val="00BB0113"/>
    <w:rsid w:val="00BB07C3"/>
    <w:rsid w:val="00BB0B93"/>
    <w:rsid w:val="00BB0FA5"/>
    <w:rsid w:val="00BB200E"/>
    <w:rsid w:val="00BB24A9"/>
    <w:rsid w:val="00BB3548"/>
    <w:rsid w:val="00BB3AAC"/>
    <w:rsid w:val="00BB4252"/>
    <w:rsid w:val="00BB46AB"/>
    <w:rsid w:val="00BB4708"/>
    <w:rsid w:val="00BB5024"/>
    <w:rsid w:val="00BB53A1"/>
    <w:rsid w:val="00BB57DF"/>
    <w:rsid w:val="00BB5EDB"/>
    <w:rsid w:val="00BB63B1"/>
    <w:rsid w:val="00BB63E9"/>
    <w:rsid w:val="00BB69B2"/>
    <w:rsid w:val="00BB6D5E"/>
    <w:rsid w:val="00BB7079"/>
    <w:rsid w:val="00BC04EC"/>
    <w:rsid w:val="00BC09A9"/>
    <w:rsid w:val="00BC0EF3"/>
    <w:rsid w:val="00BC1BA1"/>
    <w:rsid w:val="00BC380B"/>
    <w:rsid w:val="00BC41D4"/>
    <w:rsid w:val="00BC5061"/>
    <w:rsid w:val="00BC56D7"/>
    <w:rsid w:val="00BD1A97"/>
    <w:rsid w:val="00BD20C2"/>
    <w:rsid w:val="00BD23AF"/>
    <w:rsid w:val="00BD338D"/>
    <w:rsid w:val="00BD437A"/>
    <w:rsid w:val="00BD4A83"/>
    <w:rsid w:val="00BD503E"/>
    <w:rsid w:val="00BD6646"/>
    <w:rsid w:val="00BD6A29"/>
    <w:rsid w:val="00BD6CDB"/>
    <w:rsid w:val="00BD6D50"/>
    <w:rsid w:val="00BD7B75"/>
    <w:rsid w:val="00BE0263"/>
    <w:rsid w:val="00BE0C35"/>
    <w:rsid w:val="00BE0CDC"/>
    <w:rsid w:val="00BE2F36"/>
    <w:rsid w:val="00BE3684"/>
    <w:rsid w:val="00BE3918"/>
    <w:rsid w:val="00BE3BE9"/>
    <w:rsid w:val="00BE412F"/>
    <w:rsid w:val="00BE5009"/>
    <w:rsid w:val="00BE5C41"/>
    <w:rsid w:val="00BE63EB"/>
    <w:rsid w:val="00BE7625"/>
    <w:rsid w:val="00BE7814"/>
    <w:rsid w:val="00BF1515"/>
    <w:rsid w:val="00BF2592"/>
    <w:rsid w:val="00BF33DD"/>
    <w:rsid w:val="00BF3996"/>
    <w:rsid w:val="00BF3F02"/>
    <w:rsid w:val="00BF5EA2"/>
    <w:rsid w:val="00BF700F"/>
    <w:rsid w:val="00C01F85"/>
    <w:rsid w:val="00C02106"/>
    <w:rsid w:val="00C02566"/>
    <w:rsid w:val="00C025E8"/>
    <w:rsid w:val="00C026DE"/>
    <w:rsid w:val="00C02AB0"/>
    <w:rsid w:val="00C02FC1"/>
    <w:rsid w:val="00C03694"/>
    <w:rsid w:val="00C04022"/>
    <w:rsid w:val="00C0428C"/>
    <w:rsid w:val="00C04909"/>
    <w:rsid w:val="00C049A7"/>
    <w:rsid w:val="00C04C71"/>
    <w:rsid w:val="00C0503C"/>
    <w:rsid w:val="00C06075"/>
    <w:rsid w:val="00C06125"/>
    <w:rsid w:val="00C066E4"/>
    <w:rsid w:val="00C06D41"/>
    <w:rsid w:val="00C07269"/>
    <w:rsid w:val="00C10705"/>
    <w:rsid w:val="00C1120B"/>
    <w:rsid w:val="00C1229D"/>
    <w:rsid w:val="00C12BC9"/>
    <w:rsid w:val="00C13174"/>
    <w:rsid w:val="00C133BC"/>
    <w:rsid w:val="00C14526"/>
    <w:rsid w:val="00C157BF"/>
    <w:rsid w:val="00C15C50"/>
    <w:rsid w:val="00C16515"/>
    <w:rsid w:val="00C16831"/>
    <w:rsid w:val="00C1704C"/>
    <w:rsid w:val="00C17171"/>
    <w:rsid w:val="00C17B36"/>
    <w:rsid w:val="00C2028A"/>
    <w:rsid w:val="00C21B45"/>
    <w:rsid w:val="00C22185"/>
    <w:rsid w:val="00C225ED"/>
    <w:rsid w:val="00C22669"/>
    <w:rsid w:val="00C22B23"/>
    <w:rsid w:val="00C22FCA"/>
    <w:rsid w:val="00C2308C"/>
    <w:rsid w:val="00C240CE"/>
    <w:rsid w:val="00C24491"/>
    <w:rsid w:val="00C24A60"/>
    <w:rsid w:val="00C24E03"/>
    <w:rsid w:val="00C25CA6"/>
    <w:rsid w:val="00C26DBD"/>
    <w:rsid w:val="00C26F7C"/>
    <w:rsid w:val="00C270DA"/>
    <w:rsid w:val="00C27668"/>
    <w:rsid w:val="00C27A77"/>
    <w:rsid w:val="00C31266"/>
    <w:rsid w:val="00C3156C"/>
    <w:rsid w:val="00C31E23"/>
    <w:rsid w:val="00C31EC2"/>
    <w:rsid w:val="00C32482"/>
    <w:rsid w:val="00C32757"/>
    <w:rsid w:val="00C3298C"/>
    <w:rsid w:val="00C32D91"/>
    <w:rsid w:val="00C330F8"/>
    <w:rsid w:val="00C3340D"/>
    <w:rsid w:val="00C341EB"/>
    <w:rsid w:val="00C349D0"/>
    <w:rsid w:val="00C351AD"/>
    <w:rsid w:val="00C36312"/>
    <w:rsid w:val="00C36F21"/>
    <w:rsid w:val="00C37029"/>
    <w:rsid w:val="00C3707E"/>
    <w:rsid w:val="00C37662"/>
    <w:rsid w:val="00C377D3"/>
    <w:rsid w:val="00C378DE"/>
    <w:rsid w:val="00C402D2"/>
    <w:rsid w:val="00C40B95"/>
    <w:rsid w:val="00C41098"/>
    <w:rsid w:val="00C421E4"/>
    <w:rsid w:val="00C42EF8"/>
    <w:rsid w:val="00C432C8"/>
    <w:rsid w:val="00C43472"/>
    <w:rsid w:val="00C43690"/>
    <w:rsid w:val="00C4387C"/>
    <w:rsid w:val="00C438BF"/>
    <w:rsid w:val="00C456C9"/>
    <w:rsid w:val="00C46389"/>
    <w:rsid w:val="00C468A3"/>
    <w:rsid w:val="00C46947"/>
    <w:rsid w:val="00C479CD"/>
    <w:rsid w:val="00C50AD7"/>
    <w:rsid w:val="00C5245F"/>
    <w:rsid w:val="00C541E9"/>
    <w:rsid w:val="00C54479"/>
    <w:rsid w:val="00C54CD9"/>
    <w:rsid w:val="00C54DD4"/>
    <w:rsid w:val="00C5521A"/>
    <w:rsid w:val="00C55455"/>
    <w:rsid w:val="00C56C3A"/>
    <w:rsid w:val="00C5723A"/>
    <w:rsid w:val="00C572D1"/>
    <w:rsid w:val="00C57B9C"/>
    <w:rsid w:val="00C57BB7"/>
    <w:rsid w:val="00C60C70"/>
    <w:rsid w:val="00C61773"/>
    <w:rsid w:val="00C619D4"/>
    <w:rsid w:val="00C61E84"/>
    <w:rsid w:val="00C62052"/>
    <w:rsid w:val="00C62C94"/>
    <w:rsid w:val="00C62F08"/>
    <w:rsid w:val="00C6349A"/>
    <w:rsid w:val="00C63A65"/>
    <w:rsid w:val="00C63B77"/>
    <w:rsid w:val="00C6432A"/>
    <w:rsid w:val="00C64BF0"/>
    <w:rsid w:val="00C64E9B"/>
    <w:rsid w:val="00C6540E"/>
    <w:rsid w:val="00C6568B"/>
    <w:rsid w:val="00C66A0E"/>
    <w:rsid w:val="00C6780C"/>
    <w:rsid w:val="00C67AAE"/>
    <w:rsid w:val="00C719A0"/>
    <w:rsid w:val="00C71A26"/>
    <w:rsid w:val="00C71EB9"/>
    <w:rsid w:val="00C722A2"/>
    <w:rsid w:val="00C72B52"/>
    <w:rsid w:val="00C7366C"/>
    <w:rsid w:val="00C74133"/>
    <w:rsid w:val="00C7482F"/>
    <w:rsid w:val="00C74FDF"/>
    <w:rsid w:val="00C7523F"/>
    <w:rsid w:val="00C75C7F"/>
    <w:rsid w:val="00C7682C"/>
    <w:rsid w:val="00C76B22"/>
    <w:rsid w:val="00C77E82"/>
    <w:rsid w:val="00C77FB7"/>
    <w:rsid w:val="00C802DE"/>
    <w:rsid w:val="00C80E08"/>
    <w:rsid w:val="00C80EA2"/>
    <w:rsid w:val="00C812E4"/>
    <w:rsid w:val="00C81BA5"/>
    <w:rsid w:val="00C81D9E"/>
    <w:rsid w:val="00C825DD"/>
    <w:rsid w:val="00C82D5B"/>
    <w:rsid w:val="00C84505"/>
    <w:rsid w:val="00C846D6"/>
    <w:rsid w:val="00C84878"/>
    <w:rsid w:val="00C84FF9"/>
    <w:rsid w:val="00C85266"/>
    <w:rsid w:val="00C8570B"/>
    <w:rsid w:val="00C8579B"/>
    <w:rsid w:val="00C9027D"/>
    <w:rsid w:val="00C906EF"/>
    <w:rsid w:val="00C90FA1"/>
    <w:rsid w:val="00C9121A"/>
    <w:rsid w:val="00C91AD3"/>
    <w:rsid w:val="00C928B4"/>
    <w:rsid w:val="00C94CD4"/>
    <w:rsid w:val="00C94D75"/>
    <w:rsid w:val="00C95514"/>
    <w:rsid w:val="00C966AC"/>
    <w:rsid w:val="00C96C35"/>
    <w:rsid w:val="00C96C86"/>
    <w:rsid w:val="00C9747E"/>
    <w:rsid w:val="00CA000C"/>
    <w:rsid w:val="00CA0905"/>
    <w:rsid w:val="00CA1133"/>
    <w:rsid w:val="00CA157D"/>
    <w:rsid w:val="00CA1A41"/>
    <w:rsid w:val="00CA238B"/>
    <w:rsid w:val="00CA2D50"/>
    <w:rsid w:val="00CA332B"/>
    <w:rsid w:val="00CA35BC"/>
    <w:rsid w:val="00CA53CF"/>
    <w:rsid w:val="00CA5808"/>
    <w:rsid w:val="00CA688C"/>
    <w:rsid w:val="00CA7568"/>
    <w:rsid w:val="00CA7F3C"/>
    <w:rsid w:val="00CB0EA9"/>
    <w:rsid w:val="00CB1535"/>
    <w:rsid w:val="00CB1AEB"/>
    <w:rsid w:val="00CB2177"/>
    <w:rsid w:val="00CB2BAA"/>
    <w:rsid w:val="00CB2BC7"/>
    <w:rsid w:val="00CB30EA"/>
    <w:rsid w:val="00CB382C"/>
    <w:rsid w:val="00CB4B0C"/>
    <w:rsid w:val="00CB5010"/>
    <w:rsid w:val="00CB620E"/>
    <w:rsid w:val="00CB62D1"/>
    <w:rsid w:val="00CB6D6A"/>
    <w:rsid w:val="00CC2208"/>
    <w:rsid w:val="00CC242D"/>
    <w:rsid w:val="00CC33D2"/>
    <w:rsid w:val="00CC4980"/>
    <w:rsid w:val="00CC4A59"/>
    <w:rsid w:val="00CC4BEA"/>
    <w:rsid w:val="00CC4C3C"/>
    <w:rsid w:val="00CC66CF"/>
    <w:rsid w:val="00CC6A38"/>
    <w:rsid w:val="00CC7305"/>
    <w:rsid w:val="00CC73F3"/>
    <w:rsid w:val="00CD144A"/>
    <w:rsid w:val="00CD2263"/>
    <w:rsid w:val="00CD233E"/>
    <w:rsid w:val="00CD313D"/>
    <w:rsid w:val="00CD3188"/>
    <w:rsid w:val="00CD3207"/>
    <w:rsid w:val="00CD35A1"/>
    <w:rsid w:val="00CD460B"/>
    <w:rsid w:val="00CD4C82"/>
    <w:rsid w:val="00CD5052"/>
    <w:rsid w:val="00CD572F"/>
    <w:rsid w:val="00CD704E"/>
    <w:rsid w:val="00CD7363"/>
    <w:rsid w:val="00CE01D9"/>
    <w:rsid w:val="00CE032A"/>
    <w:rsid w:val="00CE07BC"/>
    <w:rsid w:val="00CE0892"/>
    <w:rsid w:val="00CE10A6"/>
    <w:rsid w:val="00CE1511"/>
    <w:rsid w:val="00CE1806"/>
    <w:rsid w:val="00CE21CA"/>
    <w:rsid w:val="00CE2409"/>
    <w:rsid w:val="00CE2790"/>
    <w:rsid w:val="00CE3AD7"/>
    <w:rsid w:val="00CE5FC3"/>
    <w:rsid w:val="00CE6E63"/>
    <w:rsid w:val="00CE73AD"/>
    <w:rsid w:val="00CE7A6F"/>
    <w:rsid w:val="00CF0851"/>
    <w:rsid w:val="00CF1506"/>
    <w:rsid w:val="00CF176B"/>
    <w:rsid w:val="00CF1A58"/>
    <w:rsid w:val="00CF2AAA"/>
    <w:rsid w:val="00CF3593"/>
    <w:rsid w:val="00CF3968"/>
    <w:rsid w:val="00CF3B44"/>
    <w:rsid w:val="00CF3BCB"/>
    <w:rsid w:val="00CF3C6A"/>
    <w:rsid w:val="00CF40D6"/>
    <w:rsid w:val="00CF654E"/>
    <w:rsid w:val="00CF6CFD"/>
    <w:rsid w:val="00CF6F12"/>
    <w:rsid w:val="00CF7D6C"/>
    <w:rsid w:val="00CF7E16"/>
    <w:rsid w:val="00CF7E6D"/>
    <w:rsid w:val="00D01228"/>
    <w:rsid w:val="00D0171D"/>
    <w:rsid w:val="00D033E2"/>
    <w:rsid w:val="00D038BD"/>
    <w:rsid w:val="00D04A2D"/>
    <w:rsid w:val="00D051D9"/>
    <w:rsid w:val="00D05B8E"/>
    <w:rsid w:val="00D05D63"/>
    <w:rsid w:val="00D063B8"/>
    <w:rsid w:val="00D06E33"/>
    <w:rsid w:val="00D074DB"/>
    <w:rsid w:val="00D10C38"/>
    <w:rsid w:val="00D11BB3"/>
    <w:rsid w:val="00D12364"/>
    <w:rsid w:val="00D14DEC"/>
    <w:rsid w:val="00D15643"/>
    <w:rsid w:val="00D160E3"/>
    <w:rsid w:val="00D164FF"/>
    <w:rsid w:val="00D169C0"/>
    <w:rsid w:val="00D20660"/>
    <w:rsid w:val="00D2075E"/>
    <w:rsid w:val="00D2182E"/>
    <w:rsid w:val="00D219F7"/>
    <w:rsid w:val="00D224C5"/>
    <w:rsid w:val="00D23231"/>
    <w:rsid w:val="00D233B0"/>
    <w:rsid w:val="00D23698"/>
    <w:rsid w:val="00D24104"/>
    <w:rsid w:val="00D25470"/>
    <w:rsid w:val="00D25F15"/>
    <w:rsid w:val="00D26282"/>
    <w:rsid w:val="00D26288"/>
    <w:rsid w:val="00D27029"/>
    <w:rsid w:val="00D301FD"/>
    <w:rsid w:val="00D30299"/>
    <w:rsid w:val="00D30FB4"/>
    <w:rsid w:val="00D31E96"/>
    <w:rsid w:val="00D32210"/>
    <w:rsid w:val="00D322BF"/>
    <w:rsid w:val="00D33266"/>
    <w:rsid w:val="00D35700"/>
    <w:rsid w:val="00D35B6A"/>
    <w:rsid w:val="00D3626A"/>
    <w:rsid w:val="00D374B4"/>
    <w:rsid w:val="00D40A69"/>
    <w:rsid w:val="00D40F99"/>
    <w:rsid w:val="00D4277F"/>
    <w:rsid w:val="00D42853"/>
    <w:rsid w:val="00D42B59"/>
    <w:rsid w:val="00D42BF7"/>
    <w:rsid w:val="00D43B02"/>
    <w:rsid w:val="00D45639"/>
    <w:rsid w:val="00D458A7"/>
    <w:rsid w:val="00D46EA3"/>
    <w:rsid w:val="00D478CC"/>
    <w:rsid w:val="00D50CDE"/>
    <w:rsid w:val="00D511C0"/>
    <w:rsid w:val="00D51C96"/>
    <w:rsid w:val="00D51D9F"/>
    <w:rsid w:val="00D52F96"/>
    <w:rsid w:val="00D53EAE"/>
    <w:rsid w:val="00D5401D"/>
    <w:rsid w:val="00D5641D"/>
    <w:rsid w:val="00D5655E"/>
    <w:rsid w:val="00D5710B"/>
    <w:rsid w:val="00D57EA7"/>
    <w:rsid w:val="00D61944"/>
    <w:rsid w:val="00D62A8E"/>
    <w:rsid w:val="00D62F9A"/>
    <w:rsid w:val="00D6325D"/>
    <w:rsid w:val="00D65D25"/>
    <w:rsid w:val="00D66397"/>
    <w:rsid w:val="00D66599"/>
    <w:rsid w:val="00D66B0C"/>
    <w:rsid w:val="00D67A69"/>
    <w:rsid w:val="00D67E48"/>
    <w:rsid w:val="00D7053E"/>
    <w:rsid w:val="00D70BD3"/>
    <w:rsid w:val="00D71117"/>
    <w:rsid w:val="00D71328"/>
    <w:rsid w:val="00D71C7D"/>
    <w:rsid w:val="00D73137"/>
    <w:rsid w:val="00D733F5"/>
    <w:rsid w:val="00D73489"/>
    <w:rsid w:val="00D738C3"/>
    <w:rsid w:val="00D73D52"/>
    <w:rsid w:val="00D74615"/>
    <w:rsid w:val="00D746D4"/>
    <w:rsid w:val="00D74F05"/>
    <w:rsid w:val="00D75027"/>
    <w:rsid w:val="00D75197"/>
    <w:rsid w:val="00D762DB"/>
    <w:rsid w:val="00D76434"/>
    <w:rsid w:val="00D7673C"/>
    <w:rsid w:val="00D76801"/>
    <w:rsid w:val="00D76B79"/>
    <w:rsid w:val="00D7711A"/>
    <w:rsid w:val="00D775D8"/>
    <w:rsid w:val="00D77AB6"/>
    <w:rsid w:val="00D77D46"/>
    <w:rsid w:val="00D805D6"/>
    <w:rsid w:val="00D80772"/>
    <w:rsid w:val="00D80ED1"/>
    <w:rsid w:val="00D8113A"/>
    <w:rsid w:val="00D81244"/>
    <w:rsid w:val="00D81588"/>
    <w:rsid w:val="00D816A9"/>
    <w:rsid w:val="00D838D6"/>
    <w:rsid w:val="00D83950"/>
    <w:rsid w:val="00D83FA8"/>
    <w:rsid w:val="00D8414C"/>
    <w:rsid w:val="00D841E5"/>
    <w:rsid w:val="00D84869"/>
    <w:rsid w:val="00D84A6B"/>
    <w:rsid w:val="00D84B25"/>
    <w:rsid w:val="00D85238"/>
    <w:rsid w:val="00D853A7"/>
    <w:rsid w:val="00D8571C"/>
    <w:rsid w:val="00D8645F"/>
    <w:rsid w:val="00D8691A"/>
    <w:rsid w:val="00D87AD8"/>
    <w:rsid w:val="00D9028E"/>
    <w:rsid w:val="00D90415"/>
    <w:rsid w:val="00D91928"/>
    <w:rsid w:val="00D922B2"/>
    <w:rsid w:val="00D9291D"/>
    <w:rsid w:val="00D92CA1"/>
    <w:rsid w:val="00D94BA8"/>
    <w:rsid w:val="00D9516B"/>
    <w:rsid w:val="00D95226"/>
    <w:rsid w:val="00D95E3B"/>
    <w:rsid w:val="00D95E9F"/>
    <w:rsid w:val="00D96D4A"/>
    <w:rsid w:val="00D970A5"/>
    <w:rsid w:val="00DA0D6B"/>
    <w:rsid w:val="00DA15D9"/>
    <w:rsid w:val="00DA2553"/>
    <w:rsid w:val="00DA376C"/>
    <w:rsid w:val="00DA5082"/>
    <w:rsid w:val="00DA77A3"/>
    <w:rsid w:val="00DA7BBB"/>
    <w:rsid w:val="00DB1462"/>
    <w:rsid w:val="00DB148B"/>
    <w:rsid w:val="00DB1F00"/>
    <w:rsid w:val="00DB2DF0"/>
    <w:rsid w:val="00DB330B"/>
    <w:rsid w:val="00DB3B1E"/>
    <w:rsid w:val="00DB44DA"/>
    <w:rsid w:val="00DB4DB3"/>
    <w:rsid w:val="00DB4FBF"/>
    <w:rsid w:val="00DB56C0"/>
    <w:rsid w:val="00DB5CBA"/>
    <w:rsid w:val="00DB732D"/>
    <w:rsid w:val="00DB770A"/>
    <w:rsid w:val="00DB7B4C"/>
    <w:rsid w:val="00DC04D0"/>
    <w:rsid w:val="00DC065E"/>
    <w:rsid w:val="00DC0ABD"/>
    <w:rsid w:val="00DC0C3E"/>
    <w:rsid w:val="00DC0DA9"/>
    <w:rsid w:val="00DC243E"/>
    <w:rsid w:val="00DC277C"/>
    <w:rsid w:val="00DC3FE7"/>
    <w:rsid w:val="00DC456B"/>
    <w:rsid w:val="00DC49FF"/>
    <w:rsid w:val="00DC5103"/>
    <w:rsid w:val="00DC6367"/>
    <w:rsid w:val="00DC68FE"/>
    <w:rsid w:val="00DC771A"/>
    <w:rsid w:val="00DD1805"/>
    <w:rsid w:val="00DD1ACD"/>
    <w:rsid w:val="00DD364E"/>
    <w:rsid w:val="00DD37FB"/>
    <w:rsid w:val="00DD3FA5"/>
    <w:rsid w:val="00DD4740"/>
    <w:rsid w:val="00DD65F6"/>
    <w:rsid w:val="00DD6BB7"/>
    <w:rsid w:val="00DD77E6"/>
    <w:rsid w:val="00DD7E89"/>
    <w:rsid w:val="00DE04BA"/>
    <w:rsid w:val="00DE0B43"/>
    <w:rsid w:val="00DE1B2E"/>
    <w:rsid w:val="00DE2DBA"/>
    <w:rsid w:val="00DE3787"/>
    <w:rsid w:val="00DE4362"/>
    <w:rsid w:val="00DE4C09"/>
    <w:rsid w:val="00DE4FE2"/>
    <w:rsid w:val="00DE5AF3"/>
    <w:rsid w:val="00DE5EC5"/>
    <w:rsid w:val="00DE627A"/>
    <w:rsid w:val="00DE658F"/>
    <w:rsid w:val="00DE6CB5"/>
    <w:rsid w:val="00DF0BC9"/>
    <w:rsid w:val="00DF0BE3"/>
    <w:rsid w:val="00DF1151"/>
    <w:rsid w:val="00DF1D01"/>
    <w:rsid w:val="00DF209E"/>
    <w:rsid w:val="00DF3568"/>
    <w:rsid w:val="00DF3A9D"/>
    <w:rsid w:val="00DF5A2C"/>
    <w:rsid w:val="00DF62A8"/>
    <w:rsid w:val="00DF68AA"/>
    <w:rsid w:val="00DF6AFC"/>
    <w:rsid w:val="00DF7FC0"/>
    <w:rsid w:val="00E00601"/>
    <w:rsid w:val="00E007DF"/>
    <w:rsid w:val="00E00A58"/>
    <w:rsid w:val="00E01EEA"/>
    <w:rsid w:val="00E029C5"/>
    <w:rsid w:val="00E03AB4"/>
    <w:rsid w:val="00E04079"/>
    <w:rsid w:val="00E041CA"/>
    <w:rsid w:val="00E04908"/>
    <w:rsid w:val="00E04AB2"/>
    <w:rsid w:val="00E056B2"/>
    <w:rsid w:val="00E05EBD"/>
    <w:rsid w:val="00E074A8"/>
    <w:rsid w:val="00E07B46"/>
    <w:rsid w:val="00E10605"/>
    <w:rsid w:val="00E10C21"/>
    <w:rsid w:val="00E10E0B"/>
    <w:rsid w:val="00E1100B"/>
    <w:rsid w:val="00E116D3"/>
    <w:rsid w:val="00E12982"/>
    <w:rsid w:val="00E1401F"/>
    <w:rsid w:val="00E14C0F"/>
    <w:rsid w:val="00E14FE6"/>
    <w:rsid w:val="00E150D2"/>
    <w:rsid w:val="00E15828"/>
    <w:rsid w:val="00E16A0D"/>
    <w:rsid w:val="00E17893"/>
    <w:rsid w:val="00E17F46"/>
    <w:rsid w:val="00E20BA6"/>
    <w:rsid w:val="00E224A4"/>
    <w:rsid w:val="00E23822"/>
    <w:rsid w:val="00E23B34"/>
    <w:rsid w:val="00E24660"/>
    <w:rsid w:val="00E2478F"/>
    <w:rsid w:val="00E25344"/>
    <w:rsid w:val="00E258BD"/>
    <w:rsid w:val="00E304AE"/>
    <w:rsid w:val="00E31137"/>
    <w:rsid w:val="00E3280C"/>
    <w:rsid w:val="00E328D4"/>
    <w:rsid w:val="00E32F9A"/>
    <w:rsid w:val="00E33774"/>
    <w:rsid w:val="00E33828"/>
    <w:rsid w:val="00E33AF2"/>
    <w:rsid w:val="00E3488E"/>
    <w:rsid w:val="00E34B9B"/>
    <w:rsid w:val="00E34CA2"/>
    <w:rsid w:val="00E36016"/>
    <w:rsid w:val="00E36127"/>
    <w:rsid w:val="00E361E1"/>
    <w:rsid w:val="00E3629A"/>
    <w:rsid w:val="00E41E61"/>
    <w:rsid w:val="00E42072"/>
    <w:rsid w:val="00E42558"/>
    <w:rsid w:val="00E42F27"/>
    <w:rsid w:val="00E43960"/>
    <w:rsid w:val="00E440DD"/>
    <w:rsid w:val="00E45A58"/>
    <w:rsid w:val="00E46629"/>
    <w:rsid w:val="00E469E3"/>
    <w:rsid w:val="00E46EA5"/>
    <w:rsid w:val="00E471CF"/>
    <w:rsid w:val="00E47E35"/>
    <w:rsid w:val="00E5092C"/>
    <w:rsid w:val="00E50D64"/>
    <w:rsid w:val="00E54E94"/>
    <w:rsid w:val="00E55064"/>
    <w:rsid w:val="00E553C0"/>
    <w:rsid w:val="00E5558C"/>
    <w:rsid w:val="00E55E97"/>
    <w:rsid w:val="00E564B8"/>
    <w:rsid w:val="00E60083"/>
    <w:rsid w:val="00E604C4"/>
    <w:rsid w:val="00E60821"/>
    <w:rsid w:val="00E60900"/>
    <w:rsid w:val="00E60995"/>
    <w:rsid w:val="00E60C2E"/>
    <w:rsid w:val="00E617A8"/>
    <w:rsid w:val="00E627D9"/>
    <w:rsid w:val="00E63120"/>
    <w:rsid w:val="00E6337C"/>
    <w:rsid w:val="00E654F0"/>
    <w:rsid w:val="00E65671"/>
    <w:rsid w:val="00E65CA4"/>
    <w:rsid w:val="00E6710E"/>
    <w:rsid w:val="00E67633"/>
    <w:rsid w:val="00E700BC"/>
    <w:rsid w:val="00E709C2"/>
    <w:rsid w:val="00E709D4"/>
    <w:rsid w:val="00E71399"/>
    <w:rsid w:val="00E719A6"/>
    <w:rsid w:val="00E73478"/>
    <w:rsid w:val="00E756A0"/>
    <w:rsid w:val="00E76EFF"/>
    <w:rsid w:val="00E76F79"/>
    <w:rsid w:val="00E771B9"/>
    <w:rsid w:val="00E77B29"/>
    <w:rsid w:val="00E77C07"/>
    <w:rsid w:val="00E81125"/>
    <w:rsid w:val="00E83FED"/>
    <w:rsid w:val="00E84606"/>
    <w:rsid w:val="00E848B8"/>
    <w:rsid w:val="00E85F4D"/>
    <w:rsid w:val="00E8611F"/>
    <w:rsid w:val="00E861FA"/>
    <w:rsid w:val="00E86CD5"/>
    <w:rsid w:val="00E87B00"/>
    <w:rsid w:val="00E9267D"/>
    <w:rsid w:val="00E928B6"/>
    <w:rsid w:val="00E92950"/>
    <w:rsid w:val="00E92C84"/>
    <w:rsid w:val="00E9369B"/>
    <w:rsid w:val="00E93AEC"/>
    <w:rsid w:val="00E93DF9"/>
    <w:rsid w:val="00E940D8"/>
    <w:rsid w:val="00E94390"/>
    <w:rsid w:val="00E94524"/>
    <w:rsid w:val="00E94B94"/>
    <w:rsid w:val="00E94C61"/>
    <w:rsid w:val="00E94D8A"/>
    <w:rsid w:val="00E960BF"/>
    <w:rsid w:val="00E96909"/>
    <w:rsid w:val="00E977F4"/>
    <w:rsid w:val="00EA088B"/>
    <w:rsid w:val="00EA0E1C"/>
    <w:rsid w:val="00EA2167"/>
    <w:rsid w:val="00EA7274"/>
    <w:rsid w:val="00EA7776"/>
    <w:rsid w:val="00EA788B"/>
    <w:rsid w:val="00EB1471"/>
    <w:rsid w:val="00EB184C"/>
    <w:rsid w:val="00EB1BDF"/>
    <w:rsid w:val="00EB206F"/>
    <w:rsid w:val="00EB3D07"/>
    <w:rsid w:val="00EB4714"/>
    <w:rsid w:val="00EB48E6"/>
    <w:rsid w:val="00EB4B55"/>
    <w:rsid w:val="00EB59F9"/>
    <w:rsid w:val="00EB5CA4"/>
    <w:rsid w:val="00EB6BEA"/>
    <w:rsid w:val="00EB70C2"/>
    <w:rsid w:val="00EB747B"/>
    <w:rsid w:val="00EB792A"/>
    <w:rsid w:val="00EB7ADE"/>
    <w:rsid w:val="00EB7B0D"/>
    <w:rsid w:val="00EB7C2F"/>
    <w:rsid w:val="00EB7CCF"/>
    <w:rsid w:val="00EC0C3E"/>
    <w:rsid w:val="00EC1673"/>
    <w:rsid w:val="00EC179A"/>
    <w:rsid w:val="00EC2D5A"/>
    <w:rsid w:val="00EC4030"/>
    <w:rsid w:val="00EC4D5E"/>
    <w:rsid w:val="00EC4F57"/>
    <w:rsid w:val="00EC5084"/>
    <w:rsid w:val="00EC5357"/>
    <w:rsid w:val="00EC578E"/>
    <w:rsid w:val="00EC58FA"/>
    <w:rsid w:val="00EC6BEF"/>
    <w:rsid w:val="00EC722E"/>
    <w:rsid w:val="00ED05F1"/>
    <w:rsid w:val="00ED0FF6"/>
    <w:rsid w:val="00ED16EB"/>
    <w:rsid w:val="00ED1D8F"/>
    <w:rsid w:val="00ED30DD"/>
    <w:rsid w:val="00ED4C43"/>
    <w:rsid w:val="00ED5975"/>
    <w:rsid w:val="00ED5B1D"/>
    <w:rsid w:val="00ED5D72"/>
    <w:rsid w:val="00ED6321"/>
    <w:rsid w:val="00ED72C7"/>
    <w:rsid w:val="00EE0A3D"/>
    <w:rsid w:val="00EE3596"/>
    <w:rsid w:val="00EE362F"/>
    <w:rsid w:val="00EE39F6"/>
    <w:rsid w:val="00EE3C2F"/>
    <w:rsid w:val="00EE40A0"/>
    <w:rsid w:val="00EE4136"/>
    <w:rsid w:val="00EE4573"/>
    <w:rsid w:val="00EE4DD2"/>
    <w:rsid w:val="00EE67EB"/>
    <w:rsid w:val="00EE7FC2"/>
    <w:rsid w:val="00EF063E"/>
    <w:rsid w:val="00EF156E"/>
    <w:rsid w:val="00EF1AEF"/>
    <w:rsid w:val="00EF1BBD"/>
    <w:rsid w:val="00EF2009"/>
    <w:rsid w:val="00EF26BA"/>
    <w:rsid w:val="00EF349D"/>
    <w:rsid w:val="00EF3826"/>
    <w:rsid w:val="00EF398F"/>
    <w:rsid w:val="00EF46B1"/>
    <w:rsid w:val="00EF4FF4"/>
    <w:rsid w:val="00EF5FD4"/>
    <w:rsid w:val="00EF717C"/>
    <w:rsid w:val="00EF7D37"/>
    <w:rsid w:val="00EF7DC4"/>
    <w:rsid w:val="00F0071A"/>
    <w:rsid w:val="00F01C80"/>
    <w:rsid w:val="00F021D2"/>
    <w:rsid w:val="00F02B05"/>
    <w:rsid w:val="00F02F0F"/>
    <w:rsid w:val="00F03F04"/>
    <w:rsid w:val="00F040F5"/>
    <w:rsid w:val="00F04799"/>
    <w:rsid w:val="00F06095"/>
    <w:rsid w:val="00F062F4"/>
    <w:rsid w:val="00F06370"/>
    <w:rsid w:val="00F066E3"/>
    <w:rsid w:val="00F06CFC"/>
    <w:rsid w:val="00F07321"/>
    <w:rsid w:val="00F12C32"/>
    <w:rsid w:val="00F137F3"/>
    <w:rsid w:val="00F13995"/>
    <w:rsid w:val="00F13EFC"/>
    <w:rsid w:val="00F1428D"/>
    <w:rsid w:val="00F14572"/>
    <w:rsid w:val="00F1547F"/>
    <w:rsid w:val="00F15F49"/>
    <w:rsid w:val="00F2017D"/>
    <w:rsid w:val="00F20286"/>
    <w:rsid w:val="00F20344"/>
    <w:rsid w:val="00F21021"/>
    <w:rsid w:val="00F21209"/>
    <w:rsid w:val="00F2158F"/>
    <w:rsid w:val="00F21E27"/>
    <w:rsid w:val="00F21E60"/>
    <w:rsid w:val="00F22948"/>
    <w:rsid w:val="00F22DA1"/>
    <w:rsid w:val="00F2370D"/>
    <w:rsid w:val="00F242FB"/>
    <w:rsid w:val="00F248D0"/>
    <w:rsid w:val="00F25305"/>
    <w:rsid w:val="00F25415"/>
    <w:rsid w:val="00F25483"/>
    <w:rsid w:val="00F25C09"/>
    <w:rsid w:val="00F2623E"/>
    <w:rsid w:val="00F269AC"/>
    <w:rsid w:val="00F26C77"/>
    <w:rsid w:val="00F26E9F"/>
    <w:rsid w:val="00F27DAB"/>
    <w:rsid w:val="00F303F0"/>
    <w:rsid w:val="00F30688"/>
    <w:rsid w:val="00F316FC"/>
    <w:rsid w:val="00F317F5"/>
    <w:rsid w:val="00F31FEC"/>
    <w:rsid w:val="00F32029"/>
    <w:rsid w:val="00F326E1"/>
    <w:rsid w:val="00F33C15"/>
    <w:rsid w:val="00F3440D"/>
    <w:rsid w:val="00F34C3B"/>
    <w:rsid w:val="00F357AF"/>
    <w:rsid w:val="00F35863"/>
    <w:rsid w:val="00F35B81"/>
    <w:rsid w:val="00F36B92"/>
    <w:rsid w:val="00F36F9D"/>
    <w:rsid w:val="00F37259"/>
    <w:rsid w:val="00F372BE"/>
    <w:rsid w:val="00F3757C"/>
    <w:rsid w:val="00F3761F"/>
    <w:rsid w:val="00F37F2D"/>
    <w:rsid w:val="00F40D35"/>
    <w:rsid w:val="00F42435"/>
    <w:rsid w:val="00F42DDA"/>
    <w:rsid w:val="00F433B2"/>
    <w:rsid w:val="00F43C4D"/>
    <w:rsid w:val="00F43E9B"/>
    <w:rsid w:val="00F44951"/>
    <w:rsid w:val="00F44E51"/>
    <w:rsid w:val="00F44E6B"/>
    <w:rsid w:val="00F44E89"/>
    <w:rsid w:val="00F47E89"/>
    <w:rsid w:val="00F501A7"/>
    <w:rsid w:val="00F501E5"/>
    <w:rsid w:val="00F51821"/>
    <w:rsid w:val="00F51B95"/>
    <w:rsid w:val="00F51C9D"/>
    <w:rsid w:val="00F5206E"/>
    <w:rsid w:val="00F5436E"/>
    <w:rsid w:val="00F545EC"/>
    <w:rsid w:val="00F5537F"/>
    <w:rsid w:val="00F558D5"/>
    <w:rsid w:val="00F55BCB"/>
    <w:rsid w:val="00F5689C"/>
    <w:rsid w:val="00F570BB"/>
    <w:rsid w:val="00F57C06"/>
    <w:rsid w:val="00F57FFE"/>
    <w:rsid w:val="00F60756"/>
    <w:rsid w:val="00F60A81"/>
    <w:rsid w:val="00F60D89"/>
    <w:rsid w:val="00F6147F"/>
    <w:rsid w:val="00F6157F"/>
    <w:rsid w:val="00F639EA"/>
    <w:rsid w:val="00F63D98"/>
    <w:rsid w:val="00F63EE3"/>
    <w:rsid w:val="00F64033"/>
    <w:rsid w:val="00F65D6D"/>
    <w:rsid w:val="00F67203"/>
    <w:rsid w:val="00F6728C"/>
    <w:rsid w:val="00F6791A"/>
    <w:rsid w:val="00F67CDB"/>
    <w:rsid w:val="00F70BA6"/>
    <w:rsid w:val="00F70DA0"/>
    <w:rsid w:val="00F7232D"/>
    <w:rsid w:val="00F723F2"/>
    <w:rsid w:val="00F73364"/>
    <w:rsid w:val="00F7361D"/>
    <w:rsid w:val="00F73DF0"/>
    <w:rsid w:val="00F740BB"/>
    <w:rsid w:val="00F74484"/>
    <w:rsid w:val="00F756BE"/>
    <w:rsid w:val="00F76702"/>
    <w:rsid w:val="00F77629"/>
    <w:rsid w:val="00F809B3"/>
    <w:rsid w:val="00F80DA9"/>
    <w:rsid w:val="00F80FB4"/>
    <w:rsid w:val="00F83AF3"/>
    <w:rsid w:val="00F83BC7"/>
    <w:rsid w:val="00F83CD8"/>
    <w:rsid w:val="00F83F04"/>
    <w:rsid w:val="00F842EE"/>
    <w:rsid w:val="00F850E8"/>
    <w:rsid w:val="00F853F8"/>
    <w:rsid w:val="00F8572F"/>
    <w:rsid w:val="00F85C82"/>
    <w:rsid w:val="00F85D0D"/>
    <w:rsid w:val="00F86062"/>
    <w:rsid w:val="00F862CB"/>
    <w:rsid w:val="00F8695D"/>
    <w:rsid w:val="00F86A4F"/>
    <w:rsid w:val="00F86EDF"/>
    <w:rsid w:val="00F86FB2"/>
    <w:rsid w:val="00F86FC2"/>
    <w:rsid w:val="00F874FA"/>
    <w:rsid w:val="00F9018D"/>
    <w:rsid w:val="00F906F6"/>
    <w:rsid w:val="00F909C5"/>
    <w:rsid w:val="00F90A5C"/>
    <w:rsid w:val="00F910F9"/>
    <w:rsid w:val="00F91CB0"/>
    <w:rsid w:val="00F91FAD"/>
    <w:rsid w:val="00F920D1"/>
    <w:rsid w:val="00F921BA"/>
    <w:rsid w:val="00F92D8F"/>
    <w:rsid w:val="00F92E01"/>
    <w:rsid w:val="00F92EF5"/>
    <w:rsid w:val="00F94416"/>
    <w:rsid w:val="00F947B4"/>
    <w:rsid w:val="00F94C86"/>
    <w:rsid w:val="00F963B0"/>
    <w:rsid w:val="00F97023"/>
    <w:rsid w:val="00F97DC7"/>
    <w:rsid w:val="00FA0132"/>
    <w:rsid w:val="00FA0318"/>
    <w:rsid w:val="00FA0A90"/>
    <w:rsid w:val="00FA23E8"/>
    <w:rsid w:val="00FA2701"/>
    <w:rsid w:val="00FA2A8A"/>
    <w:rsid w:val="00FA4CD4"/>
    <w:rsid w:val="00FA52DC"/>
    <w:rsid w:val="00FA6155"/>
    <w:rsid w:val="00FA7C28"/>
    <w:rsid w:val="00FB08B1"/>
    <w:rsid w:val="00FB1527"/>
    <w:rsid w:val="00FB197F"/>
    <w:rsid w:val="00FB1BAD"/>
    <w:rsid w:val="00FB1F46"/>
    <w:rsid w:val="00FB24C4"/>
    <w:rsid w:val="00FB2F51"/>
    <w:rsid w:val="00FB4B87"/>
    <w:rsid w:val="00FB5460"/>
    <w:rsid w:val="00FB5C81"/>
    <w:rsid w:val="00FB61BA"/>
    <w:rsid w:val="00FB67D8"/>
    <w:rsid w:val="00FB6810"/>
    <w:rsid w:val="00FB6BBA"/>
    <w:rsid w:val="00FB727D"/>
    <w:rsid w:val="00FC0158"/>
    <w:rsid w:val="00FC1BB7"/>
    <w:rsid w:val="00FC1F57"/>
    <w:rsid w:val="00FC2907"/>
    <w:rsid w:val="00FC2CE4"/>
    <w:rsid w:val="00FC32B2"/>
    <w:rsid w:val="00FC34AF"/>
    <w:rsid w:val="00FC3F8C"/>
    <w:rsid w:val="00FC488E"/>
    <w:rsid w:val="00FC4A48"/>
    <w:rsid w:val="00FC540E"/>
    <w:rsid w:val="00FC72CD"/>
    <w:rsid w:val="00FC7715"/>
    <w:rsid w:val="00FD017D"/>
    <w:rsid w:val="00FD019D"/>
    <w:rsid w:val="00FD0606"/>
    <w:rsid w:val="00FD0872"/>
    <w:rsid w:val="00FD2990"/>
    <w:rsid w:val="00FD4921"/>
    <w:rsid w:val="00FD4AB2"/>
    <w:rsid w:val="00FD531E"/>
    <w:rsid w:val="00FD71E2"/>
    <w:rsid w:val="00FD7787"/>
    <w:rsid w:val="00FE019B"/>
    <w:rsid w:val="00FE0941"/>
    <w:rsid w:val="00FE0FF6"/>
    <w:rsid w:val="00FE198B"/>
    <w:rsid w:val="00FE2969"/>
    <w:rsid w:val="00FE2F75"/>
    <w:rsid w:val="00FE33DF"/>
    <w:rsid w:val="00FE4807"/>
    <w:rsid w:val="00FE48CC"/>
    <w:rsid w:val="00FE4ABC"/>
    <w:rsid w:val="00FE4BA3"/>
    <w:rsid w:val="00FE5B6F"/>
    <w:rsid w:val="00FE5E85"/>
    <w:rsid w:val="00FE6FFE"/>
    <w:rsid w:val="00FF005B"/>
    <w:rsid w:val="00FF008B"/>
    <w:rsid w:val="00FF08E3"/>
    <w:rsid w:val="00FF0E63"/>
    <w:rsid w:val="00FF2BB0"/>
    <w:rsid w:val="00FF2F49"/>
    <w:rsid w:val="00FF3027"/>
    <w:rsid w:val="00FF318F"/>
    <w:rsid w:val="00FF3FD0"/>
    <w:rsid w:val="00FF472B"/>
    <w:rsid w:val="00FF4842"/>
    <w:rsid w:val="00FF496E"/>
    <w:rsid w:val="00FF4E30"/>
    <w:rsid w:val="00FF588E"/>
    <w:rsid w:val="00FF75FE"/>
    <w:rsid w:val="00FF77C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1C5B80C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000000" w:themeColor="text1"/>
        <w:lang w:val="en-AU" w:eastAsia="en-US" w:bidi="ar-SA"/>
      </w:rPr>
    </w:rPrDefault>
    <w:pPrDefault>
      <w:pPr>
        <w:spacing w:before="160" w:after="8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4"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8"/>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1"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uiPriority="28"/>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1ECA"/>
    <w:pPr>
      <w:suppressAutoHyphens/>
    </w:pPr>
    <w:rPr>
      <w:kern w:val="12"/>
    </w:rPr>
  </w:style>
  <w:style w:type="paragraph" w:styleId="Heading1">
    <w:name w:val="heading 1"/>
    <w:basedOn w:val="Normal"/>
    <w:next w:val="Normal"/>
    <w:link w:val="Heading1Char"/>
    <w:uiPriority w:val="9"/>
    <w:qFormat/>
    <w:rsid w:val="00DE4362"/>
    <w:pPr>
      <w:keepNext/>
      <w:keepLines/>
      <w:spacing w:before="480" w:after="160"/>
      <w:contextualSpacing/>
      <w:outlineLvl w:val="0"/>
    </w:pPr>
    <w:rPr>
      <w:rFonts w:asciiTheme="majorHAnsi" w:eastAsiaTheme="majorEastAsia" w:hAnsiTheme="majorHAnsi" w:cstheme="majorBidi"/>
      <w:color w:val="081E3E" w:themeColor="text2"/>
      <w:sz w:val="44"/>
      <w:szCs w:val="32"/>
    </w:rPr>
  </w:style>
  <w:style w:type="paragraph" w:styleId="Heading2">
    <w:name w:val="heading 2"/>
    <w:basedOn w:val="Normal"/>
    <w:next w:val="Normal"/>
    <w:link w:val="Heading2Char"/>
    <w:uiPriority w:val="9"/>
    <w:unhideWhenUsed/>
    <w:qFormat/>
    <w:rsid w:val="005F794B"/>
    <w:pPr>
      <w:keepNext/>
      <w:keepLines/>
      <w:spacing w:before="320" w:after="160"/>
      <w:outlineLvl w:val="1"/>
    </w:pPr>
    <w:rPr>
      <w:rFonts w:asciiTheme="majorHAnsi" w:eastAsiaTheme="majorEastAsia" w:hAnsiTheme="majorHAnsi" w:cstheme="majorBidi"/>
      <w:color w:val="081E3E" w:themeColor="text2"/>
      <w:sz w:val="36"/>
      <w:szCs w:val="26"/>
    </w:rPr>
  </w:style>
  <w:style w:type="paragraph" w:styleId="Heading3">
    <w:name w:val="heading 3"/>
    <w:basedOn w:val="Normal"/>
    <w:next w:val="Normal"/>
    <w:link w:val="Heading3Char"/>
    <w:uiPriority w:val="9"/>
    <w:unhideWhenUsed/>
    <w:qFormat/>
    <w:rsid w:val="005F794B"/>
    <w:pPr>
      <w:keepNext/>
      <w:keepLines/>
      <w:spacing w:before="240" w:after="160"/>
      <w:outlineLvl w:val="2"/>
    </w:pPr>
    <w:rPr>
      <w:rFonts w:asciiTheme="majorHAnsi" w:eastAsiaTheme="majorEastAsia" w:hAnsiTheme="majorHAnsi" w:cstheme="majorBidi"/>
      <w:b/>
      <w:color w:val="9AA3AF" w:themeColor="accent4"/>
      <w:sz w:val="32"/>
      <w:szCs w:val="24"/>
    </w:rPr>
  </w:style>
  <w:style w:type="paragraph" w:styleId="Heading4">
    <w:name w:val="heading 4"/>
    <w:basedOn w:val="Normal"/>
    <w:next w:val="Normal"/>
    <w:link w:val="Heading4Char"/>
    <w:uiPriority w:val="9"/>
    <w:unhideWhenUsed/>
    <w:rsid w:val="005F794B"/>
    <w:pPr>
      <w:keepNext/>
      <w:keepLines/>
      <w:spacing w:before="240" w:after="160"/>
      <w:outlineLvl w:val="3"/>
    </w:pPr>
    <w:rPr>
      <w:rFonts w:asciiTheme="majorHAnsi" w:eastAsiaTheme="majorEastAsia" w:hAnsiTheme="majorHAnsi" w:cstheme="majorBidi"/>
      <w:b/>
      <w:iCs/>
      <w:color w:val="9AA3AF" w:themeColor="accent4"/>
      <w:sz w:val="26"/>
    </w:rPr>
  </w:style>
  <w:style w:type="paragraph" w:styleId="Heading5">
    <w:name w:val="heading 5"/>
    <w:basedOn w:val="Normal"/>
    <w:next w:val="Normal"/>
    <w:link w:val="Heading5Char"/>
    <w:uiPriority w:val="9"/>
    <w:unhideWhenUsed/>
    <w:rsid w:val="005F794B"/>
    <w:pPr>
      <w:keepNext/>
      <w:keepLines/>
      <w:spacing w:before="240" w:after="160"/>
      <w:outlineLvl w:val="4"/>
    </w:pPr>
    <w:rPr>
      <w:rFonts w:asciiTheme="majorHAnsi" w:eastAsiaTheme="majorEastAsia" w:hAnsiTheme="majorHAnsi" w:cstheme="majorBidi"/>
      <w:b/>
      <w:color w:val="081E3E" w:themeColor="text2"/>
      <w:sz w:val="22"/>
    </w:rPr>
  </w:style>
  <w:style w:type="paragraph" w:styleId="Heading6">
    <w:name w:val="heading 6"/>
    <w:basedOn w:val="Normal"/>
    <w:next w:val="Normal"/>
    <w:link w:val="Heading6Char"/>
    <w:uiPriority w:val="9"/>
    <w:semiHidden/>
    <w:unhideWhenUsed/>
    <w:rsid w:val="005F794B"/>
    <w:pPr>
      <w:keepNext/>
      <w:keepLines/>
      <w:spacing w:before="240" w:after="160"/>
      <w:outlineLvl w:val="5"/>
    </w:pPr>
    <w:rPr>
      <w:rFonts w:asciiTheme="majorHAnsi" w:eastAsiaTheme="majorEastAsia" w:hAnsiTheme="majorHAnsi" w:cstheme="majorBidi"/>
      <w:i/>
      <w:color w:val="081E3E" w:themeColor="text2"/>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E4FE2"/>
    <w:rPr>
      <w:color w:val="808080"/>
    </w:rPr>
  </w:style>
  <w:style w:type="paragraph" w:styleId="Title">
    <w:name w:val="Title"/>
    <w:basedOn w:val="Normal"/>
    <w:next w:val="Normal"/>
    <w:link w:val="TitleChar"/>
    <w:uiPriority w:val="17"/>
    <w:qFormat/>
    <w:rsid w:val="0022611D"/>
    <w:pPr>
      <w:spacing w:before="1680" w:after="480"/>
    </w:pPr>
    <w:rPr>
      <w:rFonts w:asciiTheme="majorHAnsi" w:eastAsiaTheme="majorEastAsia" w:hAnsiTheme="majorHAnsi" w:cstheme="majorBidi"/>
      <w:b/>
      <w:color w:val="FFFFFF" w:themeColor="background1"/>
      <w:sz w:val="60"/>
      <w:szCs w:val="56"/>
    </w:rPr>
  </w:style>
  <w:style w:type="character" w:customStyle="1" w:styleId="TitleChar">
    <w:name w:val="Title Char"/>
    <w:basedOn w:val="DefaultParagraphFont"/>
    <w:link w:val="Title"/>
    <w:uiPriority w:val="17"/>
    <w:rsid w:val="00CD233E"/>
    <w:rPr>
      <w:rFonts w:asciiTheme="majorHAnsi" w:eastAsiaTheme="majorEastAsia" w:hAnsiTheme="majorHAnsi" w:cstheme="majorBidi"/>
      <w:b/>
      <w:color w:val="FFFFFF" w:themeColor="background1"/>
      <w:kern w:val="12"/>
      <w:sz w:val="60"/>
      <w:szCs w:val="56"/>
    </w:rPr>
  </w:style>
  <w:style w:type="paragraph" w:styleId="Subtitle">
    <w:name w:val="Subtitle"/>
    <w:basedOn w:val="Normal"/>
    <w:next w:val="Normal"/>
    <w:link w:val="SubtitleChar"/>
    <w:uiPriority w:val="18"/>
    <w:qFormat/>
    <w:rsid w:val="00DE4FE2"/>
    <w:pPr>
      <w:numPr>
        <w:ilvl w:val="1"/>
      </w:numPr>
      <w:spacing w:before="480" w:after="160"/>
    </w:pPr>
    <w:rPr>
      <w:rFonts w:asciiTheme="majorHAnsi" w:eastAsiaTheme="minorEastAsia" w:hAnsiTheme="majorHAnsi"/>
      <w:color w:val="4BB3B5" w:themeColor="accent2"/>
      <w:sz w:val="44"/>
      <w:szCs w:val="22"/>
    </w:rPr>
  </w:style>
  <w:style w:type="character" w:customStyle="1" w:styleId="SubtitleChar">
    <w:name w:val="Subtitle Char"/>
    <w:basedOn w:val="DefaultParagraphFont"/>
    <w:link w:val="Subtitle"/>
    <w:uiPriority w:val="18"/>
    <w:rsid w:val="00CD233E"/>
    <w:rPr>
      <w:rFonts w:asciiTheme="majorHAnsi" w:eastAsiaTheme="minorEastAsia" w:hAnsiTheme="majorHAnsi"/>
      <w:color w:val="4BB3B5" w:themeColor="accent2"/>
      <w:kern w:val="12"/>
      <w:sz w:val="44"/>
      <w:szCs w:val="22"/>
    </w:rPr>
  </w:style>
  <w:style w:type="paragraph" w:customStyle="1" w:styleId="CoverDate">
    <w:name w:val="Cover Date"/>
    <w:basedOn w:val="Normal"/>
    <w:uiPriority w:val="19"/>
    <w:qFormat/>
    <w:rsid w:val="00DE4FE2"/>
    <w:rPr>
      <w:b/>
      <w:color w:val="FFFFFF" w:themeColor="background1"/>
    </w:rPr>
  </w:style>
  <w:style w:type="paragraph" w:styleId="Header">
    <w:name w:val="header"/>
    <w:basedOn w:val="Normal"/>
    <w:link w:val="HeaderChar"/>
    <w:uiPriority w:val="99"/>
    <w:unhideWhenUsed/>
    <w:rsid w:val="005912BE"/>
    <w:pPr>
      <w:tabs>
        <w:tab w:val="center" w:pos="4513"/>
        <w:tab w:val="right" w:pos="9026"/>
      </w:tabs>
      <w:spacing w:before="0" w:after="0"/>
      <w:jc w:val="right"/>
    </w:pPr>
    <w:rPr>
      <w:sz w:val="16"/>
    </w:rPr>
  </w:style>
  <w:style w:type="character" w:customStyle="1" w:styleId="HeaderChar">
    <w:name w:val="Header Char"/>
    <w:basedOn w:val="DefaultParagraphFont"/>
    <w:link w:val="Header"/>
    <w:uiPriority w:val="99"/>
    <w:rsid w:val="005912BE"/>
    <w:rPr>
      <w:kern w:val="12"/>
      <w:sz w:val="16"/>
    </w:rPr>
  </w:style>
  <w:style w:type="paragraph" w:styleId="Footer">
    <w:name w:val="footer"/>
    <w:basedOn w:val="Normal"/>
    <w:link w:val="FooterChar"/>
    <w:uiPriority w:val="99"/>
    <w:unhideWhenUsed/>
    <w:rsid w:val="007A05BE"/>
    <w:pPr>
      <w:tabs>
        <w:tab w:val="center" w:pos="4513"/>
        <w:tab w:val="right" w:pos="9026"/>
      </w:tabs>
      <w:spacing w:before="0" w:after="0"/>
    </w:pPr>
    <w:rPr>
      <w:sz w:val="16"/>
    </w:rPr>
  </w:style>
  <w:style w:type="character" w:customStyle="1" w:styleId="FooterChar">
    <w:name w:val="Footer Char"/>
    <w:basedOn w:val="DefaultParagraphFont"/>
    <w:link w:val="Footer"/>
    <w:uiPriority w:val="99"/>
    <w:rsid w:val="007A05BE"/>
    <w:rPr>
      <w:kern w:val="12"/>
      <w:sz w:val="16"/>
    </w:rPr>
  </w:style>
  <w:style w:type="character" w:styleId="PageNumber">
    <w:name w:val="page number"/>
    <w:basedOn w:val="DefaultParagraphFont"/>
    <w:uiPriority w:val="99"/>
    <w:semiHidden/>
    <w:rsid w:val="007A05BE"/>
    <w:rPr>
      <w:b/>
      <w:sz w:val="20"/>
    </w:rPr>
  </w:style>
  <w:style w:type="paragraph" w:customStyle="1" w:styleId="CoverPhoto">
    <w:name w:val="Cover Photo"/>
    <w:basedOn w:val="Normal"/>
    <w:uiPriority w:val="19"/>
    <w:qFormat/>
    <w:rsid w:val="0022611D"/>
    <w:pPr>
      <w:spacing w:before="1240" w:after="160"/>
    </w:pPr>
  </w:style>
  <w:style w:type="paragraph" w:styleId="NoSpacing">
    <w:name w:val="No Spacing"/>
    <w:uiPriority w:val="1"/>
    <w:qFormat/>
    <w:rsid w:val="000E5674"/>
    <w:pPr>
      <w:suppressAutoHyphens/>
      <w:contextualSpacing/>
    </w:pPr>
    <w:rPr>
      <w:kern w:val="12"/>
    </w:rPr>
  </w:style>
  <w:style w:type="paragraph" w:customStyle="1" w:styleId="ImprintHeading">
    <w:name w:val="Imprint Heading"/>
    <w:basedOn w:val="Normal"/>
    <w:uiPriority w:val="12"/>
    <w:rsid w:val="000E5674"/>
    <w:pPr>
      <w:spacing w:before="240" w:after="160"/>
      <w:outlineLvl w:val="1"/>
    </w:pPr>
    <w:rPr>
      <w:b/>
      <w:sz w:val="22"/>
      <w:szCs w:val="22"/>
      <w:lang w:val="x-none"/>
    </w:rPr>
  </w:style>
  <w:style w:type="character" w:styleId="Hyperlink">
    <w:name w:val="Hyperlink"/>
    <w:basedOn w:val="DefaultParagraphFont"/>
    <w:uiPriority w:val="99"/>
    <w:unhideWhenUsed/>
    <w:rsid w:val="000E5674"/>
    <w:rPr>
      <w:color w:val="0046FF" w:themeColor="hyperlink"/>
      <w:u w:val="single"/>
    </w:rPr>
  </w:style>
  <w:style w:type="table" w:styleId="TableGrid">
    <w:name w:val="Table Grid"/>
    <w:basedOn w:val="TableNormal"/>
    <w:uiPriority w:val="39"/>
    <w:rsid w:val="005F794B"/>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Footnote Text Char Char,Footnote Text Char Char Char Char"/>
    <w:basedOn w:val="Normal"/>
    <w:link w:val="FootnoteTextChar"/>
    <w:rsid w:val="005912BE"/>
    <w:pPr>
      <w:spacing w:before="0" w:after="0"/>
      <w:ind w:left="284" w:hanging="284"/>
    </w:pPr>
    <w:rPr>
      <w:sz w:val="18"/>
    </w:rPr>
  </w:style>
  <w:style w:type="character" w:customStyle="1" w:styleId="FootnoteTextChar">
    <w:name w:val="Footnote Text Char"/>
    <w:aliases w:val="Footnote Text Char Char Char,Footnote Text Char Char Char Char Char"/>
    <w:basedOn w:val="DefaultParagraphFont"/>
    <w:link w:val="FootnoteText"/>
    <w:rsid w:val="005912BE"/>
    <w:rPr>
      <w:kern w:val="12"/>
      <w:sz w:val="18"/>
    </w:rPr>
  </w:style>
  <w:style w:type="character" w:styleId="FootnoteReference">
    <w:name w:val="footnote reference"/>
    <w:basedOn w:val="DefaultParagraphFont"/>
    <w:unhideWhenUsed/>
    <w:rsid w:val="005F794B"/>
    <w:rPr>
      <w:vertAlign w:val="superscript"/>
    </w:rPr>
  </w:style>
  <w:style w:type="character" w:customStyle="1" w:styleId="Heading1Char">
    <w:name w:val="Heading 1 Char"/>
    <w:basedOn w:val="DefaultParagraphFont"/>
    <w:link w:val="Heading1"/>
    <w:uiPriority w:val="9"/>
    <w:rsid w:val="00DE4362"/>
    <w:rPr>
      <w:rFonts w:asciiTheme="majorHAnsi" w:eastAsiaTheme="majorEastAsia" w:hAnsiTheme="majorHAnsi" w:cstheme="majorBidi"/>
      <w:color w:val="081E3E" w:themeColor="text2"/>
      <w:kern w:val="12"/>
      <w:sz w:val="44"/>
      <w:szCs w:val="32"/>
    </w:rPr>
  </w:style>
  <w:style w:type="character" w:customStyle="1" w:styleId="Heading2Char">
    <w:name w:val="Heading 2 Char"/>
    <w:basedOn w:val="DefaultParagraphFont"/>
    <w:link w:val="Heading2"/>
    <w:uiPriority w:val="9"/>
    <w:rsid w:val="005F794B"/>
    <w:rPr>
      <w:rFonts w:asciiTheme="majorHAnsi" w:eastAsiaTheme="majorEastAsia" w:hAnsiTheme="majorHAnsi" w:cstheme="majorBidi"/>
      <w:color w:val="081E3E" w:themeColor="text2"/>
      <w:kern w:val="12"/>
      <w:sz w:val="36"/>
      <w:szCs w:val="26"/>
    </w:rPr>
  </w:style>
  <w:style w:type="paragraph" w:customStyle="1" w:styleId="Introduction">
    <w:name w:val="Introduction"/>
    <w:basedOn w:val="Normal"/>
    <w:uiPriority w:val="2"/>
    <w:qFormat/>
    <w:rsid w:val="005F794B"/>
    <w:pPr>
      <w:spacing w:before="240" w:after="240"/>
    </w:pPr>
    <w:rPr>
      <w:color w:val="4BB3B5" w:themeColor="accent2"/>
      <w:sz w:val="26"/>
      <w:lang w:val="x-none"/>
    </w:rPr>
  </w:style>
  <w:style w:type="character" w:customStyle="1" w:styleId="Heading3Char">
    <w:name w:val="Heading 3 Char"/>
    <w:basedOn w:val="DefaultParagraphFont"/>
    <w:link w:val="Heading3"/>
    <w:uiPriority w:val="9"/>
    <w:rsid w:val="005F794B"/>
    <w:rPr>
      <w:rFonts w:asciiTheme="majorHAnsi" w:eastAsiaTheme="majorEastAsia" w:hAnsiTheme="majorHAnsi" w:cstheme="majorBidi"/>
      <w:b/>
      <w:color w:val="9AA3AF" w:themeColor="accent4"/>
      <w:kern w:val="12"/>
      <w:sz w:val="32"/>
      <w:szCs w:val="24"/>
    </w:rPr>
  </w:style>
  <w:style w:type="character" w:customStyle="1" w:styleId="Heading4Char">
    <w:name w:val="Heading 4 Char"/>
    <w:basedOn w:val="DefaultParagraphFont"/>
    <w:link w:val="Heading4"/>
    <w:uiPriority w:val="9"/>
    <w:rsid w:val="005F794B"/>
    <w:rPr>
      <w:rFonts w:asciiTheme="majorHAnsi" w:eastAsiaTheme="majorEastAsia" w:hAnsiTheme="majorHAnsi" w:cstheme="majorBidi"/>
      <w:b/>
      <w:iCs/>
      <w:color w:val="9AA3AF" w:themeColor="accent4"/>
      <w:kern w:val="12"/>
      <w:sz w:val="26"/>
    </w:rPr>
  </w:style>
  <w:style w:type="character" w:customStyle="1" w:styleId="Heading5Char">
    <w:name w:val="Heading 5 Char"/>
    <w:basedOn w:val="DefaultParagraphFont"/>
    <w:link w:val="Heading5"/>
    <w:uiPriority w:val="9"/>
    <w:rsid w:val="005F794B"/>
    <w:rPr>
      <w:rFonts w:asciiTheme="majorHAnsi" w:eastAsiaTheme="majorEastAsia" w:hAnsiTheme="majorHAnsi" w:cstheme="majorBidi"/>
      <w:b/>
      <w:color w:val="081E3E" w:themeColor="text2"/>
      <w:kern w:val="12"/>
      <w:sz w:val="22"/>
    </w:rPr>
  </w:style>
  <w:style w:type="character" w:customStyle="1" w:styleId="Heading6Char">
    <w:name w:val="Heading 6 Char"/>
    <w:basedOn w:val="DefaultParagraphFont"/>
    <w:link w:val="Heading6"/>
    <w:uiPriority w:val="9"/>
    <w:semiHidden/>
    <w:rsid w:val="005F794B"/>
    <w:rPr>
      <w:rFonts w:asciiTheme="majorHAnsi" w:eastAsiaTheme="majorEastAsia" w:hAnsiTheme="majorHAnsi" w:cstheme="majorBidi"/>
      <w:i/>
      <w:color w:val="081E3E" w:themeColor="text2"/>
      <w:kern w:val="12"/>
      <w:sz w:val="22"/>
    </w:rPr>
  </w:style>
  <w:style w:type="paragraph" w:styleId="Caption">
    <w:name w:val="caption"/>
    <w:basedOn w:val="Normal"/>
    <w:next w:val="Normal"/>
    <w:uiPriority w:val="14"/>
    <w:qFormat/>
    <w:rsid w:val="005F794B"/>
    <w:pPr>
      <w:spacing w:before="240" w:after="160"/>
    </w:pPr>
    <w:rPr>
      <w:b/>
      <w:iCs/>
      <w:szCs w:val="18"/>
    </w:rPr>
  </w:style>
  <w:style w:type="table" w:customStyle="1" w:styleId="DefaultTable1">
    <w:name w:val="Default Table 1"/>
    <w:basedOn w:val="TableNormal"/>
    <w:uiPriority w:val="99"/>
    <w:rsid w:val="00D5655E"/>
    <w:pPr>
      <w:spacing w:before="80"/>
    </w:pPr>
    <w:tblPr>
      <w:tblStyleRowBandSize w:val="1"/>
      <w:tblStyleColBandSize w:val="1"/>
      <w:tblBorders>
        <w:top w:val="single" w:sz="4" w:space="0" w:color="4BB3B5" w:themeColor="accent2"/>
        <w:bottom w:val="single" w:sz="4" w:space="0" w:color="4BB3B5" w:themeColor="accent2"/>
        <w:insideH w:val="single" w:sz="4" w:space="0" w:color="4BB3B5" w:themeColor="accent2"/>
      </w:tblBorders>
    </w:tblPr>
    <w:tblStylePr w:type="firstRow">
      <w:rPr>
        <w:b/>
        <w:color w:val="FFFFFF" w:themeColor="background1"/>
      </w:rPr>
      <w:tblPr/>
      <w:trPr>
        <w:tblHeader/>
      </w:trPr>
      <w:tcPr>
        <w:tcBorders>
          <w:top w:val="nil"/>
          <w:bottom w:val="nil"/>
        </w:tcBorders>
        <w:shd w:val="clear" w:color="auto" w:fill="081E3E" w:themeFill="accent1"/>
      </w:tcPr>
    </w:tblStylePr>
    <w:tblStylePr w:type="lastRow">
      <w:rPr>
        <w:b/>
      </w:rPr>
      <w:tblPr/>
      <w:tcPr>
        <w:shd w:val="clear" w:color="auto" w:fill="F2F6E8" w:themeFill="accent5" w:themeFillTint="33"/>
      </w:tcPr>
    </w:tblStylePr>
    <w:tblStylePr w:type="firstCol">
      <w:rPr>
        <w:b/>
      </w:rPr>
    </w:tblStylePr>
    <w:tblStylePr w:type="band2Vert">
      <w:tblPr/>
      <w:tcPr>
        <w:shd w:val="clear" w:color="auto" w:fill="F2F2F2" w:themeFill="background1" w:themeFillShade="F2"/>
      </w:tcPr>
    </w:tblStylePr>
    <w:tblStylePr w:type="band2Horz">
      <w:tblPr/>
      <w:tcPr>
        <w:shd w:val="clear" w:color="auto" w:fill="F2F2F2" w:themeFill="background1" w:themeFillShade="F2"/>
      </w:tcPr>
    </w:tblStylePr>
  </w:style>
  <w:style w:type="paragraph" w:customStyle="1" w:styleId="Sourcenotes">
    <w:name w:val="Source notes"/>
    <w:basedOn w:val="Normal"/>
    <w:uiPriority w:val="15"/>
    <w:qFormat/>
    <w:rsid w:val="001349C6"/>
    <w:pPr>
      <w:spacing w:before="120"/>
    </w:pPr>
    <w:rPr>
      <w:sz w:val="16"/>
      <w:lang w:val="x-none"/>
    </w:rPr>
  </w:style>
  <w:style w:type="paragraph" w:customStyle="1" w:styleId="Sourcenotesnumbered">
    <w:name w:val="Source notes numbered"/>
    <w:basedOn w:val="Sourcenotes"/>
    <w:uiPriority w:val="15"/>
    <w:qFormat/>
    <w:rsid w:val="001349C6"/>
    <w:pPr>
      <w:spacing w:before="80"/>
    </w:pPr>
  </w:style>
  <w:style w:type="paragraph" w:customStyle="1" w:styleId="ListLegal1">
    <w:name w:val="List Legal 1"/>
    <w:basedOn w:val="Normal"/>
    <w:uiPriority w:val="3"/>
    <w:qFormat/>
    <w:rsid w:val="00FC32B2"/>
    <w:pPr>
      <w:numPr>
        <w:numId w:val="2"/>
      </w:numPr>
      <w:spacing w:before="80"/>
    </w:pPr>
    <w:rPr>
      <w:lang w:val="x-none"/>
    </w:rPr>
  </w:style>
  <w:style w:type="paragraph" w:customStyle="1" w:styleId="ListLegal2">
    <w:name w:val="List Legal 2"/>
    <w:basedOn w:val="ListLegal1"/>
    <w:uiPriority w:val="3"/>
    <w:rsid w:val="00FC32B2"/>
    <w:pPr>
      <w:numPr>
        <w:ilvl w:val="1"/>
      </w:numPr>
    </w:pPr>
  </w:style>
  <w:style w:type="paragraph" w:customStyle="1" w:styleId="ListLegal3">
    <w:name w:val="List Legal 3"/>
    <w:basedOn w:val="ListLegal2"/>
    <w:uiPriority w:val="3"/>
    <w:rsid w:val="00FC32B2"/>
    <w:pPr>
      <w:numPr>
        <w:ilvl w:val="2"/>
      </w:numPr>
    </w:pPr>
  </w:style>
  <w:style w:type="paragraph" w:customStyle="1" w:styleId="ListNumbered1">
    <w:name w:val="List Numbered 1"/>
    <w:basedOn w:val="Normal"/>
    <w:uiPriority w:val="3"/>
    <w:qFormat/>
    <w:rsid w:val="00FC32B2"/>
    <w:pPr>
      <w:numPr>
        <w:numId w:val="3"/>
      </w:numPr>
      <w:spacing w:before="80"/>
    </w:pPr>
    <w:rPr>
      <w:lang w:val="x-none"/>
    </w:rPr>
  </w:style>
  <w:style w:type="paragraph" w:customStyle="1" w:styleId="ListNumbered21">
    <w:name w:val="List Numbered 2.1"/>
    <w:basedOn w:val="ListNumbered1"/>
    <w:uiPriority w:val="3"/>
    <w:rsid w:val="00FC32B2"/>
    <w:pPr>
      <w:numPr>
        <w:ilvl w:val="1"/>
      </w:numPr>
    </w:pPr>
  </w:style>
  <w:style w:type="paragraph" w:customStyle="1" w:styleId="ListNumbered311">
    <w:name w:val="List Numbered 3.1.1"/>
    <w:basedOn w:val="ListNumbered21"/>
    <w:uiPriority w:val="3"/>
    <w:rsid w:val="00FC32B2"/>
    <w:pPr>
      <w:numPr>
        <w:ilvl w:val="2"/>
      </w:numPr>
    </w:pPr>
  </w:style>
  <w:style w:type="paragraph" w:customStyle="1" w:styleId="Bullet1">
    <w:name w:val="Bullet 1"/>
    <w:basedOn w:val="Normal"/>
    <w:uiPriority w:val="3"/>
    <w:qFormat/>
    <w:rsid w:val="00CF6CFD"/>
    <w:pPr>
      <w:numPr>
        <w:numId w:val="1"/>
      </w:numPr>
      <w:spacing w:before="80"/>
    </w:pPr>
    <w:rPr>
      <w:lang w:val="x-none"/>
    </w:rPr>
  </w:style>
  <w:style w:type="paragraph" w:customStyle="1" w:styleId="Bullet2">
    <w:name w:val="Bullet 2"/>
    <w:basedOn w:val="Bullet1"/>
    <w:uiPriority w:val="3"/>
    <w:rsid w:val="00CF6CFD"/>
    <w:pPr>
      <w:numPr>
        <w:ilvl w:val="1"/>
      </w:numPr>
    </w:pPr>
  </w:style>
  <w:style w:type="paragraph" w:customStyle="1" w:styleId="Bullet3">
    <w:name w:val="Bullet 3"/>
    <w:basedOn w:val="Bullet2"/>
    <w:uiPriority w:val="3"/>
    <w:rsid w:val="00CF6CFD"/>
    <w:pPr>
      <w:numPr>
        <w:ilvl w:val="2"/>
      </w:numPr>
    </w:pPr>
  </w:style>
  <w:style w:type="paragraph" w:styleId="TOCHeading">
    <w:name w:val="TOC Heading"/>
    <w:basedOn w:val="Heading1"/>
    <w:next w:val="Normal"/>
    <w:uiPriority w:val="38"/>
    <w:rsid w:val="00CF6CFD"/>
    <w:pPr>
      <w:spacing w:before="0"/>
    </w:pPr>
  </w:style>
  <w:style w:type="paragraph" w:customStyle="1" w:styleId="Box1Text">
    <w:name w:val="Box 1 Text"/>
    <w:basedOn w:val="Normal"/>
    <w:uiPriority w:val="23"/>
    <w:qFormat/>
    <w:rsid w:val="00CF6CFD"/>
    <w:pPr>
      <w:pBdr>
        <w:top w:val="single" w:sz="4" w:space="14" w:color="4BB3B5" w:themeColor="accent2"/>
        <w:left w:val="single" w:sz="4" w:space="14" w:color="4BB3B5" w:themeColor="accent2"/>
        <w:bottom w:val="single" w:sz="4" w:space="14" w:color="4BB3B5" w:themeColor="accent2"/>
        <w:right w:val="single" w:sz="4" w:space="14" w:color="4BB3B5" w:themeColor="accent2"/>
      </w:pBdr>
      <w:ind w:left="284" w:right="284"/>
    </w:pPr>
    <w:rPr>
      <w:lang w:val="x-none"/>
    </w:rPr>
  </w:style>
  <w:style w:type="paragraph" w:customStyle="1" w:styleId="Box1Heading">
    <w:name w:val="Box 1 Heading"/>
    <w:basedOn w:val="Box1Text"/>
    <w:uiPriority w:val="23"/>
    <w:qFormat/>
    <w:rsid w:val="00CF6CFD"/>
    <w:rPr>
      <w:b/>
      <w:sz w:val="22"/>
      <w:szCs w:val="22"/>
    </w:rPr>
  </w:style>
  <w:style w:type="paragraph" w:customStyle="1" w:styleId="Box1Bullet1">
    <w:name w:val="Box 1 Bullet 1"/>
    <w:basedOn w:val="Box1Text"/>
    <w:uiPriority w:val="24"/>
    <w:qFormat/>
    <w:rsid w:val="00CF6CFD"/>
    <w:pPr>
      <w:spacing w:before="80"/>
    </w:pPr>
  </w:style>
  <w:style w:type="paragraph" w:customStyle="1" w:styleId="Box2Text">
    <w:name w:val="Box 2 Text"/>
    <w:basedOn w:val="Normal"/>
    <w:uiPriority w:val="24"/>
    <w:qFormat/>
    <w:rsid w:val="00CF6CFD"/>
    <w:pPr>
      <w:pBdr>
        <w:top w:val="single" w:sz="4" w:space="14" w:color="F2F6E8" w:themeColor="accent5" w:themeTint="33"/>
        <w:left w:val="single" w:sz="4" w:space="14" w:color="F2F6E8" w:themeColor="accent5" w:themeTint="33"/>
        <w:bottom w:val="single" w:sz="4" w:space="14" w:color="F2F6E8" w:themeColor="accent5" w:themeTint="33"/>
        <w:right w:val="single" w:sz="4" w:space="14" w:color="F2F6E8" w:themeColor="accent5" w:themeTint="33"/>
      </w:pBdr>
      <w:shd w:val="clear" w:color="auto" w:fill="F2F6E8" w:themeFill="accent5" w:themeFillTint="33"/>
      <w:ind w:left="283" w:right="283"/>
    </w:pPr>
    <w:rPr>
      <w:lang w:val="x-none"/>
    </w:rPr>
  </w:style>
  <w:style w:type="paragraph" w:customStyle="1" w:styleId="Box2Heading">
    <w:name w:val="Box 2 Heading"/>
    <w:basedOn w:val="Box2Text"/>
    <w:uiPriority w:val="24"/>
    <w:qFormat/>
    <w:rsid w:val="00541213"/>
    <w:rPr>
      <w:b/>
      <w:sz w:val="22"/>
    </w:rPr>
  </w:style>
  <w:style w:type="paragraph" w:customStyle="1" w:styleId="Box2Bullet1">
    <w:name w:val="Box 2 Bullet 1"/>
    <w:basedOn w:val="Box2Text"/>
    <w:uiPriority w:val="25"/>
    <w:qFormat/>
    <w:rsid w:val="00CF6CFD"/>
    <w:pPr>
      <w:spacing w:before="80"/>
    </w:pPr>
  </w:style>
  <w:style w:type="table" w:customStyle="1" w:styleId="IconBoxTable">
    <w:name w:val="Icon Box Table"/>
    <w:basedOn w:val="TableNormal"/>
    <w:uiPriority w:val="99"/>
    <w:rsid w:val="00D5655E"/>
    <w:pPr>
      <w:spacing w:before="80"/>
    </w:pPr>
    <w:tblPr>
      <w:tblCellMar>
        <w:top w:w="57" w:type="dxa"/>
        <w:left w:w="170" w:type="dxa"/>
        <w:bottom w:w="57" w:type="dxa"/>
        <w:right w:w="170" w:type="dxa"/>
      </w:tblCellMar>
    </w:tblPr>
    <w:tcPr>
      <w:shd w:val="clear" w:color="auto" w:fill="F2F2F2" w:themeFill="background1" w:themeFillShade="F2"/>
    </w:tcPr>
    <w:tblStylePr w:type="firstRow">
      <w:tblPr/>
      <w:trPr>
        <w:tblHeader/>
      </w:trPr>
    </w:tblStylePr>
    <w:tblStylePr w:type="firstCol">
      <w:tblPr>
        <w:tblCellMar>
          <w:top w:w="57" w:type="dxa"/>
          <w:left w:w="170" w:type="dxa"/>
          <w:bottom w:w="57" w:type="dxa"/>
          <w:right w:w="6" w:type="dxa"/>
        </w:tblCellMar>
      </w:tblPr>
      <w:tcPr>
        <w:tcMar>
          <w:top w:w="0" w:type="nil"/>
          <w:left w:w="170" w:type="dxa"/>
          <w:bottom w:w="0" w:type="nil"/>
          <w:right w:w="6" w:type="dxa"/>
        </w:tcMar>
      </w:tcPr>
    </w:tblStylePr>
  </w:style>
  <w:style w:type="numbering" w:customStyle="1" w:styleId="Bullets">
    <w:name w:val="Bullets"/>
    <w:uiPriority w:val="99"/>
    <w:rsid w:val="009B00F2"/>
    <w:pPr>
      <w:numPr>
        <w:numId w:val="1"/>
      </w:numPr>
    </w:pPr>
  </w:style>
  <w:style w:type="numbering" w:customStyle="1" w:styleId="ListLegal">
    <w:name w:val="List Legal"/>
    <w:uiPriority w:val="99"/>
    <w:rsid w:val="00477E77"/>
    <w:pPr>
      <w:numPr>
        <w:numId w:val="2"/>
      </w:numPr>
    </w:pPr>
  </w:style>
  <w:style w:type="numbering" w:customStyle="1" w:styleId="ListNumbered">
    <w:name w:val="List Numbered"/>
    <w:uiPriority w:val="99"/>
    <w:rsid w:val="00477E77"/>
    <w:pPr>
      <w:numPr>
        <w:numId w:val="3"/>
      </w:numPr>
    </w:pPr>
  </w:style>
  <w:style w:type="paragraph" w:customStyle="1" w:styleId="Heading1Numbered">
    <w:name w:val="Heading 1 Numbered"/>
    <w:basedOn w:val="Heading1"/>
    <w:uiPriority w:val="10"/>
    <w:rsid w:val="003F775D"/>
    <w:pPr>
      <w:numPr>
        <w:numId w:val="5"/>
      </w:numPr>
    </w:pPr>
  </w:style>
  <w:style w:type="paragraph" w:customStyle="1" w:styleId="Heading2Numbered">
    <w:name w:val="Heading 2 Numbered"/>
    <w:basedOn w:val="Heading2"/>
    <w:uiPriority w:val="10"/>
    <w:rsid w:val="003F775D"/>
    <w:pPr>
      <w:numPr>
        <w:ilvl w:val="1"/>
        <w:numId w:val="5"/>
      </w:numPr>
    </w:pPr>
  </w:style>
  <w:style w:type="paragraph" w:customStyle="1" w:styleId="Heading3Numbered">
    <w:name w:val="Heading 3 Numbered"/>
    <w:basedOn w:val="Heading3"/>
    <w:uiPriority w:val="10"/>
    <w:rsid w:val="003F775D"/>
    <w:pPr>
      <w:numPr>
        <w:ilvl w:val="2"/>
        <w:numId w:val="5"/>
      </w:numPr>
    </w:pPr>
  </w:style>
  <w:style w:type="paragraph" w:customStyle="1" w:styleId="Heading4Numbered">
    <w:name w:val="Heading 4 Numbered"/>
    <w:basedOn w:val="Heading4"/>
    <w:uiPriority w:val="10"/>
    <w:rsid w:val="003F775D"/>
    <w:pPr>
      <w:numPr>
        <w:ilvl w:val="3"/>
        <w:numId w:val="5"/>
      </w:numPr>
    </w:pPr>
  </w:style>
  <w:style w:type="paragraph" w:customStyle="1" w:styleId="Heading5Numbered">
    <w:name w:val="Heading 5 Numbered"/>
    <w:basedOn w:val="Heading5"/>
    <w:uiPriority w:val="10"/>
    <w:rsid w:val="003F775D"/>
    <w:pPr>
      <w:numPr>
        <w:ilvl w:val="4"/>
        <w:numId w:val="5"/>
      </w:numPr>
    </w:pPr>
  </w:style>
  <w:style w:type="numbering" w:customStyle="1" w:styleId="NumberedHeadings">
    <w:name w:val="Numbered Headings"/>
    <w:uiPriority w:val="99"/>
    <w:rsid w:val="003F775D"/>
    <w:pPr>
      <w:numPr>
        <w:numId w:val="4"/>
      </w:numPr>
    </w:pPr>
  </w:style>
  <w:style w:type="paragraph" w:customStyle="1" w:styleId="AppendixHeading1">
    <w:name w:val="Appendix Heading 1"/>
    <w:basedOn w:val="Heading1"/>
    <w:uiPriority w:val="11"/>
    <w:qFormat/>
    <w:rsid w:val="0001430B"/>
    <w:pPr>
      <w:numPr>
        <w:numId w:val="7"/>
      </w:numPr>
    </w:pPr>
  </w:style>
  <w:style w:type="paragraph" w:customStyle="1" w:styleId="AppendixHeading2">
    <w:name w:val="Appendix Heading 2"/>
    <w:basedOn w:val="Heading2"/>
    <w:uiPriority w:val="11"/>
    <w:rsid w:val="0001430B"/>
    <w:pPr>
      <w:numPr>
        <w:ilvl w:val="1"/>
        <w:numId w:val="7"/>
      </w:numPr>
    </w:pPr>
  </w:style>
  <w:style w:type="paragraph" w:customStyle="1" w:styleId="AttachmentHeading1">
    <w:name w:val="Attachment Heading 1"/>
    <w:basedOn w:val="Heading1"/>
    <w:uiPriority w:val="11"/>
    <w:qFormat/>
    <w:rsid w:val="0001430B"/>
    <w:pPr>
      <w:numPr>
        <w:numId w:val="8"/>
      </w:numPr>
    </w:pPr>
  </w:style>
  <w:style w:type="paragraph" w:customStyle="1" w:styleId="AttachmentHeading2">
    <w:name w:val="Attachment Heading 2"/>
    <w:basedOn w:val="Heading2"/>
    <w:uiPriority w:val="11"/>
    <w:rsid w:val="0001430B"/>
    <w:pPr>
      <w:numPr>
        <w:ilvl w:val="1"/>
        <w:numId w:val="8"/>
      </w:numPr>
    </w:pPr>
  </w:style>
  <w:style w:type="numbering" w:customStyle="1" w:styleId="AppendixNumbers">
    <w:name w:val="Appendix Numbers"/>
    <w:uiPriority w:val="99"/>
    <w:rsid w:val="0001430B"/>
    <w:pPr>
      <w:numPr>
        <w:numId w:val="6"/>
      </w:numPr>
    </w:pPr>
  </w:style>
  <w:style w:type="numbering" w:customStyle="1" w:styleId="AttachmentNumbers">
    <w:name w:val="Attachment Numbers"/>
    <w:uiPriority w:val="99"/>
    <w:rsid w:val="0001430B"/>
    <w:pPr>
      <w:numPr>
        <w:numId w:val="8"/>
      </w:numPr>
    </w:pPr>
  </w:style>
  <w:style w:type="paragraph" w:styleId="Quote">
    <w:name w:val="Quote"/>
    <w:basedOn w:val="Normal"/>
    <w:next w:val="Normal"/>
    <w:link w:val="QuoteChar"/>
    <w:uiPriority w:val="29"/>
    <w:qFormat/>
    <w:rsid w:val="00E04908"/>
    <w:pPr>
      <w:pBdr>
        <w:left w:val="single" w:sz="48" w:space="22" w:color="4BB3B5" w:themeColor="accent2"/>
      </w:pBdr>
      <w:spacing w:after="160"/>
      <w:ind w:left="567" w:right="567"/>
    </w:pPr>
    <w:rPr>
      <w:b/>
      <w:iCs/>
      <w:color w:val="404040" w:themeColor="text1" w:themeTint="BF"/>
    </w:rPr>
  </w:style>
  <w:style w:type="character" w:customStyle="1" w:styleId="QuoteChar">
    <w:name w:val="Quote Char"/>
    <w:basedOn w:val="DefaultParagraphFont"/>
    <w:link w:val="Quote"/>
    <w:uiPriority w:val="29"/>
    <w:rsid w:val="00E04908"/>
    <w:rPr>
      <w:b/>
      <w:iCs/>
      <w:color w:val="404040" w:themeColor="text1" w:themeTint="BF"/>
      <w:kern w:val="12"/>
    </w:rPr>
  </w:style>
  <w:style w:type="paragraph" w:styleId="TOC1">
    <w:name w:val="toc 1"/>
    <w:basedOn w:val="Normal"/>
    <w:next w:val="Normal"/>
    <w:autoRedefine/>
    <w:uiPriority w:val="39"/>
    <w:rsid w:val="00A95970"/>
    <w:pPr>
      <w:keepLines/>
      <w:tabs>
        <w:tab w:val="right" w:pos="9854"/>
      </w:tabs>
      <w:ind w:left="567" w:hanging="567"/>
    </w:pPr>
    <w:rPr>
      <w:b/>
      <w:sz w:val="24"/>
      <w:u w:val="single" w:color="4BB3B5" w:themeColor="accent2"/>
    </w:rPr>
  </w:style>
  <w:style w:type="paragraph" w:styleId="TOC2">
    <w:name w:val="toc 2"/>
    <w:basedOn w:val="Normal"/>
    <w:next w:val="Normal"/>
    <w:autoRedefine/>
    <w:uiPriority w:val="39"/>
    <w:rsid w:val="00A95970"/>
    <w:pPr>
      <w:keepLines/>
      <w:spacing w:before="80"/>
      <w:ind w:left="567" w:hanging="567"/>
    </w:pPr>
  </w:style>
  <w:style w:type="paragraph" w:styleId="TOC3">
    <w:name w:val="toc 3"/>
    <w:basedOn w:val="Normal"/>
    <w:next w:val="Normal"/>
    <w:autoRedefine/>
    <w:uiPriority w:val="39"/>
    <w:rsid w:val="00DE4362"/>
    <w:pPr>
      <w:spacing w:before="80"/>
      <w:ind w:left="1134" w:hanging="567"/>
    </w:pPr>
  </w:style>
  <w:style w:type="paragraph" w:styleId="TableofFigures">
    <w:name w:val="table of figures"/>
    <w:basedOn w:val="Normal"/>
    <w:next w:val="Normal"/>
    <w:uiPriority w:val="99"/>
    <w:unhideWhenUsed/>
    <w:rsid w:val="006E1ECA"/>
    <w:pPr>
      <w:spacing w:before="80"/>
    </w:pPr>
  </w:style>
  <w:style w:type="paragraph" w:customStyle="1" w:styleId="TableText">
    <w:name w:val="TableText"/>
    <w:basedOn w:val="Normal"/>
    <w:qFormat/>
    <w:rsid w:val="00942295"/>
    <w:pPr>
      <w:suppressAutoHyphens w:val="0"/>
      <w:spacing w:before="120" w:after="120"/>
    </w:pPr>
    <w:rPr>
      <w:rFonts w:ascii="Century Gothic" w:eastAsiaTheme="majorEastAsia" w:hAnsi="Century Gothic" w:cs="Arial"/>
      <w:bCs/>
      <w:color w:val="auto"/>
      <w:kern w:val="0"/>
    </w:rPr>
  </w:style>
  <w:style w:type="paragraph" w:styleId="ListParagraph">
    <w:name w:val="List Paragraph"/>
    <w:aliases w:val="DDM Gen Text,List Paragraph1,Bullet Level 1,Bullet point,CV text,Dot pt,F5 List Paragraph,FooterText,L,List Paragraph11,List Paragraph111,List Paragraph2,Medium Grid 1 - Accent 21,NAST Quote,NFP GP Bulleted List,Numbered Paragraph,列"/>
    <w:basedOn w:val="Normal"/>
    <w:link w:val="ListParagraphChar"/>
    <w:uiPriority w:val="1"/>
    <w:unhideWhenUsed/>
    <w:qFormat/>
    <w:rsid w:val="002E1117"/>
    <w:pPr>
      <w:ind w:left="720"/>
      <w:contextualSpacing/>
    </w:pPr>
  </w:style>
  <w:style w:type="character" w:customStyle="1" w:styleId="ListParagraphChar">
    <w:name w:val="List Paragraph Char"/>
    <w:aliases w:val="DDM Gen Text Char,List Paragraph1 Char,Bullet Level 1 Char,Bullet point Char,CV text Char,Dot pt Char,F5 List Paragraph Char,FooterText Char,L Char,List Paragraph11 Char,List Paragraph111 Char,List Paragraph2 Char,NAST Quote Char"/>
    <w:basedOn w:val="DefaultParagraphFont"/>
    <w:link w:val="ListParagraph"/>
    <w:uiPriority w:val="99"/>
    <w:qFormat/>
    <w:locked/>
    <w:rsid w:val="003A44B7"/>
    <w:rPr>
      <w:kern w:val="12"/>
    </w:rPr>
  </w:style>
  <w:style w:type="character" w:styleId="CommentReference">
    <w:name w:val="annotation reference"/>
    <w:basedOn w:val="DefaultParagraphFont"/>
    <w:uiPriority w:val="99"/>
    <w:semiHidden/>
    <w:unhideWhenUsed/>
    <w:rsid w:val="003A44B7"/>
    <w:rPr>
      <w:sz w:val="16"/>
      <w:szCs w:val="16"/>
    </w:rPr>
  </w:style>
  <w:style w:type="paragraph" w:styleId="CommentText">
    <w:name w:val="annotation text"/>
    <w:basedOn w:val="Normal"/>
    <w:link w:val="CommentTextChar"/>
    <w:uiPriority w:val="99"/>
    <w:unhideWhenUsed/>
    <w:rsid w:val="003A44B7"/>
    <w:pPr>
      <w:suppressAutoHyphens w:val="0"/>
      <w:spacing w:before="0" w:after="160"/>
    </w:pPr>
    <w:rPr>
      <w:color w:val="auto"/>
      <w:kern w:val="0"/>
    </w:rPr>
  </w:style>
  <w:style w:type="character" w:customStyle="1" w:styleId="CommentTextChar">
    <w:name w:val="Comment Text Char"/>
    <w:basedOn w:val="DefaultParagraphFont"/>
    <w:link w:val="CommentText"/>
    <w:uiPriority w:val="99"/>
    <w:rsid w:val="003A44B7"/>
    <w:rPr>
      <w:color w:val="auto"/>
    </w:rPr>
  </w:style>
  <w:style w:type="paragraph" w:styleId="BalloonText">
    <w:name w:val="Balloon Text"/>
    <w:basedOn w:val="Normal"/>
    <w:link w:val="BalloonTextChar"/>
    <w:uiPriority w:val="99"/>
    <w:semiHidden/>
    <w:unhideWhenUsed/>
    <w:rsid w:val="003A44B7"/>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A44B7"/>
    <w:rPr>
      <w:rFonts w:ascii="Segoe UI" w:hAnsi="Segoe UI" w:cs="Segoe UI"/>
      <w:kern w:val="12"/>
      <w:sz w:val="18"/>
      <w:szCs w:val="18"/>
    </w:rPr>
  </w:style>
  <w:style w:type="paragraph" w:styleId="CommentSubject">
    <w:name w:val="annotation subject"/>
    <w:basedOn w:val="CommentText"/>
    <w:next w:val="CommentText"/>
    <w:link w:val="CommentSubjectChar"/>
    <w:uiPriority w:val="99"/>
    <w:semiHidden/>
    <w:unhideWhenUsed/>
    <w:rsid w:val="00A9532D"/>
    <w:pPr>
      <w:suppressAutoHyphens/>
      <w:spacing w:before="160" w:after="80"/>
    </w:pPr>
    <w:rPr>
      <w:b/>
      <w:bCs/>
      <w:color w:val="000000" w:themeColor="text1"/>
      <w:kern w:val="12"/>
    </w:rPr>
  </w:style>
  <w:style w:type="character" w:customStyle="1" w:styleId="CommentSubjectChar">
    <w:name w:val="Comment Subject Char"/>
    <w:basedOn w:val="CommentTextChar"/>
    <w:link w:val="CommentSubject"/>
    <w:uiPriority w:val="99"/>
    <w:semiHidden/>
    <w:rsid w:val="00A9532D"/>
    <w:rPr>
      <w:b/>
      <w:bCs/>
      <w:color w:val="auto"/>
      <w:kern w:val="12"/>
    </w:rPr>
  </w:style>
  <w:style w:type="paragraph" w:styleId="NormalWeb">
    <w:name w:val="Normal (Web)"/>
    <w:basedOn w:val="Normal"/>
    <w:uiPriority w:val="99"/>
    <w:unhideWhenUsed/>
    <w:rsid w:val="003A2C2B"/>
    <w:pPr>
      <w:suppressAutoHyphens w:val="0"/>
      <w:spacing w:before="100" w:beforeAutospacing="1" w:after="100" w:afterAutospacing="1"/>
      <w:jc w:val="both"/>
    </w:pPr>
    <w:rPr>
      <w:rFonts w:ascii="Times New Roman" w:eastAsia="Times New Roman" w:hAnsi="Times New Roman" w:cs="Times New Roman"/>
      <w:color w:val="auto"/>
      <w:kern w:val="0"/>
      <w:sz w:val="24"/>
      <w:szCs w:val="24"/>
      <w:lang w:eastAsia="en-AU"/>
    </w:rPr>
  </w:style>
  <w:style w:type="character" w:customStyle="1" w:styleId="RISparatextChar">
    <w:name w:val="RIS para text Char"/>
    <w:basedOn w:val="DefaultParagraphFont"/>
    <w:link w:val="RISparatext"/>
    <w:locked/>
    <w:rsid w:val="00C270DA"/>
    <w:rPr>
      <w:rFonts w:ascii="Calibri" w:eastAsia="Calibri" w:hAnsi="Calibri" w:cs="Calibri"/>
      <w:w w:val="105"/>
      <w:kern w:val="40"/>
    </w:rPr>
  </w:style>
  <w:style w:type="paragraph" w:customStyle="1" w:styleId="RISparatext">
    <w:name w:val="RIS para text"/>
    <w:basedOn w:val="Normal"/>
    <w:link w:val="RISparatextChar"/>
    <w:qFormat/>
    <w:rsid w:val="00C270DA"/>
    <w:pPr>
      <w:suppressAutoHyphens w:val="0"/>
      <w:spacing w:before="0" w:after="120" w:line="276" w:lineRule="auto"/>
    </w:pPr>
    <w:rPr>
      <w:rFonts w:ascii="Calibri" w:eastAsia="Calibri" w:hAnsi="Calibri" w:cs="Calibri"/>
      <w:w w:val="105"/>
      <w:kern w:val="40"/>
    </w:rPr>
  </w:style>
  <w:style w:type="paragraph" w:customStyle="1" w:styleId="subsection">
    <w:name w:val="subsection"/>
    <w:basedOn w:val="Normal"/>
    <w:rsid w:val="00674869"/>
    <w:pPr>
      <w:suppressAutoHyphens w:val="0"/>
      <w:spacing w:before="100" w:beforeAutospacing="1" w:after="100" w:afterAutospacing="1"/>
    </w:pPr>
    <w:rPr>
      <w:rFonts w:ascii="Times New Roman" w:eastAsia="Times New Roman" w:hAnsi="Times New Roman" w:cs="Times New Roman"/>
      <w:color w:val="auto"/>
      <w:kern w:val="0"/>
      <w:sz w:val="24"/>
      <w:szCs w:val="24"/>
      <w:lang w:eastAsia="en-AU"/>
    </w:rPr>
  </w:style>
  <w:style w:type="paragraph" w:customStyle="1" w:styleId="paragraph">
    <w:name w:val="paragraph"/>
    <w:basedOn w:val="Normal"/>
    <w:rsid w:val="00674869"/>
    <w:pPr>
      <w:suppressAutoHyphens w:val="0"/>
      <w:spacing w:before="100" w:beforeAutospacing="1" w:after="100" w:afterAutospacing="1"/>
    </w:pPr>
    <w:rPr>
      <w:rFonts w:ascii="Times New Roman" w:eastAsia="Times New Roman" w:hAnsi="Times New Roman" w:cs="Times New Roman"/>
      <w:color w:val="auto"/>
      <w:kern w:val="0"/>
      <w:sz w:val="24"/>
      <w:szCs w:val="24"/>
      <w:lang w:eastAsia="en-AU"/>
    </w:rPr>
  </w:style>
  <w:style w:type="paragraph" w:customStyle="1" w:styleId="paragraphsub">
    <w:name w:val="paragraphsub"/>
    <w:basedOn w:val="Normal"/>
    <w:rsid w:val="00674869"/>
    <w:pPr>
      <w:suppressAutoHyphens w:val="0"/>
      <w:spacing w:before="100" w:beforeAutospacing="1" w:after="100" w:afterAutospacing="1"/>
    </w:pPr>
    <w:rPr>
      <w:rFonts w:ascii="Times New Roman" w:eastAsia="Times New Roman" w:hAnsi="Times New Roman" w:cs="Times New Roman"/>
      <w:color w:val="auto"/>
      <w:kern w:val="0"/>
      <w:sz w:val="24"/>
      <w:szCs w:val="24"/>
      <w:lang w:eastAsia="en-AU"/>
    </w:rPr>
  </w:style>
  <w:style w:type="paragraph" w:styleId="Revision">
    <w:name w:val="Revision"/>
    <w:hidden/>
    <w:uiPriority w:val="99"/>
    <w:semiHidden/>
    <w:rsid w:val="007E435D"/>
    <w:pPr>
      <w:spacing w:before="0" w:after="0"/>
    </w:pPr>
    <w:rPr>
      <w:kern w:val="12"/>
    </w:rPr>
  </w:style>
  <w:style w:type="character" w:styleId="FollowedHyperlink">
    <w:name w:val="FollowedHyperlink"/>
    <w:basedOn w:val="DefaultParagraphFont"/>
    <w:uiPriority w:val="99"/>
    <w:semiHidden/>
    <w:unhideWhenUsed/>
    <w:rsid w:val="00252DE8"/>
    <w:rPr>
      <w:color w:val="0046FF" w:themeColor="followedHyperlink"/>
      <w:u w:val="single"/>
    </w:rPr>
  </w:style>
  <w:style w:type="paragraph" w:customStyle="1" w:styleId="1hzxw">
    <w:name w:val="_1hzxw"/>
    <w:basedOn w:val="Normal"/>
    <w:rsid w:val="003C34D6"/>
    <w:pPr>
      <w:suppressAutoHyphens w:val="0"/>
      <w:spacing w:before="100" w:beforeAutospacing="1" w:after="100" w:afterAutospacing="1"/>
    </w:pPr>
    <w:rPr>
      <w:rFonts w:ascii="Times New Roman" w:eastAsia="Times New Roman" w:hAnsi="Times New Roman" w:cs="Times New Roman"/>
      <w:color w:val="auto"/>
      <w:kern w:val="0"/>
      <w:sz w:val="24"/>
      <w:szCs w:val="24"/>
      <w:lang w:eastAsia="en-AU"/>
    </w:rPr>
  </w:style>
  <w:style w:type="character" w:styleId="Emphasis">
    <w:name w:val="Emphasis"/>
    <w:basedOn w:val="DefaultParagraphFont"/>
    <w:uiPriority w:val="20"/>
    <w:qFormat/>
    <w:rsid w:val="000D02D6"/>
    <w:rPr>
      <w:i/>
      <w:iCs/>
    </w:rPr>
  </w:style>
  <w:style w:type="paragraph" w:styleId="EndnoteText">
    <w:name w:val="endnote text"/>
    <w:basedOn w:val="Normal"/>
    <w:link w:val="EndnoteTextChar"/>
    <w:uiPriority w:val="99"/>
    <w:semiHidden/>
    <w:unhideWhenUsed/>
    <w:rsid w:val="00F8572F"/>
    <w:pPr>
      <w:spacing w:before="0" w:after="0"/>
    </w:pPr>
  </w:style>
  <w:style w:type="character" w:customStyle="1" w:styleId="EndnoteTextChar">
    <w:name w:val="Endnote Text Char"/>
    <w:basedOn w:val="DefaultParagraphFont"/>
    <w:link w:val="EndnoteText"/>
    <w:uiPriority w:val="99"/>
    <w:semiHidden/>
    <w:rsid w:val="00F8572F"/>
    <w:rPr>
      <w:kern w:val="12"/>
    </w:rPr>
  </w:style>
  <w:style w:type="character" w:styleId="EndnoteReference">
    <w:name w:val="endnote reference"/>
    <w:basedOn w:val="DefaultParagraphFont"/>
    <w:uiPriority w:val="99"/>
    <w:semiHidden/>
    <w:unhideWhenUsed/>
    <w:rsid w:val="00F8572F"/>
    <w:rPr>
      <w:vertAlign w:val="superscript"/>
    </w:rPr>
  </w:style>
  <w:style w:type="paragraph" w:customStyle="1" w:styleId="definition">
    <w:name w:val="definition"/>
    <w:basedOn w:val="Normal"/>
    <w:rsid w:val="00A847F9"/>
    <w:pPr>
      <w:suppressAutoHyphens w:val="0"/>
      <w:spacing w:before="100" w:beforeAutospacing="1" w:after="100" w:afterAutospacing="1"/>
    </w:pPr>
    <w:rPr>
      <w:rFonts w:ascii="Times New Roman" w:eastAsia="Times New Roman" w:hAnsi="Times New Roman" w:cs="Times New Roman"/>
      <w:color w:val="auto"/>
      <w:kern w:val="0"/>
      <w:sz w:val="24"/>
      <w:szCs w:val="24"/>
      <w:lang w:eastAsia="en-AU"/>
    </w:rPr>
  </w:style>
  <w:style w:type="paragraph" w:customStyle="1" w:styleId="subsection2">
    <w:name w:val="subsection2"/>
    <w:basedOn w:val="Normal"/>
    <w:rsid w:val="00A847F9"/>
    <w:pPr>
      <w:suppressAutoHyphens w:val="0"/>
      <w:spacing w:before="100" w:beforeAutospacing="1" w:after="100" w:afterAutospacing="1"/>
    </w:pPr>
    <w:rPr>
      <w:rFonts w:ascii="Times New Roman" w:eastAsia="Times New Roman" w:hAnsi="Times New Roman" w:cs="Times New Roman"/>
      <w:color w:val="auto"/>
      <w:kern w:val="0"/>
      <w:sz w:val="24"/>
      <w:szCs w:val="24"/>
      <w:lang w:eastAsia="en-AU"/>
    </w:rPr>
  </w:style>
  <w:style w:type="character" w:customStyle="1" w:styleId="normaltextrun">
    <w:name w:val="normaltextrun"/>
    <w:basedOn w:val="DefaultParagraphFont"/>
    <w:rsid w:val="000F33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802080">
      <w:bodyDiv w:val="1"/>
      <w:marLeft w:val="0"/>
      <w:marRight w:val="0"/>
      <w:marTop w:val="0"/>
      <w:marBottom w:val="0"/>
      <w:divBdr>
        <w:top w:val="none" w:sz="0" w:space="0" w:color="auto"/>
        <w:left w:val="none" w:sz="0" w:space="0" w:color="auto"/>
        <w:bottom w:val="none" w:sz="0" w:space="0" w:color="auto"/>
        <w:right w:val="none" w:sz="0" w:space="0" w:color="auto"/>
      </w:divBdr>
    </w:div>
    <w:div w:id="89009697">
      <w:bodyDiv w:val="1"/>
      <w:marLeft w:val="0"/>
      <w:marRight w:val="0"/>
      <w:marTop w:val="0"/>
      <w:marBottom w:val="0"/>
      <w:divBdr>
        <w:top w:val="none" w:sz="0" w:space="0" w:color="auto"/>
        <w:left w:val="none" w:sz="0" w:space="0" w:color="auto"/>
        <w:bottom w:val="none" w:sz="0" w:space="0" w:color="auto"/>
        <w:right w:val="none" w:sz="0" w:space="0" w:color="auto"/>
      </w:divBdr>
    </w:div>
    <w:div w:id="370765970">
      <w:bodyDiv w:val="1"/>
      <w:marLeft w:val="0"/>
      <w:marRight w:val="0"/>
      <w:marTop w:val="0"/>
      <w:marBottom w:val="0"/>
      <w:divBdr>
        <w:top w:val="none" w:sz="0" w:space="0" w:color="auto"/>
        <w:left w:val="none" w:sz="0" w:space="0" w:color="auto"/>
        <w:bottom w:val="none" w:sz="0" w:space="0" w:color="auto"/>
        <w:right w:val="none" w:sz="0" w:space="0" w:color="auto"/>
      </w:divBdr>
    </w:div>
    <w:div w:id="452527473">
      <w:bodyDiv w:val="1"/>
      <w:marLeft w:val="0"/>
      <w:marRight w:val="0"/>
      <w:marTop w:val="0"/>
      <w:marBottom w:val="0"/>
      <w:divBdr>
        <w:top w:val="none" w:sz="0" w:space="0" w:color="auto"/>
        <w:left w:val="none" w:sz="0" w:space="0" w:color="auto"/>
        <w:bottom w:val="none" w:sz="0" w:space="0" w:color="auto"/>
        <w:right w:val="none" w:sz="0" w:space="0" w:color="auto"/>
      </w:divBdr>
    </w:div>
    <w:div w:id="564150591">
      <w:bodyDiv w:val="1"/>
      <w:marLeft w:val="0"/>
      <w:marRight w:val="0"/>
      <w:marTop w:val="0"/>
      <w:marBottom w:val="0"/>
      <w:divBdr>
        <w:top w:val="none" w:sz="0" w:space="0" w:color="auto"/>
        <w:left w:val="none" w:sz="0" w:space="0" w:color="auto"/>
        <w:bottom w:val="none" w:sz="0" w:space="0" w:color="auto"/>
        <w:right w:val="none" w:sz="0" w:space="0" w:color="auto"/>
      </w:divBdr>
    </w:div>
    <w:div w:id="571550075">
      <w:bodyDiv w:val="1"/>
      <w:marLeft w:val="0"/>
      <w:marRight w:val="0"/>
      <w:marTop w:val="0"/>
      <w:marBottom w:val="0"/>
      <w:divBdr>
        <w:top w:val="none" w:sz="0" w:space="0" w:color="auto"/>
        <w:left w:val="none" w:sz="0" w:space="0" w:color="auto"/>
        <w:bottom w:val="none" w:sz="0" w:space="0" w:color="auto"/>
        <w:right w:val="none" w:sz="0" w:space="0" w:color="auto"/>
      </w:divBdr>
    </w:div>
    <w:div w:id="696851644">
      <w:bodyDiv w:val="1"/>
      <w:marLeft w:val="0"/>
      <w:marRight w:val="0"/>
      <w:marTop w:val="0"/>
      <w:marBottom w:val="0"/>
      <w:divBdr>
        <w:top w:val="none" w:sz="0" w:space="0" w:color="auto"/>
        <w:left w:val="none" w:sz="0" w:space="0" w:color="auto"/>
        <w:bottom w:val="none" w:sz="0" w:space="0" w:color="auto"/>
        <w:right w:val="none" w:sz="0" w:space="0" w:color="auto"/>
      </w:divBdr>
    </w:div>
    <w:div w:id="833568534">
      <w:bodyDiv w:val="1"/>
      <w:marLeft w:val="0"/>
      <w:marRight w:val="0"/>
      <w:marTop w:val="0"/>
      <w:marBottom w:val="0"/>
      <w:divBdr>
        <w:top w:val="none" w:sz="0" w:space="0" w:color="auto"/>
        <w:left w:val="none" w:sz="0" w:space="0" w:color="auto"/>
        <w:bottom w:val="none" w:sz="0" w:space="0" w:color="auto"/>
        <w:right w:val="none" w:sz="0" w:space="0" w:color="auto"/>
      </w:divBdr>
    </w:div>
    <w:div w:id="943803489">
      <w:bodyDiv w:val="1"/>
      <w:marLeft w:val="0"/>
      <w:marRight w:val="0"/>
      <w:marTop w:val="0"/>
      <w:marBottom w:val="0"/>
      <w:divBdr>
        <w:top w:val="none" w:sz="0" w:space="0" w:color="auto"/>
        <w:left w:val="none" w:sz="0" w:space="0" w:color="auto"/>
        <w:bottom w:val="none" w:sz="0" w:space="0" w:color="auto"/>
        <w:right w:val="none" w:sz="0" w:space="0" w:color="auto"/>
      </w:divBdr>
    </w:div>
    <w:div w:id="968588043">
      <w:bodyDiv w:val="1"/>
      <w:marLeft w:val="0"/>
      <w:marRight w:val="0"/>
      <w:marTop w:val="0"/>
      <w:marBottom w:val="0"/>
      <w:divBdr>
        <w:top w:val="none" w:sz="0" w:space="0" w:color="auto"/>
        <w:left w:val="none" w:sz="0" w:space="0" w:color="auto"/>
        <w:bottom w:val="none" w:sz="0" w:space="0" w:color="auto"/>
        <w:right w:val="none" w:sz="0" w:space="0" w:color="auto"/>
      </w:divBdr>
    </w:div>
    <w:div w:id="1207181306">
      <w:bodyDiv w:val="1"/>
      <w:marLeft w:val="0"/>
      <w:marRight w:val="0"/>
      <w:marTop w:val="0"/>
      <w:marBottom w:val="0"/>
      <w:divBdr>
        <w:top w:val="none" w:sz="0" w:space="0" w:color="auto"/>
        <w:left w:val="none" w:sz="0" w:space="0" w:color="auto"/>
        <w:bottom w:val="none" w:sz="0" w:space="0" w:color="auto"/>
        <w:right w:val="none" w:sz="0" w:space="0" w:color="auto"/>
      </w:divBdr>
    </w:div>
    <w:div w:id="1218471166">
      <w:bodyDiv w:val="1"/>
      <w:marLeft w:val="0"/>
      <w:marRight w:val="0"/>
      <w:marTop w:val="0"/>
      <w:marBottom w:val="0"/>
      <w:divBdr>
        <w:top w:val="none" w:sz="0" w:space="0" w:color="auto"/>
        <w:left w:val="none" w:sz="0" w:space="0" w:color="auto"/>
        <w:bottom w:val="none" w:sz="0" w:space="0" w:color="auto"/>
        <w:right w:val="none" w:sz="0" w:space="0" w:color="auto"/>
      </w:divBdr>
    </w:div>
    <w:div w:id="1249926943">
      <w:bodyDiv w:val="1"/>
      <w:marLeft w:val="0"/>
      <w:marRight w:val="0"/>
      <w:marTop w:val="0"/>
      <w:marBottom w:val="0"/>
      <w:divBdr>
        <w:top w:val="none" w:sz="0" w:space="0" w:color="auto"/>
        <w:left w:val="none" w:sz="0" w:space="0" w:color="auto"/>
        <w:bottom w:val="none" w:sz="0" w:space="0" w:color="auto"/>
        <w:right w:val="none" w:sz="0" w:space="0" w:color="auto"/>
      </w:divBdr>
    </w:div>
    <w:div w:id="1286235846">
      <w:bodyDiv w:val="1"/>
      <w:marLeft w:val="0"/>
      <w:marRight w:val="0"/>
      <w:marTop w:val="0"/>
      <w:marBottom w:val="0"/>
      <w:divBdr>
        <w:top w:val="none" w:sz="0" w:space="0" w:color="auto"/>
        <w:left w:val="none" w:sz="0" w:space="0" w:color="auto"/>
        <w:bottom w:val="none" w:sz="0" w:space="0" w:color="auto"/>
        <w:right w:val="none" w:sz="0" w:space="0" w:color="auto"/>
      </w:divBdr>
    </w:div>
    <w:div w:id="1294941421">
      <w:bodyDiv w:val="1"/>
      <w:marLeft w:val="0"/>
      <w:marRight w:val="0"/>
      <w:marTop w:val="0"/>
      <w:marBottom w:val="0"/>
      <w:divBdr>
        <w:top w:val="none" w:sz="0" w:space="0" w:color="auto"/>
        <w:left w:val="none" w:sz="0" w:space="0" w:color="auto"/>
        <w:bottom w:val="none" w:sz="0" w:space="0" w:color="auto"/>
        <w:right w:val="none" w:sz="0" w:space="0" w:color="auto"/>
      </w:divBdr>
    </w:div>
    <w:div w:id="1506088018">
      <w:bodyDiv w:val="1"/>
      <w:marLeft w:val="0"/>
      <w:marRight w:val="0"/>
      <w:marTop w:val="0"/>
      <w:marBottom w:val="0"/>
      <w:divBdr>
        <w:top w:val="none" w:sz="0" w:space="0" w:color="auto"/>
        <w:left w:val="none" w:sz="0" w:space="0" w:color="auto"/>
        <w:bottom w:val="none" w:sz="0" w:space="0" w:color="auto"/>
        <w:right w:val="none" w:sz="0" w:space="0" w:color="auto"/>
      </w:divBdr>
    </w:div>
    <w:div w:id="1510023981">
      <w:bodyDiv w:val="1"/>
      <w:marLeft w:val="0"/>
      <w:marRight w:val="0"/>
      <w:marTop w:val="0"/>
      <w:marBottom w:val="0"/>
      <w:divBdr>
        <w:top w:val="none" w:sz="0" w:space="0" w:color="auto"/>
        <w:left w:val="none" w:sz="0" w:space="0" w:color="auto"/>
        <w:bottom w:val="none" w:sz="0" w:space="0" w:color="auto"/>
        <w:right w:val="none" w:sz="0" w:space="0" w:color="auto"/>
      </w:divBdr>
    </w:div>
    <w:div w:id="1631934267">
      <w:bodyDiv w:val="1"/>
      <w:marLeft w:val="0"/>
      <w:marRight w:val="0"/>
      <w:marTop w:val="0"/>
      <w:marBottom w:val="0"/>
      <w:divBdr>
        <w:top w:val="none" w:sz="0" w:space="0" w:color="auto"/>
        <w:left w:val="none" w:sz="0" w:space="0" w:color="auto"/>
        <w:bottom w:val="none" w:sz="0" w:space="0" w:color="auto"/>
        <w:right w:val="none" w:sz="0" w:space="0" w:color="auto"/>
      </w:divBdr>
    </w:div>
    <w:div w:id="1638411083">
      <w:bodyDiv w:val="1"/>
      <w:marLeft w:val="0"/>
      <w:marRight w:val="0"/>
      <w:marTop w:val="0"/>
      <w:marBottom w:val="0"/>
      <w:divBdr>
        <w:top w:val="none" w:sz="0" w:space="0" w:color="auto"/>
        <w:left w:val="none" w:sz="0" w:space="0" w:color="auto"/>
        <w:bottom w:val="none" w:sz="0" w:space="0" w:color="auto"/>
        <w:right w:val="none" w:sz="0" w:space="0" w:color="auto"/>
      </w:divBdr>
    </w:div>
    <w:div w:id="1734696645">
      <w:bodyDiv w:val="1"/>
      <w:marLeft w:val="0"/>
      <w:marRight w:val="0"/>
      <w:marTop w:val="0"/>
      <w:marBottom w:val="0"/>
      <w:divBdr>
        <w:top w:val="none" w:sz="0" w:space="0" w:color="auto"/>
        <w:left w:val="none" w:sz="0" w:space="0" w:color="auto"/>
        <w:bottom w:val="none" w:sz="0" w:space="0" w:color="auto"/>
        <w:right w:val="none" w:sz="0" w:space="0" w:color="auto"/>
      </w:divBdr>
    </w:div>
    <w:div w:id="1855653491">
      <w:bodyDiv w:val="1"/>
      <w:marLeft w:val="0"/>
      <w:marRight w:val="0"/>
      <w:marTop w:val="0"/>
      <w:marBottom w:val="0"/>
      <w:divBdr>
        <w:top w:val="none" w:sz="0" w:space="0" w:color="auto"/>
        <w:left w:val="none" w:sz="0" w:space="0" w:color="auto"/>
        <w:bottom w:val="none" w:sz="0" w:space="0" w:color="auto"/>
        <w:right w:val="none" w:sz="0" w:space="0" w:color="auto"/>
      </w:divBdr>
    </w:div>
    <w:div w:id="1870336333">
      <w:bodyDiv w:val="1"/>
      <w:marLeft w:val="0"/>
      <w:marRight w:val="0"/>
      <w:marTop w:val="0"/>
      <w:marBottom w:val="0"/>
      <w:divBdr>
        <w:top w:val="none" w:sz="0" w:space="0" w:color="auto"/>
        <w:left w:val="none" w:sz="0" w:space="0" w:color="auto"/>
        <w:bottom w:val="none" w:sz="0" w:space="0" w:color="auto"/>
        <w:right w:val="none" w:sz="0" w:space="0" w:color="auto"/>
      </w:divBdr>
    </w:div>
    <w:div w:id="1959333607">
      <w:bodyDiv w:val="1"/>
      <w:marLeft w:val="0"/>
      <w:marRight w:val="0"/>
      <w:marTop w:val="0"/>
      <w:marBottom w:val="0"/>
      <w:divBdr>
        <w:top w:val="none" w:sz="0" w:space="0" w:color="auto"/>
        <w:left w:val="none" w:sz="0" w:space="0" w:color="auto"/>
        <w:bottom w:val="none" w:sz="0" w:space="0" w:color="auto"/>
        <w:right w:val="none" w:sz="0" w:space="0" w:color="auto"/>
      </w:divBdr>
    </w:div>
    <w:div w:id="1977103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image" Target="media/image8.png"/><Relationship Id="rId39" Type="http://schemas.openxmlformats.org/officeDocument/2006/relationships/glossaryDocument" Target="glossary/document.xml"/><Relationship Id="rId21" Type="http://schemas.openxmlformats.org/officeDocument/2006/relationships/header" Target="header8.xml"/><Relationship Id="rId34" Type="http://schemas.openxmlformats.org/officeDocument/2006/relationships/header" Target="header15.xml"/><Relationship Id="rId42" Type="http://schemas.openxmlformats.org/officeDocument/2006/relationships/customXml" Target="../customXml/item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eader" Target="header7.xml"/><Relationship Id="rId29" Type="http://schemas.openxmlformats.org/officeDocument/2006/relationships/header" Target="header10.xml"/><Relationship Id="rId41"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6.png"/><Relationship Id="rId32" Type="http://schemas.openxmlformats.org/officeDocument/2006/relationships/header" Target="header13.xml"/><Relationship Id="rId37" Type="http://schemas.openxmlformats.org/officeDocument/2006/relationships/header" Target="header18.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chart" Target="charts/chart1.xml"/><Relationship Id="rId28" Type="http://schemas.openxmlformats.org/officeDocument/2006/relationships/image" Target="media/image10.png"/><Relationship Id="rId36" Type="http://schemas.openxmlformats.org/officeDocument/2006/relationships/header" Target="header17.xml"/><Relationship Id="rId10" Type="http://schemas.openxmlformats.org/officeDocument/2006/relationships/image" Target="media/image3.jpeg"/><Relationship Id="rId19" Type="http://schemas.openxmlformats.org/officeDocument/2006/relationships/header" Target="header6.xml"/><Relationship Id="rId31" Type="http://schemas.openxmlformats.org/officeDocument/2006/relationships/header" Target="header12.xml"/><Relationship Id="rId44" Type="http://schemas.openxmlformats.org/officeDocument/2006/relationships/customXml" Target="../customXml/item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header" Target="header9.xml"/><Relationship Id="rId27" Type="http://schemas.openxmlformats.org/officeDocument/2006/relationships/image" Target="media/image9.png"/><Relationship Id="rId30" Type="http://schemas.openxmlformats.org/officeDocument/2006/relationships/header" Target="header11.xml"/><Relationship Id="rId35" Type="http://schemas.openxmlformats.org/officeDocument/2006/relationships/header" Target="header16.xml"/><Relationship Id="rId43" Type="http://schemas.openxmlformats.org/officeDocument/2006/relationships/customXml" Target="../customXml/item4.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7.png"/><Relationship Id="rId33" Type="http://schemas.openxmlformats.org/officeDocument/2006/relationships/header" Target="header14.xml"/><Relationship Id="rId38"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charts/_rels/chart1.xml.rels><?xml version="1.0" encoding="UTF-8" standalone="yes"?>
<Relationships xmlns="http://schemas.openxmlformats.org/package/2006/relationships"><Relationship Id="rId3" Type="http://schemas.openxmlformats.org/officeDocument/2006/relationships/oleObject" Target="file:///\\internal\dfs\cbr1\group\ISTP\Maritime%20Policy%20Reform%20Branch\NEW%20MET%20SECTION\Liability\Nairobi%20Wrecks%20Convention\RIS\RIS\Dollar%20Value%20of%20trade%20via%20Shipping%20vs.%20Overall%20Trade.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989335101983792"/>
          <c:y val="0.13805539355913948"/>
          <c:w val="0.51698793297655043"/>
          <c:h val="0.50658938466025083"/>
        </c:manualLayout>
      </c:layout>
      <c:barChart>
        <c:barDir val="col"/>
        <c:grouping val="clustered"/>
        <c:varyColors val="0"/>
        <c:ser>
          <c:idx val="0"/>
          <c:order val="0"/>
          <c:tx>
            <c:strRef>
              <c:f>Sheet1!$A$5</c:f>
              <c:strCache>
                <c:ptCount val="1"/>
                <c:pt idx="0">
                  <c:v>2008</c:v>
                </c:pt>
              </c:strCache>
            </c:strRef>
          </c:tx>
          <c:spPr>
            <a:solidFill>
              <a:schemeClr val="accent1"/>
            </a:solidFill>
            <a:ln>
              <a:noFill/>
            </a:ln>
            <a:effectLst/>
          </c:spPr>
          <c:invertIfNegative val="0"/>
          <c:cat>
            <c:multiLvlStrRef>
              <c:f>Sheet1!$B$2:$F$4</c:f>
              <c:multiLvlStrCache>
                <c:ptCount val="5"/>
                <c:lvl>
                  <c:pt idx="0">
                    <c:v>Exports</c:v>
                  </c:pt>
                  <c:pt idx="1">
                    <c:v>Imports</c:v>
                  </c:pt>
                  <c:pt idx="3">
                    <c:v>Exports </c:v>
                  </c:pt>
                  <c:pt idx="4">
                    <c:v>Imports </c:v>
                  </c:pt>
                </c:lvl>
                <c:lvl>
                  <c:pt idx="0">
                    <c:v>Dollar Value of Australian Trade via Shipping </c:v>
                  </c:pt>
                  <c:pt idx="3">
                    <c:v>Dollar Value of Overall Trade in Australia</c:v>
                  </c:pt>
                </c:lvl>
              </c:multiLvlStrCache>
            </c:multiLvlStrRef>
          </c:cat>
          <c:val>
            <c:numRef>
              <c:f>Sheet1!$B$5:$F$5</c:f>
              <c:numCache>
                <c:formatCode>#,##0</c:formatCode>
                <c:ptCount val="5"/>
                <c:pt idx="0">
                  <c:v>190900000</c:v>
                </c:pt>
                <c:pt idx="1">
                  <c:v>191000000</c:v>
                </c:pt>
                <c:pt idx="3">
                  <c:v>244014713</c:v>
                </c:pt>
                <c:pt idx="4">
                  <c:v>261989705</c:v>
                </c:pt>
              </c:numCache>
            </c:numRef>
          </c:val>
          <c:extLst>
            <c:ext xmlns:c16="http://schemas.microsoft.com/office/drawing/2014/chart" uri="{C3380CC4-5D6E-409C-BE32-E72D297353CC}">
              <c16:uniqueId val="{00000000-860D-4012-A9FB-83E4549F2241}"/>
            </c:ext>
          </c:extLst>
        </c:ser>
        <c:ser>
          <c:idx val="1"/>
          <c:order val="1"/>
          <c:tx>
            <c:strRef>
              <c:f>Sheet1!$A$6</c:f>
              <c:strCache>
                <c:ptCount val="1"/>
                <c:pt idx="0">
                  <c:v>2017</c:v>
                </c:pt>
              </c:strCache>
            </c:strRef>
          </c:tx>
          <c:spPr>
            <a:solidFill>
              <a:schemeClr val="accent2"/>
            </a:solidFill>
            <a:ln>
              <a:noFill/>
            </a:ln>
            <a:effectLst/>
          </c:spPr>
          <c:invertIfNegative val="0"/>
          <c:cat>
            <c:multiLvlStrRef>
              <c:f>Sheet1!$B$2:$F$4</c:f>
              <c:multiLvlStrCache>
                <c:ptCount val="5"/>
                <c:lvl>
                  <c:pt idx="0">
                    <c:v>Exports</c:v>
                  </c:pt>
                  <c:pt idx="1">
                    <c:v>Imports</c:v>
                  </c:pt>
                  <c:pt idx="3">
                    <c:v>Exports </c:v>
                  </c:pt>
                  <c:pt idx="4">
                    <c:v>Imports </c:v>
                  </c:pt>
                </c:lvl>
                <c:lvl>
                  <c:pt idx="0">
                    <c:v>Dollar Value of Australian Trade via Shipping </c:v>
                  </c:pt>
                  <c:pt idx="3">
                    <c:v>Dollar Value of Overall Trade in Australia</c:v>
                  </c:pt>
                </c:lvl>
              </c:multiLvlStrCache>
            </c:multiLvlStrRef>
          </c:cat>
          <c:val>
            <c:numRef>
              <c:f>Sheet1!$B$6:$F$6</c:f>
              <c:numCache>
                <c:formatCode>#,##0</c:formatCode>
                <c:ptCount val="5"/>
                <c:pt idx="0">
                  <c:v>252100000</c:v>
                </c:pt>
                <c:pt idx="1">
                  <c:v>193000000</c:v>
                </c:pt>
                <c:pt idx="3">
                  <c:v>300574274</c:v>
                </c:pt>
                <c:pt idx="4">
                  <c:v>298326174</c:v>
                </c:pt>
              </c:numCache>
            </c:numRef>
          </c:val>
          <c:extLst>
            <c:ext xmlns:c16="http://schemas.microsoft.com/office/drawing/2014/chart" uri="{C3380CC4-5D6E-409C-BE32-E72D297353CC}">
              <c16:uniqueId val="{00000001-860D-4012-A9FB-83E4549F2241}"/>
            </c:ext>
          </c:extLst>
        </c:ser>
        <c:dLbls>
          <c:showLegendKey val="0"/>
          <c:showVal val="0"/>
          <c:showCatName val="0"/>
          <c:showSerName val="0"/>
          <c:showPercent val="0"/>
          <c:showBubbleSize val="0"/>
        </c:dLbls>
        <c:gapWidth val="219"/>
        <c:overlap val="-27"/>
        <c:axId val="559037432"/>
        <c:axId val="559038088"/>
        <c:extLst>
          <c:ext xmlns:c15="http://schemas.microsoft.com/office/drawing/2012/chart" uri="{02D57815-91ED-43cb-92C2-25804820EDAC}">
            <c15:filteredBarSeries>
              <c15:ser>
                <c:idx val="2"/>
                <c:order val="2"/>
                <c:tx>
                  <c:strRef>
                    <c:extLst>
                      <c:ext uri="{02D57815-91ED-43cb-92C2-25804820EDAC}">
                        <c15:formulaRef>
                          <c15:sqref>Sheet1!$A$7</c15:sqref>
                        </c15:formulaRef>
                      </c:ext>
                    </c:extLst>
                    <c:strCache>
                      <c:ptCount val="1"/>
                    </c:strCache>
                  </c:strRef>
                </c:tx>
                <c:spPr>
                  <a:solidFill>
                    <a:schemeClr val="accent3"/>
                  </a:solidFill>
                  <a:ln>
                    <a:noFill/>
                  </a:ln>
                  <a:effectLst/>
                </c:spPr>
                <c:invertIfNegative val="0"/>
                <c:cat>
                  <c:multiLvlStrRef>
                    <c:extLst>
                      <c:ext uri="{02D57815-91ED-43cb-92C2-25804820EDAC}">
                        <c15:formulaRef>
                          <c15:sqref>Sheet1!$B$2:$F$4</c15:sqref>
                        </c15:formulaRef>
                      </c:ext>
                    </c:extLst>
                    <c:multiLvlStrCache>
                      <c:ptCount val="5"/>
                      <c:lvl>
                        <c:pt idx="0">
                          <c:v>Exports</c:v>
                        </c:pt>
                        <c:pt idx="1">
                          <c:v>Imports</c:v>
                        </c:pt>
                        <c:pt idx="3">
                          <c:v>Exports </c:v>
                        </c:pt>
                        <c:pt idx="4">
                          <c:v>Imports </c:v>
                        </c:pt>
                      </c:lvl>
                      <c:lvl>
                        <c:pt idx="0">
                          <c:v>Dollar Value of Australian Trade via Shipping </c:v>
                        </c:pt>
                        <c:pt idx="3">
                          <c:v>Dollar Value of Overall Trade in Australia</c:v>
                        </c:pt>
                      </c:lvl>
                    </c:multiLvlStrCache>
                  </c:multiLvlStrRef>
                </c:cat>
                <c:val>
                  <c:numRef>
                    <c:extLst>
                      <c:ext uri="{02D57815-91ED-43cb-92C2-25804820EDAC}">
                        <c15:formulaRef>
                          <c15:sqref>Sheet1!$B$7:$F$7</c15:sqref>
                        </c15:formulaRef>
                      </c:ext>
                    </c:extLst>
                    <c:numCache>
                      <c:formatCode>General</c:formatCode>
                      <c:ptCount val="5"/>
                    </c:numCache>
                  </c:numRef>
                </c:val>
                <c:extLst>
                  <c:ext xmlns:c16="http://schemas.microsoft.com/office/drawing/2014/chart" uri="{C3380CC4-5D6E-409C-BE32-E72D297353CC}">
                    <c16:uniqueId val="{00000002-860D-4012-A9FB-83E4549F2241}"/>
                  </c:ext>
                </c:extLst>
              </c15:ser>
            </c15:filteredBarSeries>
          </c:ext>
        </c:extLst>
      </c:barChart>
      <c:catAx>
        <c:axId val="559037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9038088"/>
        <c:crosses val="autoZero"/>
        <c:auto val="1"/>
        <c:lblAlgn val="ctr"/>
        <c:lblOffset val="100"/>
        <c:noMultiLvlLbl val="0"/>
      </c:catAx>
      <c:valAx>
        <c:axId val="5590380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9037432"/>
        <c:crosses val="autoZero"/>
        <c:crossBetween val="between"/>
      </c:valAx>
      <c:spPr>
        <a:noFill/>
        <a:ln>
          <a:noFill/>
        </a:ln>
        <a:effectLst/>
      </c:spPr>
    </c:plotArea>
    <c:legend>
      <c:legendPos val="b"/>
      <c:layout>
        <c:manualLayout>
          <c:xMode val="edge"/>
          <c:yMode val="edge"/>
          <c:x val="0.43061425497913391"/>
          <c:y val="0.88749921259842512"/>
          <c:w val="0.23061519825745055"/>
          <c:h val="0.1125007874015748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NewRoman">
    <w:altName w:val="Times New Roman"/>
    <w:panose1 w:val="00000000000000000000"/>
    <w:charset w:val="00"/>
    <w:family w:val="auto"/>
    <w:notTrueType/>
    <w:pitch w:val="default"/>
    <w:sig w:usb0="00000003" w:usb1="00000000" w:usb2="00000000" w:usb3="00000000" w:csb0="00000001" w:csb1="00000000"/>
  </w:font>
  <w:font w:name="GillSans">
    <w:altName w:val="Calibri"/>
    <w:panose1 w:val="00000000000000000000"/>
    <w:charset w:val="00"/>
    <w:family w:val="auto"/>
    <w:notTrueType/>
    <w:pitch w:val="default"/>
    <w:sig w:usb0="00000003" w:usb1="00000000" w:usb2="00000000" w:usb3="00000000" w:csb0="00000001" w:csb1="00000000"/>
  </w:font>
  <w:font w:name="OpenSans">
    <w:altName w:val="Calibri"/>
    <w:panose1 w:val="00000000000000000000"/>
    <w:charset w:val="00"/>
    <w:family w:val="auto"/>
    <w:notTrueType/>
    <w:pitch w:val="default"/>
    <w:sig w:usb0="00000003" w:usb1="00000000" w:usb2="00000000" w:usb3="00000000" w:csb0="00000001" w:csb1="00000000"/>
  </w:font>
  <w:font w:name="Open Sans">
    <w:altName w:val="Times New Roman"/>
    <w:charset w:val="00"/>
    <w:family w:val="auto"/>
    <w:pitch w:val="default"/>
  </w:font>
  <w:font w:name="Arial Narrow">
    <w:panose1 w:val="020B0606020202030204"/>
    <w:charset w:val="00"/>
    <w:family w:val="swiss"/>
    <w:pitch w:val="variable"/>
    <w:sig w:usb0="00000287" w:usb1="000008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118F"/>
    <w:rsid w:val="000005EA"/>
    <w:rsid w:val="00016B6C"/>
    <w:rsid w:val="00025FD1"/>
    <w:rsid w:val="00034D15"/>
    <w:rsid w:val="000707D1"/>
    <w:rsid w:val="00073421"/>
    <w:rsid w:val="000B7EC3"/>
    <w:rsid w:val="000D2F60"/>
    <w:rsid w:val="000F006A"/>
    <w:rsid w:val="00111710"/>
    <w:rsid w:val="001126EC"/>
    <w:rsid w:val="00117290"/>
    <w:rsid w:val="00131042"/>
    <w:rsid w:val="00145763"/>
    <w:rsid w:val="00190CE1"/>
    <w:rsid w:val="00193CD7"/>
    <w:rsid w:val="001946D3"/>
    <w:rsid w:val="001C1188"/>
    <w:rsid w:val="001D5BD6"/>
    <w:rsid w:val="001D6055"/>
    <w:rsid w:val="001F0D3F"/>
    <w:rsid w:val="002009DA"/>
    <w:rsid w:val="00201515"/>
    <w:rsid w:val="0020534C"/>
    <w:rsid w:val="0022630D"/>
    <w:rsid w:val="002346F8"/>
    <w:rsid w:val="00244811"/>
    <w:rsid w:val="00251951"/>
    <w:rsid w:val="002846B8"/>
    <w:rsid w:val="0028542F"/>
    <w:rsid w:val="00287250"/>
    <w:rsid w:val="00295536"/>
    <w:rsid w:val="00295BAD"/>
    <w:rsid w:val="002976CA"/>
    <w:rsid w:val="002D740B"/>
    <w:rsid w:val="002F0DB8"/>
    <w:rsid w:val="002F2655"/>
    <w:rsid w:val="002F5258"/>
    <w:rsid w:val="00332832"/>
    <w:rsid w:val="003749DC"/>
    <w:rsid w:val="003B118F"/>
    <w:rsid w:val="003E24E9"/>
    <w:rsid w:val="003E30CA"/>
    <w:rsid w:val="003F172F"/>
    <w:rsid w:val="004129E4"/>
    <w:rsid w:val="00413883"/>
    <w:rsid w:val="0042671A"/>
    <w:rsid w:val="00444518"/>
    <w:rsid w:val="004665BA"/>
    <w:rsid w:val="004743DD"/>
    <w:rsid w:val="00490AF3"/>
    <w:rsid w:val="004939F1"/>
    <w:rsid w:val="00494566"/>
    <w:rsid w:val="00496AE5"/>
    <w:rsid w:val="004A587A"/>
    <w:rsid w:val="004D0C79"/>
    <w:rsid w:val="004E5FFF"/>
    <w:rsid w:val="004F24A3"/>
    <w:rsid w:val="00523AB1"/>
    <w:rsid w:val="005772EA"/>
    <w:rsid w:val="00593013"/>
    <w:rsid w:val="005A094E"/>
    <w:rsid w:val="005A4065"/>
    <w:rsid w:val="005A413C"/>
    <w:rsid w:val="005B5C18"/>
    <w:rsid w:val="005E0FF0"/>
    <w:rsid w:val="0060390D"/>
    <w:rsid w:val="006223FB"/>
    <w:rsid w:val="00637412"/>
    <w:rsid w:val="0065085F"/>
    <w:rsid w:val="00656284"/>
    <w:rsid w:val="006676DB"/>
    <w:rsid w:val="00683FFB"/>
    <w:rsid w:val="006877B6"/>
    <w:rsid w:val="00691522"/>
    <w:rsid w:val="006A3C03"/>
    <w:rsid w:val="006B05A8"/>
    <w:rsid w:val="006B6650"/>
    <w:rsid w:val="006D7D3D"/>
    <w:rsid w:val="007150D4"/>
    <w:rsid w:val="007427A3"/>
    <w:rsid w:val="0075407F"/>
    <w:rsid w:val="00771017"/>
    <w:rsid w:val="0077650B"/>
    <w:rsid w:val="00784803"/>
    <w:rsid w:val="00786FA6"/>
    <w:rsid w:val="007A5530"/>
    <w:rsid w:val="007E237D"/>
    <w:rsid w:val="00804D2F"/>
    <w:rsid w:val="00832C6C"/>
    <w:rsid w:val="00851B74"/>
    <w:rsid w:val="00875174"/>
    <w:rsid w:val="00877C21"/>
    <w:rsid w:val="00881AD6"/>
    <w:rsid w:val="00896A25"/>
    <w:rsid w:val="008C541E"/>
    <w:rsid w:val="008E5974"/>
    <w:rsid w:val="008F5730"/>
    <w:rsid w:val="00934A11"/>
    <w:rsid w:val="009613FC"/>
    <w:rsid w:val="0099432E"/>
    <w:rsid w:val="009A4D4A"/>
    <w:rsid w:val="009F6081"/>
    <w:rsid w:val="009F7D17"/>
    <w:rsid w:val="00A83CDA"/>
    <w:rsid w:val="00A922D9"/>
    <w:rsid w:val="00AB5283"/>
    <w:rsid w:val="00AD0430"/>
    <w:rsid w:val="00AD0E45"/>
    <w:rsid w:val="00B10608"/>
    <w:rsid w:val="00B12203"/>
    <w:rsid w:val="00B35B8D"/>
    <w:rsid w:val="00B37BBE"/>
    <w:rsid w:val="00B85F08"/>
    <w:rsid w:val="00B92224"/>
    <w:rsid w:val="00BA0101"/>
    <w:rsid w:val="00C12FB5"/>
    <w:rsid w:val="00C209FC"/>
    <w:rsid w:val="00C226D4"/>
    <w:rsid w:val="00C32C77"/>
    <w:rsid w:val="00C854C6"/>
    <w:rsid w:val="00C936EB"/>
    <w:rsid w:val="00CB3563"/>
    <w:rsid w:val="00CB7812"/>
    <w:rsid w:val="00CD6929"/>
    <w:rsid w:val="00CE43B9"/>
    <w:rsid w:val="00D01A7D"/>
    <w:rsid w:val="00D02956"/>
    <w:rsid w:val="00D13605"/>
    <w:rsid w:val="00D41E41"/>
    <w:rsid w:val="00D62578"/>
    <w:rsid w:val="00D7516B"/>
    <w:rsid w:val="00DC34D0"/>
    <w:rsid w:val="00DE2064"/>
    <w:rsid w:val="00E0702C"/>
    <w:rsid w:val="00E219F9"/>
    <w:rsid w:val="00E474A4"/>
    <w:rsid w:val="00E5314D"/>
    <w:rsid w:val="00E70887"/>
    <w:rsid w:val="00E73247"/>
    <w:rsid w:val="00E855A9"/>
    <w:rsid w:val="00E935F9"/>
    <w:rsid w:val="00EA10C4"/>
    <w:rsid w:val="00EA2170"/>
    <w:rsid w:val="00EB2859"/>
    <w:rsid w:val="00EB2B92"/>
    <w:rsid w:val="00EE1494"/>
    <w:rsid w:val="00EE39C3"/>
    <w:rsid w:val="00EF4B33"/>
    <w:rsid w:val="00F21529"/>
    <w:rsid w:val="00F305D3"/>
    <w:rsid w:val="00F347CF"/>
    <w:rsid w:val="00F3673D"/>
    <w:rsid w:val="00F65F83"/>
    <w:rsid w:val="00F73E53"/>
    <w:rsid w:val="00F74F0C"/>
    <w:rsid w:val="00F812F7"/>
    <w:rsid w:val="00F81396"/>
    <w:rsid w:val="00FA4784"/>
    <w:rsid w:val="00FD2209"/>
    <w:rsid w:val="00FE1D27"/>
    <w:rsid w:val="00FF698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2A58F3F1A20E4FC9A7587EF6DAB8C6CF">
    <w:name w:val="2A58F3F1A20E4FC9A7587EF6DAB8C6CF"/>
  </w:style>
  <w:style w:type="paragraph" w:customStyle="1" w:styleId="326957EAAF2F4BA788E8690D6885224A">
    <w:name w:val="326957EAAF2F4BA788E8690D6885224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Office Theme">
  <a:themeElements>
    <a:clrScheme name="DoITRDC Interim Branding 2020">
      <a:dk1>
        <a:srgbClr val="000000"/>
      </a:dk1>
      <a:lt1>
        <a:srgbClr val="FFFFFF"/>
      </a:lt1>
      <a:dk2>
        <a:srgbClr val="081E3E"/>
      </a:dk2>
      <a:lt2>
        <a:srgbClr val="E7E7E7"/>
      </a:lt2>
      <a:accent1>
        <a:srgbClr val="081E3E"/>
      </a:accent1>
      <a:accent2>
        <a:srgbClr val="4BB3B5"/>
      </a:accent2>
      <a:accent3>
        <a:srgbClr val="77D1F4"/>
      </a:accent3>
      <a:accent4>
        <a:srgbClr val="9AA3AF"/>
      </a:accent4>
      <a:accent5>
        <a:srgbClr val="C0D48F"/>
      </a:accent5>
      <a:accent6>
        <a:srgbClr val="6FC197"/>
      </a:accent6>
      <a:hlink>
        <a:srgbClr val="0046FF"/>
      </a:hlink>
      <a:folHlink>
        <a:srgbClr val="0046FF"/>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CA239676470E04B809DDC4E24CF2322" ma:contentTypeVersion="16" ma:contentTypeDescription="Create a new document." ma:contentTypeScope="" ma:versionID="15883b792da53fd44784623907b31bb4">
  <xsd:schema xmlns:xsd="http://www.w3.org/2001/XMLSchema" xmlns:xs="http://www.w3.org/2001/XMLSchema" xmlns:p="http://schemas.microsoft.com/office/2006/metadata/properties" xmlns:ns1="http://schemas.microsoft.com/sharepoint/v3" xmlns:ns2="4195ad5f-cdf2-4c4a-8d9b-b7944a108e98" xmlns:ns3="26285671-540d-468b-b7a1-f3e0438dd51a" targetNamespace="http://schemas.microsoft.com/office/2006/metadata/properties" ma:root="true" ma:fieldsID="0fc62fc07c23b42ad0842bced76ef983" ns1:_="" ns2:_="" ns3:_="">
    <xsd:import namespace="http://schemas.microsoft.com/sharepoint/v3"/>
    <xsd:import namespace="4195ad5f-cdf2-4c4a-8d9b-b7944a108e98"/>
    <xsd:import namespace="26285671-540d-468b-b7a1-f3e0438dd51a"/>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2:SharedWithUsers" minOccurs="0"/>
                <xsd:element ref="ns2:SharedWithDetails" minOccurs="0"/>
                <xsd:element ref="ns3:lcf76f155ced4ddcb4097134ff3c332f" minOccurs="0"/>
                <xsd:element ref="ns2:TaxCatchAll"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5" nillable="true" ma:displayName="Unified Compliance Policy Properties" ma:hidden="true" ma:internalName="_ip_UnifiedCompliancePolicyProperties">
      <xsd:simpleType>
        <xsd:restriction base="dms:Note"/>
      </xsd:simpleType>
    </xsd:element>
    <xsd:element name="_ip_UnifiedCompliancePolicyUIAction" ma:index="2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195ad5f-cdf2-4c4a-8d9b-b7944a108e9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6cfc965e-522b-48e0-94e0-2258889ba25b}" ma:internalName="TaxCatchAll" ma:showField="CatchAllData" ma:web="4195ad5f-cdf2-4c4a-8d9b-b7944a108e9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6285671-540d-468b-b7a1-f3e0438dd51a"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a704aed0-9400-4f73-8896-887924b24b89"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TaxCatchAll xmlns="4195ad5f-cdf2-4c4a-8d9b-b7944a108e98" xsi:nil="true"/>
    <_ip_UnifiedCompliancePolicyProperties xmlns="http://schemas.microsoft.com/sharepoint/v3" xsi:nil="true"/>
    <lcf76f155ced4ddcb4097134ff3c332f xmlns="26285671-540d-468b-b7a1-f3e0438dd51a">
      <Terms xmlns="http://schemas.microsoft.com/office/infopath/2007/PartnerControls"/>
    </lcf76f155ced4ddcb4097134ff3c332f>
    <_dlc_DocId xmlns="4195ad5f-cdf2-4c4a-8d9b-b7944a108e98">DOCID-322795542-31585</_dlc_DocId>
    <_dlc_DocIdUrl xmlns="4195ad5f-cdf2-4c4a-8d9b-b7944a108e98">
      <Url>https://pmc01.sharepoint.com/sites/CRMOBPR/_layouts/15/DocIdRedir.aspx?ID=DOCID-322795542-31585</Url>
      <Description>DOCID-322795542-31585</Description>
    </_dlc_DocIdUrl>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CC65419-37A2-49E0-81C1-3C1BE49A495D}"/>
</file>

<file path=customXml/itemProps3.xml><?xml version="1.0" encoding="utf-8"?>
<ds:datastoreItem xmlns:ds="http://schemas.openxmlformats.org/officeDocument/2006/customXml" ds:itemID="{6DE58B5E-E26A-4A4D-8344-5EF0795B9D8C}"/>
</file>

<file path=customXml/itemProps4.xml><?xml version="1.0" encoding="utf-8"?>
<ds:datastoreItem xmlns:ds="http://schemas.openxmlformats.org/officeDocument/2006/customXml" ds:itemID="{22982903-CE47-42C9-AD36-9A37D1C54801}"/>
</file>

<file path=customXml/itemProps5.xml><?xml version="1.0" encoding="utf-8"?>
<ds:datastoreItem xmlns:ds="http://schemas.openxmlformats.org/officeDocument/2006/customXml" ds:itemID="{614C883B-A375-4FF7-9E8B-813077759E7D}"/>
</file>

<file path=docProps/app.xml><?xml version="1.0" encoding="utf-8"?>
<Properties xmlns="http://schemas.openxmlformats.org/officeDocument/2006/extended-properties" xmlns:vt="http://schemas.openxmlformats.org/officeDocument/2006/docPropsVTypes">
  <Template>Normal</Template>
  <TotalTime>0</TotalTime>
  <Pages>48</Pages>
  <Words>22357</Words>
  <Characters>127440</Characters>
  <Application>Microsoft Office Word</Application>
  <DocSecurity>0</DocSecurity>
  <Lines>1062</Lines>
  <Paragraphs>298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2023-04-18T03:48:00Z</dcterms:created>
  <dcterms:modified xsi:type="dcterms:W3CDTF">2023-04-18T03:48:00Z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0x0101009CA239676470E04B809DDC4E24CF2322</vt:lpwstr>
  </property>
  <property fmtid="{D5CDD505-2E9C-101B-9397-08002B2CF9AE}" pid="3" name="_dlc_DocIdItemGuid">
    <vt:lpwstr>83afb77c-6ae9-4b5b-b3f6-56638a6dd53f</vt:lpwstr>
  </property>
</Properties>
</file>