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30EF" w14:textId="77777777" w:rsidR="005418BD" w:rsidRDefault="00FF641C">
      <w:pPr>
        <w:spacing w:before="3" w:after="51"/>
        <w:ind w:left="3902" w:right="3814"/>
        <w:textAlignment w:val="baseline"/>
      </w:pPr>
      <w:r>
        <w:rPr>
          <w:noProof/>
          <w:lang w:val="en-AU" w:eastAsia="en-AU"/>
        </w:rPr>
        <w:drawing>
          <wp:inline distT="0" distB="0" distL="0" distR="0" wp14:anchorId="2D253C36" wp14:editId="3F6105F9">
            <wp:extent cx="853440" cy="612775"/>
            <wp:effectExtent l="0" t="0" r="0" b="0"/>
            <wp:docPr id="1" name="Picture" descr="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853440" cy="612775"/>
                    </a:xfrm>
                    <a:prstGeom prst="rect">
                      <a:avLst/>
                    </a:prstGeom>
                  </pic:spPr>
                </pic:pic>
              </a:graphicData>
            </a:graphic>
          </wp:inline>
        </w:drawing>
      </w:r>
    </w:p>
    <w:p w14:paraId="321FF93F" w14:textId="77777777" w:rsidR="005418BD" w:rsidRDefault="00FF641C">
      <w:pPr>
        <w:spacing w:before="5" w:after="56" w:line="276" w:lineRule="exact"/>
        <w:jc w:val="center"/>
        <w:textAlignment w:val="baseline"/>
        <w:rPr>
          <w:rFonts w:eastAsia="Times New Roman"/>
          <w:color w:val="000000"/>
          <w:spacing w:val="6"/>
          <w:sz w:val="25"/>
        </w:rPr>
      </w:pPr>
      <w:r>
        <w:rPr>
          <w:rFonts w:eastAsia="Times New Roman"/>
          <w:color w:val="000000"/>
          <w:spacing w:val="6"/>
          <w:sz w:val="25"/>
        </w:rPr>
        <w:t>Australian Government</w:t>
      </w:r>
    </w:p>
    <w:p w14:paraId="0FA9B71D" w14:textId="77777777" w:rsidR="005418BD" w:rsidRDefault="00F86B89">
      <w:pPr>
        <w:spacing w:before="81" w:line="286" w:lineRule="exact"/>
        <w:jc w:val="center"/>
        <w:textAlignment w:val="baseline"/>
        <w:rPr>
          <w:rFonts w:eastAsia="Times New Roman"/>
          <w:color w:val="000000"/>
          <w:sz w:val="25"/>
        </w:rPr>
      </w:pPr>
      <w:r>
        <w:pict w14:anchorId="7CE2831C">
          <v:line id="_x0000_s1026" style="position:absolute;left:0;text-align:left;z-index:251657728;mso-position-horizontal-relative:page;mso-position-vertical-relative:page" from="205.45pt,106.55pt" to="379pt,106.55pt" strokecolor="#151817" strokeweight=".7pt">
            <w10:wrap anchorx="page" anchory="page"/>
          </v:line>
        </w:pict>
      </w:r>
      <w:r w:rsidR="00FF641C">
        <w:rPr>
          <w:rFonts w:eastAsia="Times New Roman"/>
          <w:color w:val="000000"/>
          <w:sz w:val="25"/>
        </w:rPr>
        <w:t xml:space="preserve">Department of Infrastructure, </w:t>
      </w:r>
      <w:r w:rsidR="00FF641C">
        <w:rPr>
          <w:rFonts w:eastAsia="Times New Roman"/>
          <w:color w:val="000000"/>
          <w:sz w:val="25"/>
        </w:rPr>
        <w:br/>
        <w:t xml:space="preserve">Transport, Regional Development, </w:t>
      </w:r>
      <w:r w:rsidR="00FF641C">
        <w:rPr>
          <w:rFonts w:eastAsia="Times New Roman"/>
          <w:color w:val="000000"/>
          <w:sz w:val="25"/>
        </w:rPr>
        <w:br/>
        <w:t>Communications and the Arts</w:t>
      </w:r>
    </w:p>
    <w:p w14:paraId="054D4312" w14:textId="77777777" w:rsidR="005418BD" w:rsidRDefault="00FF641C">
      <w:pPr>
        <w:spacing w:before="224" w:line="276" w:lineRule="exact"/>
        <w:textAlignment w:val="baseline"/>
        <w:rPr>
          <w:rFonts w:eastAsia="Times New Roman"/>
          <w:color w:val="000000"/>
          <w:spacing w:val="-5"/>
          <w:sz w:val="25"/>
        </w:rPr>
      </w:pPr>
      <w:r>
        <w:rPr>
          <w:rFonts w:eastAsia="Times New Roman"/>
          <w:color w:val="000000"/>
          <w:spacing w:val="-5"/>
          <w:sz w:val="25"/>
        </w:rPr>
        <w:t>Mr Jason Lange</w:t>
      </w:r>
    </w:p>
    <w:p w14:paraId="0012ABDC" w14:textId="77777777" w:rsidR="005418BD" w:rsidRDefault="00FF641C">
      <w:pPr>
        <w:spacing w:line="276" w:lineRule="exact"/>
        <w:textAlignment w:val="baseline"/>
        <w:rPr>
          <w:rFonts w:eastAsia="Times New Roman"/>
          <w:color w:val="000000"/>
          <w:spacing w:val="-4"/>
          <w:sz w:val="25"/>
        </w:rPr>
      </w:pPr>
      <w:r>
        <w:rPr>
          <w:rFonts w:eastAsia="Times New Roman"/>
          <w:color w:val="000000"/>
          <w:spacing w:val="-4"/>
          <w:sz w:val="25"/>
        </w:rPr>
        <w:t>Executive Director</w:t>
      </w:r>
    </w:p>
    <w:p w14:paraId="6757D1BD" w14:textId="77777777" w:rsidR="005418BD" w:rsidRDefault="00FF641C">
      <w:pPr>
        <w:spacing w:line="276" w:lineRule="exact"/>
        <w:textAlignment w:val="baseline"/>
        <w:rPr>
          <w:rFonts w:eastAsia="Times New Roman"/>
          <w:color w:val="000000"/>
          <w:spacing w:val="-4"/>
          <w:sz w:val="25"/>
        </w:rPr>
      </w:pPr>
      <w:r>
        <w:rPr>
          <w:rFonts w:eastAsia="Times New Roman"/>
          <w:color w:val="000000"/>
          <w:spacing w:val="-4"/>
          <w:sz w:val="25"/>
        </w:rPr>
        <w:t>Office of Impact Analysis</w:t>
      </w:r>
    </w:p>
    <w:p w14:paraId="2F16300E" w14:textId="77777777" w:rsidR="005418BD" w:rsidRDefault="00FF641C">
      <w:pPr>
        <w:spacing w:before="27" w:line="276" w:lineRule="exact"/>
        <w:textAlignment w:val="baseline"/>
        <w:rPr>
          <w:rFonts w:eastAsia="Times New Roman"/>
          <w:color w:val="000000"/>
          <w:spacing w:val="-4"/>
          <w:sz w:val="25"/>
        </w:rPr>
      </w:pPr>
      <w:r>
        <w:rPr>
          <w:rFonts w:eastAsia="Times New Roman"/>
          <w:color w:val="000000"/>
          <w:spacing w:val="-4"/>
          <w:sz w:val="25"/>
        </w:rPr>
        <w:t>Department of the Prime Minister and Cabinet</w:t>
      </w:r>
    </w:p>
    <w:p w14:paraId="013E5BE3" w14:textId="77777777" w:rsidR="005418BD" w:rsidRDefault="00FF641C">
      <w:pPr>
        <w:spacing w:before="319" w:line="278" w:lineRule="exact"/>
        <w:textAlignment w:val="baseline"/>
        <w:rPr>
          <w:rFonts w:eastAsia="Times New Roman"/>
          <w:color w:val="000000"/>
          <w:spacing w:val="-5"/>
          <w:sz w:val="25"/>
        </w:rPr>
      </w:pPr>
      <w:r>
        <w:rPr>
          <w:rFonts w:eastAsia="Times New Roman"/>
          <w:color w:val="000000"/>
          <w:spacing w:val="-5"/>
          <w:sz w:val="25"/>
        </w:rPr>
        <w:t xml:space="preserve">Via </w:t>
      </w:r>
      <w:hyperlink r:id="rId10">
        <w:r>
          <w:rPr>
            <w:rFonts w:eastAsia="Times New Roman"/>
            <w:color w:val="0000FF"/>
            <w:spacing w:val="-5"/>
            <w:sz w:val="25"/>
            <w:u w:val="single"/>
          </w:rPr>
          <w:t>email:</w:t>
        </w:r>
      </w:hyperlink>
      <w:hyperlink r:id="rId11">
        <w:r>
          <w:rPr>
            <w:rFonts w:eastAsia="Times New Roman"/>
            <w:color w:val="0000FF"/>
            <w:spacing w:val="-5"/>
            <w:sz w:val="25"/>
            <w:u w:val="single"/>
          </w:rPr>
          <w:t xml:space="preserve"> Helpdesk-OIA@pmc.gov.au</w:t>
        </w:r>
      </w:hyperlink>
      <w:r>
        <w:rPr>
          <w:rFonts w:eastAsia="Times New Roman"/>
          <w:color w:val="091E6F"/>
          <w:spacing w:val="-5"/>
          <w:sz w:val="25"/>
          <w:u w:val="single"/>
        </w:rPr>
        <w:t xml:space="preserve"> </w:t>
      </w:r>
    </w:p>
    <w:p w14:paraId="5057BBED" w14:textId="77777777" w:rsidR="005418BD" w:rsidRDefault="00FF641C">
      <w:pPr>
        <w:spacing w:before="612" w:line="276" w:lineRule="exact"/>
        <w:textAlignment w:val="baseline"/>
        <w:rPr>
          <w:rFonts w:eastAsia="Times New Roman"/>
          <w:color w:val="000000"/>
          <w:spacing w:val="-5"/>
          <w:sz w:val="25"/>
        </w:rPr>
      </w:pPr>
      <w:r>
        <w:rPr>
          <w:rFonts w:eastAsia="Times New Roman"/>
          <w:color w:val="000000"/>
          <w:spacing w:val="-5"/>
          <w:sz w:val="25"/>
        </w:rPr>
        <w:t>Dear Mr Lange</w:t>
      </w:r>
    </w:p>
    <w:p w14:paraId="50D1503C" w14:textId="77777777" w:rsidR="005418BD" w:rsidRDefault="00FF641C">
      <w:pPr>
        <w:spacing w:before="344" w:line="276" w:lineRule="exact"/>
        <w:textAlignment w:val="baseline"/>
        <w:rPr>
          <w:rFonts w:eastAsia="Times New Roman"/>
          <w:color w:val="000000"/>
          <w:sz w:val="25"/>
        </w:rPr>
      </w:pPr>
      <w:r>
        <w:rPr>
          <w:rFonts w:eastAsia="Times New Roman"/>
          <w:color w:val="000000"/>
          <w:sz w:val="25"/>
        </w:rPr>
        <w:t>Remaking the Broadcasting Services (Events) Notice (No. 1) 2010</w:t>
      </w:r>
    </w:p>
    <w:p w14:paraId="08FFEAA3" w14:textId="77777777" w:rsidR="005418BD" w:rsidRDefault="00FF641C">
      <w:pPr>
        <w:spacing w:before="308" w:line="297" w:lineRule="exact"/>
        <w:ind w:right="216"/>
        <w:textAlignment w:val="baseline"/>
        <w:rPr>
          <w:rFonts w:eastAsia="Times New Roman"/>
          <w:color w:val="000000"/>
          <w:sz w:val="25"/>
        </w:rPr>
      </w:pPr>
      <w:r>
        <w:rPr>
          <w:rFonts w:eastAsia="Times New Roman"/>
          <w:color w:val="000000"/>
          <w:sz w:val="25"/>
        </w:rPr>
        <w:t xml:space="preserve">I am writing to the Office of Impact Analysis (OIA) regarding the Broadcasting Services (Events) Notice (No. 1) 2010 which, as per the </w:t>
      </w:r>
      <w:r>
        <w:rPr>
          <w:rFonts w:eastAsia="Times New Roman"/>
          <w:i/>
          <w:color w:val="000000"/>
          <w:sz w:val="25"/>
        </w:rPr>
        <w:t xml:space="preserve">Legislation Act 2003, </w:t>
      </w:r>
      <w:r>
        <w:rPr>
          <w:rFonts w:eastAsia="Times New Roman"/>
          <w:color w:val="000000"/>
          <w:sz w:val="25"/>
        </w:rPr>
        <w:t>had been scheduled to sunset on 1 April 2023. However, it is proposed that the instrument is to be remade without significant amendment.</w:t>
      </w:r>
    </w:p>
    <w:p w14:paraId="5CD924B6" w14:textId="77777777" w:rsidR="005418BD" w:rsidRDefault="00FF641C">
      <w:pPr>
        <w:spacing w:before="307" w:line="300" w:lineRule="exact"/>
        <w:textAlignment w:val="baseline"/>
        <w:rPr>
          <w:rFonts w:eastAsia="Times New Roman"/>
          <w:color w:val="000000"/>
          <w:spacing w:val="-4"/>
          <w:sz w:val="25"/>
        </w:rPr>
      </w:pPr>
      <w:r>
        <w:rPr>
          <w:rFonts w:eastAsia="Times New Roman"/>
          <w:color w:val="000000"/>
          <w:spacing w:val="-4"/>
          <w:sz w:val="25"/>
        </w:rPr>
        <w:t>The Department of Infrastructure, Transport, Regional Development, Communications and the Arts (the Department) certifies that the Notice is operating effectively and efficiently, and that therefore an Impact Assessment is not required for this regulation to be remade.</w:t>
      </w:r>
    </w:p>
    <w:p w14:paraId="11624E7C" w14:textId="77777777" w:rsidR="005418BD" w:rsidRDefault="00FF641C">
      <w:pPr>
        <w:spacing w:before="303" w:line="299" w:lineRule="exact"/>
        <w:ind w:right="144"/>
        <w:textAlignment w:val="baseline"/>
        <w:rPr>
          <w:rFonts w:eastAsia="Times New Roman"/>
          <w:color w:val="000000"/>
          <w:sz w:val="25"/>
        </w:rPr>
      </w:pPr>
      <w:r>
        <w:rPr>
          <w:rFonts w:eastAsia="Times New Roman"/>
          <w:color w:val="000000"/>
          <w:sz w:val="25"/>
        </w:rPr>
        <w:t>The assessment that the regulation is operating effectively and efficiently has been informed by a public consultation process from 11 October 2022 to 6 December 2022. This process included targeted consultation with free-to-air broadcasters; subscription television and streaming services; and sporting bodies.</w:t>
      </w:r>
    </w:p>
    <w:p w14:paraId="0369A1E6" w14:textId="77777777" w:rsidR="005418BD" w:rsidRDefault="00FF641C">
      <w:pPr>
        <w:spacing w:before="315" w:after="263" w:line="298" w:lineRule="exact"/>
        <w:textAlignment w:val="baseline"/>
        <w:rPr>
          <w:rFonts w:eastAsia="Times New Roman"/>
          <w:color w:val="000000"/>
          <w:sz w:val="25"/>
        </w:rPr>
      </w:pPr>
      <w:r>
        <w:rPr>
          <w:rFonts w:eastAsia="Times New Roman"/>
          <w:color w:val="000000"/>
          <w:sz w:val="25"/>
        </w:rPr>
        <w:t xml:space="preserve">I also note that the regulatory burden to business, community organisations or individuals has been quantified using the Australian Government's </w:t>
      </w:r>
      <w:r>
        <w:rPr>
          <w:rFonts w:eastAsia="Times New Roman"/>
          <w:i/>
          <w:color w:val="000000"/>
          <w:sz w:val="25"/>
        </w:rPr>
        <w:t xml:space="preserve">Regulatory Burden Measurement framework. </w:t>
      </w:r>
      <w:r>
        <w:rPr>
          <w:rFonts w:eastAsia="Times New Roman"/>
          <w:color w:val="000000"/>
          <w:sz w:val="25"/>
        </w:rPr>
        <w:t>These are provided below.</w:t>
      </w:r>
    </w:p>
    <w:tbl>
      <w:tblPr>
        <w:tblW w:w="0" w:type="auto"/>
        <w:tblInd w:w="33" w:type="dxa"/>
        <w:tblLayout w:type="fixed"/>
        <w:tblCellMar>
          <w:left w:w="0" w:type="dxa"/>
          <w:right w:w="0" w:type="dxa"/>
        </w:tblCellMar>
        <w:tblLook w:val="04A0" w:firstRow="1" w:lastRow="0" w:firstColumn="1" w:lastColumn="0" w:noHBand="0" w:noVBand="1"/>
      </w:tblPr>
      <w:tblGrid>
        <w:gridCol w:w="1987"/>
        <w:gridCol w:w="1618"/>
        <w:gridCol w:w="1800"/>
        <w:gridCol w:w="1795"/>
        <w:gridCol w:w="1810"/>
      </w:tblGrid>
      <w:tr w:rsidR="005418BD" w14:paraId="44258F2A" w14:textId="77777777">
        <w:trPr>
          <w:trHeight w:hRule="exact" w:val="322"/>
        </w:trPr>
        <w:tc>
          <w:tcPr>
            <w:tcW w:w="9010" w:type="dxa"/>
            <w:gridSpan w:val="5"/>
            <w:tcBorders>
              <w:top w:val="single" w:sz="4" w:space="0" w:color="000000"/>
              <w:left w:val="single" w:sz="4" w:space="0" w:color="000000"/>
              <w:bottom w:val="single" w:sz="4" w:space="0" w:color="000000"/>
              <w:right w:val="single" w:sz="4" w:space="0" w:color="000000"/>
            </w:tcBorders>
            <w:shd w:val="clear" w:color="C3353E" w:fill="C3353E"/>
            <w:vAlign w:val="center"/>
          </w:tcPr>
          <w:p w14:paraId="0674A689" w14:textId="77777777" w:rsidR="005418BD" w:rsidRDefault="00FF641C">
            <w:pPr>
              <w:spacing w:before="42" w:after="3" w:line="276" w:lineRule="exact"/>
              <w:ind w:left="120"/>
              <w:textAlignment w:val="baseline"/>
              <w:rPr>
                <w:rFonts w:eastAsia="Times New Roman"/>
                <w:color w:val="FFFFFF"/>
                <w:sz w:val="25"/>
              </w:rPr>
            </w:pPr>
            <w:r>
              <w:rPr>
                <w:rFonts w:eastAsia="Times New Roman"/>
                <w:color w:val="FFFFFF"/>
                <w:sz w:val="25"/>
              </w:rPr>
              <w:t>Average annual regulatory costs (from business as usual)</w:t>
            </w:r>
          </w:p>
        </w:tc>
      </w:tr>
      <w:tr w:rsidR="005418BD" w14:paraId="5022EB99" w14:textId="77777777">
        <w:trPr>
          <w:trHeight w:hRule="exact" w:val="609"/>
        </w:trPr>
        <w:tc>
          <w:tcPr>
            <w:tcW w:w="1987" w:type="dxa"/>
            <w:tcBorders>
              <w:top w:val="single" w:sz="4" w:space="0" w:color="000000"/>
              <w:left w:val="single" w:sz="4" w:space="0" w:color="000000"/>
              <w:bottom w:val="single" w:sz="4" w:space="0" w:color="000000"/>
              <w:right w:val="single" w:sz="4" w:space="0" w:color="000000"/>
            </w:tcBorders>
          </w:tcPr>
          <w:p w14:paraId="6FF21D57" w14:textId="77777777" w:rsidR="005418BD" w:rsidRDefault="00FF641C">
            <w:pPr>
              <w:spacing w:after="4" w:line="298" w:lineRule="exact"/>
              <w:ind w:left="108" w:right="288"/>
              <w:textAlignment w:val="baseline"/>
              <w:rPr>
                <w:rFonts w:eastAsia="Times New Roman"/>
                <w:color w:val="000000"/>
                <w:spacing w:val="-3"/>
                <w:sz w:val="25"/>
              </w:rPr>
            </w:pPr>
            <w:r>
              <w:rPr>
                <w:rFonts w:eastAsia="Times New Roman"/>
                <w:color w:val="000000"/>
                <w:spacing w:val="-3"/>
                <w:sz w:val="25"/>
              </w:rPr>
              <w:t>Change in costs ($ million)</w:t>
            </w:r>
          </w:p>
        </w:tc>
        <w:tc>
          <w:tcPr>
            <w:tcW w:w="1618" w:type="dxa"/>
            <w:tcBorders>
              <w:top w:val="single" w:sz="4" w:space="0" w:color="000000"/>
              <w:left w:val="single" w:sz="4" w:space="0" w:color="000000"/>
              <w:bottom w:val="single" w:sz="4" w:space="0" w:color="000000"/>
              <w:right w:val="single" w:sz="4" w:space="0" w:color="000000"/>
            </w:tcBorders>
          </w:tcPr>
          <w:p w14:paraId="365C7FB4" w14:textId="77777777" w:rsidR="005418BD" w:rsidRDefault="00FF641C">
            <w:pPr>
              <w:spacing w:after="301" w:line="276" w:lineRule="exact"/>
              <w:ind w:left="111"/>
              <w:textAlignment w:val="baseline"/>
              <w:rPr>
                <w:rFonts w:eastAsia="Times New Roman"/>
                <w:color w:val="000000"/>
                <w:sz w:val="25"/>
              </w:rPr>
            </w:pPr>
            <w:r>
              <w:rPr>
                <w:rFonts w:eastAsia="Times New Roman"/>
                <w:color w:val="000000"/>
                <w:sz w:val="25"/>
              </w:rPr>
              <w:t>Business</w:t>
            </w:r>
          </w:p>
        </w:tc>
        <w:tc>
          <w:tcPr>
            <w:tcW w:w="1800" w:type="dxa"/>
            <w:tcBorders>
              <w:top w:val="single" w:sz="4" w:space="0" w:color="000000"/>
              <w:left w:val="single" w:sz="4" w:space="0" w:color="000000"/>
              <w:bottom w:val="single" w:sz="4" w:space="0" w:color="000000"/>
              <w:right w:val="single" w:sz="4" w:space="0" w:color="000000"/>
            </w:tcBorders>
          </w:tcPr>
          <w:p w14:paraId="159BE1DA" w14:textId="77777777" w:rsidR="005418BD" w:rsidRDefault="00FF641C">
            <w:pPr>
              <w:spacing w:line="298" w:lineRule="exact"/>
              <w:ind w:left="108"/>
              <w:textAlignment w:val="baseline"/>
              <w:rPr>
                <w:rFonts w:eastAsia="Times New Roman"/>
                <w:color w:val="000000"/>
                <w:sz w:val="25"/>
              </w:rPr>
            </w:pPr>
            <w:r>
              <w:rPr>
                <w:rFonts w:eastAsia="Times New Roman"/>
                <w:color w:val="000000"/>
                <w:sz w:val="25"/>
              </w:rPr>
              <w:t>Community organisations</w:t>
            </w:r>
          </w:p>
        </w:tc>
        <w:tc>
          <w:tcPr>
            <w:tcW w:w="1795" w:type="dxa"/>
            <w:tcBorders>
              <w:top w:val="single" w:sz="4" w:space="0" w:color="000000"/>
              <w:left w:val="single" w:sz="4" w:space="0" w:color="000000"/>
              <w:bottom w:val="single" w:sz="4" w:space="0" w:color="000000"/>
              <w:right w:val="single" w:sz="4" w:space="0" w:color="000000"/>
            </w:tcBorders>
          </w:tcPr>
          <w:p w14:paraId="18342A49" w14:textId="77777777" w:rsidR="005418BD" w:rsidRDefault="00FF641C">
            <w:pPr>
              <w:spacing w:before="34" w:after="294" w:line="276" w:lineRule="exact"/>
              <w:ind w:left="115"/>
              <w:textAlignment w:val="baseline"/>
              <w:rPr>
                <w:rFonts w:eastAsia="Times New Roman"/>
                <w:color w:val="000000"/>
                <w:sz w:val="25"/>
              </w:rPr>
            </w:pPr>
            <w:r>
              <w:rPr>
                <w:rFonts w:eastAsia="Times New Roman"/>
                <w:color w:val="000000"/>
                <w:sz w:val="25"/>
              </w:rPr>
              <w:t>Individuals</w:t>
            </w:r>
          </w:p>
        </w:tc>
        <w:tc>
          <w:tcPr>
            <w:tcW w:w="1810" w:type="dxa"/>
            <w:tcBorders>
              <w:top w:val="single" w:sz="4" w:space="0" w:color="000000"/>
              <w:left w:val="single" w:sz="4" w:space="0" w:color="000000"/>
              <w:bottom w:val="single" w:sz="4" w:space="0" w:color="000000"/>
              <w:right w:val="single" w:sz="4" w:space="0" w:color="000000"/>
            </w:tcBorders>
          </w:tcPr>
          <w:p w14:paraId="2446EDF1" w14:textId="77777777" w:rsidR="005418BD" w:rsidRDefault="00FF641C">
            <w:pPr>
              <w:spacing w:line="297" w:lineRule="exact"/>
              <w:ind w:left="108"/>
              <w:textAlignment w:val="baseline"/>
              <w:rPr>
                <w:rFonts w:eastAsia="Times New Roman"/>
                <w:color w:val="000000"/>
                <w:sz w:val="25"/>
              </w:rPr>
            </w:pPr>
            <w:r>
              <w:rPr>
                <w:rFonts w:eastAsia="Times New Roman"/>
                <w:color w:val="000000"/>
                <w:sz w:val="25"/>
              </w:rPr>
              <w:t>Total change in costs</w:t>
            </w:r>
          </w:p>
        </w:tc>
      </w:tr>
      <w:tr w:rsidR="005418BD" w14:paraId="1FB8562D" w14:textId="77777777">
        <w:trPr>
          <w:trHeight w:hRule="exact" w:val="331"/>
        </w:trPr>
        <w:tc>
          <w:tcPr>
            <w:tcW w:w="1987" w:type="dxa"/>
            <w:tcBorders>
              <w:top w:val="single" w:sz="4" w:space="0" w:color="000000"/>
              <w:left w:val="single" w:sz="4" w:space="0" w:color="000000"/>
              <w:bottom w:val="single" w:sz="4" w:space="0" w:color="000000"/>
              <w:right w:val="single" w:sz="4" w:space="0" w:color="000000"/>
            </w:tcBorders>
            <w:vAlign w:val="center"/>
          </w:tcPr>
          <w:p w14:paraId="66B53D7F" w14:textId="77777777" w:rsidR="005418BD" w:rsidRDefault="00FF641C">
            <w:pPr>
              <w:spacing w:after="23" w:line="276" w:lineRule="exact"/>
              <w:ind w:left="120"/>
              <w:textAlignment w:val="baseline"/>
              <w:rPr>
                <w:rFonts w:eastAsia="Times New Roman"/>
                <w:color w:val="000000"/>
                <w:sz w:val="25"/>
              </w:rPr>
            </w:pPr>
            <w:r>
              <w:rPr>
                <w:rFonts w:eastAsia="Times New Roman"/>
                <w:color w:val="000000"/>
                <w:sz w:val="25"/>
              </w:rPr>
              <w:t>Total, by sector</w:t>
            </w:r>
          </w:p>
        </w:tc>
        <w:tc>
          <w:tcPr>
            <w:tcW w:w="1618" w:type="dxa"/>
            <w:tcBorders>
              <w:top w:val="single" w:sz="4" w:space="0" w:color="000000"/>
              <w:left w:val="single" w:sz="4" w:space="0" w:color="000000"/>
              <w:bottom w:val="single" w:sz="4" w:space="0" w:color="000000"/>
              <w:right w:val="single" w:sz="4" w:space="0" w:color="000000"/>
            </w:tcBorders>
            <w:vAlign w:val="center"/>
          </w:tcPr>
          <w:p w14:paraId="52052713" w14:textId="77777777" w:rsidR="005418BD" w:rsidRDefault="00FF641C">
            <w:pPr>
              <w:spacing w:before="32" w:after="18" w:line="276" w:lineRule="exact"/>
              <w:ind w:left="111"/>
              <w:textAlignment w:val="baseline"/>
              <w:rPr>
                <w:rFonts w:eastAsia="Times New Roman"/>
                <w:color w:val="000000"/>
                <w:sz w:val="25"/>
              </w:rPr>
            </w:pPr>
            <w:r>
              <w:rPr>
                <w:rFonts w:eastAsia="Times New Roman"/>
                <w:color w:val="000000"/>
                <w:sz w:val="25"/>
              </w:rPr>
              <w:t>$0</w:t>
            </w:r>
          </w:p>
        </w:tc>
        <w:tc>
          <w:tcPr>
            <w:tcW w:w="1800" w:type="dxa"/>
            <w:tcBorders>
              <w:top w:val="single" w:sz="4" w:space="0" w:color="000000"/>
              <w:left w:val="single" w:sz="4" w:space="0" w:color="000000"/>
              <w:bottom w:val="single" w:sz="4" w:space="0" w:color="000000"/>
              <w:right w:val="single" w:sz="4" w:space="0" w:color="000000"/>
            </w:tcBorders>
            <w:vAlign w:val="center"/>
          </w:tcPr>
          <w:p w14:paraId="2AB8D9FF" w14:textId="77777777" w:rsidR="005418BD" w:rsidRDefault="00FF641C">
            <w:pPr>
              <w:spacing w:before="32" w:after="18" w:line="276" w:lineRule="exact"/>
              <w:ind w:left="115"/>
              <w:textAlignment w:val="baseline"/>
              <w:rPr>
                <w:rFonts w:eastAsia="Times New Roman"/>
                <w:color w:val="000000"/>
                <w:sz w:val="25"/>
              </w:rPr>
            </w:pPr>
            <w:r>
              <w:rPr>
                <w:rFonts w:eastAsia="Times New Roman"/>
                <w:color w:val="000000"/>
                <w:sz w:val="25"/>
              </w:rPr>
              <w:t>$0</w:t>
            </w:r>
          </w:p>
        </w:tc>
        <w:tc>
          <w:tcPr>
            <w:tcW w:w="1795" w:type="dxa"/>
            <w:tcBorders>
              <w:top w:val="single" w:sz="4" w:space="0" w:color="000000"/>
              <w:left w:val="single" w:sz="4" w:space="0" w:color="000000"/>
              <w:bottom w:val="single" w:sz="4" w:space="0" w:color="000000"/>
              <w:right w:val="single" w:sz="4" w:space="0" w:color="000000"/>
            </w:tcBorders>
            <w:vAlign w:val="center"/>
          </w:tcPr>
          <w:p w14:paraId="108FDA2A" w14:textId="77777777" w:rsidR="005418BD" w:rsidRDefault="00FF641C">
            <w:pPr>
              <w:spacing w:before="36" w:after="14" w:line="276" w:lineRule="exact"/>
              <w:ind w:left="115"/>
              <w:textAlignment w:val="baseline"/>
              <w:rPr>
                <w:rFonts w:eastAsia="Times New Roman"/>
                <w:color w:val="000000"/>
                <w:sz w:val="25"/>
              </w:rPr>
            </w:pPr>
            <w:r>
              <w:rPr>
                <w:rFonts w:eastAsia="Times New Roman"/>
                <w:color w:val="000000"/>
                <w:sz w:val="25"/>
              </w:rPr>
              <w:t>$0</w:t>
            </w:r>
          </w:p>
        </w:tc>
        <w:tc>
          <w:tcPr>
            <w:tcW w:w="1810" w:type="dxa"/>
            <w:tcBorders>
              <w:top w:val="single" w:sz="4" w:space="0" w:color="000000"/>
              <w:left w:val="single" w:sz="4" w:space="0" w:color="000000"/>
              <w:bottom w:val="single" w:sz="4" w:space="0" w:color="000000"/>
              <w:right w:val="single" w:sz="4" w:space="0" w:color="000000"/>
            </w:tcBorders>
            <w:vAlign w:val="center"/>
          </w:tcPr>
          <w:p w14:paraId="79B13E84" w14:textId="77777777" w:rsidR="005418BD" w:rsidRDefault="00FF641C">
            <w:pPr>
              <w:spacing w:before="41" w:after="9" w:line="276" w:lineRule="exact"/>
              <w:ind w:left="115"/>
              <w:textAlignment w:val="baseline"/>
              <w:rPr>
                <w:rFonts w:eastAsia="Times New Roman"/>
                <w:color w:val="000000"/>
                <w:sz w:val="25"/>
              </w:rPr>
            </w:pPr>
            <w:r>
              <w:rPr>
                <w:rFonts w:eastAsia="Times New Roman"/>
                <w:color w:val="000000"/>
                <w:sz w:val="25"/>
              </w:rPr>
              <w:t>$0</w:t>
            </w:r>
          </w:p>
        </w:tc>
      </w:tr>
    </w:tbl>
    <w:p w14:paraId="7DCEB883" w14:textId="77777777" w:rsidR="005418BD" w:rsidRDefault="005418BD">
      <w:pPr>
        <w:spacing w:after="287" w:line="20" w:lineRule="exact"/>
      </w:pPr>
    </w:p>
    <w:p w14:paraId="7E897452" w14:textId="77777777" w:rsidR="005418BD" w:rsidRDefault="00FF641C">
      <w:pPr>
        <w:spacing w:before="5" w:line="276" w:lineRule="exact"/>
        <w:textAlignment w:val="baseline"/>
        <w:rPr>
          <w:rFonts w:eastAsia="Times New Roman"/>
          <w:color w:val="000000"/>
          <w:spacing w:val="-4"/>
          <w:sz w:val="25"/>
        </w:rPr>
      </w:pPr>
      <w:r>
        <w:rPr>
          <w:rFonts w:eastAsia="Times New Roman"/>
          <w:color w:val="000000"/>
          <w:spacing w:val="-4"/>
          <w:sz w:val="25"/>
        </w:rPr>
        <w:t>I acknowledge that OIA will publish this letter for transparency purposes.</w:t>
      </w:r>
    </w:p>
    <w:p w14:paraId="7A405C01" w14:textId="77777777" w:rsidR="005418BD" w:rsidRDefault="005418BD">
      <w:pPr>
        <w:sectPr w:rsidR="005418BD">
          <w:pgSz w:w="11904" w:h="16838"/>
          <w:pgMar w:top="760" w:right="1562" w:bottom="2342" w:left="1282" w:header="720" w:footer="720" w:gutter="0"/>
          <w:cols w:space="720"/>
        </w:sectPr>
      </w:pPr>
    </w:p>
    <w:p w14:paraId="12169A10" w14:textId="41DC1FB2" w:rsidR="00FF641C" w:rsidRDefault="00FF641C">
      <w:pPr>
        <w:spacing w:after="92" w:line="428" w:lineRule="exact"/>
        <w:ind w:left="144" w:right="1368"/>
        <w:textAlignment w:val="baseline"/>
        <w:rPr>
          <w:rFonts w:eastAsia="Times New Roman"/>
          <w:color w:val="000000"/>
          <w:sz w:val="25"/>
        </w:rPr>
      </w:pPr>
      <w:r>
        <w:rPr>
          <w:rFonts w:eastAsia="Times New Roman"/>
          <w:color w:val="000000"/>
          <w:sz w:val="25"/>
        </w:rPr>
        <w:lastRenderedPageBreak/>
        <w:t xml:space="preserve">If you have any queries about this advice, please contact me on </w:t>
      </w:r>
      <w:bookmarkStart w:id="0" w:name="_GoBack"/>
      <w:bookmarkEnd w:id="0"/>
      <w:r w:rsidR="000B032B" w:rsidRPr="000B032B">
        <w:rPr>
          <w:rFonts w:eastAsia="Times New Roman"/>
          <w:color w:val="000000"/>
          <w:sz w:val="25"/>
          <w:highlight w:val="black"/>
        </w:rPr>
        <w:t>00 0000 0000</w:t>
      </w:r>
      <w:r>
        <w:rPr>
          <w:rFonts w:eastAsia="Times New Roman"/>
          <w:color w:val="000000"/>
          <w:sz w:val="25"/>
        </w:rPr>
        <w:t xml:space="preserve">. </w:t>
      </w:r>
    </w:p>
    <w:p w14:paraId="0821097E" w14:textId="77777777" w:rsidR="005418BD" w:rsidRDefault="00FF641C">
      <w:pPr>
        <w:spacing w:after="92" w:line="428" w:lineRule="exact"/>
        <w:ind w:left="144" w:right="1368"/>
        <w:textAlignment w:val="baseline"/>
        <w:rPr>
          <w:rFonts w:eastAsia="Times New Roman"/>
          <w:color w:val="000000"/>
          <w:sz w:val="25"/>
        </w:rPr>
      </w:pPr>
      <w:r>
        <w:rPr>
          <w:rFonts w:eastAsia="Times New Roman"/>
          <w:color w:val="000000"/>
          <w:sz w:val="25"/>
        </w:rPr>
        <w:t>Yours sincerely</w:t>
      </w:r>
    </w:p>
    <w:p w14:paraId="7675EAA8" w14:textId="77777777" w:rsidR="005418BD" w:rsidRDefault="00FF641C">
      <w:pPr>
        <w:ind w:left="354" w:right="6662"/>
        <w:textAlignment w:val="baseline"/>
      </w:pPr>
      <w:r>
        <w:rPr>
          <w:noProof/>
          <w:lang w:val="en-AU" w:eastAsia="en-AU"/>
        </w:rPr>
        <w:drawing>
          <wp:inline distT="0" distB="0" distL="0" distR="0" wp14:anchorId="3FD19125" wp14:editId="50358EC0">
            <wp:extent cx="1297940" cy="661035"/>
            <wp:effectExtent l="0" t="0" r="0" b="0"/>
            <wp:docPr id="2" name="Picture" descr="Signature of Richard Windey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1297940" cy="661035"/>
                    </a:xfrm>
                    <a:prstGeom prst="rect">
                      <a:avLst/>
                    </a:prstGeom>
                  </pic:spPr>
                </pic:pic>
              </a:graphicData>
            </a:graphic>
          </wp:inline>
        </w:drawing>
      </w:r>
    </w:p>
    <w:p w14:paraId="24B81E9A" w14:textId="77777777" w:rsidR="005418BD" w:rsidRDefault="00FF641C">
      <w:pPr>
        <w:spacing w:line="240" w:lineRule="exact"/>
        <w:ind w:left="144"/>
        <w:textAlignment w:val="baseline"/>
        <w:rPr>
          <w:rFonts w:eastAsia="Times New Roman"/>
          <w:color w:val="000000"/>
          <w:sz w:val="25"/>
        </w:rPr>
      </w:pPr>
      <w:r>
        <w:rPr>
          <w:rFonts w:eastAsia="Times New Roman"/>
          <w:color w:val="000000"/>
          <w:sz w:val="25"/>
        </w:rPr>
        <w:t>Ri</w:t>
      </w:r>
      <w:r>
        <w:rPr>
          <w:rFonts w:eastAsia="Times New Roman"/>
          <w:color w:val="000000"/>
          <w:spacing w:val="-4"/>
          <w:sz w:val="25"/>
        </w:rPr>
        <w:t>ch</w:t>
      </w:r>
      <w:r>
        <w:rPr>
          <w:rFonts w:eastAsia="Times New Roman"/>
          <w:color w:val="000000"/>
          <w:sz w:val="25"/>
        </w:rPr>
        <w:t>a</w:t>
      </w:r>
      <w:r>
        <w:rPr>
          <w:rFonts w:eastAsia="Times New Roman"/>
          <w:color w:val="000000"/>
          <w:spacing w:val="-4"/>
          <w:sz w:val="25"/>
        </w:rPr>
        <w:t>r</w:t>
      </w:r>
      <w:r>
        <w:rPr>
          <w:rFonts w:eastAsia="Times New Roman"/>
          <w:color w:val="000000"/>
          <w:sz w:val="25"/>
        </w:rPr>
        <w:t>d Windeyer</w:t>
      </w:r>
    </w:p>
    <w:p w14:paraId="467ABF41" w14:textId="77777777" w:rsidR="005418BD" w:rsidRDefault="00FF641C">
      <w:pPr>
        <w:spacing w:line="276" w:lineRule="exact"/>
        <w:ind w:left="144"/>
        <w:textAlignment w:val="baseline"/>
        <w:rPr>
          <w:rFonts w:eastAsia="Times New Roman"/>
          <w:color w:val="000000"/>
          <w:spacing w:val="-4"/>
          <w:sz w:val="25"/>
        </w:rPr>
      </w:pPr>
      <w:r>
        <w:rPr>
          <w:rFonts w:eastAsia="Times New Roman"/>
          <w:color w:val="000000"/>
          <w:spacing w:val="-4"/>
          <w:sz w:val="25"/>
        </w:rPr>
        <w:t>Deputy Secretary</w:t>
      </w:r>
    </w:p>
    <w:p w14:paraId="6E07FB20" w14:textId="77777777" w:rsidR="005418BD" w:rsidRDefault="00FF641C">
      <w:pPr>
        <w:spacing w:before="8" w:line="271" w:lineRule="exact"/>
        <w:ind w:left="144"/>
        <w:textAlignment w:val="baseline"/>
        <w:rPr>
          <w:rFonts w:eastAsia="Times New Roman"/>
          <w:color w:val="000000"/>
          <w:spacing w:val="-4"/>
          <w:sz w:val="25"/>
        </w:rPr>
      </w:pPr>
      <w:r>
        <w:rPr>
          <w:rFonts w:eastAsia="Times New Roman"/>
          <w:color w:val="000000"/>
          <w:spacing w:val="-4"/>
          <w:sz w:val="25"/>
        </w:rPr>
        <w:t>Department of Infrastructure, Transport, Regional Development, Communications and the</w:t>
      </w:r>
    </w:p>
    <w:p w14:paraId="4339E4A6" w14:textId="77777777" w:rsidR="005418BD" w:rsidRDefault="00FF641C">
      <w:pPr>
        <w:spacing w:line="272" w:lineRule="exact"/>
        <w:ind w:left="144"/>
        <w:textAlignment w:val="baseline"/>
        <w:rPr>
          <w:rFonts w:eastAsia="Times New Roman"/>
          <w:color w:val="000000"/>
          <w:spacing w:val="-5"/>
          <w:sz w:val="25"/>
        </w:rPr>
      </w:pPr>
      <w:r>
        <w:rPr>
          <w:rFonts w:eastAsia="Times New Roman"/>
          <w:color w:val="000000"/>
          <w:spacing w:val="-5"/>
          <w:sz w:val="25"/>
        </w:rPr>
        <w:t>Arts</w:t>
      </w:r>
    </w:p>
    <w:p w14:paraId="1F058F0C" w14:textId="77777777" w:rsidR="005418BD" w:rsidRDefault="00FF641C">
      <w:pPr>
        <w:spacing w:before="16" w:line="277" w:lineRule="exact"/>
        <w:ind w:left="432"/>
        <w:textAlignment w:val="baseline"/>
        <w:rPr>
          <w:rFonts w:eastAsia="Times New Roman"/>
          <w:color w:val="334B63"/>
          <w:sz w:val="25"/>
        </w:rPr>
      </w:pPr>
      <w:r>
        <w:rPr>
          <w:rFonts w:eastAsia="Times New Roman"/>
          <w:color w:val="334B63"/>
          <w:sz w:val="25"/>
        </w:rPr>
        <w:t>20</w:t>
      </w:r>
      <w:r>
        <w:rPr>
          <w:rFonts w:eastAsia="Times New Roman"/>
          <w:color w:val="000000"/>
          <w:sz w:val="25"/>
        </w:rPr>
        <w:t xml:space="preserve"> March 2023</w:t>
      </w:r>
    </w:p>
    <w:sectPr w:rsidR="005418BD" w:rsidSect="00FF641C">
      <w:pgSz w:w="11904" w:h="16838"/>
      <w:pgMar w:top="1500" w:right="1414" w:bottom="11562" w:left="11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17234" w14:textId="77777777" w:rsidR="00F86B89" w:rsidRDefault="00F86B89">
      <w:r>
        <w:separator/>
      </w:r>
    </w:p>
  </w:endnote>
  <w:endnote w:type="continuationSeparator" w:id="0">
    <w:p w14:paraId="33BF2156" w14:textId="77777777" w:rsidR="00F86B89" w:rsidRDefault="00F8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B819" w14:textId="77777777" w:rsidR="00F86B89" w:rsidRDefault="00F86B89"/>
  </w:footnote>
  <w:footnote w:type="continuationSeparator" w:id="0">
    <w:p w14:paraId="34D3728C" w14:textId="77777777" w:rsidR="00F86B89" w:rsidRDefault="00F86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BD"/>
    <w:rsid w:val="00002A60"/>
    <w:rsid w:val="00017D96"/>
    <w:rsid w:val="00091490"/>
    <w:rsid w:val="000B032B"/>
    <w:rsid w:val="00202E72"/>
    <w:rsid w:val="005418BD"/>
    <w:rsid w:val="008C198B"/>
    <w:rsid w:val="00D277FA"/>
    <w:rsid w:val="00F86B89"/>
    <w:rsid w:val="00FB05E3"/>
    <w:rsid w:val="00FF6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g"/><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OIA@pmc.gov.au"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Helpdesk-OIA@pmc.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DOCID-322795542-30370</_dlc_DocId>
    <_dlc_DocIdUrl xmlns="4195ad5f-cdf2-4c4a-8d9b-b7944a108e98">
      <Url>https://pmc01.sharepoint.com/sites/CRMOBPR/_layouts/15/DocIdRedir.aspx?ID=DOCID-322795542-30370</Url>
      <Description>DOCID-322795542-30370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492F5-E7B9-4E3B-944A-3F25ACEF3F3B}">
  <ds:schemaRefs>
    <ds:schemaRef ds:uri="http://schemas.microsoft.com/sharepoint/v3/contenttype/forms"/>
  </ds:schemaRefs>
</ds:datastoreItem>
</file>

<file path=customXml/itemProps2.xml><?xml version="1.0" encoding="utf-8"?>
<ds:datastoreItem xmlns:ds="http://schemas.openxmlformats.org/officeDocument/2006/customXml" ds:itemID="{7385A1BC-6BA0-43FB-87AA-8DA378A36D4A}"/>
</file>

<file path=customXml/itemProps3.xml><?xml version="1.0" encoding="utf-8"?>
<ds:datastoreItem xmlns:ds="http://schemas.openxmlformats.org/officeDocument/2006/customXml" ds:itemID="{1B4C83A6-DAC7-4E08-BF9B-2623383620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714D4E-22F0-47AD-BA3A-F8E71D3E7FDC}"/>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2023-03-24T03:24:00Z</dcterms:created>
  <dcterms:modified xsi:type="dcterms:W3CDTF">2023-03-24T03:27:00Z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TrimRevisionNumber">
    <vt:i4>38</vt:i4>
  </property>
  <property fmtid="{D5CDD505-2E9C-101B-9397-08002B2CF9AE}" pid="4" name="_dlc_DocIdItemGuid">
    <vt:lpwstr>0d8070b7-e1e8-452f-8197-49f22e6351c2</vt:lpwstr>
  </property>
</Properties>
</file>