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5D" w:rsidRDefault="00B4515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4515D" w:rsidRDefault="0047363B">
      <w:pPr>
        <w:spacing w:line="200" w:lineRule="atLeast"/>
        <w:ind w:left="2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3007933" cy="12698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933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15D" w:rsidRDefault="00B451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515D" w:rsidRDefault="00B4515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B4515D" w:rsidRDefault="0047363B">
      <w:pPr>
        <w:spacing w:before="80"/>
        <w:ind w:left="8120" w:right="116" w:hanging="32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Reference: OBPR22-01519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Telephone: </w:t>
      </w:r>
      <w:r>
        <w:rPr>
          <w:rFonts w:ascii="Times New Roman"/>
          <w:sz w:val="16"/>
        </w:rPr>
        <w:t>6271</w:t>
      </w:r>
      <w:r>
        <w:rPr>
          <w:rFonts w:ascii="Times New Roman"/>
          <w:spacing w:val="-1"/>
          <w:sz w:val="16"/>
        </w:rPr>
        <w:t xml:space="preserve"> 6270</w:t>
      </w:r>
    </w:p>
    <w:p w:rsidR="00B4515D" w:rsidRDefault="0047363B">
      <w:pPr>
        <w:spacing w:line="182" w:lineRule="exact"/>
        <w:ind w:right="11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e-mail: </w:t>
      </w:r>
      <w:hyperlink r:id="rId7">
        <w:r>
          <w:rPr>
            <w:rFonts w:ascii="Times New Roman"/>
            <w:color w:val="0000FF"/>
            <w:spacing w:val="-1"/>
            <w:sz w:val="16"/>
            <w:u w:val="single" w:color="0000FF"/>
          </w:rPr>
          <w:t>helpdesk-oia@pmc.gov.au</w:t>
        </w:r>
      </w:hyperlink>
    </w:p>
    <w:p w:rsidR="00B4515D" w:rsidRDefault="00B4515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4515D" w:rsidRDefault="0047363B">
      <w:pPr>
        <w:pStyle w:val="BodyText"/>
        <w:spacing w:before="69"/>
        <w:ind w:right="6896"/>
      </w:pPr>
      <w:r>
        <w:rPr>
          <w:spacing w:val="-1"/>
        </w:rPr>
        <w:t>Dr.</w:t>
      </w:r>
      <w:r>
        <w:t xml:space="preserve"> </w:t>
      </w:r>
      <w:r>
        <w:rPr>
          <w:spacing w:val="-1"/>
        </w:rPr>
        <w:t>Megan</w:t>
      </w:r>
      <w:r>
        <w:t xml:space="preserve"> Downie</w:t>
      </w:r>
      <w:r>
        <w:rPr>
          <w:spacing w:val="23"/>
        </w:rPr>
        <w:t xml:space="preserve"> </w:t>
      </w:r>
      <w:r>
        <w:rPr>
          <w:spacing w:val="-1"/>
        </w:rPr>
        <w:t>Director</w:t>
      </w:r>
    </w:p>
    <w:p w:rsidR="00B4515D" w:rsidRDefault="0047363B">
      <w:pPr>
        <w:pStyle w:val="BodyText"/>
        <w:ind w:left="199" w:right="4970"/>
      </w:pP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Diseases</w:t>
      </w:r>
      <w:r>
        <w:t xml:space="preserve"> and </w:t>
      </w:r>
      <w:r>
        <w:rPr>
          <w:spacing w:val="-1"/>
        </w:rPr>
        <w:t xml:space="preserve">Hygiene </w:t>
      </w:r>
      <w:r>
        <w:t>Policy</w:t>
      </w:r>
      <w:r>
        <w:rPr>
          <w:spacing w:val="37"/>
        </w:rPr>
        <w:t xml:space="preserve"> </w:t>
      </w:r>
      <w:r>
        <w:rPr>
          <w:spacing w:val="-1"/>
        </w:rPr>
        <w:t xml:space="preserve">Safe </w:t>
      </w:r>
      <w:r>
        <w:t xml:space="preserve">Work </w:t>
      </w:r>
      <w:r>
        <w:rPr>
          <w:spacing w:val="-1"/>
        </w:rPr>
        <w:t>Australia</w:t>
      </w:r>
    </w:p>
    <w:p w:rsidR="00B4515D" w:rsidRDefault="00B451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515D" w:rsidRDefault="0047363B">
      <w:pPr>
        <w:pStyle w:val="BodyText"/>
        <w:ind w:left="199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Downie</w:t>
      </w:r>
    </w:p>
    <w:p w:rsidR="00B4515D" w:rsidRDefault="00B451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515D" w:rsidRDefault="0047363B">
      <w:pPr>
        <w:spacing w:before="207"/>
        <w:ind w:left="200" w:righ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Decision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Regulation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Impact Statement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Managing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risks of respirable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crystalline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silica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work</w:t>
      </w:r>
    </w:p>
    <w:p w:rsidR="00B4515D" w:rsidRDefault="00B4515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B4515D" w:rsidRDefault="0047363B">
      <w:pPr>
        <w:pStyle w:val="BodyText"/>
        <w:ind w:right="137"/>
      </w:pP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for forwarding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draft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above Decision</w:t>
      </w:r>
      <w:r>
        <w:t xml:space="preserve"> </w:t>
      </w: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rPr>
          <w:spacing w:val="-2"/>
        </w:rPr>
        <w:t>Impact</w:t>
      </w:r>
      <w:r>
        <w:t xml:space="preserve"> </w:t>
      </w:r>
      <w:r>
        <w:rPr>
          <w:spacing w:val="-1"/>
        </w:rPr>
        <w:t>Statement</w:t>
      </w:r>
      <w:r>
        <w:rPr>
          <w:spacing w:val="109"/>
        </w:rPr>
        <w:t xml:space="preserve"> </w:t>
      </w:r>
      <w:r>
        <w:rPr>
          <w:spacing w:val="-1"/>
        </w:rPr>
        <w:t>(RIS)</w:t>
      </w:r>
      <w:r>
        <w:rPr>
          <w:spacing w:val="1"/>
        </w:rPr>
        <w:t xml:space="preserve"> </w:t>
      </w:r>
      <w:r>
        <w:rPr>
          <w:spacing w:val="-1"/>
        </w:rPr>
        <w:t>for assessment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Office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(OIA).</w:t>
      </w:r>
    </w:p>
    <w:p w:rsidR="00B4515D" w:rsidRDefault="00B4515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4515D" w:rsidRDefault="0047363B">
      <w:pPr>
        <w:ind w:left="200" w:right="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OIA’s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compliant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guidelines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66FF"/>
          <w:sz w:val="24"/>
          <w:szCs w:val="24"/>
          <w:u w:val="single" w:color="0066FF"/>
        </w:rPr>
        <w:t>Regulatory</w:t>
      </w:r>
      <w:r>
        <w:rPr>
          <w:rFonts w:ascii="Times New Roman" w:eastAsia="Times New Roman" w:hAnsi="Times New Roman" w:cs="Times New Roman"/>
          <w:i/>
          <w:color w:val="0066FF"/>
          <w:spacing w:val="-1"/>
          <w:sz w:val="24"/>
          <w:szCs w:val="24"/>
          <w:u w:val="single" w:color="0066FF"/>
        </w:rPr>
        <w:t xml:space="preserve"> Impact</w:t>
      </w:r>
      <w:r>
        <w:rPr>
          <w:rFonts w:ascii="Times New Roman" w:eastAsia="Times New Roman" w:hAnsi="Times New Roman" w:cs="Times New Roman"/>
          <w:i/>
          <w:color w:val="0066FF"/>
          <w:sz w:val="24"/>
          <w:szCs w:val="24"/>
          <w:u w:val="single" w:color="0066FF"/>
        </w:rPr>
        <w:t xml:space="preserve"> Analysis </w:t>
      </w:r>
      <w:r>
        <w:rPr>
          <w:rFonts w:ascii="Times New Roman" w:eastAsia="Times New Roman" w:hAnsi="Times New Roman" w:cs="Times New Roman"/>
          <w:i/>
          <w:color w:val="0066FF"/>
          <w:spacing w:val="-1"/>
          <w:sz w:val="24"/>
          <w:szCs w:val="24"/>
          <w:u w:val="single" w:color="0066FF"/>
        </w:rPr>
        <w:t xml:space="preserve">Guide </w:t>
      </w:r>
      <w:r>
        <w:rPr>
          <w:rFonts w:ascii="Times New Roman" w:eastAsia="Times New Roman" w:hAnsi="Times New Roman" w:cs="Times New Roman"/>
          <w:i/>
          <w:color w:val="0066FF"/>
          <w:sz w:val="24"/>
          <w:szCs w:val="24"/>
          <w:u w:val="single" w:color="0066FF"/>
        </w:rPr>
        <w:t>for</w:t>
      </w:r>
      <w:r>
        <w:rPr>
          <w:rFonts w:ascii="Times New Roman" w:eastAsia="Times New Roman" w:hAnsi="Times New Roman" w:cs="Times New Roman"/>
          <w:i/>
          <w:color w:val="0066F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66FF"/>
          <w:spacing w:val="-1"/>
          <w:sz w:val="24"/>
          <w:szCs w:val="24"/>
          <w:u w:val="single" w:color="0066FF"/>
        </w:rPr>
        <w:t>Ministers’ Meetings</w:t>
      </w:r>
      <w:r>
        <w:rPr>
          <w:rFonts w:ascii="Times New Roman" w:eastAsia="Times New Roman" w:hAnsi="Times New Roman" w:cs="Times New Roman"/>
          <w:i/>
          <w:color w:val="0066FF"/>
          <w:sz w:val="24"/>
          <w:szCs w:val="24"/>
          <w:u w:val="single" w:color="0066FF"/>
        </w:rPr>
        <w:t xml:space="preserve"> and</w:t>
      </w:r>
      <w:r>
        <w:rPr>
          <w:rFonts w:ascii="Times New Roman" w:eastAsia="Times New Roman" w:hAnsi="Times New Roman" w:cs="Times New Roman"/>
          <w:i/>
          <w:color w:val="0066FF"/>
          <w:spacing w:val="2"/>
          <w:sz w:val="24"/>
          <w:szCs w:val="24"/>
          <w:u w:val="single" w:color="0066FF"/>
        </w:rPr>
        <w:t xml:space="preserve"> </w:t>
      </w:r>
      <w:r>
        <w:rPr>
          <w:rFonts w:ascii="Times New Roman" w:eastAsia="Times New Roman" w:hAnsi="Times New Roman" w:cs="Times New Roman"/>
          <w:i/>
          <w:color w:val="0066FF"/>
          <w:sz w:val="24"/>
          <w:szCs w:val="24"/>
          <w:u w:val="single" w:color="0066FF"/>
        </w:rPr>
        <w:t xml:space="preserve">National Standard </w:t>
      </w:r>
      <w:r>
        <w:rPr>
          <w:rFonts w:ascii="Times New Roman" w:eastAsia="Times New Roman" w:hAnsi="Times New Roman" w:cs="Times New Roman"/>
          <w:i/>
          <w:color w:val="0066FF"/>
          <w:spacing w:val="-1"/>
          <w:sz w:val="24"/>
          <w:szCs w:val="24"/>
          <w:u w:val="single" w:color="0066FF"/>
        </w:rPr>
        <w:t>Setting</w:t>
      </w:r>
      <w:r>
        <w:rPr>
          <w:rFonts w:ascii="Times New Roman" w:eastAsia="Times New Roman" w:hAnsi="Times New Roman" w:cs="Times New Roman"/>
          <w:i/>
          <w:color w:val="0066FF"/>
          <w:sz w:val="24"/>
          <w:szCs w:val="24"/>
          <w:u w:val="single" w:color="0066FF"/>
        </w:rPr>
        <w:t xml:space="preserve"> </w:t>
      </w:r>
      <w:r>
        <w:rPr>
          <w:rFonts w:ascii="Times New Roman" w:eastAsia="Times New Roman" w:hAnsi="Times New Roman" w:cs="Times New Roman"/>
          <w:i/>
          <w:color w:val="0066FF"/>
          <w:spacing w:val="-1"/>
          <w:sz w:val="24"/>
          <w:szCs w:val="24"/>
          <w:u w:val="single" w:color="0066FF"/>
        </w:rPr>
        <w:t>Bodies</w:t>
      </w:r>
      <w:r>
        <w:rPr>
          <w:rFonts w:ascii="Times New Roman" w:eastAsia="Times New Roman" w:hAnsi="Times New Roman" w:cs="Times New Roman"/>
          <w:i/>
          <w:color w:val="0066FF"/>
          <w:spacing w:val="2"/>
          <w:sz w:val="24"/>
          <w:szCs w:val="24"/>
          <w:u w:val="single" w:color="0066FF"/>
        </w:rPr>
        <w:t xml:space="preserve"> </w:t>
      </w:r>
      <w:r>
        <w:rPr>
          <w:rFonts w:ascii="Times New Roman" w:eastAsia="Times New Roman" w:hAnsi="Times New Roman" w:cs="Times New Roman"/>
          <w:i/>
          <w:color w:val="0066FF"/>
          <w:spacing w:val="-2"/>
          <w:sz w:val="24"/>
          <w:szCs w:val="24"/>
          <w:u w:val="single" w:color="0066FF"/>
        </w:rPr>
        <w:t>(May</w:t>
      </w:r>
      <w:r>
        <w:rPr>
          <w:rFonts w:ascii="Times New Roman" w:eastAsia="Times New Roman" w:hAnsi="Times New Roman" w:cs="Times New Roman"/>
          <w:i/>
          <w:color w:val="0066FF"/>
          <w:spacing w:val="-1"/>
          <w:sz w:val="24"/>
          <w:szCs w:val="24"/>
          <w:u w:val="single" w:color="0066FF"/>
        </w:rPr>
        <w:t xml:space="preserve"> </w:t>
      </w:r>
      <w:r>
        <w:rPr>
          <w:rFonts w:ascii="Times New Roman" w:eastAsia="Times New Roman" w:hAnsi="Times New Roman" w:cs="Times New Roman"/>
          <w:i/>
          <w:color w:val="0066FF"/>
          <w:sz w:val="24"/>
          <w:szCs w:val="24"/>
          <w:u w:val="single" w:color="0066FF"/>
        </w:rPr>
        <w:t>2021)</w:t>
      </w:r>
      <w:r>
        <w:rPr>
          <w:rFonts w:ascii="Times New Roman" w:eastAsia="Times New Roman" w:hAnsi="Times New Roman" w:cs="Times New Roman"/>
          <w:i/>
          <w:color w:val="0066FF"/>
          <w:spacing w:val="-1"/>
          <w:sz w:val="24"/>
          <w:szCs w:val="24"/>
          <w:u w:val="single" w:color="0066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Guide).</w:t>
      </w:r>
    </w:p>
    <w:p w:rsidR="00B4515D" w:rsidRDefault="00B4515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B4515D" w:rsidRDefault="0047363B">
      <w:pPr>
        <w:pStyle w:val="BodyText"/>
        <w:spacing w:before="69"/>
        <w:ind w:right="137"/>
      </w:pPr>
      <w:r>
        <w:rPr>
          <w:spacing w:val="-1"/>
        </w:rPr>
        <w:t>The RIS</w:t>
      </w:r>
      <w:r>
        <w:rPr>
          <w:spacing w:val="3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an</w:t>
      </w:r>
      <w:r>
        <w:t xml:space="preserve"> adequate</w:t>
      </w:r>
      <w:r>
        <w:rPr>
          <w:spacing w:val="-1"/>
        </w:rPr>
        <w:t xml:space="preserve"> level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commensurate with</w:t>
      </w:r>
      <w:r>
        <w:t xml:space="preserve"> the</w:t>
      </w:r>
      <w:r>
        <w:rPr>
          <w:spacing w:val="-1"/>
        </w:rPr>
        <w:t xml:space="preserve"> significance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impacts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Decision</w:t>
      </w:r>
      <w:r>
        <w:t xml:space="preserve"> </w:t>
      </w:r>
      <w:r>
        <w:rPr>
          <w:spacing w:val="-1"/>
        </w:rPr>
        <w:t>RIS.</w:t>
      </w:r>
    </w:p>
    <w:p w:rsidR="00B4515D" w:rsidRDefault="00B4515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4515D" w:rsidRDefault="0047363B">
      <w:pPr>
        <w:pStyle w:val="BodyText"/>
        <w:ind w:right="137"/>
      </w:pP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that,</w:t>
      </w:r>
      <w:r>
        <w:t xml:space="preserve"> </w:t>
      </w:r>
      <w:r>
        <w:rPr>
          <w:spacing w:val="-1"/>
        </w:rPr>
        <w:t>as</w:t>
      </w:r>
      <w:r>
        <w:t xml:space="preserve"> 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Guide,</w:t>
      </w:r>
      <w:r>
        <w:t xml:space="preserve"> </w:t>
      </w:r>
      <w:r>
        <w:rPr>
          <w:spacing w:val="-1"/>
        </w:rPr>
        <w:t>OIA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publish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RIS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color w:val="0066FF"/>
          <w:spacing w:val="-1"/>
          <w:u w:val="single" w:color="0066FF"/>
        </w:rPr>
        <w:t>oia.pmc.gov.au</w:t>
      </w:r>
      <w:r>
        <w:rPr>
          <w:color w:val="0066FF"/>
          <w:u w:val="single" w:color="0066FF"/>
        </w:rPr>
        <w:t xml:space="preserve"> </w:t>
      </w:r>
      <w:r>
        <w:t>upon</w:t>
      </w:r>
      <w:r>
        <w:rPr>
          <w:spacing w:val="73"/>
        </w:rPr>
        <w:t xml:space="preserve"> </w:t>
      </w:r>
      <w:r>
        <w:rPr>
          <w:spacing w:val="-1"/>
        </w:rPr>
        <w:t>announcement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decision.</w:t>
      </w:r>
    </w:p>
    <w:p w:rsidR="00B4515D" w:rsidRDefault="00B4515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4515D" w:rsidRDefault="0047363B">
      <w:pPr>
        <w:pStyle w:val="BodyText"/>
        <w:spacing w:line="446" w:lineRule="auto"/>
        <w:ind w:right="36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15pt;margin-top:33.35pt;width:78.85pt;height:54pt;z-index:-251658752;mso-position-horizontal-relative:page">
            <v:imagedata r:id="rId8" o:title=""/>
            <w10:wrap anchorx="page"/>
          </v:shape>
        </w:pic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queries</w:t>
      </w:r>
      <w:r>
        <w:t xml:space="preserve"> please</w:t>
      </w:r>
      <w:r>
        <w:rPr>
          <w:spacing w:val="-1"/>
        </w:rPr>
        <w:t xml:space="preserve"> feel</w:t>
      </w:r>
      <w:r>
        <w:t xml:space="preserve"> </w:t>
      </w:r>
      <w:r>
        <w:rPr>
          <w:spacing w:val="-1"/>
        </w:rPr>
        <w:t xml:space="preserve">free </w:t>
      </w:r>
      <w:r>
        <w:t xml:space="preserve">to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OIA.</w:t>
      </w:r>
      <w:r>
        <w:rPr>
          <w:spacing w:val="45"/>
        </w:rPr>
        <w:t xml:space="preserve"> </w:t>
      </w:r>
      <w:r>
        <w:rPr>
          <w:spacing w:val="-1"/>
        </w:rPr>
        <w:t>Yours</w:t>
      </w:r>
      <w:r>
        <w:t xml:space="preserve"> sincerely</w:t>
      </w:r>
    </w:p>
    <w:p w:rsidR="00B4515D" w:rsidRDefault="00B451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515D" w:rsidRDefault="00B451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515D" w:rsidRDefault="0047363B">
      <w:pPr>
        <w:pStyle w:val="BodyText"/>
        <w:spacing w:before="177"/>
        <w:ind w:left="199" w:right="7359"/>
      </w:pPr>
      <w:r>
        <w:t xml:space="preserve">Jason </w:t>
      </w:r>
      <w:r>
        <w:rPr>
          <w:spacing w:val="-1"/>
        </w:rPr>
        <w:t>Lange</w:t>
      </w:r>
      <w:r>
        <w:rPr>
          <w:spacing w:val="21"/>
        </w:rPr>
        <w:t xml:space="preserve"> </w:t>
      </w:r>
      <w:r>
        <w:rPr>
          <w:spacing w:val="-1"/>
        </w:rPr>
        <w:t>Executive Director</w:t>
      </w:r>
    </w:p>
    <w:p w:rsidR="00B4515D" w:rsidRDefault="0047363B">
      <w:pPr>
        <w:pStyle w:val="BodyText"/>
        <w:ind w:right="6896"/>
      </w:pPr>
      <w:r>
        <w:rPr>
          <w:spacing w:val="-1"/>
        </w:rPr>
        <w:t xml:space="preserve">Office </w:t>
      </w:r>
      <w:r>
        <w:rPr>
          <w:spacing w:val="1"/>
        </w:rPr>
        <w:t xml:space="preserve">of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Analysis</w:t>
      </w:r>
      <w:r>
        <w:rPr>
          <w:spacing w:val="21"/>
        </w:rPr>
        <w:t xml:space="preserve"> </w:t>
      </w:r>
      <w:r>
        <w:t>2 February</w:t>
      </w:r>
      <w:r>
        <w:rPr>
          <w:spacing w:val="-5"/>
        </w:rPr>
        <w:t xml:space="preserve"> </w:t>
      </w:r>
      <w:r>
        <w:t>2023</w:t>
      </w:r>
    </w:p>
    <w:sectPr w:rsidR="00B4515D">
      <w:type w:val="continuous"/>
      <w:pgSz w:w="12240" w:h="15840"/>
      <w:pgMar w:top="640" w:right="13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3B" w:rsidRDefault="0047363B" w:rsidP="008B5519">
      <w:r>
        <w:separator/>
      </w:r>
    </w:p>
  </w:endnote>
  <w:endnote w:type="continuationSeparator" w:id="0">
    <w:p w:rsidR="0047363B" w:rsidRDefault="0047363B" w:rsidP="008B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3B" w:rsidRDefault="0047363B" w:rsidP="008B5519">
      <w:r>
        <w:separator/>
      </w:r>
    </w:p>
  </w:footnote>
  <w:footnote w:type="continuationSeparator" w:id="0">
    <w:p w:rsidR="0047363B" w:rsidRDefault="0047363B" w:rsidP="008B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515D"/>
    <w:rsid w:val="0047363B"/>
    <w:rsid w:val="008B5519"/>
    <w:rsid w:val="00B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helpdesk-oia@pm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2023-03-01T06:20:00Z</dcterms:created>
  <dcterms:modified xsi:type="dcterms:W3CDTF">2023-03-01T06:21:00Z</dcterms:modified>
</cp:coreProperties>
</file>