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Hlk103158310" w:displacedByCustomXml="next"/>
    <w:bookmarkEnd w:id="1" w:displacedByCustomXml="next"/>
    <w:sdt>
      <w:sdtPr>
        <w:id w:val="-145591017"/>
        <w:docPartObj>
          <w:docPartGallery w:val="Cover Pages"/>
          <w:docPartUnique/>
        </w:docPartObj>
      </w:sdtPr>
      <w:sdtEndPr>
        <w:rPr>
          <w:noProof/>
        </w:rPr>
      </w:sdtEndPr>
      <w:sdtContent>
        <w:p w14:paraId="5179B5CA" w14:textId="6B91E703" w:rsidR="0023294E" w:rsidRPr="009D0A4A" w:rsidRDefault="00094DD1" w:rsidP="00234FEF">
          <w:pPr>
            <w:pStyle w:val="BodyText"/>
            <w:rPr>
              <w:rFonts w:cs="Arial"/>
            </w:rPr>
          </w:pPr>
          <w:r w:rsidRPr="009D0A4A">
            <w:rPr>
              <w:noProof/>
              <w:lang w:eastAsia="en-AU"/>
            </w:rPr>
            <w:drawing>
              <wp:inline distT="0" distB="0" distL="0" distR="0" wp14:anchorId="06A7CEB1" wp14:editId="55C1319D">
                <wp:extent cx="3735628" cy="755650"/>
                <wp:effectExtent l="0" t="0" r="0" b="6350"/>
                <wp:docPr id="4" name="Picture 4" descr="Safe Work Australia's logo " title="Safe Work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3735628" cy="755650"/>
                        </a:xfrm>
                        <a:prstGeom prst="rect">
                          <a:avLst/>
                        </a:prstGeom>
                      </pic:spPr>
                    </pic:pic>
                  </a:graphicData>
                </a:graphic>
              </wp:inline>
            </w:drawing>
          </w:r>
        </w:p>
        <w:p w14:paraId="453FF234" w14:textId="77777777" w:rsidR="00094DD1" w:rsidRPr="009D0A4A" w:rsidRDefault="00094DD1" w:rsidP="00183C12">
          <w:pPr>
            <w:jc w:val="both"/>
            <w:rPr>
              <w:rFonts w:cs="Arial"/>
            </w:rPr>
          </w:pPr>
        </w:p>
        <w:p w14:paraId="413B9D57" w14:textId="482EF1B1" w:rsidR="00094DD1" w:rsidRPr="00C827AF" w:rsidRDefault="00F837BA" w:rsidP="00234FEF">
          <w:pPr>
            <w:pStyle w:val="CoverByline"/>
            <w:rPr>
              <w:color w:val="auto"/>
            </w:rPr>
          </w:pPr>
          <w:r>
            <w:rPr>
              <w:color w:val="auto"/>
            </w:rPr>
            <w:t xml:space="preserve">Decision Regulation Impact </w:t>
          </w:r>
          <w:r w:rsidR="0054756F">
            <w:rPr>
              <w:color w:val="auto"/>
            </w:rPr>
            <w:t>Statemen</w:t>
          </w:r>
          <w:r>
            <w:rPr>
              <w:color w:val="auto"/>
            </w:rPr>
            <w:t>t</w:t>
          </w:r>
        </w:p>
        <w:p w14:paraId="270FF464" w14:textId="77777777" w:rsidR="00094DD1" w:rsidRPr="00C827AF" w:rsidRDefault="00094DD1" w:rsidP="00234FEF">
          <w:pPr>
            <w:pStyle w:val="CoverByline"/>
            <w:rPr>
              <w:color w:val="auto"/>
            </w:rPr>
          </w:pPr>
        </w:p>
        <w:p w14:paraId="2A1F5561" w14:textId="0D0A842B" w:rsidR="00094DD1" w:rsidRPr="00C827AF" w:rsidRDefault="00094DD1" w:rsidP="00234FEF">
          <w:pPr>
            <w:pStyle w:val="CoverByline"/>
            <w:rPr>
              <w:color w:val="auto"/>
            </w:rPr>
          </w:pPr>
          <w:r w:rsidRPr="00C827AF">
            <w:rPr>
              <w:color w:val="auto"/>
            </w:rPr>
            <w:t xml:space="preserve">Managing the risks of respirable crystalline silica </w:t>
          </w:r>
          <w:r w:rsidR="00C07574" w:rsidRPr="00C827AF">
            <w:rPr>
              <w:color w:val="auto"/>
            </w:rPr>
            <w:t>at work</w:t>
          </w:r>
        </w:p>
        <w:p w14:paraId="0F1B34CC" w14:textId="77777777" w:rsidR="00094DD1" w:rsidRPr="00C827AF" w:rsidRDefault="00094DD1" w:rsidP="00234FEF">
          <w:pPr>
            <w:pStyle w:val="CoverByline"/>
            <w:rPr>
              <w:color w:val="auto"/>
            </w:rPr>
          </w:pPr>
        </w:p>
        <w:p w14:paraId="21C51F52" w14:textId="77777777" w:rsidR="00094DD1" w:rsidRPr="00C827AF" w:rsidRDefault="00094DD1" w:rsidP="00234FEF">
          <w:pPr>
            <w:pStyle w:val="CoverByline"/>
            <w:rPr>
              <w:color w:val="auto"/>
            </w:rPr>
          </w:pPr>
        </w:p>
        <w:p w14:paraId="224F62E2" w14:textId="2EFE88F5" w:rsidR="00094DD1" w:rsidRPr="00C827AF" w:rsidRDefault="00094DD1" w:rsidP="00234FEF">
          <w:pPr>
            <w:pStyle w:val="CoverByline"/>
            <w:rPr>
              <w:color w:val="auto"/>
            </w:rPr>
          </w:pPr>
        </w:p>
        <w:p w14:paraId="5A9146A0" w14:textId="77777777" w:rsidR="00094DD1" w:rsidRPr="00C827AF" w:rsidRDefault="00094DD1" w:rsidP="00234FEF">
          <w:pPr>
            <w:pStyle w:val="CoverByline"/>
            <w:rPr>
              <w:color w:val="auto"/>
            </w:rPr>
          </w:pPr>
        </w:p>
        <w:p w14:paraId="124F4FC1" w14:textId="1237BDE3" w:rsidR="00094DD1" w:rsidRPr="00C827AF" w:rsidRDefault="00672BFC" w:rsidP="00234FEF">
          <w:pPr>
            <w:pStyle w:val="CoverByline"/>
            <w:rPr>
              <w:color w:val="auto"/>
            </w:rPr>
          </w:pPr>
          <w:r>
            <w:rPr>
              <w:color w:val="auto"/>
            </w:rPr>
            <w:t>FEBRUARY</w:t>
          </w:r>
          <w:r w:rsidR="00717AB1" w:rsidRPr="00C827AF">
            <w:rPr>
              <w:color w:val="auto"/>
            </w:rPr>
            <w:t xml:space="preserve"> </w:t>
          </w:r>
          <w:r w:rsidR="00D8642F" w:rsidRPr="00C827AF">
            <w:rPr>
              <w:color w:val="auto"/>
            </w:rPr>
            <w:t>2023</w:t>
          </w:r>
        </w:p>
        <w:p w14:paraId="74CC9761" w14:textId="67241A60" w:rsidR="0023294E" w:rsidRPr="009D0A4A" w:rsidRDefault="00CF6325" w:rsidP="00234FEF">
          <w:pPr>
            <w:pStyle w:val="BodyText"/>
          </w:pPr>
        </w:p>
      </w:sdtContent>
    </w:sdt>
    <w:p w14:paraId="7836DDAA" w14:textId="6F772459" w:rsidR="1CAA549B" w:rsidRPr="009D0A4A" w:rsidRDefault="1CAA549B" w:rsidP="000F019A">
      <w:pPr>
        <w:jc w:val="both"/>
        <w:sectPr w:rsidR="1CAA549B" w:rsidRPr="009D0A4A" w:rsidSect="00AF49E5">
          <w:headerReference w:type="default" r:id="rId8"/>
          <w:footerReference w:type="default" r:id="rId9"/>
          <w:headerReference w:type="first" r:id="rId10"/>
          <w:pgSz w:w="11906" w:h="16838"/>
          <w:pgMar w:top="426" w:right="851" w:bottom="1135" w:left="851" w:header="567" w:footer="57" w:gutter="0"/>
          <w:pgNumType w:start="0"/>
          <w:cols w:space="708"/>
          <w:titlePg/>
          <w:docGrid w:linePitch="360"/>
        </w:sectPr>
      </w:pPr>
      <w:r w:rsidRPr="009D0A4A">
        <w:br w:type="page"/>
      </w:r>
    </w:p>
    <w:p w14:paraId="1708A090" w14:textId="77777777" w:rsidR="00FA48E5" w:rsidRPr="009D0A4A" w:rsidRDefault="00FA48E5" w:rsidP="00183C12">
      <w:pPr>
        <w:pStyle w:val="SWADisclaimerbodytext"/>
        <w:jc w:val="both"/>
        <w:rPr>
          <w:rFonts w:cs="Arial"/>
          <w:bCs/>
        </w:rPr>
      </w:pPr>
      <w:r w:rsidRPr="009D0A4A">
        <w:rPr>
          <w:rFonts w:cs="Arial"/>
          <w:bCs/>
        </w:rPr>
        <w:lastRenderedPageBreak/>
        <w:t>Safe Work Australia is an Australian Government statutory agency established in 2009. Safe Work Australia consists of representatives of the Commonwealth, state and territory governments, the Australian Council of Trade Unions, the Australian Chamber of Commerce and Industry and the Australian Industry Group.</w:t>
      </w:r>
    </w:p>
    <w:p w14:paraId="30874EA9" w14:textId="77777777" w:rsidR="00FA48E5" w:rsidRPr="009D0A4A" w:rsidRDefault="00FA48E5" w:rsidP="00183C12">
      <w:pPr>
        <w:pStyle w:val="SWADisclaimerbodytext"/>
        <w:jc w:val="both"/>
        <w:rPr>
          <w:rFonts w:cs="Arial"/>
          <w:bCs/>
        </w:rPr>
      </w:pPr>
      <w:r w:rsidRPr="009D0A4A">
        <w:rPr>
          <w:rFonts w:cs="Arial"/>
          <w:bCs/>
        </w:rPr>
        <w:t>Safe Work Australia works with the Commonwealth, state and territory governments to improve work health and safety and workers’ compensation arrangements. Safe Work Australia is a national policy body, not a regulator of work health and safety. The Commonwealth, states and territories have responsibility for regulating and enforcing work health and safety laws in their jurisdiction.</w:t>
      </w:r>
    </w:p>
    <w:p w14:paraId="4B62EA52" w14:textId="78AD8E5C" w:rsidR="00E94F67" w:rsidRPr="009D0A4A" w:rsidRDefault="00E94F67" w:rsidP="00183C12">
      <w:pPr>
        <w:spacing w:line="276" w:lineRule="auto"/>
        <w:jc w:val="both"/>
        <w:rPr>
          <w:rFonts w:cs="Arial"/>
          <w:sz w:val="14"/>
          <w:szCs w:val="14"/>
          <w:vertAlign w:val="subscript"/>
        </w:rPr>
      </w:pPr>
      <w:r w:rsidRPr="009D0A4A">
        <w:rPr>
          <w:rFonts w:cs="Arial"/>
          <w:noProof/>
          <w:color w:val="2B579A"/>
          <w:sz w:val="14"/>
          <w:szCs w:val="14"/>
          <w:shd w:val="clear" w:color="auto" w:fill="E6E6E6"/>
          <w:lang w:eastAsia="en-AU"/>
        </w:rPr>
        <w:drawing>
          <wp:inline distT="0" distB="0" distL="0" distR="0" wp14:anchorId="6278AB06" wp14:editId="4F57DC5C">
            <wp:extent cx="1511300" cy="533400"/>
            <wp:effectExtent l="0" t="0" r="0" b="0"/>
            <wp:docPr id="1" name="Picture 1"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ve Common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0" cy="533400"/>
                    </a:xfrm>
                    <a:prstGeom prst="rect">
                      <a:avLst/>
                    </a:prstGeom>
                    <a:noFill/>
                    <a:ln>
                      <a:noFill/>
                    </a:ln>
                  </pic:spPr>
                </pic:pic>
              </a:graphicData>
            </a:graphic>
          </wp:inline>
        </w:drawing>
      </w:r>
    </w:p>
    <w:p w14:paraId="2CC4301F" w14:textId="77777777" w:rsidR="00E94F67" w:rsidRPr="009D0A4A" w:rsidRDefault="00E94F67" w:rsidP="00183C12">
      <w:pPr>
        <w:pStyle w:val="SWADisclaimerheading"/>
        <w:jc w:val="both"/>
        <w:rPr>
          <w:rFonts w:cs="Arial"/>
        </w:rPr>
      </w:pPr>
      <w:r w:rsidRPr="009D0A4A">
        <w:rPr>
          <w:rFonts w:cs="Arial"/>
        </w:rPr>
        <w:t>Creative Commons</w:t>
      </w:r>
    </w:p>
    <w:p w14:paraId="7D76D10D" w14:textId="77777777" w:rsidR="00E94F67" w:rsidRPr="009D0A4A" w:rsidRDefault="00E94F67" w:rsidP="00183C12">
      <w:pPr>
        <w:pStyle w:val="SWADisclaimerbodytext"/>
        <w:jc w:val="both"/>
        <w:rPr>
          <w:rFonts w:cs="Arial"/>
        </w:rPr>
      </w:pPr>
      <w:r w:rsidRPr="009D0A4A">
        <w:rPr>
          <w:rFonts w:cs="Arial"/>
        </w:rPr>
        <w:t xml:space="preserve">With the exception of the Safe Work Australia logo, this report is licensed by Safe Work Australia under a Creative Commons 4.0 Australia Licence. To view a copy of this licence, visit </w:t>
      </w:r>
    </w:p>
    <w:p w14:paraId="523EDDFA" w14:textId="2C5A7E88" w:rsidR="00E94F67" w:rsidRPr="009D0A4A" w:rsidRDefault="00CF6325" w:rsidP="00183C12">
      <w:pPr>
        <w:pStyle w:val="SWADisclaimerbodytext"/>
        <w:jc w:val="both"/>
        <w:rPr>
          <w:rFonts w:cs="Arial"/>
        </w:rPr>
      </w:pPr>
      <w:hyperlink r:id="rId12" w:tooltip="Creative Commons Licence" w:history="1">
        <w:r w:rsidR="00E94F67" w:rsidRPr="009D0A4A">
          <w:rPr>
            <w:rStyle w:val="Hyperlink"/>
            <w:rFonts w:eastAsiaTheme="majorEastAsia" w:cs="Arial"/>
          </w:rPr>
          <w:t>http://creativecommons.org/licenses/by/4.0</w:t>
        </w:r>
      </w:hyperlink>
    </w:p>
    <w:p w14:paraId="50D69C35" w14:textId="77777777" w:rsidR="00E94F67" w:rsidRPr="009D0A4A" w:rsidRDefault="00E94F67" w:rsidP="00183C12">
      <w:pPr>
        <w:pStyle w:val="SWADisclaimerbodytext"/>
        <w:jc w:val="both"/>
        <w:rPr>
          <w:rFonts w:cs="Arial"/>
        </w:rPr>
      </w:pPr>
      <w:r w:rsidRPr="009D0A4A">
        <w:rPr>
          <w:rFonts w:cs="Arial"/>
        </w:rPr>
        <w:t xml:space="preserve">In essence, you are free to copy, communicate and adapt the work, as long as you attribute the work to Safe Work Australia and abide by the other licensing terms. </w:t>
      </w:r>
    </w:p>
    <w:p w14:paraId="543375AB" w14:textId="77777777" w:rsidR="00E94F67" w:rsidRPr="009D0A4A" w:rsidRDefault="00E94F67" w:rsidP="00183C12">
      <w:pPr>
        <w:pStyle w:val="SWADisclaimerbodytext"/>
        <w:jc w:val="both"/>
        <w:rPr>
          <w:rFonts w:cs="Arial"/>
        </w:rPr>
      </w:pPr>
      <w:r w:rsidRPr="009D0A4A">
        <w:rPr>
          <w:rFonts w:cs="Arial"/>
        </w:rPr>
        <w:t>Enquiries regarding the licence and any use of the report are welcome at:</w:t>
      </w:r>
    </w:p>
    <w:p w14:paraId="553607D9" w14:textId="77777777" w:rsidR="00E94F67" w:rsidRPr="009D0A4A" w:rsidRDefault="00E94F67" w:rsidP="00183C12">
      <w:pPr>
        <w:pStyle w:val="SWADisclaimerbodytext"/>
        <w:rPr>
          <w:rFonts w:cs="Arial"/>
        </w:rPr>
      </w:pPr>
      <w:r w:rsidRPr="009D0A4A">
        <w:rPr>
          <w:rFonts w:cs="Arial"/>
        </w:rPr>
        <w:t>Copyright Officer</w:t>
      </w:r>
      <w:r w:rsidRPr="009D0A4A">
        <w:rPr>
          <w:rFonts w:cs="Arial"/>
        </w:rPr>
        <w:br/>
        <w:t xml:space="preserve">Safe Work Australia </w:t>
      </w:r>
      <w:r w:rsidRPr="009D0A4A">
        <w:rPr>
          <w:rFonts w:cs="Arial"/>
        </w:rPr>
        <w:br/>
        <w:t>GPO Box 641 Canberra ACT 2601</w:t>
      </w:r>
    </w:p>
    <w:p w14:paraId="14D7EACC" w14:textId="26B4E287" w:rsidR="00E94F67" w:rsidRPr="009D0A4A" w:rsidRDefault="00E94F67" w:rsidP="00183C12">
      <w:pPr>
        <w:pStyle w:val="SWADisclaimerbodytext"/>
        <w:jc w:val="both"/>
        <w:rPr>
          <w:rFonts w:cs="Arial"/>
        </w:rPr>
      </w:pPr>
      <w:r w:rsidRPr="009D0A4A">
        <w:rPr>
          <w:rFonts w:cs="Arial"/>
        </w:rPr>
        <w:t xml:space="preserve">Email: </w:t>
      </w:r>
      <w:hyperlink r:id="rId13" w:history="1">
        <w:r w:rsidRPr="009D0A4A">
          <w:rPr>
            <w:rStyle w:val="Hyperlink"/>
            <w:rFonts w:eastAsiaTheme="majorEastAsia" w:cs="Arial"/>
          </w:rPr>
          <w:t>copyrightrequests@swa.gov.au</w:t>
        </w:r>
      </w:hyperlink>
    </w:p>
    <w:p w14:paraId="3A575B38" w14:textId="77777777" w:rsidR="00E94F67" w:rsidRPr="009D0A4A" w:rsidRDefault="00E94F67" w:rsidP="00183C12">
      <w:pPr>
        <w:pStyle w:val="SWADisclaimerheading"/>
        <w:jc w:val="both"/>
        <w:rPr>
          <w:rFonts w:cs="Arial"/>
        </w:rPr>
      </w:pPr>
      <w:r w:rsidRPr="009D0A4A">
        <w:rPr>
          <w:rFonts w:cs="Arial"/>
        </w:rPr>
        <w:t>Important Notice</w:t>
      </w:r>
    </w:p>
    <w:p w14:paraId="4E5629A2" w14:textId="06E68CBF" w:rsidR="002E2007" w:rsidRPr="009D0A4A" w:rsidRDefault="00E94F67" w:rsidP="00823CCE">
      <w:pPr>
        <w:pStyle w:val="SWADisclaimerbodytext"/>
        <w:jc w:val="both"/>
      </w:pPr>
      <w:r w:rsidRPr="009D0A4A">
        <w:rPr>
          <w:rFonts w:cs="Arial"/>
          <w:bCs/>
        </w:rPr>
        <w:t>Safe Work Australia provides the information given in this document to improve public access to information about work health and safety information generally. The vision of Safe Work Australia is Australian workplaces free from injury and disease. Its mission is to lead and coordinate national efforts to prevent workplace death, injury and disease in Australia.</w:t>
      </w:r>
      <w:r w:rsidR="0011200A" w:rsidRPr="009D0A4A">
        <w:br w:type="page"/>
      </w:r>
    </w:p>
    <w:bookmarkStart w:id="2" w:name="_Toc92873016" w:displacedByCustomXml="next"/>
    <w:sdt>
      <w:sdtPr>
        <w:rPr>
          <w:rFonts w:asciiTheme="minorHAnsi" w:eastAsiaTheme="minorHAnsi" w:hAnsiTheme="minorHAnsi" w:cstheme="minorBidi"/>
          <w:color w:val="auto"/>
          <w:sz w:val="22"/>
          <w:szCs w:val="22"/>
          <w:lang w:val="en-AU"/>
        </w:rPr>
        <w:id w:val="1027196168"/>
        <w:docPartObj>
          <w:docPartGallery w:val="Table of Contents"/>
          <w:docPartUnique/>
        </w:docPartObj>
      </w:sdtPr>
      <w:sdtEndPr/>
      <w:sdtContent>
        <w:p w14:paraId="22FEB780" w14:textId="4A14653E" w:rsidR="00A3780F" w:rsidRPr="009D0A4A" w:rsidRDefault="00A3780F" w:rsidP="00911475">
          <w:pPr>
            <w:pStyle w:val="TOCHeading"/>
            <w:numPr>
              <w:ilvl w:val="0"/>
              <w:numId w:val="0"/>
            </w:numPr>
            <w:ind w:right="-2"/>
            <w:rPr>
              <w:rStyle w:val="TitleChar"/>
              <w:rFonts w:eastAsiaTheme="minorEastAsia" w:cstheme="minorBidi"/>
              <w:lang w:val="en-AU"/>
            </w:rPr>
          </w:pPr>
          <w:r w:rsidRPr="141F65A1">
            <w:rPr>
              <w:rStyle w:val="TitleChar"/>
            </w:rPr>
            <w:t>Contents</w:t>
          </w:r>
        </w:p>
        <w:p w14:paraId="62E26222" w14:textId="77A74CB0" w:rsidR="003874B7" w:rsidRDefault="004E19EA">
          <w:pPr>
            <w:pStyle w:val="TOC1"/>
            <w:rPr>
              <w:rFonts w:eastAsiaTheme="minorEastAsia"/>
              <w:noProof/>
              <w:lang w:eastAsia="en-AU"/>
            </w:rPr>
          </w:pPr>
          <w:r>
            <w:fldChar w:fldCharType="begin"/>
          </w:r>
          <w:r w:rsidR="00F8519A">
            <w:instrText>TOC \o "1-2" \h \z \u</w:instrText>
          </w:r>
          <w:r>
            <w:fldChar w:fldCharType="separate"/>
          </w:r>
          <w:hyperlink w:anchor="_Toc126573191" w:history="1">
            <w:r w:rsidR="003874B7" w:rsidRPr="00397453">
              <w:rPr>
                <w:rStyle w:val="Hyperlink"/>
                <w:noProof/>
              </w:rPr>
              <w:t>Abbreviations</w:t>
            </w:r>
            <w:r w:rsidR="003874B7">
              <w:rPr>
                <w:noProof/>
                <w:webHidden/>
              </w:rPr>
              <w:tab/>
            </w:r>
            <w:r w:rsidR="003874B7">
              <w:rPr>
                <w:noProof/>
                <w:webHidden/>
              </w:rPr>
              <w:fldChar w:fldCharType="begin"/>
            </w:r>
            <w:r w:rsidR="003874B7">
              <w:rPr>
                <w:noProof/>
                <w:webHidden/>
              </w:rPr>
              <w:instrText xml:space="preserve"> PAGEREF _Toc126573191 \h </w:instrText>
            </w:r>
            <w:r w:rsidR="003874B7">
              <w:rPr>
                <w:noProof/>
                <w:webHidden/>
              </w:rPr>
            </w:r>
            <w:r w:rsidR="003874B7">
              <w:rPr>
                <w:noProof/>
                <w:webHidden/>
              </w:rPr>
              <w:fldChar w:fldCharType="separate"/>
            </w:r>
            <w:r w:rsidR="003874B7">
              <w:rPr>
                <w:noProof/>
                <w:webHidden/>
              </w:rPr>
              <w:t>4</w:t>
            </w:r>
            <w:r w:rsidR="003874B7">
              <w:rPr>
                <w:noProof/>
                <w:webHidden/>
              </w:rPr>
              <w:fldChar w:fldCharType="end"/>
            </w:r>
          </w:hyperlink>
        </w:p>
        <w:p w14:paraId="21DB9B07" w14:textId="4093BF82" w:rsidR="003874B7" w:rsidRDefault="00CF6325">
          <w:pPr>
            <w:pStyle w:val="TOC1"/>
            <w:rPr>
              <w:rFonts w:eastAsiaTheme="minorEastAsia"/>
              <w:noProof/>
              <w:lang w:eastAsia="en-AU"/>
            </w:rPr>
          </w:pPr>
          <w:hyperlink w:anchor="_Toc126573192" w:history="1">
            <w:r w:rsidR="003874B7" w:rsidRPr="00397453">
              <w:rPr>
                <w:rStyle w:val="Hyperlink"/>
                <w:noProof/>
              </w:rPr>
              <w:t>Executive Summary</w:t>
            </w:r>
            <w:r w:rsidR="003874B7">
              <w:rPr>
                <w:noProof/>
                <w:webHidden/>
              </w:rPr>
              <w:tab/>
            </w:r>
            <w:r w:rsidR="003874B7">
              <w:rPr>
                <w:noProof/>
                <w:webHidden/>
              </w:rPr>
              <w:fldChar w:fldCharType="begin"/>
            </w:r>
            <w:r w:rsidR="003874B7">
              <w:rPr>
                <w:noProof/>
                <w:webHidden/>
              </w:rPr>
              <w:instrText xml:space="preserve"> PAGEREF _Toc126573192 \h </w:instrText>
            </w:r>
            <w:r w:rsidR="003874B7">
              <w:rPr>
                <w:noProof/>
                <w:webHidden/>
              </w:rPr>
            </w:r>
            <w:r w:rsidR="003874B7">
              <w:rPr>
                <w:noProof/>
                <w:webHidden/>
              </w:rPr>
              <w:fldChar w:fldCharType="separate"/>
            </w:r>
            <w:r w:rsidR="003874B7">
              <w:rPr>
                <w:noProof/>
                <w:webHidden/>
              </w:rPr>
              <w:t>5</w:t>
            </w:r>
            <w:r w:rsidR="003874B7">
              <w:rPr>
                <w:noProof/>
                <w:webHidden/>
              </w:rPr>
              <w:fldChar w:fldCharType="end"/>
            </w:r>
          </w:hyperlink>
        </w:p>
        <w:p w14:paraId="00D72BDF" w14:textId="624180B5" w:rsidR="003874B7" w:rsidRDefault="00CF6325">
          <w:pPr>
            <w:pStyle w:val="TOC1"/>
            <w:rPr>
              <w:rFonts w:eastAsiaTheme="minorEastAsia"/>
              <w:noProof/>
              <w:lang w:eastAsia="en-AU"/>
            </w:rPr>
          </w:pPr>
          <w:hyperlink w:anchor="_Toc126573193" w:history="1">
            <w:r w:rsidR="003874B7" w:rsidRPr="00397453">
              <w:rPr>
                <w:rStyle w:val="Hyperlink"/>
                <w:noProof/>
              </w:rPr>
              <w:t>Acknowledgements</w:t>
            </w:r>
            <w:r w:rsidR="003874B7">
              <w:rPr>
                <w:noProof/>
                <w:webHidden/>
              </w:rPr>
              <w:tab/>
            </w:r>
            <w:r w:rsidR="003874B7">
              <w:rPr>
                <w:noProof/>
                <w:webHidden/>
              </w:rPr>
              <w:fldChar w:fldCharType="begin"/>
            </w:r>
            <w:r w:rsidR="003874B7">
              <w:rPr>
                <w:noProof/>
                <w:webHidden/>
              </w:rPr>
              <w:instrText xml:space="preserve"> PAGEREF _Toc126573193 \h </w:instrText>
            </w:r>
            <w:r w:rsidR="003874B7">
              <w:rPr>
                <w:noProof/>
                <w:webHidden/>
              </w:rPr>
            </w:r>
            <w:r w:rsidR="003874B7">
              <w:rPr>
                <w:noProof/>
                <w:webHidden/>
              </w:rPr>
              <w:fldChar w:fldCharType="separate"/>
            </w:r>
            <w:r w:rsidR="003874B7">
              <w:rPr>
                <w:noProof/>
                <w:webHidden/>
              </w:rPr>
              <w:t>9</w:t>
            </w:r>
            <w:r w:rsidR="003874B7">
              <w:rPr>
                <w:noProof/>
                <w:webHidden/>
              </w:rPr>
              <w:fldChar w:fldCharType="end"/>
            </w:r>
          </w:hyperlink>
        </w:p>
        <w:p w14:paraId="59BAB2B2" w14:textId="68B51B06" w:rsidR="003874B7" w:rsidRDefault="00CF6325">
          <w:pPr>
            <w:pStyle w:val="TOC1"/>
            <w:tabs>
              <w:tab w:val="left" w:pos="400"/>
            </w:tabs>
            <w:rPr>
              <w:rFonts w:eastAsiaTheme="minorEastAsia"/>
              <w:noProof/>
              <w:lang w:eastAsia="en-AU"/>
            </w:rPr>
          </w:pPr>
          <w:hyperlink w:anchor="_Toc126573194" w:history="1">
            <w:r w:rsidR="003874B7" w:rsidRPr="00397453">
              <w:rPr>
                <w:rStyle w:val="Hyperlink"/>
                <w:bCs/>
                <w:noProof/>
              </w:rPr>
              <w:t>1</w:t>
            </w:r>
            <w:r w:rsidR="003874B7">
              <w:rPr>
                <w:rFonts w:eastAsiaTheme="minorEastAsia"/>
                <w:noProof/>
                <w:lang w:eastAsia="en-AU"/>
              </w:rPr>
              <w:tab/>
            </w:r>
            <w:r w:rsidR="003874B7" w:rsidRPr="00397453">
              <w:rPr>
                <w:rStyle w:val="Hyperlink"/>
                <w:noProof/>
              </w:rPr>
              <w:t>Introduction</w:t>
            </w:r>
            <w:r w:rsidR="003874B7">
              <w:rPr>
                <w:noProof/>
                <w:webHidden/>
              </w:rPr>
              <w:tab/>
            </w:r>
            <w:r w:rsidR="003874B7">
              <w:rPr>
                <w:noProof/>
                <w:webHidden/>
              </w:rPr>
              <w:fldChar w:fldCharType="begin"/>
            </w:r>
            <w:r w:rsidR="003874B7">
              <w:rPr>
                <w:noProof/>
                <w:webHidden/>
              </w:rPr>
              <w:instrText xml:space="preserve"> PAGEREF _Toc126573194 \h </w:instrText>
            </w:r>
            <w:r w:rsidR="003874B7">
              <w:rPr>
                <w:noProof/>
                <w:webHidden/>
              </w:rPr>
            </w:r>
            <w:r w:rsidR="003874B7">
              <w:rPr>
                <w:noProof/>
                <w:webHidden/>
              </w:rPr>
              <w:fldChar w:fldCharType="separate"/>
            </w:r>
            <w:r w:rsidR="003874B7">
              <w:rPr>
                <w:noProof/>
                <w:webHidden/>
              </w:rPr>
              <w:t>10</w:t>
            </w:r>
            <w:r w:rsidR="003874B7">
              <w:rPr>
                <w:noProof/>
                <w:webHidden/>
              </w:rPr>
              <w:fldChar w:fldCharType="end"/>
            </w:r>
          </w:hyperlink>
        </w:p>
        <w:p w14:paraId="6A6648B4" w14:textId="42780D4C" w:rsidR="003874B7" w:rsidRDefault="00CF6325">
          <w:pPr>
            <w:pStyle w:val="TOC2"/>
            <w:rPr>
              <w:rFonts w:eastAsiaTheme="minorEastAsia"/>
              <w:noProof/>
              <w:lang w:eastAsia="en-AU"/>
            </w:rPr>
          </w:pPr>
          <w:hyperlink w:anchor="_Toc126573195" w:history="1">
            <w:r w:rsidR="003874B7" w:rsidRPr="00397453">
              <w:rPr>
                <w:rStyle w:val="Hyperlink"/>
                <w:noProof/>
              </w:rPr>
              <w:t>1.1</w:t>
            </w:r>
            <w:r w:rsidR="003874B7">
              <w:rPr>
                <w:rFonts w:eastAsiaTheme="minorEastAsia"/>
                <w:noProof/>
                <w:lang w:eastAsia="en-AU"/>
              </w:rPr>
              <w:tab/>
            </w:r>
            <w:r w:rsidR="003874B7" w:rsidRPr="00397453">
              <w:rPr>
                <w:rStyle w:val="Hyperlink"/>
                <w:noProof/>
              </w:rPr>
              <w:t>About Safe Work Australia</w:t>
            </w:r>
            <w:r w:rsidR="003874B7">
              <w:rPr>
                <w:noProof/>
                <w:webHidden/>
              </w:rPr>
              <w:tab/>
            </w:r>
            <w:r w:rsidR="003874B7">
              <w:rPr>
                <w:noProof/>
                <w:webHidden/>
              </w:rPr>
              <w:fldChar w:fldCharType="begin"/>
            </w:r>
            <w:r w:rsidR="003874B7">
              <w:rPr>
                <w:noProof/>
                <w:webHidden/>
              </w:rPr>
              <w:instrText xml:space="preserve"> PAGEREF _Toc126573195 \h </w:instrText>
            </w:r>
            <w:r w:rsidR="003874B7">
              <w:rPr>
                <w:noProof/>
                <w:webHidden/>
              </w:rPr>
            </w:r>
            <w:r w:rsidR="003874B7">
              <w:rPr>
                <w:noProof/>
                <w:webHidden/>
              </w:rPr>
              <w:fldChar w:fldCharType="separate"/>
            </w:r>
            <w:r w:rsidR="003874B7">
              <w:rPr>
                <w:noProof/>
                <w:webHidden/>
              </w:rPr>
              <w:t>10</w:t>
            </w:r>
            <w:r w:rsidR="003874B7">
              <w:rPr>
                <w:noProof/>
                <w:webHidden/>
              </w:rPr>
              <w:fldChar w:fldCharType="end"/>
            </w:r>
          </w:hyperlink>
        </w:p>
        <w:p w14:paraId="71001839" w14:textId="5127F774" w:rsidR="003874B7" w:rsidRDefault="00CF6325">
          <w:pPr>
            <w:pStyle w:val="TOC2"/>
            <w:rPr>
              <w:rFonts w:eastAsiaTheme="minorEastAsia"/>
              <w:noProof/>
              <w:lang w:eastAsia="en-AU"/>
            </w:rPr>
          </w:pPr>
          <w:hyperlink w:anchor="_Toc126573196" w:history="1">
            <w:r w:rsidR="003874B7" w:rsidRPr="00397453">
              <w:rPr>
                <w:rStyle w:val="Hyperlink"/>
                <w:noProof/>
              </w:rPr>
              <w:t>1.2</w:t>
            </w:r>
            <w:r w:rsidR="003874B7">
              <w:rPr>
                <w:rFonts w:eastAsiaTheme="minorEastAsia"/>
                <w:noProof/>
                <w:lang w:eastAsia="en-AU"/>
              </w:rPr>
              <w:tab/>
            </w:r>
            <w:r w:rsidR="003874B7" w:rsidRPr="00397453">
              <w:rPr>
                <w:rStyle w:val="Hyperlink"/>
                <w:noProof/>
              </w:rPr>
              <w:t>Background</w:t>
            </w:r>
            <w:r w:rsidR="003874B7">
              <w:rPr>
                <w:noProof/>
                <w:webHidden/>
              </w:rPr>
              <w:tab/>
            </w:r>
            <w:r w:rsidR="003874B7">
              <w:rPr>
                <w:noProof/>
                <w:webHidden/>
              </w:rPr>
              <w:fldChar w:fldCharType="begin"/>
            </w:r>
            <w:r w:rsidR="003874B7">
              <w:rPr>
                <w:noProof/>
                <w:webHidden/>
              </w:rPr>
              <w:instrText xml:space="preserve"> PAGEREF _Toc126573196 \h </w:instrText>
            </w:r>
            <w:r w:rsidR="003874B7">
              <w:rPr>
                <w:noProof/>
                <w:webHidden/>
              </w:rPr>
            </w:r>
            <w:r w:rsidR="003874B7">
              <w:rPr>
                <w:noProof/>
                <w:webHidden/>
              </w:rPr>
              <w:fldChar w:fldCharType="separate"/>
            </w:r>
            <w:r w:rsidR="003874B7">
              <w:rPr>
                <w:noProof/>
                <w:webHidden/>
              </w:rPr>
              <w:t>10</w:t>
            </w:r>
            <w:r w:rsidR="003874B7">
              <w:rPr>
                <w:noProof/>
                <w:webHidden/>
              </w:rPr>
              <w:fldChar w:fldCharType="end"/>
            </w:r>
          </w:hyperlink>
        </w:p>
        <w:p w14:paraId="2BAE460F" w14:textId="2273D683" w:rsidR="003874B7" w:rsidRDefault="00CF6325">
          <w:pPr>
            <w:pStyle w:val="TOC2"/>
            <w:rPr>
              <w:rFonts w:eastAsiaTheme="minorEastAsia"/>
              <w:noProof/>
              <w:lang w:eastAsia="en-AU"/>
            </w:rPr>
          </w:pPr>
          <w:hyperlink w:anchor="_Toc126573197" w:history="1">
            <w:r w:rsidR="003874B7" w:rsidRPr="00397453">
              <w:rPr>
                <w:rStyle w:val="Hyperlink"/>
                <w:noProof/>
              </w:rPr>
              <w:t>1.3</w:t>
            </w:r>
            <w:r w:rsidR="003874B7">
              <w:rPr>
                <w:rFonts w:eastAsiaTheme="minorEastAsia"/>
                <w:noProof/>
                <w:lang w:eastAsia="en-AU"/>
              </w:rPr>
              <w:tab/>
            </w:r>
            <w:r w:rsidR="003874B7" w:rsidRPr="00397453">
              <w:rPr>
                <w:rStyle w:val="Hyperlink"/>
                <w:noProof/>
              </w:rPr>
              <w:t>Legislative and regulatory framework for crystalline silica under the model WHS laws</w:t>
            </w:r>
            <w:r w:rsidR="003874B7">
              <w:rPr>
                <w:noProof/>
                <w:webHidden/>
              </w:rPr>
              <w:tab/>
            </w:r>
            <w:r w:rsidR="003874B7">
              <w:rPr>
                <w:noProof/>
                <w:webHidden/>
              </w:rPr>
              <w:fldChar w:fldCharType="begin"/>
            </w:r>
            <w:r w:rsidR="003874B7">
              <w:rPr>
                <w:noProof/>
                <w:webHidden/>
              </w:rPr>
              <w:instrText xml:space="preserve"> PAGEREF _Toc126573197 \h </w:instrText>
            </w:r>
            <w:r w:rsidR="003874B7">
              <w:rPr>
                <w:noProof/>
                <w:webHidden/>
              </w:rPr>
            </w:r>
            <w:r w:rsidR="003874B7">
              <w:rPr>
                <w:noProof/>
                <w:webHidden/>
              </w:rPr>
              <w:fldChar w:fldCharType="separate"/>
            </w:r>
            <w:r w:rsidR="003874B7">
              <w:rPr>
                <w:noProof/>
                <w:webHidden/>
              </w:rPr>
              <w:t>12</w:t>
            </w:r>
            <w:r w:rsidR="003874B7">
              <w:rPr>
                <w:noProof/>
                <w:webHidden/>
              </w:rPr>
              <w:fldChar w:fldCharType="end"/>
            </w:r>
          </w:hyperlink>
        </w:p>
        <w:p w14:paraId="57C270F5" w14:textId="2090FFE4" w:rsidR="003874B7" w:rsidRDefault="00CF6325">
          <w:pPr>
            <w:pStyle w:val="TOC2"/>
            <w:rPr>
              <w:rFonts w:eastAsiaTheme="minorEastAsia"/>
              <w:noProof/>
              <w:lang w:eastAsia="en-AU"/>
            </w:rPr>
          </w:pPr>
          <w:hyperlink w:anchor="_Toc126573198" w:history="1">
            <w:r w:rsidR="003874B7" w:rsidRPr="00397453">
              <w:rPr>
                <w:rStyle w:val="Hyperlink"/>
                <w:noProof/>
              </w:rPr>
              <w:t>1.4</w:t>
            </w:r>
            <w:r w:rsidR="003874B7">
              <w:rPr>
                <w:rFonts w:eastAsiaTheme="minorEastAsia"/>
                <w:noProof/>
                <w:lang w:eastAsia="en-AU"/>
              </w:rPr>
              <w:tab/>
            </w:r>
            <w:r w:rsidR="003874B7" w:rsidRPr="00397453">
              <w:rPr>
                <w:rStyle w:val="Hyperlink"/>
                <w:noProof/>
              </w:rPr>
              <w:t>National WHS policy initiatives</w:t>
            </w:r>
            <w:r w:rsidR="003874B7">
              <w:rPr>
                <w:noProof/>
                <w:webHidden/>
              </w:rPr>
              <w:tab/>
            </w:r>
            <w:r w:rsidR="003874B7">
              <w:rPr>
                <w:noProof/>
                <w:webHidden/>
              </w:rPr>
              <w:fldChar w:fldCharType="begin"/>
            </w:r>
            <w:r w:rsidR="003874B7">
              <w:rPr>
                <w:noProof/>
                <w:webHidden/>
              </w:rPr>
              <w:instrText xml:space="preserve"> PAGEREF _Toc126573198 \h </w:instrText>
            </w:r>
            <w:r w:rsidR="003874B7">
              <w:rPr>
                <w:noProof/>
                <w:webHidden/>
              </w:rPr>
            </w:r>
            <w:r w:rsidR="003874B7">
              <w:rPr>
                <w:noProof/>
                <w:webHidden/>
              </w:rPr>
              <w:fldChar w:fldCharType="separate"/>
            </w:r>
            <w:r w:rsidR="003874B7">
              <w:rPr>
                <w:noProof/>
                <w:webHidden/>
              </w:rPr>
              <w:t>13</w:t>
            </w:r>
            <w:r w:rsidR="003874B7">
              <w:rPr>
                <w:noProof/>
                <w:webHidden/>
              </w:rPr>
              <w:fldChar w:fldCharType="end"/>
            </w:r>
          </w:hyperlink>
        </w:p>
        <w:p w14:paraId="59745A18" w14:textId="03D8C471" w:rsidR="003874B7" w:rsidRDefault="00CF6325">
          <w:pPr>
            <w:pStyle w:val="TOC2"/>
            <w:rPr>
              <w:rFonts w:eastAsiaTheme="minorEastAsia"/>
              <w:noProof/>
              <w:lang w:eastAsia="en-AU"/>
            </w:rPr>
          </w:pPr>
          <w:hyperlink w:anchor="_Toc126573199" w:history="1">
            <w:r w:rsidR="003874B7" w:rsidRPr="00397453">
              <w:rPr>
                <w:rStyle w:val="Hyperlink"/>
                <w:noProof/>
              </w:rPr>
              <w:t>1.5</w:t>
            </w:r>
            <w:r w:rsidR="003874B7">
              <w:rPr>
                <w:rFonts w:eastAsiaTheme="minorEastAsia"/>
                <w:noProof/>
                <w:lang w:eastAsia="en-AU"/>
              </w:rPr>
              <w:tab/>
            </w:r>
            <w:r w:rsidR="003874B7" w:rsidRPr="00397453">
              <w:rPr>
                <w:rStyle w:val="Hyperlink"/>
                <w:noProof/>
              </w:rPr>
              <w:t>Other complementary policy initiatives</w:t>
            </w:r>
            <w:r w:rsidR="003874B7">
              <w:rPr>
                <w:noProof/>
                <w:webHidden/>
              </w:rPr>
              <w:tab/>
            </w:r>
            <w:r w:rsidR="003874B7">
              <w:rPr>
                <w:noProof/>
                <w:webHidden/>
              </w:rPr>
              <w:fldChar w:fldCharType="begin"/>
            </w:r>
            <w:r w:rsidR="003874B7">
              <w:rPr>
                <w:noProof/>
                <w:webHidden/>
              </w:rPr>
              <w:instrText xml:space="preserve"> PAGEREF _Toc126573199 \h </w:instrText>
            </w:r>
            <w:r w:rsidR="003874B7">
              <w:rPr>
                <w:noProof/>
                <w:webHidden/>
              </w:rPr>
            </w:r>
            <w:r w:rsidR="003874B7">
              <w:rPr>
                <w:noProof/>
                <w:webHidden/>
              </w:rPr>
              <w:fldChar w:fldCharType="separate"/>
            </w:r>
            <w:r w:rsidR="003874B7">
              <w:rPr>
                <w:noProof/>
                <w:webHidden/>
              </w:rPr>
              <w:t>16</w:t>
            </w:r>
            <w:r w:rsidR="003874B7">
              <w:rPr>
                <w:noProof/>
                <w:webHidden/>
              </w:rPr>
              <w:fldChar w:fldCharType="end"/>
            </w:r>
          </w:hyperlink>
        </w:p>
        <w:p w14:paraId="5FB1248E" w14:textId="4602003E" w:rsidR="003874B7" w:rsidRDefault="00CF6325">
          <w:pPr>
            <w:pStyle w:val="TOC2"/>
            <w:rPr>
              <w:rFonts w:eastAsiaTheme="minorEastAsia"/>
              <w:noProof/>
              <w:lang w:eastAsia="en-AU"/>
            </w:rPr>
          </w:pPr>
          <w:hyperlink w:anchor="_Toc126573200" w:history="1">
            <w:r w:rsidR="003874B7" w:rsidRPr="00397453">
              <w:rPr>
                <w:rStyle w:val="Hyperlink"/>
                <w:noProof/>
              </w:rPr>
              <w:t>1.6</w:t>
            </w:r>
            <w:r w:rsidR="003874B7">
              <w:rPr>
                <w:rFonts w:eastAsiaTheme="minorEastAsia"/>
                <w:noProof/>
                <w:lang w:eastAsia="en-AU"/>
              </w:rPr>
              <w:tab/>
            </w:r>
            <w:r w:rsidR="003874B7" w:rsidRPr="00397453">
              <w:rPr>
                <w:rStyle w:val="Hyperlink"/>
                <w:noProof/>
              </w:rPr>
              <w:t>Purpose and scope of this Decision Regulation Impact Statement</w:t>
            </w:r>
            <w:r w:rsidR="003874B7">
              <w:rPr>
                <w:noProof/>
                <w:webHidden/>
              </w:rPr>
              <w:tab/>
            </w:r>
            <w:r w:rsidR="003874B7">
              <w:rPr>
                <w:noProof/>
                <w:webHidden/>
              </w:rPr>
              <w:fldChar w:fldCharType="begin"/>
            </w:r>
            <w:r w:rsidR="003874B7">
              <w:rPr>
                <w:noProof/>
                <w:webHidden/>
              </w:rPr>
              <w:instrText xml:space="preserve"> PAGEREF _Toc126573200 \h </w:instrText>
            </w:r>
            <w:r w:rsidR="003874B7">
              <w:rPr>
                <w:noProof/>
                <w:webHidden/>
              </w:rPr>
            </w:r>
            <w:r w:rsidR="003874B7">
              <w:rPr>
                <w:noProof/>
                <w:webHidden/>
              </w:rPr>
              <w:fldChar w:fldCharType="separate"/>
            </w:r>
            <w:r w:rsidR="003874B7">
              <w:rPr>
                <w:noProof/>
                <w:webHidden/>
              </w:rPr>
              <w:t>16</w:t>
            </w:r>
            <w:r w:rsidR="003874B7">
              <w:rPr>
                <w:noProof/>
                <w:webHidden/>
              </w:rPr>
              <w:fldChar w:fldCharType="end"/>
            </w:r>
          </w:hyperlink>
        </w:p>
        <w:p w14:paraId="29D4539F" w14:textId="64943D00" w:rsidR="003874B7" w:rsidRDefault="00CF6325">
          <w:pPr>
            <w:pStyle w:val="TOC2"/>
            <w:rPr>
              <w:rFonts w:eastAsiaTheme="minorEastAsia"/>
              <w:noProof/>
              <w:lang w:eastAsia="en-AU"/>
            </w:rPr>
          </w:pPr>
          <w:hyperlink w:anchor="_Toc126573201" w:history="1">
            <w:r w:rsidR="003874B7" w:rsidRPr="00397453">
              <w:rPr>
                <w:rStyle w:val="Hyperlink"/>
                <w:noProof/>
              </w:rPr>
              <w:t>1.7</w:t>
            </w:r>
            <w:r w:rsidR="003874B7">
              <w:rPr>
                <w:rFonts w:eastAsiaTheme="minorEastAsia"/>
                <w:noProof/>
                <w:lang w:eastAsia="en-AU"/>
              </w:rPr>
              <w:tab/>
            </w:r>
            <w:r w:rsidR="003874B7" w:rsidRPr="00397453">
              <w:rPr>
                <w:rStyle w:val="Hyperlink"/>
                <w:noProof/>
              </w:rPr>
              <w:t>Structure of this report</w:t>
            </w:r>
            <w:r w:rsidR="003874B7">
              <w:rPr>
                <w:noProof/>
                <w:webHidden/>
              </w:rPr>
              <w:tab/>
            </w:r>
            <w:r w:rsidR="003874B7">
              <w:rPr>
                <w:noProof/>
                <w:webHidden/>
              </w:rPr>
              <w:fldChar w:fldCharType="begin"/>
            </w:r>
            <w:r w:rsidR="003874B7">
              <w:rPr>
                <w:noProof/>
                <w:webHidden/>
              </w:rPr>
              <w:instrText xml:space="preserve"> PAGEREF _Toc126573201 \h </w:instrText>
            </w:r>
            <w:r w:rsidR="003874B7">
              <w:rPr>
                <w:noProof/>
                <w:webHidden/>
              </w:rPr>
            </w:r>
            <w:r w:rsidR="003874B7">
              <w:rPr>
                <w:noProof/>
                <w:webHidden/>
              </w:rPr>
              <w:fldChar w:fldCharType="separate"/>
            </w:r>
            <w:r w:rsidR="003874B7">
              <w:rPr>
                <w:noProof/>
                <w:webHidden/>
              </w:rPr>
              <w:t>17</w:t>
            </w:r>
            <w:r w:rsidR="003874B7">
              <w:rPr>
                <w:noProof/>
                <w:webHidden/>
              </w:rPr>
              <w:fldChar w:fldCharType="end"/>
            </w:r>
          </w:hyperlink>
        </w:p>
        <w:p w14:paraId="5198D427" w14:textId="02424799" w:rsidR="003874B7" w:rsidRDefault="00CF6325">
          <w:pPr>
            <w:pStyle w:val="TOC1"/>
            <w:tabs>
              <w:tab w:val="left" w:pos="400"/>
            </w:tabs>
            <w:rPr>
              <w:rFonts w:eastAsiaTheme="minorEastAsia"/>
              <w:noProof/>
              <w:lang w:eastAsia="en-AU"/>
            </w:rPr>
          </w:pPr>
          <w:hyperlink w:anchor="_Toc126573202" w:history="1">
            <w:r w:rsidR="003874B7" w:rsidRPr="00397453">
              <w:rPr>
                <w:rStyle w:val="Hyperlink"/>
                <w:noProof/>
              </w:rPr>
              <w:t>2</w:t>
            </w:r>
            <w:r w:rsidR="003874B7">
              <w:rPr>
                <w:rFonts w:eastAsiaTheme="minorEastAsia"/>
                <w:noProof/>
                <w:lang w:eastAsia="en-AU"/>
              </w:rPr>
              <w:tab/>
            </w:r>
            <w:r w:rsidR="003874B7" w:rsidRPr="00397453">
              <w:rPr>
                <w:rStyle w:val="Hyperlink"/>
                <w:noProof/>
              </w:rPr>
              <w:t>Statement of the problem</w:t>
            </w:r>
            <w:r w:rsidR="003874B7">
              <w:rPr>
                <w:noProof/>
                <w:webHidden/>
              </w:rPr>
              <w:tab/>
            </w:r>
            <w:r w:rsidR="003874B7">
              <w:rPr>
                <w:noProof/>
                <w:webHidden/>
              </w:rPr>
              <w:fldChar w:fldCharType="begin"/>
            </w:r>
            <w:r w:rsidR="003874B7">
              <w:rPr>
                <w:noProof/>
                <w:webHidden/>
              </w:rPr>
              <w:instrText xml:space="preserve"> PAGEREF _Toc126573202 \h </w:instrText>
            </w:r>
            <w:r w:rsidR="003874B7">
              <w:rPr>
                <w:noProof/>
                <w:webHidden/>
              </w:rPr>
            </w:r>
            <w:r w:rsidR="003874B7">
              <w:rPr>
                <w:noProof/>
                <w:webHidden/>
              </w:rPr>
              <w:fldChar w:fldCharType="separate"/>
            </w:r>
            <w:r w:rsidR="003874B7">
              <w:rPr>
                <w:noProof/>
                <w:webHidden/>
              </w:rPr>
              <w:t>18</w:t>
            </w:r>
            <w:r w:rsidR="003874B7">
              <w:rPr>
                <w:noProof/>
                <w:webHidden/>
              </w:rPr>
              <w:fldChar w:fldCharType="end"/>
            </w:r>
          </w:hyperlink>
        </w:p>
        <w:p w14:paraId="6F0FAA64" w14:textId="597BBA0C" w:rsidR="003874B7" w:rsidRDefault="00CF6325">
          <w:pPr>
            <w:pStyle w:val="TOC2"/>
            <w:rPr>
              <w:rFonts w:eastAsiaTheme="minorEastAsia"/>
              <w:noProof/>
              <w:lang w:eastAsia="en-AU"/>
            </w:rPr>
          </w:pPr>
          <w:hyperlink w:anchor="_Toc126573203" w:history="1">
            <w:r w:rsidR="003874B7" w:rsidRPr="00397453">
              <w:rPr>
                <w:rStyle w:val="Hyperlink"/>
                <w:noProof/>
              </w:rPr>
              <w:t>2.1</w:t>
            </w:r>
            <w:r w:rsidR="003874B7">
              <w:rPr>
                <w:rFonts w:eastAsiaTheme="minorEastAsia"/>
                <w:noProof/>
                <w:lang w:eastAsia="en-AU"/>
              </w:rPr>
              <w:tab/>
            </w:r>
            <w:r w:rsidR="003874B7" w:rsidRPr="00397453">
              <w:rPr>
                <w:rStyle w:val="Hyperlink"/>
                <w:noProof/>
              </w:rPr>
              <w:t>Defining the problem</w:t>
            </w:r>
            <w:r w:rsidR="003874B7">
              <w:rPr>
                <w:noProof/>
                <w:webHidden/>
              </w:rPr>
              <w:tab/>
            </w:r>
            <w:r w:rsidR="003874B7">
              <w:rPr>
                <w:noProof/>
                <w:webHidden/>
              </w:rPr>
              <w:fldChar w:fldCharType="begin"/>
            </w:r>
            <w:r w:rsidR="003874B7">
              <w:rPr>
                <w:noProof/>
                <w:webHidden/>
              </w:rPr>
              <w:instrText xml:space="preserve"> PAGEREF _Toc126573203 \h </w:instrText>
            </w:r>
            <w:r w:rsidR="003874B7">
              <w:rPr>
                <w:noProof/>
                <w:webHidden/>
              </w:rPr>
            </w:r>
            <w:r w:rsidR="003874B7">
              <w:rPr>
                <w:noProof/>
                <w:webHidden/>
              </w:rPr>
              <w:fldChar w:fldCharType="separate"/>
            </w:r>
            <w:r w:rsidR="003874B7">
              <w:rPr>
                <w:noProof/>
                <w:webHidden/>
              </w:rPr>
              <w:t>18</w:t>
            </w:r>
            <w:r w:rsidR="003874B7">
              <w:rPr>
                <w:noProof/>
                <w:webHidden/>
              </w:rPr>
              <w:fldChar w:fldCharType="end"/>
            </w:r>
          </w:hyperlink>
        </w:p>
        <w:p w14:paraId="4708B072" w14:textId="0E1C917F" w:rsidR="003874B7" w:rsidRDefault="00CF6325">
          <w:pPr>
            <w:pStyle w:val="TOC2"/>
            <w:rPr>
              <w:rFonts w:eastAsiaTheme="minorEastAsia"/>
              <w:noProof/>
              <w:lang w:eastAsia="en-AU"/>
            </w:rPr>
          </w:pPr>
          <w:hyperlink w:anchor="_Toc126573204" w:history="1">
            <w:r w:rsidR="003874B7" w:rsidRPr="00397453">
              <w:rPr>
                <w:rStyle w:val="Hyperlink"/>
                <w:noProof/>
              </w:rPr>
              <w:t>2.2</w:t>
            </w:r>
            <w:r w:rsidR="003874B7">
              <w:rPr>
                <w:rFonts w:eastAsiaTheme="minorEastAsia"/>
                <w:noProof/>
                <w:lang w:eastAsia="en-AU"/>
              </w:rPr>
              <w:tab/>
            </w:r>
            <w:r w:rsidR="003874B7" w:rsidRPr="00397453">
              <w:rPr>
                <w:rStyle w:val="Hyperlink"/>
                <w:noProof/>
              </w:rPr>
              <w:t>Workers in a broad range of industries are at risk of silicosis and silica-related diseases</w:t>
            </w:r>
            <w:r w:rsidR="003874B7">
              <w:rPr>
                <w:noProof/>
                <w:webHidden/>
              </w:rPr>
              <w:tab/>
            </w:r>
            <w:r w:rsidR="003874B7">
              <w:rPr>
                <w:noProof/>
                <w:webHidden/>
              </w:rPr>
              <w:fldChar w:fldCharType="begin"/>
            </w:r>
            <w:r w:rsidR="003874B7">
              <w:rPr>
                <w:noProof/>
                <w:webHidden/>
              </w:rPr>
              <w:instrText xml:space="preserve"> PAGEREF _Toc126573204 \h </w:instrText>
            </w:r>
            <w:r w:rsidR="003874B7">
              <w:rPr>
                <w:noProof/>
                <w:webHidden/>
              </w:rPr>
            </w:r>
            <w:r w:rsidR="003874B7">
              <w:rPr>
                <w:noProof/>
                <w:webHidden/>
              </w:rPr>
              <w:fldChar w:fldCharType="separate"/>
            </w:r>
            <w:r w:rsidR="003874B7">
              <w:rPr>
                <w:noProof/>
                <w:webHidden/>
              </w:rPr>
              <w:t>19</w:t>
            </w:r>
            <w:r w:rsidR="003874B7">
              <w:rPr>
                <w:noProof/>
                <w:webHidden/>
              </w:rPr>
              <w:fldChar w:fldCharType="end"/>
            </w:r>
          </w:hyperlink>
        </w:p>
        <w:p w14:paraId="3365D178" w14:textId="113D57BC" w:rsidR="003874B7" w:rsidRDefault="00CF6325">
          <w:pPr>
            <w:pStyle w:val="TOC2"/>
            <w:rPr>
              <w:rFonts w:eastAsiaTheme="minorEastAsia"/>
              <w:noProof/>
              <w:lang w:eastAsia="en-AU"/>
            </w:rPr>
          </w:pPr>
          <w:hyperlink w:anchor="_Toc126573205" w:history="1">
            <w:r w:rsidR="003874B7" w:rsidRPr="00397453">
              <w:rPr>
                <w:rStyle w:val="Hyperlink"/>
                <w:noProof/>
              </w:rPr>
              <w:t>2.3</w:t>
            </w:r>
            <w:r w:rsidR="003874B7">
              <w:rPr>
                <w:rFonts w:eastAsiaTheme="minorEastAsia"/>
                <w:noProof/>
                <w:lang w:eastAsia="en-AU"/>
              </w:rPr>
              <w:tab/>
            </w:r>
            <w:r w:rsidR="003874B7" w:rsidRPr="00397453">
              <w:rPr>
                <w:rStyle w:val="Hyperlink"/>
                <w:noProof/>
              </w:rPr>
              <w:t>Understanding of silica-related risks and current regulatory requirements</w:t>
            </w:r>
            <w:r w:rsidR="003874B7">
              <w:rPr>
                <w:noProof/>
                <w:webHidden/>
              </w:rPr>
              <w:tab/>
            </w:r>
            <w:r w:rsidR="003874B7">
              <w:rPr>
                <w:noProof/>
                <w:webHidden/>
              </w:rPr>
              <w:fldChar w:fldCharType="begin"/>
            </w:r>
            <w:r w:rsidR="003874B7">
              <w:rPr>
                <w:noProof/>
                <w:webHidden/>
              </w:rPr>
              <w:instrText xml:space="preserve"> PAGEREF _Toc126573205 \h </w:instrText>
            </w:r>
            <w:r w:rsidR="003874B7">
              <w:rPr>
                <w:noProof/>
                <w:webHidden/>
              </w:rPr>
            </w:r>
            <w:r w:rsidR="003874B7">
              <w:rPr>
                <w:noProof/>
                <w:webHidden/>
              </w:rPr>
              <w:fldChar w:fldCharType="separate"/>
            </w:r>
            <w:r w:rsidR="003874B7">
              <w:rPr>
                <w:noProof/>
                <w:webHidden/>
              </w:rPr>
              <w:t>26</w:t>
            </w:r>
            <w:r w:rsidR="003874B7">
              <w:rPr>
                <w:noProof/>
                <w:webHidden/>
              </w:rPr>
              <w:fldChar w:fldCharType="end"/>
            </w:r>
          </w:hyperlink>
        </w:p>
        <w:p w14:paraId="6421AA14" w14:textId="3B41310D" w:rsidR="003874B7" w:rsidRDefault="00CF6325">
          <w:pPr>
            <w:pStyle w:val="TOC2"/>
            <w:rPr>
              <w:rFonts w:eastAsiaTheme="minorEastAsia"/>
              <w:noProof/>
              <w:lang w:eastAsia="en-AU"/>
            </w:rPr>
          </w:pPr>
          <w:hyperlink w:anchor="_Toc126573206" w:history="1">
            <w:r w:rsidR="003874B7" w:rsidRPr="00397453">
              <w:rPr>
                <w:rStyle w:val="Hyperlink"/>
                <w:noProof/>
              </w:rPr>
              <w:t>2.4</w:t>
            </w:r>
            <w:r w:rsidR="003874B7">
              <w:rPr>
                <w:rFonts w:eastAsiaTheme="minorEastAsia"/>
                <w:noProof/>
                <w:lang w:eastAsia="en-AU"/>
              </w:rPr>
              <w:tab/>
            </w:r>
            <w:r w:rsidR="003874B7" w:rsidRPr="00397453">
              <w:rPr>
                <w:rStyle w:val="Hyperlink"/>
                <w:noProof/>
              </w:rPr>
              <w:t>Inadequate levels of compliance and  enforcement activities</w:t>
            </w:r>
            <w:r w:rsidR="003874B7">
              <w:rPr>
                <w:noProof/>
                <w:webHidden/>
              </w:rPr>
              <w:tab/>
            </w:r>
            <w:r w:rsidR="003874B7">
              <w:rPr>
                <w:noProof/>
                <w:webHidden/>
              </w:rPr>
              <w:fldChar w:fldCharType="begin"/>
            </w:r>
            <w:r w:rsidR="003874B7">
              <w:rPr>
                <w:noProof/>
                <w:webHidden/>
              </w:rPr>
              <w:instrText xml:space="preserve"> PAGEREF _Toc126573206 \h </w:instrText>
            </w:r>
            <w:r w:rsidR="003874B7">
              <w:rPr>
                <w:noProof/>
                <w:webHidden/>
              </w:rPr>
            </w:r>
            <w:r w:rsidR="003874B7">
              <w:rPr>
                <w:noProof/>
                <w:webHidden/>
              </w:rPr>
              <w:fldChar w:fldCharType="separate"/>
            </w:r>
            <w:r w:rsidR="003874B7">
              <w:rPr>
                <w:noProof/>
                <w:webHidden/>
              </w:rPr>
              <w:t>28</w:t>
            </w:r>
            <w:r w:rsidR="003874B7">
              <w:rPr>
                <w:noProof/>
                <w:webHidden/>
              </w:rPr>
              <w:fldChar w:fldCharType="end"/>
            </w:r>
          </w:hyperlink>
        </w:p>
        <w:p w14:paraId="7A86B806" w14:textId="65A95888" w:rsidR="003874B7" w:rsidRDefault="00CF6325">
          <w:pPr>
            <w:pStyle w:val="TOC1"/>
            <w:tabs>
              <w:tab w:val="left" w:pos="400"/>
            </w:tabs>
            <w:rPr>
              <w:rFonts w:eastAsiaTheme="minorEastAsia"/>
              <w:noProof/>
              <w:lang w:eastAsia="en-AU"/>
            </w:rPr>
          </w:pPr>
          <w:hyperlink w:anchor="_Toc126573207" w:history="1">
            <w:r w:rsidR="003874B7" w:rsidRPr="00397453">
              <w:rPr>
                <w:rStyle w:val="Hyperlink"/>
                <w:noProof/>
              </w:rPr>
              <w:t>3</w:t>
            </w:r>
            <w:r w:rsidR="003874B7">
              <w:rPr>
                <w:rFonts w:eastAsiaTheme="minorEastAsia"/>
                <w:noProof/>
                <w:lang w:eastAsia="en-AU"/>
              </w:rPr>
              <w:tab/>
            </w:r>
            <w:r w:rsidR="003874B7" w:rsidRPr="00397453">
              <w:rPr>
                <w:rStyle w:val="Hyperlink"/>
                <w:noProof/>
              </w:rPr>
              <w:t>Why is Government action needed?</w:t>
            </w:r>
            <w:r w:rsidR="003874B7">
              <w:rPr>
                <w:noProof/>
                <w:webHidden/>
              </w:rPr>
              <w:tab/>
            </w:r>
            <w:r w:rsidR="003874B7">
              <w:rPr>
                <w:noProof/>
                <w:webHidden/>
              </w:rPr>
              <w:fldChar w:fldCharType="begin"/>
            </w:r>
            <w:r w:rsidR="003874B7">
              <w:rPr>
                <w:noProof/>
                <w:webHidden/>
              </w:rPr>
              <w:instrText xml:space="preserve"> PAGEREF _Toc126573207 \h </w:instrText>
            </w:r>
            <w:r w:rsidR="003874B7">
              <w:rPr>
                <w:noProof/>
                <w:webHidden/>
              </w:rPr>
            </w:r>
            <w:r w:rsidR="003874B7">
              <w:rPr>
                <w:noProof/>
                <w:webHidden/>
              </w:rPr>
              <w:fldChar w:fldCharType="separate"/>
            </w:r>
            <w:r w:rsidR="003874B7">
              <w:rPr>
                <w:noProof/>
                <w:webHidden/>
              </w:rPr>
              <w:t>31</w:t>
            </w:r>
            <w:r w:rsidR="003874B7">
              <w:rPr>
                <w:noProof/>
                <w:webHidden/>
              </w:rPr>
              <w:fldChar w:fldCharType="end"/>
            </w:r>
          </w:hyperlink>
        </w:p>
        <w:p w14:paraId="1D4EBA90" w14:textId="7C3AA004" w:rsidR="003874B7" w:rsidRDefault="00CF6325">
          <w:pPr>
            <w:pStyle w:val="TOC2"/>
            <w:rPr>
              <w:rFonts w:eastAsiaTheme="minorEastAsia"/>
              <w:noProof/>
              <w:lang w:eastAsia="en-AU"/>
            </w:rPr>
          </w:pPr>
          <w:hyperlink w:anchor="_Toc126573208" w:history="1">
            <w:r w:rsidR="003874B7" w:rsidRPr="00397453">
              <w:rPr>
                <w:rStyle w:val="Hyperlink"/>
                <w:noProof/>
              </w:rPr>
              <w:t>3.1</w:t>
            </w:r>
            <w:r w:rsidR="003874B7">
              <w:rPr>
                <w:rFonts w:eastAsiaTheme="minorEastAsia"/>
                <w:noProof/>
                <w:lang w:eastAsia="en-AU"/>
              </w:rPr>
              <w:tab/>
            </w:r>
            <w:r w:rsidR="003874B7" w:rsidRPr="00397453">
              <w:rPr>
                <w:rStyle w:val="Hyperlink"/>
                <w:noProof/>
              </w:rPr>
              <w:t>The case for government intervention</w:t>
            </w:r>
            <w:r w:rsidR="003874B7">
              <w:rPr>
                <w:noProof/>
                <w:webHidden/>
              </w:rPr>
              <w:tab/>
            </w:r>
            <w:r w:rsidR="003874B7">
              <w:rPr>
                <w:noProof/>
                <w:webHidden/>
              </w:rPr>
              <w:fldChar w:fldCharType="begin"/>
            </w:r>
            <w:r w:rsidR="003874B7">
              <w:rPr>
                <w:noProof/>
                <w:webHidden/>
              </w:rPr>
              <w:instrText xml:space="preserve"> PAGEREF _Toc126573208 \h </w:instrText>
            </w:r>
            <w:r w:rsidR="003874B7">
              <w:rPr>
                <w:noProof/>
                <w:webHidden/>
              </w:rPr>
            </w:r>
            <w:r w:rsidR="003874B7">
              <w:rPr>
                <w:noProof/>
                <w:webHidden/>
              </w:rPr>
              <w:fldChar w:fldCharType="separate"/>
            </w:r>
            <w:r w:rsidR="003874B7">
              <w:rPr>
                <w:noProof/>
                <w:webHidden/>
              </w:rPr>
              <w:t>31</w:t>
            </w:r>
            <w:r w:rsidR="003874B7">
              <w:rPr>
                <w:noProof/>
                <w:webHidden/>
              </w:rPr>
              <w:fldChar w:fldCharType="end"/>
            </w:r>
          </w:hyperlink>
        </w:p>
        <w:p w14:paraId="7057EDDE" w14:textId="1E8FF415" w:rsidR="003874B7" w:rsidRDefault="00CF6325">
          <w:pPr>
            <w:pStyle w:val="TOC2"/>
            <w:rPr>
              <w:rFonts w:eastAsiaTheme="minorEastAsia"/>
              <w:noProof/>
              <w:lang w:eastAsia="en-AU"/>
            </w:rPr>
          </w:pPr>
          <w:hyperlink w:anchor="_Toc126573209" w:history="1">
            <w:r w:rsidR="003874B7" w:rsidRPr="00397453">
              <w:rPr>
                <w:rStyle w:val="Hyperlink"/>
                <w:noProof/>
              </w:rPr>
              <w:t>3.2</w:t>
            </w:r>
            <w:r w:rsidR="003874B7">
              <w:rPr>
                <w:rFonts w:eastAsiaTheme="minorEastAsia"/>
                <w:noProof/>
                <w:lang w:eastAsia="en-AU"/>
              </w:rPr>
              <w:tab/>
            </w:r>
            <w:r w:rsidR="003874B7" w:rsidRPr="00397453">
              <w:rPr>
                <w:rStyle w:val="Hyperlink"/>
                <w:noProof/>
              </w:rPr>
              <w:t>Objectives of government intervention</w:t>
            </w:r>
            <w:r w:rsidR="003874B7">
              <w:rPr>
                <w:noProof/>
                <w:webHidden/>
              </w:rPr>
              <w:tab/>
            </w:r>
            <w:r w:rsidR="003874B7">
              <w:rPr>
                <w:noProof/>
                <w:webHidden/>
              </w:rPr>
              <w:fldChar w:fldCharType="begin"/>
            </w:r>
            <w:r w:rsidR="003874B7">
              <w:rPr>
                <w:noProof/>
                <w:webHidden/>
              </w:rPr>
              <w:instrText xml:space="preserve"> PAGEREF _Toc126573209 \h </w:instrText>
            </w:r>
            <w:r w:rsidR="003874B7">
              <w:rPr>
                <w:noProof/>
                <w:webHidden/>
              </w:rPr>
            </w:r>
            <w:r w:rsidR="003874B7">
              <w:rPr>
                <w:noProof/>
                <w:webHidden/>
              </w:rPr>
              <w:fldChar w:fldCharType="separate"/>
            </w:r>
            <w:r w:rsidR="003874B7">
              <w:rPr>
                <w:noProof/>
                <w:webHidden/>
              </w:rPr>
              <w:t>31</w:t>
            </w:r>
            <w:r w:rsidR="003874B7">
              <w:rPr>
                <w:noProof/>
                <w:webHidden/>
              </w:rPr>
              <w:fldChar w:fldCharType="end"/>
            </w:r>
          </w:hyperlink>
        </w:p>
        <w:p w14:paraId="784D4964" w14:textId="679AE10F" w:rsidR="003874B7" w:rsidRDefault="00CF6325">
          <w:pPr>
            <w:pStyle w:val="TOC1"/>
            <w:tabs>
              <w:tab w:val="left" w:pos="400"/>
            </w:tabs>
            <w:rPr>
              <w:rFonts w:eastAsiaTheme="minorEastAsia"/>
              <w:noProof/>
              <w:lang w:eastAsia="en-AU"/>
            </w:rPr>
          </w:pPr>
          <w:hyperlink w:anchor="_Toc126573210" w:history="1">
            <w:r w:rsidR="003874B7" w:rsidRPr="00397453">
              <w:rPr>
                <w:rStyle w:val="Hyperlink"/>
                <w:noProof/>
              </w:rPr>
              <w:t>4</w:t>
            </w:r>
            <w:r w:rsidR="003874B7">
              <w:rPr>
                <w:rFonts w:eastAsiaTheme="minorEastAsia"/>
                <w:noProof/>
                <w:lang w:eastAsia="en-AU"/>
              </w:rPr>
              <w:tab/>
            </w:r>
            <w:r w:rsidR="003874B7" w:rsidRPr="00397453">
              <w:rPr>
                <w:rStyle w:val="Hyperlink"/>
                <w:noProof/>
              </w:rPr>
              <w:t>What policy options are being considered?</w:t>
            </w:r>
            <w:r w:rsidR="003874B7">
              <w:rPr>
                <w:noProof/>
                <w:webHidden/>
              </w:rPr>
              <w:tab/>
            </w:r>
            <w:r w:rsidR="003874B7">
              <w:rPr>
                <w:noProof/>
                <w:webHidden/>
              </w:rPr>
              <w:fldChar w:fldCharType="begin"/>
            </w:r>
            <w:r w:rsidR="003874B7">
              <w:rPr>
                <w:noProof/>
                <w:webHidden/>
              </w:rPr>
              <w:instrText xml:space="preserve"> PAGEREF _Toc126573210 \h </w:instrText>
            </w:r>
            <w:r w:rsidR="003874B7">
              <w:rPr>
                <w:noProof/>
                <w:webHidden/>
              </w:rPr>
            </w:r>
            <w:r w:rsidR="003874B7">
              <w:rPr>
                <w:noProof/>
                <w:webHidden/>
              </w:rPr>
              <w:fldChar w:fldCharType="separate"/>
            </w:r>
            <w:r w:rsidR="003874B7">
              <w:rPr>
                <w:noProof/>
                <w:webHidden/>
              </w:rPr>
              <w:t>32</w:t>
            </w:r>
            <w:r w:rsidR="003874B7">
              <w:rPr>
                <w:noProof/>
                <w:webHidden/>
              </w:rPr>
              <w:fldChar w:fldCharType="end"/>
            </w:r>
          </w:hyperlink>
        </w:p>
        <w:p w14:paraId="48058953" w14:textId="498DA323" w:rsidR="003874B7" w:rsidRDefault="00CF6325">
          <w:pPr>
            <w:pStyle w:val="TOC2"/>
            <w:rPr>
              <w:rFonts w:eastAsiaTheme="minorEastAsia"/>
              <w:noProof/>
              <w:lang w:eastAsia="en-AU"/>
            </w:rPr>
          </w:pPr>
          <w:hyperlink w:anchor="_Toc126573211" w:history="1">
            <w:r w:rsidR="003874B7" w:rsidRPr="00397453">
              <w:rPr>
                <w:rStyle w:val="Hyperlink"/>
                <w:noProof/>
              </w:rPr>
              <w:t>4.1</w:t>
            </w:r>
            <w:r w:rsidR="003874B7">
              <w:rPr>
                <w:rFonts w:eastAsiaTheme="minorEastAsia"/>
                <w:noProof/>
                <w:lang w:eastAsia="en-AU"/>
              </w:rPr>
              <w:tab/>
            </w:r>
            <w:r w:rsidR="003874B7" w:rsidRPr="00397453">
              <w:rPr>
                <w:rStyle w:val="Hyperlink"/>
                <w:noProof/>
              </w:rPr>
              <w:t>Overview</w:t>
            </w:r>
            <w:r w:rsidR="003874B7">
              <w:rPr>
                <w:noProof/>
                <w:webHidden/>
              </w:rPr>
              <w:tab/>
            </w:r>
            <w:r w:rsidR="003874B7">
              <w:rPr>
                <w:noProof/>
                <w:webHidden/>
              </w:rPr>
              <w:fldChar w:fldCharType="begin"/>
            </w:r>
            <w:r w:rsidR="003874B7">
              <w:rPr>
                <w:noProof/>
                <w:webHidden/>
              </w:rPr>
              <w:instrText xml:space="preserve"> PAGEREF _Toc126573211 \h </w:instrText>
            </w:r>
            <w:r w:rsidR="003874B7">
              <w:rPr>
                <w:noProof/>
                <w:webHidden/>
              </w:rPr>
            </w:r>
            <w:r w:rsidR="003874B7">
              <w:rPr>
                <w:noProof/>
                <w:webHidden/>
              </w:rPr>
              <w:fldChar w:fldCharType="separate"/>
            </w:r>
            <w:r w:rsidR="003874B7">
              <w:rPr>
                <w:noProof/>
                <w:webHidden/>
              </w:rPr>
              <w:t>32</w:t>
            </w:r>
            <w:r w:rsidR="003874B7">
              <w:rPr>
                <w:noProof/>
                <w:webHidden/>
              </w:rPr>
              <w:fldChar w:fldCharType="end"/>
            </w:r>
          </w:hyperlink>
        </w:p>
        <w:p w14:paraId="177202B5" w14:textId="3305FAAE" w:rsidR="003874B7" w:rsidRDefault="00CF6325">
          <w:pPr>
            <w:pStyle w:val="TOC2"/>
            <w:rPr>
              <w:rFonts w:eastAsiaTheme="minorEastAsia"/>
              <w:noProof/>
              <w:lang w:eastAsia="en-AU"/>
            </w:rPr>
          </w:pPr>
          <w:hyperlink w:anchor="_Toc126573212" w:history="1">
            <w:r w:rsidR="003874B7" w:rsidRPr="00397453">
              <w:rPr>
                <w:rStyle w:val="Hyperlink"/>
                <w:noProof/>
              </w:rPr>
              <w:t>4.2</w:t>
            </w:r>
            <w:r w:rsidR="003874B7">
              <w:rPr>
                <w:rFonts w:eastAsiaTheme="minorEastAsia"/>
                <w:noProof/>
                <w:lang w:eastAsia="en-AU"/>
              </w:rPr>
              <w:tab/>
            </w:r>
            <w:r w:rsidR="003874B7" w:rsidRPr="00397453">
              <w:rPr>
                <w:rStyle w:val="Hyperlink"/>
                <w:noProof/>
              </w:rPr>
              <w:t>Option 1: Base case</w:t>
            </w:r>
            <w:r w:rsidR="003874B7">
              <w:rPr>
                <w:noProof/>
                <w:webHidden/>
              </w:rPr>
              <w:tab/>
            </w:r>
            <w:r w:rsidR="003874B7">
              <w:rPr>
                <w:noProof/>
                <w:webHidden/>
              </w:rPr>
              <w:fldChar w:fldCharType="begin"/>
            </w:r>
            <w:r w:rsidR="003874B7">
              <w:rPr>
                <w:noProof/>
                <w:webHidden/>
              </w:rPr>
              <w:instrText xml:space="preserve"> PAGEREF _Toc126573212 \h </w:instrText>
            </w:r>
            <w:r w:rsidR="003874B7">
              <w:rPr>
                <w:noProof/>
                <w:webHidden/>
              </w:rPr>
            </w:r>
            <w:r w:rsidR="003874B7">
              <w:rPr>
                <w:noProof/>
                <w:webHidden/>
              </w:rPr>
              <w:fldChar w:fldCharType="separate"/>
            </w:r>
            <w:r w:rsidR="003874B7">
              <w:rPr>
                <w:noProof/>
                <w:webHidden/>
              </w:rPr>
              <w:t>33</w:t>
            </w:r>
            <w:r w:rsidR="003874B7">
              <w:rPr>
                <w:noProof/>
                <w:webHidden/>
              </w:rPr>
              <w:fldChar w:fldCharType="end"/>
            </w:r>
          </w:hyperlink>
        </w:p>
        <w:p w14:paraId="0BDE8D29" w14:textId="32A3761D" w:rsidR="003874B7" w:rsidRDefault="00CF6325">
          <w:pPr>
            <w:pStyle w:val="TOC2"/>
            <w:rPr>
              <w:rFonts w:eastAsiaTheme="minorEastAsia"/>
              <w:noProof/>
              <w:lang w:eastAsia="en-AU"/>
            </w:rPr>
          </w:pPr>
          <w:hyperlink w:anchor="_Toc126573213" w:history="1">
            <w:r w:rsidR="003874B7" w:rsidRPr="00397453">
              <w:rPr>
                <w:rStyle w:val="Hyperlink"/>
                <w:noProof/>
              </w:rPr>
              <w:t>4.3</w:t>
            </w:r>
            <w:r w:rsidR="003874B7">
              <w:rPr>
                <w:rFonts w:eastAsiaTheme="minorEastAsia"/>
                <w:noProof/>
                <w:lang w:eastAsia="en-AU"/>
              </w:rPr>
              <w:tab/>
            </w:r>
            <w:r w:rsidR="003874B7" w:rsidRPr="00397453">
              <w:rPr>
                <w:rStyle w:val="Hyperlink"/>
                <w:noProof/>
              </w:rPr>
              <w:t>Option 2: National awareness and behaviour change initiatives to minimise the risks of RCS exposure</w:t>
            </w:r>
            <w:r w:rsidR="003874B7">
              <w:rPr>
                <w:noProof/>
                <w:webHidden/>
              </w:rPr>
              <w:tab/>
            </w:r>
            <w:r w:rsidR="003874B7">
              <w:rPr>
                <w:noProof/>
                <w:webHidden/>
              </w:rPr>
              <w:fldChar w:fldCharType="begin"/>
            </w:r>
            <w:r w:rsidR="003874B7">
              <w:rPr>
                <w:noProof/>
                <w:webHidden/>
              </w:rPr>
              <w:instrText xml:space="preserve"> PAGEREF _Toc126573213 \h </w:instrText>
            </w:r>
            <w:r w:rsidR="003874B7">
              <w:rPr>
                <w:noProof/>
                <w:webHidden/>
              </w:rPr>
            </w:r>
            <w:r w:rsidR="003874B7">
              <w:rPr>
                <w:noProof/>
                <w:webHidden/>
              </w:rPr>
              <w:fldChar w:fldCharType="separate"/>
            </w:r>
            <w:r w:rsidR="003874B7">
              <w:rPr>
                <w:noProof/>
                <w:webHidden/>
              </w:rPr>
              <w:t>33</w:t>
            </w:r>
            <w:r w:rsidR="003874B7">
              <w:rPr>
                <w:noProof/>
                <w:webHidden/>
              </w:rPr>
              <w:fldChar w:fldCharType="end"/>
            </w:r>
          </w:hyperlink>
        </w:p>
        <w:p w14:paraId="73DA023B" w14:textId="5172031C" w:rsidR="003874B7" w:rsidRDefault="00CF6325">
          <w:pPr>
            <w:pStyle w:val="TOC2"/>
            <w:rPr>
              <w:rFonts w:eastAsiaTheme="minorEastAsia"/>
              <w:noProof/>
              <w:lang w:eastAsia="en-AU"/>
            </w:rPr>
          </w:pPr>
          <w:hyperlink w:anchor="_Toc126573214" w:history="1">
            <w:r w:rsidR="003874B7" w:rsidRPr="00397453">
              <w:rPr>
                <w:rStyle w:val="Hyperlink"/>
                <w:noProof/>
              </w:rPr>
              <w:t>4.4</w:t>
            </w:r>
            <w:r w:rsidR="003874B7">
              <w:rPr>
                <w:rFonts w:eastAsiaTheme="minorEastAsia"/>
                <w:noProof/>
                <w:lang w:eastAsia="en-AU"/>
              </w:rPr>
              <w:tab/>
            </w:r>
            <w:r w:rsidR="003874B7" w:rsidRPr="00397453">
              <w:rPr>
                <w:rStyle w:val="Hyperlink"/>
                <w:noProof/>
              </w:rPr>
              <w:t>Option 3: Clarifying the existing requirements of the model WHS laws for high risk silica processes</w:t>
            </w:r>
            <w:r w:rsidR="003874B7">
              <w:rPr>
                <w:noProof/>
                <w:webHidden/>
              </w:rPr>
              <w:tab/>
            </w:r>
            <w:r w:rsidR="003874B7">
              <w:rPr>
                <w:noProof/>
                <w:webHidden/>
              </w:rPr>
              <w:fldChar w:fldCharType="begin"/>
            </w:r>
            <w:r w:rsidR="003874B7">
              <w:rPr>
                <w:noProof/>
                <w:webHidden/>
              </w:rPr>
              <w:instrText xml:space="preserve"> PAGEREF _Toc126573214 \h </w:instrText>
            </w:r>
            <w:r w:rsidR="003874B7">
              <w:rPr>
                <w:noProof/>
                <w:webHidden/>
              </w:rPr>
            </w:r>
            <w:r w:rsidR="003874B7">
              <w:rPr>
                <w:noProof/>
                <w:webHidden/>
              </w:rPr>
              <w:fldChar w:fldCharType="separate"/>
            </w:r>
            <w:r w:rsidR="003874B7">
              <w:rPr>
                <w:noProof/>
                <w:webHidden/>
              </w:rPr>
              <w:t>34</w:t>
            </w:r>
            <w:r w:rsidR="003874B7">
              <w:rPr>
                <w:noProof/>
                <w:webHidden/>
              </w:rPr>
              <w:fldChar w:fldCharType="end"/>
            </w:r>
          </w:hyperlink>
        </w:p>
        <w:p w14:paraId="0D949550" w14:textId="7C029F01" w:rsidR="003874B7" w:rsidRDefault="00CF6325">
          <w:pPr>
            <w:pStyle w:val="TOC2"/>
            <w:rPr>
              <w:rFonts w:eastAsiaTheme="minorEastAsia"/>
              <w:noProof/>
              <w:lang w:eastAsia="en-AU"/>
            </w:rPr>
          </w:pPr>
          <w:hyperlink w:anchor="_Toc126573215" w:history="1">
            <w:r w:rsidR="003874B7" w:rsidRPr="00397453">
              <w:rPr>
                <w:rStyle w:val="Hyperlink"/>
                <w:noProof/>
              </w:rPr>
              <w:t>4.5</w:t>
            </w:r>
            <w:r w:rsidR="003874B7">
              <w:rPr>
                <w:rFonts w:eastAsiaTheme="minorEastAsia"/>
                <w:noProof/>
                <w:lang w:eastAsia="en-AU"/>
              </w:rPr>
              <w:tab/>
            </w:r>
            <w:r w:rsidR="003874B7" w:rsidRPr="00397453">
              <w:rPr>
                <w:rStyle w:val="Hyperlink"/>
                <w:noProof/>
              </w:rPr>
              <w:t>Option 4: Implementation of a national licensing framework for PCBUs working with engineered stone</w:t>
            </w:r>
            <w:r w:rsidR="003874B7">
              <w:rPr>
                <w:noProof/>
                <w:webHidden/>
              </w:rPr>
              <w:tab/>
            </w:r>
            <w:r w:rsidR="003874B7">
              <w:rPr>
                <w:noProof/>
                <w:webHidden/>
              </w:rPr>
              <w:fldChar w:fldCharType="begin"/>
            </w:r>
            <w:r w:rsidR="003874B7">
              <w:rPr>
                <w:noProof/>
                <w:webHidden/>
              </w:rPr>
              <w:instrText xml:space="preserve"> PAGEREF _Toc126573215 \h </w:instrText>
            </w:r>
            <w:r w:rsidR="003874B7">
              <w:rPr>
                <w:noProof/>
                <w:webHidden/>
              </w:rPr>
            </w:r>
            <w:r w:rsidR="003874B7">
              <w:rPr>
                <w:noProof/>
                <w:webHidden/>
              </w:rPr>
              <w:fldChar w:fldCharType="separate"/>
            </w:r>
            <w:r w:rsidR="003874B7">
              <w:rPr>
                <w:noProof/>
                <w:webHidden/>
              </w:rPr>
              <w:t>34</w:t>
            </w:r>
            <w:r w:rsidR="003874B7">
              <w:rPr>
                <w:noProof/>
                <w:webHidden/>
              </w:rPr>
              <w:fldChar w:fldCharType="end"/>
            </w:r>
          </w:hyperlink>
        </w:p>
        <w:p w14:paraId="1830C58D" w14:textId="3DA4E906" w:rsidR="003874B7" w:rsidRDefault="00CF6325">
          <w:pPr>
            <w:pStyle w:val="TOC2"/>
            <w:rPr>
              <w:rFonts w:eastAsiaTheme="minorEastAsia"/>
              <w:noProof/>
              <w:lang w:eastAsia="en-AU"/>
            </w:rPr>
          </w:pPr>
          <w:hyperlink w:anchor="_Toc126573216" w:history="1">
            <w:r w:rsidR="003874B7" w:rsidRPr="00397453">
              <w:rPr>
                <w:rStyle w:val="Hyperlink"/>
                <w:noProof/>
              </w:rPr>
              <w:t>4.6</w:t>
            </w:r>
            <w:r w:rsidR="003874B7">
              <w:rPr>
                <w:rFonts w:eastAsiaTheme="minorEastAsia"/>
                <w:noProof/>
                <w:lang w:eastAsia="en-AU"/>
              </w:rPr>
              <w:tab/>
            </w:r>
            <w:r w:rsidR="003874B7" w:rsidRPr="00397453">
              <w:rPr>
                <w:rStyle w:val="Hyperlink"/>
                <w:noProof/>
              </w:rPr>
              <w:t>Option 5a: Regulation of high risk  crystalline silica processes for all materials including engineered stone</w:t>
            </w:r>
            <w:r w:rsidR="003874B7">
              <w:rPr>
                <w:noProof/>
                <w:webHidden/>
              </w:rPr>
              <w:tab/>
            </w:r>
            <w:r w:rsidR="003874B7">
              <w:rPr>
                <w:noProof/>
                <w:webHidden/>
              </w:rPr>
              <w:fldChar w:fldCharType="begin"/>
            </w:r>
            <w:r w:rsidR="003874B7">
              <w:rPr>
                <w:noProof/>
                <w:webHidden/>
              </w:rPr>
              <w:instrText xml:space="preserve"> PAGEREF _Toc126573216 \h </w:instrText>
            </w:r>
            <w:r w:rsidR="003874B7">
              <w:rPr>
                <w:noProof/>
                <w:webHidden/>
              </w:rPr>
            </w:r>
            <w:r w:rsidR="003874B7">
              <w:rPr>
                <w:noProof/>
                <w:webHidden/>
              </w:rPr>
              <w:fldChar w:fldCharType="separate"/>
            </w:r>
            <w:r w:rsidR="003874B7">
              <w:rPr>
                <w:noProof/>
                <w:webHidden/>
              </w:rPr>
              <w:t>37</w:t>
            </w:r>
            <w:r w:rsidR="003874B7">
              <w:rPr>
                <w:noProof/>
                <w:webHidden/>
              </w:rPr>
              <w:fldChar w:fldCharType="end"/>
            </w:r>
          </w:hyperlink>
        </w:p>
        <w:p w14:paraId="22178180" w14:textId="3576DAEC" w:rsidR="003874B7" w:rsidRDefault="00CF6325">
          <w:pPr>
            <w:pStyle w:val="TOC2"/>
            <w:rPr>
              <w:rFonts w:eastAsiaTheme="minorEastAsia"/>
              <w:noProof/>
              <w:lang w:eastAsia="en-AU"/>
            </w:rPr>
          </w:pPr>
          <w:hyperlink w:anchor="_Toc126573217" w:history="1">
            <w:r w:rsidR="003874B7" w:rsidRPr="00397453">
              <w:rPr>
                <w:rStyle w:val="Hyperlink"/>
                <w:noProof/>
              </w:rPr>
              <w:t>4.7</w:t>
            </w:r>
            <w:r w:rsidR="003874B7">
              <w:rPr>
                <w:rFonts w:eastAsiaTheme="minorEastAsia"/>
                <w:noProof/>
                <w:lang w:eastAsia="en-AU"/>
              </w:rPr>
              <w:tab/>
            </w:r>
            <w:r w:rsidR="003874B7" w:rsidRPr="00397453">
              <w:rPr>
                <w:rStyle w:val="Hyperlink"/>
                <w:noProof/>
              </w:rPr>
              <w:t>Option 5b: Additional regulation of high risk crystalline silica processes for all materials excluding engineered stone</w:t>
            </w:r>
            <w:r w:rsidR="003874B7">
              <w:rPr>
                <w:noProof/>
                <w:webHidden/>
              </w:rPr>
              <w:tab/>
            </w:r>
            <w:r w:rsidR="003874B7">
              <w:rPr>
                <w:noProof/>
                <w:webHidden/>
              </w:rPr>
              <w:fldChar w:fldCharType="begin"/>
            </w:r>
            <w:r w:rsidR="003874B7">
              <w:rPr>
                <w:noProof/>
                <w:webHidden/>
              </w:rPr>
              <w:instrText xml:space="preserve"> PAGEREF _Toc126573217 \h </w:instrText>
            </w:r>
            <w:r w:rsidR="003874B7">
              <w:rPr>
                <w:noProof/>
                <w:webHidden/>
              </w:rPr>
            </w:r>
            <w:r w:rsidR="003874B7">
              <w:rPr>
                <w:noProof/>
                <w:webHidden/>
              </w:rPr>
              <w:fldChar w:fldCharType="separate"/>
            </w:r>
            <w:r w:rsidR="003874B7">
              <w:rPr>
                <w:noProof/>
                <w:webHidden/>
              </w:rPr>
              <w:t>39</w:t>
            </w:r>
            <w:r w:rsidR="003874B7">
              <w:rPr>
                <w:noProof/>
                <w:webHidden/>
              </w:rPr>
              <w:fldChar w:fldCharType="end"/>
            </w:r>
          </w:hyperlink>
        </w:p>
        <w:p w14:paraId="7ACFC5B7" w14:textId="6CE3AFAD" w:rsidR="003874B7" w:rsidRDefault="00CF6325">
          <w:pPr>
            <w:pStyle w:val="TOC2"/>
            <w:rPr>
              <w:rFonts w:eastAsiaTheme="minorEastAsia"/>
              <w:noProof/>
              <w:lang w:eastAsia="en-AU"/>
            </w:rPr>
          </w:pPr>
          <w:hyperlink w:anchor="_Toc126573218" w:history="1">
            <w:r w:rsidR="003874B7" w:rsidRPr="00397453">
              <w:rPr>
                <w:rStyle w:val="Hyperlink"/>
                <w:noProof/>
              </w:rPr>
              <w:t>4.8</w:t>
            </w:r>
            <w:r w:rsidR="003874B7">
              <w:rPr>
                <w:rFonts w:eastAsiaTheme="minorEastAsia"/>
                <w:noProof/>
                <w:lang w:eastAsia="en-AU"/>
              </w:rPr>
              <w:tab/>
            </w:r>
            <w:r w:rsidR="003874B7" w:rsidRPr="00397453">
              <w:rPr>
                <w:rStyle w:val="Hyperlink"/>
                <w:noProof/>
              </w:rPr>
              <w:t>Option 6: Prohibition on the use of engineered stone</w:t>
            </w:r>
            <w:r w:rsidR="003874B7">
              <w:rPr>
                <w:noProof/>
                <w:webHidden/>
              </w:rPr>
              <w:tab/>
            </w:r>
            <w:r w:rsidR="003874B7">
              <w:rPr>
                <w:noProof/>
                <w:webHidden/>
              </w:rPr>
              <w:fldChar w:fldCharType="begin"/>
            </w:r>
            <w:r w:rsidR="003874B7">
              <w:rPr>
                <w:noProof/>
                <w:webHidden/>
              </w:rPr>
              <w:instrText xml:space="preserve"> PAGEREF _Toc126573218 \h </w:instrText>
            </w:r>
            <w:r w:rsidR="003874B7">
              <w:rPr>
                <w:noProof/>
                <w:webHidden/>
              </w:rPr>
            </w:r>
            <w:r w:rsidR="003874B7">
              <w:rPr>
                <w:noProof/>
                <w:webHidden/>
              </w:rPr>
              <w:fldChar w:fldCharType="separate"/>
            </w:r>
            <w:r w:rsidR="003874B7">
              <w:rPr>
                <w:noProof/>
                <w:webHidden/>
              </w:rPr>
              <w:t>39</w:t>
            </w:r>
            <w:r w:rsidR="003874B7">
              <w:rPr>
                <w:noProof/>
                <w:webHidden/>
              </w:rPr>
              <w:fldChar w:fldCharType="end"/>
            </w:r>
          </w:hyperlink>
        </w:p>
        <w:p w14:paraId="0FE102DB" w14:textId="21693C56" w:rsidR="003874B7" w:rsidRDefault="00CF6325">
          <w:pPr>
            <w:pStyle w:val="TOC1"/>
            <w:tabs>
              <w:tab w:val="left" w:pos="400"/>
            </w:tabs>
            <w:rPr>
              <w:rFonts w:eastAsiaTheme="minorEastAsia"/>
              <w:noProof/>
              <w:lang w:eastAsia="en-AU"/>
            </w:rPr>
          </w:pPr>
          <w:hyperlink w:anchor="_Toc126573219" w:history="1">
            <w:r w:rsidR="003874B7" w:rsidRPr="00397453">
              <w:rPr>
                <w:rStyle w:val="Hyperlink"/>
                <w:noProof/>
              </w:rPr>
              <w:t>5</w:t>
            </w:r>
            <w:r w:rsidR="003874B7">
              <w:rPr>
                <w:rFonts w:eastAsiaTheme="minorEastAsia"/>
                <w:noProof/>
                <w:lang w:eastAsia="en-AU"/>
              </w:rPr>
              <w:tab/>
            </w:r>
            <w:r w:rsidR="003874B7" w:rsidRPr="00397453">
              <w:rPr>
                <w:rStyle w:val="Hyperlink"/>
                <w:noProof/>
              </w:rPr>
              <w:t>What is the likely impact of each option?</w:t>
            </w:r>
            <w:r w:rsidR="003874B7">
              <w:rPr>
                <w:noProof/>
                <w:webHidden/>
              </w:rPr>
              <w:tab/>
            </w:r>
            <w:r w:rsidR="003874B7">
              <w:rPr>
                <w:noProof/>
                <w:webHidden/>
              </w:rPr>
              <w:fldChar w:fldCharType="begin"/>
            </w:r>
            <w:r w:rsidR="003874B7">
              <w:rPr>
                <w:noProof/>
                <w:webHidden/>
              </w:rPr>
              <w:instrText xml:space="preserve"> PAGEREF _Toc126573219 \h </w:instrText>
            </w:r>
            <w:r w:rsidR="003874B7">
              <w:rPr>
                <w:noProof/>
                <w:webHidden/>
              </w:rPr>
            </w:r>
            <w:r w:rsidR="003874B7">
              <w:rPr>
                <w:noProof/>
                <w:webHidden/>
              </w:rPr>
              <w:fldChar w:fldCharType="separate"/>
            </w:r>
            <w:r w:rsidR="003874B7">
              <w:rPr>
                <w:noProof/>
                <w:webHidden/>
              </w:rPr>
              <w:t>41</w:t>
            </w:r>
            <w:r w:rsidR="003874B7">
              <w:rPr>
                <w:noProof/>
                <w:webHidden/>
              </w:rPr>
              <w:fldChar w:fldCharType="end"/>
            </w:r>
          </w:hyperlink>
        </w:p>
        <w:p w14:paraId="46374B53" w14:textId="025D6DA6" w:rsidR="003874B7" w:rsidRDefault="00CF6325">
          <w:pPr>
            <w:pStyle w:val="TOC2"/>
            <w:rPr>
              <w:rFonts w:eastAsiaTheme="minorEastAsia"/>
              <w:noProof/>
              <w:lang w:eastAsia="en-AU"/>
            </w:rPr>
          </w:pPr>
          <w:hyperlink w:anchor="_Toc126573220" w:history="1">
            <w:r w:rsidR="003874B7" w:rsidRPr="00397453">
              <w:rPr>
                <w:rStyle w:val="Hyperlink"/>
                <w:noProof/>
              </w:rPr>
              <w:t>5.1</w:t>
            </w:r>
            <w:r w:rsidR="003874B7">
              <w:rPr>
                <w:rFonts w:eastAsiaTheme="minorEastAsia"/>
                <w:noProof/>
                <w:lang w:eastAsia="en-AU"/>
              </w:rPr>
              <w:tab/>
            </w:r>
            <w:r w:rsidR="003874B7" w:rsidRPr="00397453">
              <w:rPr>
                <w:rStyle w:val="Hyperlink"/>
                <w:noProof/>
              </w:rPr>
              <w:t>Approach to impact analysis</w:t>
            </w:r>
            <w:r w:rsidR="003874B7">
              <w:rPr>
                <w:noProof/>
                <w:webHidden/>
              </w:rPr>
              <w:tab/>
            </w:r>
            <w:r w:rsidR="003874B7">
              <w:rPr>
                <w:noProof/>
                <w:webHidden/>
              </w:rPr>
              <w:fldChar w:fldCharType="begin"/>
            </w:r>
            <w:r w:rsidR="003874B7">
              <w:rPr>
                <w:noProof/>
                <w:webHidden/>
              </w:rPr>
              <w:instrText xml:space="preserve"> PAGEREF _Toc126573220 \h </w:instrText>
            </w:r>
            <w:r w:rsidR="003874B7">
              <w:rPr>
                <w:noProof/>
                <w:webHidden/>
              </w:rPr>
            </w:r>
            <w:r w:rsidR="003874B7">
              <w:rPr>
                <w:noProof/>
                <w:webHidden/>
              </w:rPr>
              <w:fldChar w:fldCharType="separate"/>
            </w:r>
            <w:r w:rsidR="003874B7">
              <w:rPr>
                <w:noProof/>
                <w:webHidden/>
              </w:rPr>
              <w:t>41</w:t>
            </w:r>
            <w:r w:rsidR="003874B7">
              <w:rPr>
                <w:noProof/>
                <w:webHidden/>
              </w:rPr>
              <w:fldChar w:fldCharType="end"/>
            </w:r>
          </w:hyperlink>
        </w:p>
        <w:p w14:paraId="525178BB" w14:textId="3E041519" w:rsidR="003874B7" w:rsidRDefault="00CF6325">
          <w:pPr>
            <w:pStyle w:val="TOC2"/>
            <w:rPr>
              <w:rFonts w:eastAsiaTheme="minorEastAsia"/>
              <w:noProof/>
              <w:lang w:eastAsia="en-AU"/>
            </w:rPr>
          </w:pPr>
          <w:hyperlink w:anchor="_Toc126573221" w:history="1">
            <w:r w:rsidR="003874B7" w:rsidRPr="00397453">
              <w:rPr>
                <w:rStyle w:val="Hyperlink"/>
                <w:noProof/>
              </w:rPr>
              <w:t>5.2</w:t>
            </w:r>
            <w:r w:rsidR="003874B7">
              <w:rPr>
                <w:rFonts w:eastAsiaTheme="minorEastAsia"/>
                <w:noProof/>
                <w:lang w:eastAsia="en-AU"/>
              </w:rPr>
              <w:tab/>
            </w:r>
            <w:r w:rsidR="003874B7" w:rsidRPr="00397453">
              <w:rPr>
                <w:rStyle w:val="Hyperlink"/>
                <w:noProof/>
              </w:rPr>
              <w:t>Criteria development for multicriteria analysis</w:t>
            </w:r>
            <w:r w:rsidR="003874B7">
              <w:rPr>
                <w:noProof/>
                <w:webHidden/>
              </w:rPr>
              <w:tab/>
            </w:r>
            <w:r w:rsidR="003874B7">
              <w:rPr>
                <w:noProof/>
                <w:webHidden/>
              </w:rPr>
              <w:fldChar w:fldCharType="begin"/>
            </w:r>
            <w:r w:rsidR="003874B7">
              <w:rPr>
                <w:noProof/>
                <w:webHidden/>
              </w:rPr>
              <w:instrText xml:space="preserve"> PAGEREF _Toc126573221 \h </w:instrText>
            </w:r>
            <w:r w:rsidR="003874B7">
              <w:rPr>
                <w:noProof/>
                <w:webHidden/>
              </w:rPr>
            </w:r>
            <w:r w:rsidR="003874B7">
              <w:rPr>
                <w:noProof/>
                <w:webHidden/>
              </w:rPr>
              <w:fldChar w:fldCharType="separate"/>
            </w:r>
            <w:r w:rsidR="003874B7">
              <w:rPr>
                <w:noProof/>
                <w:webHidden/>
              </w:rPr>
              <w:t>41</w:t>
            </w:r>
            <w:r w:rsidR="003874B7">
              <w:rPr>
                <w:noProof/>
                <w:webHidden/>
              </w:rPr>
              <w:fldChar w:fldCharType="end"/>
            </w:r>
          </w:hyperlink>
        </w:p>
        <w:p w14:paraId="1A918603" w14:textId="528A0983" w:rsidR="003874B7" w:rsidRDefault="00CF6325">
          <w:pPr>
            <w:pStyle w:val="TOC2"/>
            <w:rPr>
              <w:rFonts w:eastAsiaTheme="minorEastAsia"/>
              <w:noProof/>
              <w:lang w:eastAsia="en-AU"/>
            </w:rPr>
          </w:pPr>
          <w:hyperlink w:anchor="_Toc126573222" w:history="1">
            <w:r w:rsidR="003874B7" w:rsidRPr="00397453">
              <w:rPr>
                <w:rStyle w:val="Hyperlink"/>
                <w:noProof/>
              </w:rPr>
              <w:t>5.3</w:t>
            </w:r>
            <w:r w:rsidR="003874B7">
              <w:rPr>
                <w:rFonts w:eastAsiaTheme="minorEastAsia"/>
                <w:noProof/>
                <w:lang w:eastAsia="en-AU"/>
              </w:rPr>
              <w:tab/>
            </w:r>
            <w:r w:rsidR="003874B7" w:rsidRPr="00397453">
              <w:rPr>
                <w:rStyle w:val="Hyperlink"/>
                <w:noProof/>
              </w:rPr>
              <w:t>Defining the additional costs to industry and government</w:t>
            </w:r>
            <w:r w:rsidR="003874B7">
              <w:rPr>
                <w:noProof/>
                <w:webHidden/>
              </w:rPr>
              <w:tab/>
            </w:r>
            <w:r w:rsidR="003874B7">
              <w:rPr>
                <w:noProof/>
                <w:webHidden/>
              </w:rPr>
              <w:fldChar w:fldCharType="begin"/>
            </w:r>
            <w:r w:rsidR="003874B7">
              <w:rPr>
                <w:noProof/>
                <w:webHidden/>
              </w:rPr>
              <w:instrText xml:space="preserve"> PAGEREF _Toc126573222 \h </w:instrText>
            </w:r>
            <w:r w:rsidR="003874B7">
              <w:rPr>
                <w:noProof/>
                <w:webHidden/>
              </w:rPr>
            </w:r>
            <w:r w:rsidR="003874B7">
              <w:rPr>
                <w:noProof/>
                <w:webHidden/>
              </w:rPr>
              <w:fldChar w:fldCharType="separate"/>
            </w:r>
            <w:r w:rsidR="003874B7">
              <w:rPr>
                <w:noProof/>
                <w:webHidden/>
              </w:rPr>
              <w:t>42</w:t>
            </w:r>
            <w:r w:rsidR="003874B7">
              <w:rPr>
                <w:noProof/>
                <w:webHidden/>
              </w:rPr>
              <w:fldChar w:fldCharType="end"/>
            </w:r>
          </w:hyperlink>
        </w:p>
        <w:p w14:paraId="5BCEE007" w14:textId="489B3499" w:rsidR="003874B7" w:rsidRDefault="00CF6325">
          <w:pPr>
            <w:pStyle w:val="TOC2"/>
            <w:rPr>
              <w:rFonts w:eastAsiaTheme="minorEastAsia"/>
              <w:noProof/>
              <w:lang w:eastAsia="en-AU"/>
            </w:rPr>
          </w:pPr>
          <w:hyperlink w:anchor="_Toc126573223" w:history="1">
            <w:r w:rsidR="003874B7" w:rsidRPr="00397453">
              <w:rPr>
                <w:rStyle w:val="Hyperlink"/>
                <w:noProof/>
              </w:rPr>
              <w:t>5.4</w:t>
            </w:r>
            <w:r w:rsidR="003874B7">
              <w:rPr>
                <w:rFonts w:eastAsiaTheme="minorEastAsia"/>
                <w:noProof/>
                <w:lang w:eastAsia="en-AU"/>
              </w:rPr>
              <w:tab/>
            </w:r>
            <w:r w:rsidR="003874B7" w:rsidRPr="00397453">
              <w:rPr>
                <w:rStyle w:val="Hyperlink"/>
                <w:noProof/>
              </w:rPr>
              <w:t>Cost of options 2, 4, 5a and 5b</w:t>
            </w:r>
            <w:r w:rsidR="003874B7">
              <w:rPr>
                <w:noProof/>
                <w:webHidden/>
              </w:rPr>
              <w:tab/>
            </w:r>
            <w:r w:rsidR="003874B7">
              <w:rPr>
                <w:noProof/>
                <w:webHidden/>
              </w:rPr>
              <w:fldChar w:fldCharType="begin"/>
            </w:r>
            <w:r w:rsidR="003874B7">
              <w:rPr>
                <w:noProof/>
                <w:webHidden/>
              </w:rPr>
              <w:instrText xml:space="preserve"> PAGEREF _Toc126573223 \h </w:instrText>
            </w:r>
            <w:r w:rsidR="003874B7">
              <w:rPr>
                <w:noProof/>
                <w:webHidden/>
              </w:rPr>
            </w:r>
            <w:r w:rsidR="003874B7">
              <w:rPr>
                <w:noProof/>
                <w:webHidden/>
              </w:rPr>
              <w:fldChar w:fldCharType="separate"/>
            </w:r>
            <w:r w:rsidR="003874B7">
              <w:rPr>
                <w:noProof/>
                <w:webHidden/>
              </w:rPr>
              <w:t>44</w:t>
            </w:r>
            <w:r w:rsidR="003874B7">
              <w:rPr>
                <w:noProof/>
                <w:webHidden/>
              </w:rPr>
              <w:fldChar w:fldCharType="end"/>
            </w:r>
          </w:hyperlink>
        </w:p>
        <w:p w14:paraId="2A755C90" w14:textId="168AAA27" w:rsidR="003874B7" w:rsidRDefault="00CF6325">
          <w:pPr>
            <w:pStyle w:val="TOC2"/>
            <w:rPr>
              <w:rFonts w:eastAsiaTheme="minorEastAsia"/>
              <w:noProof/>
              <w:lang w:eastAsia="en-AU"/>
            </w:rPr>
          </w:pPr>
          <w:hyperlink w:anchor="_Toc126573224" w:history="1">
            <w:r w:rsidR="003874B7" w:rsidRPr="00397453">
              <w:rPr>
                <w:rStyle w:val="Hyperlink"/>
                <w:noProof/>
              </w:rPr>
              <w:t>5.5</w:t>
            </w:r>
            <w:r w:rsidR="003874B7">
              <w:rPr>
                <w:rFonts w:eastAsiaTheme="minorEastAsia"/>
                <w:noProof/>
                <w:lang w:eastAsia="en-AU"/>
              </w:rPr>
              <w:tab/>
            </w:r>
            <w:r w:rsidR="003874B7" w:rsidRPr="00397453">
              <w:rPr>
                <w:rStyle w:val="Hyperlink"/>
                <w:noProof/>
              </w:rPr>
              <w:t>Effectiveness</w:t>
            </w:r>
            <w:r w:rsidR="003874B7">
              <w:rPr>
                <w:noProof/>
                <w:webHidden/>
              </w:rPr>
              <w:tab/>
            </w:r>
            <w:r w:rsidR="003874B7">
              <w:rPr>
                <w:noProof/>
                <w:webHidden/>
              </w:rPr>
              <w:fldChar w:fldCharType="begin"/>
            </w:r>
            <w:r w:rsidR="003874B7">
              <w:rPr>
                <w:noProof/>
                <w:webHidden/>
              </w:rPr>
              <w:instrText xml:space="preserve"> PAGEREF _Toc126573224 \h </w:instrText>
            </w:r>
            <w:r w:rsidR="003874B7">
              <w:rPr>
                <w:noProof/>
                <w:webHidden/>
              </w:rPr>
            </w:r>
            <w:r w:rsidR="003874B7">
              <w:rPr>
                <w:noProof/>
                <w:webHidden/>
              </w:rPr>
              <w:fldChar w:fldCharType="separate"/>
            </w:r>
            <w:r w:rsidR="003874B7">
              <w:rPr>
                <w:noProof/>
                <w:webHidden/>
              </w:rPr>
              <w:t>48</w:t>
            </w:r>
            <w:r w:rsidR="003874B7">
              <w:rPr>
                <w:noProof/>
                <w:webHidden/>
              </w:rPr>
              <w:fldChar w:fldCharType="end"/>
            </w:r>
          </w:hyperlink>
        </w:p>
        <w:p w14:paraId="736CC8FD" w14:textId="24AF0176" w:rsidR="003874B7" w:rsidRDefault="00CF6325">
          <w:pPr>
            <w:pStyle w:val="TOC2"/>
            <w:rPr>
              <w:rFonts w:eastAsiaTheme="minorEastAsia"/>
              <w:noProof/>
              <w:lang w:eastAsia="en-AU"/>
            </w:rPr>
          </w:pPr>
          <w:hyperlink w:anchor="_Toc126573225" w:history="1">
            <w:r w:rsidR="003874B7" w:rsidRPr="00397453">
              <w:rPr>
                <w:rStyle w:val="Hyperlink"/>
                <w:noProof/>
              </w:rPr>
              <w:t>5.6</w:t>
            </w:r>
            <w:r w:rsidR="003874B7">
              <w:rPr>
                <w:rFonts w:eastAsiaTheme="minorEastAsia"/>
                <w:noProof/>
                <w:lang w:eastAsia="en-AU"/>
              </w:rPr>
              <w:tab/>
            </w:r>
            <w:r w:rsidR="003874B7" w:rsidRPr="00397453">
              <w:rPr>
                <w:rStyle w:val="Hyperlink"/>
                <w:noProof/>
              </w:rPr>
              <w:t>Benefits assessment</w:t>
            </w:r>
            <w:r w:rsidR="003874B7">
              <w:rPr>
                <w:noProof/>
                <w:webHidden/>
              </w:rPr>
              <w:tab/>
            </w:r>
            <w:r w:rsidR="003874B7">
              <w:rPr>
                <w:noProof/>
                <w:webHidden/>
              </w:rPr>
              <w:fldChar w:fldCharType="begin"/>
            </w:r>
            <w:r w:rsidR="003874B7">
              <w:rPr>
                <w:noProof/>
                <w:webHidden/>
              </w:rPr>
              <w:instrText xml:space="preserve"> PAGEREF _Toc126573225 \h </w:instrText>
            </w:r>
            <w:r w:rsidR="003874B7">
              <w:rPr>
                <w:noProof/>
                <w:webHidden/>
              </w:rPr>
            </w:r>
            <w:r w:rsidR="003874B7">
              <w:rPr>
                <w:noProof/>
                <w:webHidden/>
              </w:rPr>
              <w:fldChar w:fldCharType="separate"/>
            </w:r>
            <w:r w:rsidR="003874B7">
              <w:rPr>
                <w:noProof/>
                <w:webHidden/>
              </w:rPr>
              <w:t>51</w:t>
            </w:r>
            <w:r w:rsidR="003874B7">
              <w:rPr>
                <w:noProof/>
                <w:webHidden/>
              </w:rPr>
              <w:fldChar w:fldCharType="end"/>
            </w:r>
          </w:hyperlink>
        </w:p>
        <w:p w14:paraId="2F679975" w14:textId="74DCCEDC" w:rsidR="003874B7" w:rsidRDefault="00CF6325">
          <w:pPr>
            <w:pStyle w:val="TOC1"/>
            <w:tabs>
              <w:tab w:val="left" w:pos="400"/>
            </w:tabs>
            <w:rPr>
              <w:rFonts w:eastAsiaTheme="minorEastAsia"/>
              <w:noProof/>
              <w:lang w:eastAsia="en-AU"/>
            </w:rPr>
          </w:pPr>
          <w:hyperlink w:anchor="_Toc126573226" w:history="1">
            <w:r w:rsidR="003874B7" w:rsidRPr="00397453">
              <w:rPr>
                <w:rStyle w:val="Hyperlink"/>
                <w:noProof/>
              </w:rPr>
              <w:t>6</w:t>
            </w:r>
            <w:r w:rsidR="003874B7">
              <w:rPr>
                <w:rFonts w:eastAsiaTheme="minorEastAsia"/>
                <w:noProof/>
                <w:lang w:eastAsia="en-AU"/>
              </w:rPr>
              <w:tab/>
            </w:r>
            <w:r w:rsidR="003874B7" w:rsidRPr="00397453">
              <w:rPr>
                <w:rStyle w:val="Hyperlink"/>
                <w:noProof/>
              </w:rPr>
              <w:t>What is the likely impact of Option 6</w:t>
            </w:r>
            <w:r w:rsidR="003874B7">
              <w:rPr>
                <w:noProof/>
                <w:webHidden/>
              </w:rPr>
              <w:tab/>
            </w:r>
            <w:r w:rsidR="003874B7">
              <w:rPr>
                <w:noProof/>
                <w:webHidden/>
              </w:rPr>
              <w:fldChar w:fldCharType="begin"/>
            </w:r>
            <w:r w:rsidR="003874B7">
              <w:rPr>
                <w:noProof/>
                <w:webHidden/>
              </w:rPr>
              <w:instrText xml:space="preserve"> PAGEREF _Toc126573226 \h </w:instrText>
            </w:r>
            <w:r w:rsidR="003874B7">
              <w:rPr>
                <w:noProof/>
                <w:webHidden/>
              </w:rPr>
            </w:r>
            <w:r w:rsidR="003874B7">
              <w:rPr>
                <w:noProof/>
                <w:webHidden/>
              </w:rPr>
              <w:fldChar w:fldCharType="separate"/>
            </w:r>
            <w:r w:rsidR="003874B7">
              <w:rPr>
                <w:noProof/>
                <w:webHidden/>
              </w:rPr>
              <w:t>56</w:t>
            </w:r>
            <w:r w:rsidR="003874B7">
              <w:rPr>
                <w:noProof/>
                <w:webHidden/>
              </w:rPr>
              <w:fldChar w:fldCharType="end"/>
            </w:r>
          </w:hyperlink>
        </w:p>
        <w:p w14:paraId="3476E79C" w14:textId="391D54DD" w:rsidR="003874B7" w:rsidRDefault="00CF6325">
          <w:pPr>
            <w:pStyle w:val="TOC2"/>
            <w:rPr>
              <w:rFonts w:eastAsiaTheme="minorEastAsia"/>
              <w:noProof/>
              <w:lang w:eastAsia="en-AU"/>
            </w:rPr>
          </w:pPr>
          <w:hyperlink w:anchor="_Toc126573227" w:history="1">
            <w:r w:rsidR="003874B7" w:rsidRPr="00397453">
              <w:rPr>
                <w:rStyle w:val="Hyperlink"/>
                <w:noProof/>
                <w:lang w:eastAsia="en-AU"/>
              </w:rPr>
              <w:t>6.1</w:t>
            </w:r>
            <w:r w:rsidR="003874B7">
              <w:rPr>
                <w:rFonts w:eastAsiaTheme="minorEastAsia"/>
                <w:noProof/>
                <w:lang w:eastAsia="en-AU"/>
              </w:rPr>
              <w:tab/>
            </w:r>
            <w:r w:rsidR="003874B7" w:rsidRPr="00397453">
              <w:rPr>
                <w:rStyle w:val="Hyperlink"/>
                <w:noProof/>
                <w:lang w:eastAsia="en-AU"/>
              </w:rPr>
              <w:t>Approach</w:t>
            </w:r>
            <w:r w:rsidR="003874B7">
              <w:rPr>
                <w:noProof/>
                <w:webHidden/>
              </w:rPr>
              <w:tab/>
            </w:r>
            <w:r w:rsidR="003874B7">
              <w:rPr>
                <w:noProof/>
                <w:webHidden/>
              </w:rPr>
              <w:fldChar w:fldCharType="begin"/>
            </w:r>
            <w:r w:rsidR="003874B7">
              <w:rPr>
                <w:noProof/>
                <w:webHidden/>
              </w:rPr>
              <w:instrText xml:space="preserve"> PAGEREF _Toc126573227 \h </w:instrText>
            </w:r>
            <w:r w:rsidR="003874B7">
              <w:rPr>
                <w:noProof/>
                <w:webHidden/>
              </w:rPr>
            </w:r>
            <w:r w:rsidR="003874B7">
              <w:rPr>
                <w:noProof/>
                <w:webHidden/>
              </w:rPr>
              <w:fldChar w:fldCharType="separate"/>
            </w:r>
            <w:r w:rsidR="003874B7">
              <w:rPr>
                <w:noProof/>
                <w:webHidden/>
              </w:rPr>
              <w:t>56</w:t>
            </w:r>
            <w:r w:rsidR="003874B7">
              <w:rPr>
                <w:noProof/>
                <w:webHidden/>
              </w:rPr>
              <w:fldChar w:fldCharType="end"/>
            </w:r>
          </w:hyperlink>
        </w:p>
        <w:p w14:paraId="50A017CC" w14:textId="61DB2831" w:rsidR="003874B7" w:rsidRDefault="00CF6325">
          <w:pPr>
            <w:pStyle w:val="TOC2"/>
            <w:rPr>
              <w:rFonts w:eastAsiaTheme="minorEastAsia"/>
              <w:noProof/>
              <w:lang w:eastAsia="en-AU"/>
            </w:rPr>
          </w:pPr>
          <w:hyperlink w:anchor="_Toc126573228" w:history="1">
            <w:r w:rsidR="003874B7" w:rsidRPr="00397453">
              <w:rPr>
                <w:rStyle w:val="Hyperlink"/>
                <w:noProof/>
              </w:rPr>
              <w:t>6.2</w:t>
            </w:r>
            <w:r w:rsidR="003874B7">
              <w:rPr>
                <w:rFonts w:eastAsiaTheme="minorEastAsia"/>
                <w:noProof/>
                <w:lang w:eastAsia="en-AU"/>
              </w:rPr>
              <w:tab/>
            </w:r>
            <w:r w:rsidR="003874B7" w:rsidRPr="00397453">
              <w:rPr>
                <w:rStyle w:val="Hyperlink"/>
                <w:noProof/>
              </w:rPr>
              <w:t>Step 1: Define the market</w:t>
            </w:r>
            <w:r w:rsidR="003874B7">
              <w:rPr>
                <w:noProof/>
                <w:webHidden/>
              </w:rPr>
              <w:tab/>
            </w:r>
            <w:r w:rsidR="003874B7">
              <w:rPr>
                <w:noProof/>
                <w:webHidden/>
              </w:rPr>
              <w:fldChar w:fldCharType="begin"/>
            </w:r>
            <w:r w:rsidR="003874B7">
              <w:rPr>
                <w:noProof/>
                <w:webHidden/>
              </w:rPr>
              <w:instrText xml:space="preserve"> PAGEREF _Toc126573228 \h </w:instrText>
            </w:r>
            <w:r w:rsidR="003874B7">
              <w:rPr>
                <w:noProof/>
                <w:webHidden/>
              </w:rPr>
            </w:r>
            <w:r w:rsidR="003874B7">
              <w:rPr>
                <w:noProof/>
                <w:webHidden/>
              </w:rPr>
              <w:fldChar w:fldCharType="separate"/>
            </w:r>
            <w:r w:rsidR="003874B7">
              <w:rPr>
                <w:noProof/>
                <w:webHidden/>
              </w:rPr>
              <w:t>57</w:t>
            </w:r>
            <w:r w:rsidR="003874B7">
              <w:rPr>
                <w:noProof/>
                <w:webHidden/>
              </w:rPr>
              <w:fldChar w:fldCharType="end"/>
            </w:r>
          </w:hyperlink>
        </w:p>
        <w:p w14:paraId="28BDDBEE" w14:textId="00925852" w:rsidR="003874B7" w:rsidRDefault="00CF6325">
          <w:pPr>
            <w:pStyle w:val="TOC2"/>
            <w:rPr>
              <w:rFonts w:eastAsiaTheme="minorEastAsia"/>
              <w:noProof/>
              <w:lang w:eastAsia="en-AU"/>
            </w:rPr>
          </w:pPr>
          <w:hyperlink w:anchor="_Toc126573229" w:history="1">
            <w:r w:rsidR="003874B7" w:rsidRPr="00397453">
              <w:rPr>
                <w:rStyle w:val="Hyperlink"/>
                <w:noProof/>
              </w:rPr>
              <w:t>6.3</w:t>
            </w:r>
            <w:r w:rsidR="003874B7">
              <w:rPr>
                <w:rFonts w:eastAsiaTheme="minorEastAsia"/>
                <w:noProof/>
                <w:lang w:eastAsia="en-AU"/>
              </w:rPr>
              <w:tab/>
            </w:r>
            <w:r w:rsidR="003874B7" w:rsidRPr="00397453">
              <w:rPr>
                <w:rStyle w:val="Hyperlink"/>
                <w:noProof/>
              </w:rPr>
              <w:t>Step 2: Determine the impact a prohibition on working with engineered stone will have on businesses</w:t>
            </w:r>
            <w:r w:rsidR="003874B7">
              <w:rPr>
                <w:noProof/>
                <w:webHidden/>
              </w:rPr>
              <w:tab/>
            </w:r>
            <w:r w:rsidR="003874B7">
              <w:rPr>
                <w:noProof/>
                <w:webHidden/>
              </w:rPr>
              <w:fldChar w:fldCharType="begin"/>
            </w:r>
            <w:r w:rsidR="003874B7">
              <w:rPr>
                <w:noProof/>
                <w:webHidden/>
              </w:rPr>
              <w:instrText xml:space="preserve"> PAGEREF _Toc126573229 \h </w:instrText>
            </w:r>
            <w:r w:rsidR="003874B7">
              <w:rPr>
                <w:noProof/>
                <w:webHidden/>
              </w:rPr>
            </w:r>
            <w:r w:rsidR="003874B7">
              <w:rPr>
                <w:noProof/>
                <w:webHidden/>
              </w:rPr>
              <w:fldChar w:fldCharType="separate"/>
            </w:r>
            <w:r w:rsidR="003874B7">
              <w:rPr>
                <w:noProof/>
                <w:webHidden/>
              </w:rPr>
              <w:t>57</w:t>
            </w:r>
            <w:r w:rsidR="003874B7">
              <w:rPr>
                <w:noProof/>
                <w:webHidden/>
              </w:rPr>
              <w:fldChar w:fldCharType="end"/>
            </w:r>
          </w:hyperlink>
        </w:p>
        <w:p w14:paraId="16AB05BE" w14:textId="7F05B82D" w:rsidR="003874B7" w:rsidRDefault="00CF6325">
          <w:pPr>
            <w:pStyle w:val="TOC2"/>
            <w:rPr>
              <w:rFonts w:eastAsiaTheme="minorEastAsia"/>
              <w:noProof/>
              <w:lang w:eastAsia="en-AU"/>
            </w:rPr>
          </w:pPr>
          <w:hyperlink w:anchor="_Toc126573230" w:history="1">
            <w:r w:rsidR="003874B7" w:rsidRPr="00397453">
              <w:rPr>
                <w:rStyle w:val="Hyperlink"/>
                <w:noProof/>
              </w:rPr>
              <w:t>6.4</w:t>
            </w:r>
            <w:r w:rsidR="003874B7">
              <w:rPr>
                <w:rFonts w:eastAsiaTheme="minorEastAsia"/>
                <w:noProof/>
                <w:lang w:eastAsia="en-AU"/>
              </w:rPr>
              <w:tab/>
            </w:r>
            <w:r w:rsidR="003874B7" w:rsidRPr="00397453">
              <w:rPr>
                <w:rStyle w:val="Hyperlink"/>
                <w:noProof/>
              </w:rPr>
              <w:t>Step 3: Identify costs to industry</w:t>
            </w:r>
            <w:r w:rsidR="003874B7">
              <w:rPr>
                <w:noProof/>
                <w:webHidden/>
              </w:rPr>
              <w:tab/>
            </w:r>
            <w:r w:rsidR="003874B7">
              <w:rPr>
                <w:noProof/>
                <w:webHidden/>
              </w:rPr>
              <w:fldChar w:fldCharType="begin"/>
            </w:r>
            <w:r w:rsidR="003874B7">
              <w:rPr>
                <w:noProof/>
                <w:webHidden/>
              </w:rPr>
              <w:instrText xml:space="preserve"> PAGEREF _Toc126573230 \h </w:instrText>
            </w:r>
            <w:r w:rsidR="003874B7">
              <w:rPr>
                <w:noProof/>
                <w:webHidden/>
              </w:rPr>
            </w:r>
            <w:r w:rsidR="003874B7">
              <w:rPr>
                <w:noProof/>
                <w:webHidden/>
              </w:rPr>
              <w:fldChar w:fldCharType="separate"/>
            </w:r>
            <w:r w:rsidR="003874B7">
              <w:rPr>
                <w:noProof/>
                <w:webHidden/>
              </w:rPr>
              <w:t>59</w:t>
            </w:r>
            <w:r w:rsidR="003874B7">
              <w:rPr>
                <w:noProof/>
                <w:webHidden/>
              </w:rPr>
              <w:fldChar w:fldCharType="end"/>
            </w:r>
          </w:hyperlink>
        </w:p>
        <w:p w14:paraId="3A07FA0E" w14:textId="259C25DC" w:rsidR="003874B7" w:rsidRDefault="00CF6325">
          <w:pPr>
            <w:pStyle w:val="TOC2"/>
            <w:rPr>
              <w:rFonts w:eastAsiaTheme="minorEastAsia"/>
              <w:noProof/>
              <w:lang w:eastAsia="en-AU"/>
            </w:rPr>
          </w:pPr>
          <w:hyperlink w:anchor="_Toc126573231" w:history="1">
            <w:r w:rsidR="003874B7" w:rsidRPr="00397453">
              <w:rPr>
                <w:rStyle w:val="Hyperlink"/>
                <w:noProof/>
              </w:rPr>
              <w:t>6.5</w:t>
            </w:r>
            <w:r w:rsidR="003874B7">
              <w:rPr>
                <w:rFonts w:eastAsiaTheme="minorEastAsia"/>
                <w:noProof/>
                <w:lang w:eastAsia="en-AU"/>
              </w:rPr>
              <w:tab/>
            </w:r>
            <w:r w:rsidR="003874B7" w:rsidRPr="00397453">
              <w:rPr>
                <w:rStyle w:val="Hyperlink"/>
                <w:noProof/>
              </w:rPr>
              <w:t>Step 4: Identify costs to government resulting from worker displacement</w:t>
            </w:r>
            <w:r w:rsidR="003874B7">
              <w:rPr>
                <w:noProof/>
                <w:webHidden/>
              </w:rPr>
              <w:tab/>
            </w:r>
            <w:r w:rsidR="003874B7">
              <w:rPr>
                <w:noProof/>
                <w:webHidden/>
              </w:rPr>
              <w:fldChar w:fldCharType="begin"/>
            </w:r>
            <w:r w:rsidR="003874B7">
              <w:rPr>
                <w:noProof/>
                <w:webHidden/>
              </w:rPr>
              <w:instrText xml:space="preserve"> PAGEREF _Toc126573231 \h </w:instrText>
            </w:r>
            <w:r w:rsidR="003874B7">
              <w:rPr>
                <w:noProof/>
                <w:webHidden/>
              </w:rPr>
            </w:r>
            <w:r w:rsidR="003874B7">
              <w:rPr>
                <w:noProof/>
                <w:webHidden/>
              </w:rPr>
              <w:fldChar w:fldCharType="separate"/>
            </w:r>
            <w:r w:rsidR="003874B7">
              <w:rPr>
                <w:noProof/>
                <w:webHidden/>
              </w:rPr>
              <w:t>62</w:t>
            </w:r>
            <w:r w:rsidR="003874B7">
              <w:rPr>
                <w:noProof/>
                <w:webHidden/>
              </w:rPr>
              <w:fldChar w:fldCharType="end"/>
            </w:r>
          </w:hyperlink>
        </w:p>
        <w:p w14:paraId="5F10AF1F" w14:textId="7FCF16CB" w:rsidR="003874B7" w:rsidRDefault="00CF6325">
          <w:pPr>
            <w:pStyle w:val="TOC2"/>
            <w:rPr>
              <w:rFonts w:eastAsiaTheme="minorEastAsia"/>
              <w:noProof/>
              <w:lang w:eastAsia="en-AU"/>
            </w:rPr>
          </w:pPr>
          <w:hyperlink w:anchor="_Toc126573232" w:history="1">
            <w:r w:rsidR="003874B7" w:rsidRPr="00397453">
              <w:rPr>
                <w:rStyle w:val="Hyperlink"/>
                <w:noProof/>
              </w:rPr>
              <w:t>6.6</w:t>
            </w:r>
            <w:r w:rsidR="003874B7">
              <w:rPr>
                <w:rFonts w:eastAsiaTheme="minorEastAsia"/>
                <w:noProof/>
                <w:lang w:eastAsia="en-AU"/>
              </w:rPr>
              <w:tab/>
            </w:r>
            <w:r w:rsidR="003874B7" w:rsidRPr="00397453">
              <w:rPr>
                <w:rStyle w:val="Hyperlink"/>
                <w:noProof/>
              </w:rPr>
              <w:t>Step 5: Scenario analysis</w:t>
            </w:r>
            <w:r w:rsidR="003874B7">
              <w:rPr>
                <w:noProof/>
                <w:webHidden/>
              </w:rPr>
              <w:tab/>
            </w:r>
            <w:r w:rsidR="003874B7">
              <w:rPr>
                <w:noProof/>
                <w:webHidden/>
              </w:rPr>
              <w:fldChar w:fldCharType="begin"/>
            </w:r>
            <w:r w:rsidR="003874B7">
              <w:rPr>
                <w:noProof/>
                <w:webHidden/>
              </w:rPr>
              <w:instrText xml:space="preserve"> PAGEREF _Toc126573232 \h </w:instrText>
            </w:r>
            <w:r w:rsidR="003874B7">
              <w:rPr>
                <w:noProof/>
                <w:webHidden/>
              </w:rPr>
            </w:r>
            <w:r w:rsidR="003874B7">
              <w:rPr>
                <w:noProof/>
                <w:webHidden/>
              </w:rPr>
              <w:fldChar w:fldCharType="separate"/>
            </w:r>
            <w:r w:rsidR="003874B7">
              <w:rPr>
                <w:noProof/>
                <w:webHidden/>
              </w:rPr>
              <w:t>64</w:t>
            </w:r>
            <w:r w:rsidR="003874B7">
              <w:rPr>
                <w:noProof/>
                <w:webHidden/>
              </w:rPr>
              <w:fldChar w:fldCharType="end"/>
            </w:r>
          </w:hyperlink>
        </w:p>
        <w:p w14:paraId="1E1B0F68" w14:textId="5F74C3B1" w:rsidR="003874B7" w:rsidRDefault="00CF6325">
          <w:pPr>
            <w:pStyle w:val="TOC2"/>
            <w:rPr>
              <w:rFonts w:eastAsiaTheme="minorEastAsia"/>
              <w:noProof/>
              <w:lang w:eastAsia="en-AU"/>
            </w:rPr>
          </w:pPr>
          <w:hyperlink w:anchor="_Toc126573233" w:history="1">
            <w:r w:rsidR="003874B7" w:rsidRPr="00397453">
              <w:rPr>
                <w:rStyle w:val="Hyperlink"/>
                <w:noProof/>
              </w:rPr>
              <w:t>6.7</w:t>
            </w:r>
            <w:r w:rsidR="003874B7">
              <w:rPr>
                <w:rFonts w:eastAsiaTheme="minorEastAsia"/>
                <w:noProof/>
                <w:lang w:eastAsia="en-AU"/>
              </w:rPr>
              <w:tab/>
            </w:r>
            <w:r w:rsidR="003874B7" w:rsidRPr="00397453">
              <w:rPr>
                <w:rStyle w:val="Hyperlink"/>
                <w:noProof/>
              </w:rPr>
              <w:t>Qualitative assessment of economic and health benefits resulting from a prohibition on working with engineered stone</w:t>
            </w:r>
            <w:r w:rsidR="003874B7">
              <w:rPr>
                <w:noProof/>
                <w:webHidden/>
              </w:rPr>
              <w:tab/>
            </w:r>
            <w:r w:rsidR="003874B7">
              <w:rPr>
                <w:noProof/>
                <w:webHidden/>
              </w:rPr>
              <w:fldChar w:fldCharType="begin"/>
            </w:r>
            <w:r w:rsidR="003874B7">
              <w:rPr>
                <w:noProof/>
                <w:webHidden/>
              </w:rPr>
              <w:instrText xml:space="preserve"> PAGEREF _Toc126573233 \h </w:instrText>
            </w:r>
            <w:r w:rsidR="003874B7">
              <w:rPr>
                <w:noProof/>
                <w:webHidden/>
              </w:rPr>
            </w:r>
            <w:r w:rsidR="003874B7">
              <w:rPr>
                <w:noProof/>
                <w:webHidden/>
              </w:rPr>
              <w:fldChar w:fldCharType="separate"/>
            </w:r>
            <w:r w:rsidR="003874B7">
              <w:rPr>
                <w:noProof/>
                <w:webHidden/>
              </w:rPr>
              <w:t>69</w:t>
            </w:r>
            <w:r w:rsidR="003874B7">
              <w:rPr>
                <w:noProof/>
                <w:webHidden/>
              </w:rPr>
              <w:fldChar w:fldCharType="end"/>
            </w:r>
          </w:hyperlink>
        </w:p>
        <w:p w14:paraId="0F2AC5C7" w14:textId="067411A9" w:rsidR="003874B7" w:rsidRDefault="00CF6325">
          <w:pPr>
            <w:pStyle w:val="TOC1"/>
            <w:tabs>
              <w:tab w:val="left" w:pos="400"/>
            </w:tabs>
            <w:rPr>
              <w:rFonts w:eastAsiaTheme="minorEastAsia"/>
              <w:noProof/>
              <w:lang w:eastAsia="en-AU"/>
            </w:rPr>
          </w:pPr>
          <w:hyperlink w:anchor="_Toc126573234" w:history="1">
            <w:r w:rsidR="003874B7" w:rsidRPr="00397453">
              <w:rPr>
                <w:rStyle w:val="Hyperlink"/>
                <w:noProof/>
              </w:rPr>
              <w:t>7</w:t>
            </w:r>
            <w:r w:rsidR="003874B7">
              <w:rPr>
                <w:rFonts w:eastAsiaTheme="minorEastAsia"/>
                <w:noProof/>
                <w:lang w:eastAsia="en-AU"/>
              </w:rPr>
              <w:tab/>
            </w:r>
            <w:r w:rsidR="003874B7" w:rsidRPr="00397453">
              <w:rPr>
                <w:rStyle w:val="Hyperlink"/>
                <w:noProof/>
              </w:rPr>
              <w:t>Who was consulted and how was their feedback incorporated?</w:t>
            </w:r>
            <w:r w:rsidR="003874B7">
              <w:rPr>
                <w:noProof/>
                <w:webHidden/>
              </w:rPr>
              <w:tab/>
            </w:r>
            <w:r w:rsidR="003874B7">
              <w:rPr>
                <w:noProof/>
                <w:webHidden/>
              </w:rPr>
              <w:fldChar w:fldCharType="begin"/>
            </w:r>
            <w:r w:rsidR="003874B7">
              <w:rPr>
                <w:noProof/>
                <w:webHidden/>
              </w:rPr>
              <w:instrText xml:space="preserve"> PAGEREF _Toc126573234 \h </w:instrText>
            </w:r>
            <w:r w:rsidR="003874B7">
              <w:rPr>
                <w:noProof/>
                <w:webHidden/>
              </w:rPr>
            </w:r>
            <w:r w:rsidR="003874B7">
              <w:rPr>
                <w:noProof/>
                <w:webHidden/>
              </w:rPr>
              <w:fldChar w:fldCharType="separate"/>
            </w:r>
            <w:r w:rsidR="003874B7">
              <w:rPr>
                <w:noProof/>
                <w:webHidden/>
              </w:rPr>
              <w:t>71</w:t>
            </w:r>
            <w:r w:rsidR="003874B7">
              <w:rPr>
                <w:noProof/>
                <w:webHidden/>
              </w:rPr>
              <w:fldChar w:fldCharType="end"/>
            </w:r>
          </w:hyperlink>
        </w:p>
        <w:p w14:paraId="76F21139" w14:textId="569F0008" w:rsidR="003874B7" w:rsidRDefault="00CF6325">
          <w:pPr>
            <w:pStyle w:val="TOC2"/>
            <w:rPr>
              <w:rFonts w:eastAsiaTheme="minorEastAsia"/>
              <w:noProof/>
              <w:lang w:eastAsia="en-AU"/>
            </w:rPr>
          </w:pPr>
          <w:hyperlink w:anchor="_Toc126573235" w:history="1">
            <w:r w:rsidR="003874B7" w:rsidRPr="00397453">
              <w:rPr>
                <w:rStyle w:val="Hyperlink"/>
                <w:noProof/>
              </w:rPr>
              <w:t>7.1</w:t>
            </w:r>
            <w:r w:rsidR="003874B7">
              <w:rPr>
                <w:rFonts w:eastAsiaTheme="minorEastAsia"/>
                <w:noProof/>
                <w:lang w:eastAsia="en-AU"/>
              </w:rPr>
              <w:tab/>
            </w:r>
            <w:r w:rsidR="003874B7" w:rsidRPr="00397453">
              <w:rPr>
                <w:rStyle w:val="Hyperlink"/>
                <w:noProof/>
              </w:rPr>
              <w:t>Preliminary consultation</w:t>
            </w:r>
            <w:r w:rsidR="003874B7">
              <w:rPr>
                <w:noProof/>
                <w:webHidden/>
              </w:rPr>
              <w:tab/>
            </w:r>
            <w:r w:rsidR="003874B7">
              <w:rPr>
                <w:noProof/>
                <w:webHidden/>
              </w:rPr>
              <w:fldChar w:fldCharType="begin"/>
            </w:r>
            <w:r w:rsidR="003874B7">
              <w:rPr>
                <w:noProof/>
                <w:webHidden/>
              </w:rPr>
              <w:instrText xml:space="preserve"> PAGEREF _Toc126573235 \h </w:instrText>
            </w:r>
            <w:r w:rsidR="003874B7">
              <w:rPr>
                <w:noProof/>
                <w:webHidden/>
              </w:rPr>
            </w:r>
            <w:r w:rsidR="003874B7">
              <w:rPr>
                <w:noProof/>
                <w:webHidden/>
              </w:rPr>
              <w:fldChar w:fldCharType="separate"/>
            </w:r>
            <w:r w:rsidR="003874B7">
              <w:rPr>
                <w:noProof/>
                <w:webHidden/>
              </w:rPr>
              <w:t>71</w:t>
            </w:r>
            <w:r w:rsidR="003874B7">
              <w:rPr>
                <w:noProof/>
                <w:webHidden/>
              </w:rPr>
              <w:fldChar w:fldCharType="end"/>
            </w:r>
          </w:hyperlink>
        </w:p>
        <w:p w14:paraId="3F8B9ECF" w14:textId="1A7E018D" w:rsidR="003874B7" w:rsidRDefault="00CF6325">
          <w:pPr>
            <w:pStyle w:val="TOC2"/>
            <w:rPr>
              <w:rFonts w:eastAsiaTheme="minorEastAsia"/>
              <w:noProof/>
              <w:lang w:eastAsia="en-AU"/>
            </w:rPr>
          </w:pPr>
          <w:hyperlink w:anchor="_Toc126573236" w:history="1">
            <w:r w:rsidR="003874B7" w:rsidRPr="00397453">
              <w:rPr>
                <w:rStyle w:val="Hyperlink"/>
                <w:noProof/>
              </w:rPr>
              <w:t>7.2</w:t>
            </w:r>
            <w:r w:rsidR="003874B7">
              <w:rPr>
                <w:rFonts w:eastAsiaTheme="minorEastAsia"/>
                <w:noProof/>
                <w:lang w:eastAsia="en-AU"/>
              </w:rPr>
              <w:tab/>
            </w:r>
            <w:r w:rsidR="003874B7" w:rsidRPr="00397453">
              <w:rPr>
                <w:rStyle w:val="Hyperlink"/>
                <w:noProof/>
              </w:rPr>
              <w:t>Public consultation</w:t>
            </w:r>
            <w:r w:rsidR="003874B7">
              <w:rPr>
                <w:noProof/>
                <w:webHidden/>
              </w:rPr>
              <w:tab/>
            </w:r>
            <w:r w:rsidR="003874B7">
              <w:rPr>
                <w:noProof/>
                <w:webHidden/>
              </w:rPr>
              <w:fldChar w:fldCharType="begin"/>
            </w:r>
            <w:r w:rsidR="003874B7">
              <w:rPr>
                <w:noProof/>
                <w:webHidden/>
              </w:rPr>
              <w:instrText xml:space="preserve"> PAGEREF _Toc126573236 \h </w:instrText>
            </w:r>
            <w:r w:rsidR="003874B7">
              <w:rPr>
                <w:noProof/>
                <w:webHidden/>
              </w:rPr>
            </w:r>
            <w:r w:rsidR="003874B7">
              <w:rPr>
                <w:noProof/>
                <w:webHidden/>
              </w:rPr>
              <w:fldChar w:fldCharType="separate"/>
            </w:r>
            <w:r w:rsidR="003874B7">
              <w:rPr>
                <w:noProof/>
                <w:webHidden/>
              </w:rPr>
              <w:t>71</w:t>
            </w:r>
            <w:r w:rsidR="003874B7">
              <w:rPr>
                <w:noProof/>
                <w:webHidden/>
              </w:rPr>
              <w:fldChar w:fldCharType="end"/>
            </w:r>
          </w:hyperlink>
        </w:p>
        <w:p w14:paraId="6A5842A3" w14:textId="23136D19" w:rsidR="003874B7" w:rsidRDefault="00CF6325">
          <w:pPr>
            <w:pStyle w:val="TOC1"/>
            <w:tabs>
              <w:tab w:val="left" w:pos="400"/>
            </w:tabs>
            <w:rPr>
              <w:rFonts w:eastAsiaTheme="minorEastAsia"/>
              <w:noProof/>
              <w:lang w:eastAsia="en-AU"/>
            </w:rPr>
          </w:pPr>
          <w:hyperlink w:anchor="_Toc126573237" w:history="1">
            <w:r w:rsidR="003874B7" w:rsidRPr="00397453">
              <w:rPr>
                <w:rStyle w:val="Hyperlink"/>
                <w:noProof/>
              </w:rPr>
              <w:t>8</w:t>
            </w:r>
            <w:r w:rsidR="003874B7">
              <w:rPr>
                <w:rFonts w:eastAsiaTheme="minorEastAsia"/>
                <w:noProof/>
                <w:lang w:eastAsia="en-AU"/>
              </w:rPr>
              <w:tab/>
            </w:r>
            <w:r w:rsidR="003874B7" w:rsidRPr="00397453">
              <w:rPr>
                <w:rStyle w:val="Hyperlink"/>
                <w:noProof/>
              </w:rPr>
              <w:t>What is the best option or combination of options?</w:t>
            </w:r>
            <w:r w:rsidR="003874B7">
              <w:rPr>
                <w:noProof/>
                <w:webHidden/>
              </w:rPr>
              <w:tab/>
            </w:r>
            <w:r w:rsidR="003874B7">
              <w:rPr>
                <w:noProof/>
                <w:webHidden/>
              </w:rPr>
              <w:fldChar w:fldCharType="begin"/>
            </w:r>
            <w:r w:rsidR="003874B7">
              <w:rPr>
                <w:noProof/>
                <w:webHidden/>
              </w:rPr>
              <w:instrText xml:space="preserve"> PAGEREF _Toc126573237 \h </w:instrText>
            </w:r>
            <w:r w:rsidR="003874B7">
              <w:rPr>
                <w:noProof/>
                <w:webHidden/>
              </w:rPr>
            </w:r>
            <w:r w:rsidR="003874B7">
              <w:rPr>
                <w:noProof/>
                <w:webHidden/>
              </w:rPr>
              <w:fldChar w:fldCharType="separate"/>
            </w:r>
            <w:r w:rsidR="003874B7">
              <w:rPr>
                <w:noProof/>
                <w:webHidden/>
              </w:rPr>
              <w:t>76</w:t>
            </w:r>
            <w:r w:rsidR="003874B7">
              <w:rPr>
                <w:noProof/>
                <w:webHidden/>
              </w:rPr>
              <w:fldChar w:fldCharType="end"/>
            </w:r>
          </w:hyperlink>
        </w:p>
        <w:p w14:paraId="57016671" w14:textId="01902C44" w:rsidR="003874B7" w:rsidRDefault="00CF6325">
          <w:pPr>
            <w:pStyle w:val="TOC2"/>
            <w:rPr>
              <w:rFonts w:eastAsiaTheme="minorEastAsia"/>
              <w:noProof/>
              <w:lang w:eastAsia="en-AU"/>
            </w:rPr>
          </w:pPr>
          <w:hyperlink w:anchor="_Toc126573238" w:history="1">
            <w:r w:rsidR="003874B7" w:rsidRPr="00397453">
              <w:rPr>
                <w:rStyle w:val="Hyperlink"/>
                <w:noProof/>
              </w:rPr>
              <w:t>8.1</w:t>
            </w:r>
            <w:r w:rsidR="003874B7">
              <w:rPr>
                <w:rFonts w:eastAsiaTheme="minorEastAsia"/>
                <w:noProof/>
                <w:lang w:eastAsia="en-AU"/>
              </w:rPr>
              <w:tab/>
            </w:r>
            <w:r w:rsidR="003874B7" w:rsidRPr="00397453">
              <w:rPr>
                <w:rStyle w:val="Hyperlink"/>
                <w:noProof/>
              </w:rPr>
              <w:t>Recommendation:</w:t>
            </w:r>
            <w:r w:rsidR="003874B7">
              <w:rPr>
                <w:noProof/>
                <w:webHidden/>
              </w:rPr>
              <w:tab/>
            </w:r>
            <w:r w:rsidR="003874B7">
              <w:rPr>
                <w:noProof/>
                <w:webHidden/>
              </w:rPr>
              <w:fldChar w:fldCharType="begin"/>
            </w:r>
            <w:r w:rsidR="003874B7">
              <w:rPr>
                <w:noProof/>
                <w:webHidden/>
              </w:rPr>
              <w:instrText xml:space="preserve"> PAGEREF _Toc126573238 \h </w:instrText>
            </w:r>
            <w:r w:rsidR="003874B7">
              <w:rPr>
                <w:noProof/>
                <w:webHidden/>
              </w:rPr>
            </w:r>
            <w:r w:rsidR="003874B7">
              <w:rPr>
                <w:noProof/>
                <w:webHidden/>
              </w:rPr>
              <w:fldChar w:fldCharType="separate"/>
            </w:r>
            <w:r w:rsidR="003874B7">
              <w:rPr>
                <w:noProof/>
                <w:webHidden/>
              </w:rPr>
              <w:t>76</w:t>
            </w:r>
            <w:r w:rsidR="003874B7">
              <w:rPr>
                <w:noProof/>
                <w:webHidden/>
              </w:rPr>
              <w:fldChar w:fldCharType="end"/>
            </w:r>
          </w:hyperlink>
        </w:p>
        <w:p w14:paraId="6BC3E739" w14:textId="1CAD20DE" w:rsidR="003874B7" w:rsidRDefault="00CF6325">
          <w:pPr>
            <w:pStyle w:val="TOC2"/>
            <w:rPr>
              <w:rFonts w:eastAsiaTheme="minorEastAsia"/>
              <w:noProof/>
              <w:lang w:eastAsia="en-AU"/>
            </w:rPr>
          </w:pPr>
          <w:hyperlink w:anchor="_Toc126573239" w:history="1">
            <w:r w:rsidR="003874B7" w:rsidRPr="00397453">
              <w:rPr>
                <w:rStyle w:val="Hyperlink"/>
                <w:noProof/>
              </w:rPr>
              <w:t>8.2</w:t>
            </w:r>
            <w:r w:rsidR="003874B7">
              <w:rPr>
                <w:rFonts w:eastAsiaTheme="minorEastAsia"/>
                <w:noProof/>
                <w:lang w:eastAsia="en-AU"/>
              </w:rPr>
              <w:tab/>
            </w:r>
            <w:r w:rsidR="003874B7" w:rsidRPr="00397453">
              <w:rPr>
                <w:rStyle w:val="Hyperlink"/>
                <w:noProof/>
              </w:rPr>
              <w:t>Why are other options not preferred?</w:t>
            </w:r>
            <w:r w:rsidR="003874B7">
              <w:rPr>
                <w:noProof/>
                <w:webHidden/>
              </w:rPr>
              <w:tab/>
            </w:r>
            <w:r w:rsidR="003874B7">
              <w:rPr>
                <w:noProof/>
                <w:webHidden/>
              </w:rPr>
              <w:fldChar w:fldCharType="begin"/>
            </w:r>
            <w:r w:rsidR="003874B7">
              <w:rPr>
                <w:noProof/>
                <w:webHidden/>
              </w:rPr>
              <w:instrText xml:space="preserve"> PAGEREF _Toc126573239 \h </w:instrText>
            </w:r>
            <w:r w:rsidR="003874B7">
              <w:rPr>
                <w:noProof/>
                <w:webHidden/>
              </w:rPr>
            </w:r>
            <w:r w:rsidR="003874B7">
              <w:rPr>
                <w:noProof/>
                <w:webHidden/>
              </w:rPr>
              <w:fldChar w:fldCharType="separate"/>
            </w:r>
            <w:r w:rsidR="003874B7">
              <w:rPr>
                <w:noProof/>
                <w:webHidden/>
              </w:rPr>
              <w:t>76</w:t>
            </w:r>
            <w:r w:rsidR="003874B7">
              <w:rPr>
                <w:noProof/>
                <w:webHidden/>
              </w:rPr>
              <w:fldChar w:fldCharType="end"/>
            </w:r>
          </w:hyperlink>
        </w:p>
        <w:p w14:paraId="558A5E4E" w14:textId="0AFF022C" w:rsidR="003874B7" w:rsidRDefault="00CF6325">
          <w:pPr>
            <w:pStyle w:val="TOC1"/>
            <w:tabs>
              <w:tab w:val="left" w:pos="400"/>
            </w:tabs>
            <w:rPr>
              <w:rFonts w:eastAsiaTheme="minorEastAsia"/>
              <w:noProof/>
              <w:lang w:eastAsia="en-AU"/>
            </w:rPr>
          </w:pPr>
          <w:hyperlink w:anchor="_Toc126573240" w:history="1">
            <w:r w:rsidR="003874B7" w:rsidRPr="00397453">
              <w:rPr>
                <w:rStyle w:val="Hyperlink"/>
                <w:noProof/>
              </w:rPr>
              <w:t>9</w:t>
            </w:r>
            <w:r w:rsidR="003874B7">
              <w:rPr>
                <w:rFonts w:eastAsiaTheme="minorEastAsia"/>
                <w:noProof/>
                <w:lang w:eastAsia="en-AU"/>
              </w:rPr>
              <w:tab/>
            </w:r>
            <w:r w:rsidR="003874B7" w:rsidRPr="00397453">
              <w:rPr>
                <w:rStyle w:val="Hyperlink"/>
                <w:noProof/>
              </w:rPr>
              <w:t>Implementation and Evaluation</w:t>
            </w:r>
            <w:r w:rsidR="003874B7">
              <w:rPr>
                <w:noProof/>
                <w:webHidden/>
              </w:rPr>
              <w:tab/>
            </w:r>
            <w:r w:rsidR="003874B7">
              <w:rPr>
                <w:noProof/>
                <w:webHidden/>
              </w:rPr>
              <w:fldChar w:fldCharType="begin"/>
            </w:r>
            <w:r w:rsidR="003874B7">
              <w:rPr>
                <w:noProof/>
                <w:webHidden/>
              </w:rPr>
              <w:instrText xml:space="preserve"> PAGEREF _Toc126573240 \h </w:instrText>
            </w:r>
            <w:r w:rsidR="003874B7">
              <w:rPr>
                <w:noProof/>
                <w:webHidden/>
              </w:rPr>
            </w:r>
            <w:r w:rsidR="003874B7">
              <w:rPr>
                <w:noProof/>
                <w:webHidden/>
              </w:rPr>
              <w:fldChar w:fldCharType="separate"/>
            </w:r>
            <w:r w:rsidR="003874B7">
              <w:rPr>
                <w:noProof/>
                <w:webHidden/>
              </w:rPr>
              <w:t>78</w:t>
            </w:r>
            <w:r w:rsidR="003874B7">
              <w:rPr>
                <w:noProof/>
                <w:webHidden/>
              </w:rPr>
              <w:fldChar w:fldCharType="end"/>
            </w:r>
          </w:hyperlink>
        </w:p>
        <w:p w14:paraId="3850C60E" w14:textId="27433A4B" w:rsidR="003874B7" w:rsidRDefault="00CF6325">
          <w:pPr>
            <w:pStyle w:val="TOC2"/>
            <w:rPr>
              <w:rFonts w:eastAsiaTheme="minorEastAsia"/>
              <w:noProof/>
              <w:lang w:eastAsia="en-AU"/>
            </w:rPr>
          </w:pPr>
          <w:hyperlink w:anchor="_Toc126573241" w:history="1">
            <w:r w:rsidR="003874B7" w:rsidRPr="00397453">
              <w:rPr>
                <w:rStyle w:val="Hyperlink"/>
                <w:noProof/>
              </w:rPr>
              <w:t>9.1</w:t>
            </w:r>
            <w:r w:rsidR="003874B7">
              <w:rPr>
                <w:rFonts w:eastAsiaTheme="minorEastAsia"/>
                <w:noProof/>
                <w:lang w:eastAsia="en-AU"/>
              </w:rPr>
              <w:tab/>
            </w:r>
            <w:r w:rsidR="003874B7" w:rsidRPr="00397453">
              <w:rPr>
                <w:rStyle w:val="Hyperlink"/>
                <w:noProof/>
              </w:rPr>
              <w:t>Implementation</w:t>
            </w:r>
            <w:r w:rsidR="003874B7">
              <w:rPr>
                <w:noProof/>
                <w:webHidden/>
              </w:rPr>
              <w:tab/>
            </w:r>
            <w:r w:rsidR="003874B7">
              <w:rPr>
                <w:noProof/>
                <w:webHidden/>
              </w:rPr>
              <w:fldChar w:fldCharType="begin"/>
            </w:r>
            <w:r w:rsidR="003874B7">
              <w:rPr>
                <w:noProof/>
                <w:webHidden/>
              </w:rPr>
              <w:instrText xml:space="preserve"> PAGEREF _Toc126573241 \h </w:instrText>
            </w:r>
            <w:r w:rsidR="003874B7">
              <w:rPr>
                <w:noProof/>
                <w:webHidden/>
              </w:rPr>
            </w:r>
            <w:r w:rsidR="003874B7">
              <w:rPr>
                <w:noProof/>
                <w:webHidden/>
              </w:rPr>
              <w:fldChar w:fldCharType="separate"/>
            </w:r>
            <w:r w:rsidR="003874B7">
              <w:rPr>
                <w:noProof/>
                <w:webHidden/>
              </w:rPr>
              <w:t>78</w:t>
            </w:r>
            <w:r w:rsidR="003874B7">
              <w:rPr>
                <w:noProof/>
                <w:webHidden/>
              </w:rPr>
              <w:fldChar w:fldCharType="end"/>
            </w:r>
          </w:hyperlink>
        </w:p>
        <w:p w14:paraId="0DCADA42" w14:textId="35CF8E5A" w:rsidR="003874B7" w:rsidRDefault="00CF6325">
          <w:pPr>
            <w:pStyle w:val="TOC2"/>
            <w:rPr>
              <w:rFonts w:eastAsiaTheme="minorEastAsia"/>
              <w:noProof/>
              <w:lang w:eastAsia="en-AU"/>
            </w:rPr>
          </w:pPr>
          <w:hyperlink w:anchor="_Toc126573242" w:history="1">
            <w:r w:rsidR="003874B7" w:rsidRPr="00397453">
              <w:rPr>
                <w:rStyle w:val="Hyperlink"/>
                <w:noProof/>
              </w:rPr>
              <w:t>9.2</w:t>
            </w:r>
            <w:r w:rsidR="003874B7">
              <w:rPr>
                <w:rFonts w:eastAsiaTheme="minorEastAsia"/>
                <w:noProof/>
                <w:lang w:eastAsia="en-AU"/>
              </w:rPr>
              <w:tab/>
            </w:r>
            <w:r w:rsidR="003874B7" w:rsidRPr="00397453">
              <w:rPr>
                <w:rStyle w:val="Hyperlink"/>
                <w:noProof/>
              </w:rPr>
              <w:t>Evaluation</w:t>
            </w:r>
            <w:r w:rsidR="003874B7">
              <w:rPr>
                <w:noProof/>
                <w:webHidden/>
              </w:rPr>
              <w:tab/>
            </w:r>
            <w:r w:rsidR="003874B7">
              <w:rPr>
                <w:noProof/>
                <w:webHidden/>
              </w:rPr>
              <w:fldChar w:fldCharType="begin"/>
            </w:r>
            <w:r w:rsidR="003874B7">
              <w:rPr>
                <w:noProof/>
                <w:webHidden/>
              </w:rPr>
              <w:instrText xml:space="preserve"> PAGEREF _Toc126573242 \h </w:instrText>
            </w:r>
            <w:r w:rsidR="003874B7">
              <w:rPr>
                <w:noProof/>
                <w:webHidden/>
              </w:rPr>
            </w:r>
            <w:r w:rsidR="003874B7">
              <w:rPr>
                <w:noProof/>
                <w:webHidden/>
              </w:rPr>
              <w:fldChar w:fldCharType="separate"/>
            </w:r>
            <w:r w:rsidR="003874B7">
              <w:rPr>
                <w:noProof/>
                <w:webHidden/>
              </w:rPr>
              <w:t>78</w:t>
            </w:r>
            <w:r w:rsidR="003874B7">
              <w:rPr>
                <w:noProof/>
                <w:webHidden/>
              </w:rPr>
              <w:fldChar w:fldCharType="end"/>
            </w:r>
          </w:hyperlink>
        </w:p>
        <w:p w14:paraId="3A23E148" w14:textId="15F63849" w:rsidR="003874B7" w:rsidRDefault="00CF6325">
          <w:pPr>
            <w:pStyle w:val="TOC1"/>
            <w:tabs>
              <w:tab w:val="left" w:pos="660"/>
            </w:tabs>
            <w:rPr>
              <w:rFonts w:eastAsiaTheme="minorEastAsia"/>
              <w:noProof/>
              <w:lang w:eastAsia="en-AU"/>
            </w:rPr>
          </w:pPr>
          <w:hyperlink w:anchor="_Toc126573243" w:history="1">
            <w:r w:rsidR="003874B7" w:rsidRPr="00397453">
              <w:rPr>
                <w:rStyle w:val="Hyperlink"/>
                <w:noProof/>
              </w:rPr>
              <w:t>10</w:t>
            </w:r>
            <w:r w:rsidR="003874B7">
              <w:rPr>
                <w:rFonts w:eastAsiaTheme="minorEastAsia"/>
                <w:noProof/>
                <w:lang w:eastAsia="en-AU"/>
              </w:rPr>
              <w:tab/>
            </w:r>
            <w:r w:rsidR="003874B7" w:rsidRPr="00397453">
              <w:rPr>
                <w:rStyle w:val="Hyperlink"/>
                <w:noProof/>
              </w:rPr>
              <w:t>Bibliography</w:t>
            </w:r>
            <w:r w:rsidR="003874B7">
              <w:rPr>
                <w:noProof/>
                <w:webHidden/>
              </w:rPr>
              <w:tab/>
            </w:r>
            <w:r w:rsidR="003874B7">
              <w:rPr>
                <w:noProof/>
                <w:webHidden/>
              </w:rPr>
              <w:fldChar w:fldCharType="begin"/>
            </w:r>
            <w:r w:rsidR="003874B7">
              <w:rPr>
                <w:noProof/>
                <w:webHidden/>
              </w:rPr>
              <w:instrText xml:space="preserve"> PAGEREF _Toc126573243 \h </w:instrText>
            </w:r>
            <w:r w:rsidR="003874B7">
              <w:rPr>
                <w:noProof/>
                <w:webHidden/>
              </w:rPr>
            </w:r>
            <w:r w:rsidR="003874B7">
              <w:rPr>
                <w:noProof/>
                <w:webHidden/>
              </w:rPr>
              <w:fldChar w:fldCharType="separate"/>
            </w:r>
            <w:r w:rsidR="003874B7">
              <w:rPr>
                <w:noProof/>
                <w:webHidden/>
              </w:rPr>
              <w:t>80</w:t>
            </w:r>
            <w:r w:rsidR="003874B7">
              <w:rPr>
                <w:noProof/>
                <w:webHidden/>
              </w:rPr>
              <w:fldChar w:fldCharType="end"/>
            </w:r>
          </w:hyperlink>
        </w:p>
        <w:p w14:paraId="0D864FB1" w14:textId="5AA1C485" w:rsidR="003874B7" w:rsidRDefault="00CF6325">
          <w:pPr>
            <w:pStyle w:val="TOC1"/>
            <w:rPr>
              <w:rFonts w:eastAsiaTheme="minorEastAsia"/>
              <w:noProof/>
              <w:lang w:eastAsia="en-AU"/>
            </w:rPr>
          </w:pPr>
          <w:hyperlink w:anchor="_Toc126573244" w:history="1">
            <w:r w:rsidR="003874B7" w:rsidRPr="00397453">
              <w:rPr>
                <w:rStyle w:val="Hyperlink"/>
                <w:noProof/>
              </w:rPr>
              <w:t>Appendix A: Legislative and regulatory framework for crystalline silica under the model WHS laws</w:t>
            </w:r>
            <w:r w:rsidR="003874B7">
              <w:rPr>
                <w:noProof/>
                <w:webHidden/>
              </w:rPr>
              <w:tab/>
            </w:r>
            <w:r w:rsidR="003874B7">
              <w:rPr>
                <w:noProof/>
                <w:webHidden/>
              </w:rPr>
              <w:fldChar w:fldCharType="begin"/>
            </w:r>
            <w:r w:rsidR="003874B7">
              <w:rPr>
                <w:noProof/>
                <w:webHidden/>
              </w:rPr>
              <w:instrText xml:space="preserve"> PAGEREF _Toc126573244 \h </w:instrText>
            </w:r>
            <w:r w:rsidR="003874B7">
              <w:rPr>
                <w:noProof/>
                <w:webHidden/>
              </w:rPr>
            </w:r>
            <w:r w:rsidR="003874B7">
              <w:rPr>
                <w:noProof/>
                <w:webHidden/>
              </w:rPr>
              <w:fldChar w:fldCharType="separate"/>
            </w:r>
            <w:r w:rsidR="003874B7">
              <w:rPr>
                <w:noProof/>
                <w:webHidden/>
              </w:rPr>
              <w:t>86</w:t>
            </w:r>
            <w:r w:rsidR="003874B7">
              <w:rPr>
                <w:noProof/>
                <w:webHidden/>
              </w:rPr>
              <w:fldChar w:fldCharType="end"/>
            </w:r>
          </w:hyperlink>
        </w:p>
        <w:p w14:paraId="74ABE62E" w14:textId="38849D95" w:rsidR="003874B7" w:rsidRDefault="00CF6325">
          <w:pPr>
            <w:pStyle w:val="TOC1"/>
            <w:rPr>
              <w:rFonts w:eastAsiaTheme="minorEastAsia"/>
              <w:noProof/>
              <w:lang w:eastAsia="en-AU"/>
            </w:rPr>
          </w:pPr>
          <w:hyperlink w:anchor="_Toc126573245" w:history="1">
            <w:r w:rsidR="003874B7" w:rsidRPr="00397453">
              <w:rPr>
                <w:rStyle w:val="Hyperlink"/>
                <w:noProof/>
              </w:rPr>
              <w:t>Appendix B: Complementary initiatives</w:t>
            </w:r>
            <w:r w:rsidR="003874B7">
              <w:rPr>
                <w:noProof/>
                <w:webHidden/>
              </w:rPr>
              <w:tab/>
            </w:r>
            <w:r w:rsidR="003874B7">
              <w:rPr>
                <w:noProof/>
                <w:webHidden/>
              </w:rPr>
              <w:fldChar w:fldCharType="begin"/>
            </w:r>
            <w:r w:rsidR="003874B7">
              <w:rPr>
                <w:noProof/>
                <w:webHidden/>
              </w:rPr>
              <w:instrText xml:space="preserve"> PAGEREF _Toc126573245 \h </w:instrText>
            </w:r>
            <w:r w:rsidR="003874B7">
              <w:rPr>
                <w:noProof/>
                <w:webHidden/>
              </w:rPr>
            </w:r>
            <w:r w:rsidR="003874B7">
              <w:rPr>
                <w:noProof/>
                <w:webHidden/>
              </w:rPr>
              <w:fldChar w:fldCharType="separate"/>
            </w:r>
            <w:r w:rsidR="003874B7">
              <w:rPr>
                <w:noProof/>
                <w:webHidden/>
              </w:rPr>
              <w:t>91</w:t>
            </w:r>
            <w:r w:rsidR="003874B7">
              <w:rPr>
                <w:noProof/>
                <w:webHidden/>
              </w:rPr>
              <w:fldChar w:fldCharType="end"/>
            </w:r>
          </w:hyperlink>
        </w:p>
        <w:p w14:paraId="01AA6B5A" w14:textId="4F1A8912" w:rsidR="003874B7" w:rsidRDefault="00CF6325">
          <w:pPr>
            <w:pStyle w:val="TOC1"/>
            <w:rPr>
              <w:rFonts w:eastAsiaTheme="minorEastAsia"/>
              <w:noProof/>
              <w:lang w:eastAsia="en-AU"/>
            </w:rPr>
          </w:pPr>
          <w:hyperlink w:anchor="_Toc126573246" w:history="1">
            <w:r w:rsidR="003874B7" w:rsidRPr="00397453">
              <w:rPr>
                <w:rStyle w:val="Hyperlink"/>
                <w:noProof/>
              </w:rPr>
              <w:t>Appendix C: Cost modelling key assumptions and methodology</w:t>
            </w:r>
            <w:r w:rsidR="003874B7">
              <w:rPr>
                <w:noProof/>
                <w:webHidden/>
              </w:rPr>
              <w:tab/>
            </w:r>
            <w:r w:rsidR="003874B7">
              <w:rPr>
                <w:noProof/>
                <w:webHidden/>
              </w:rPr>
              <w:fldChar w:fldCharType="begin"/>
            </w:r>
            <w:r w:rsidR="003874B7">
              <w:rPr>
                <w:noProof/>
                <w:webHidden/>
              </w:rPr>
              <w:instrText xml:space="preserve"> PAGEREF _Toc126573246 \h </w:instrText>
            </w:r>
            <w:r w:rsidR="003874B7">
              <w:rPr>
                <w:noProof/>
                <w:webHidden/>
              </w:rPr>
            </w:r>
            <w:r w:rsidR="003874B7">
              <w:rPr>
                <w:noProof/>
                <w:webHidden/>
              </w:rPr>
              <w:fldChar w:fldCharType="separate"/>
            </w:r>
            <w:r w:rsidR="003874B7">
              <w:rPr>
                <w:noProof/>
                <w:webHidden/>
              </w:rPr>
              <w:t>93</w:t>
            </w:r>
            <w:r w:rsidR="003874B7">
              <w:rPr>
                <w:noProof/>
                <w:webHidden/>
              </w:rPr>
              <w:fldChar w:fldCharType="end"/>
            </w:r>
          </w:hyperlink>
        </w:p>
        <w:p w14:paraId="1F446376" w14:textId="01E4F9E5" w:rsidR="00761CD8" w:rsidRDefault="004E19EA" w:rsidP="00911475">
          <w:pPr>
            <w:pStyle w:val="TOC1"/>
            <w:tabs>
              <w:tab w:val="right" w:leader="dot" w:pos="10200"/>
            </w:tabs>
            <w:ind w:right="-286"/>
            <w:rPr>
              <w:rStyle w:val="Hyperlink"/>
              <w:noProof/>
              <w:lang w:eastAsia="en-AU"/>
            </w:rPr>
          </w:pPr>
          <w:r>
            <w:fldChar w:fldCharType="end"/>
          </w:r>
        </w:p>
      </w:sdtContent>
    </w:sdt>
    <w:p w14:paraId="5DDBF814" w14:textId="6BB5B489" w:rsidR="0093781A" w:rsidRPr="009D0A4A" w:rsidRDefault="0093781A" w:rsidP="00183C12">
      <w:pPr>
        <w:jc w:val="both"/>
        <w:rPr>
          <w:color w:val="2B579A"/>
          <w:shd w:val="clear" w:color="auto" w:fill="E6E6E6"/>
        </w:rPr>
      </w:pPr>
    </w:p>
    <w:bookmarkEnd w:id="2"/>
    <w:p w14:paraId="74FA8990" w14:textId="6791C268" w:rsidR="00C51551" w:rsidRPr="009D0A4A" w:rsidRDefault="00C51551" w:rsidP="00183C12">
      <w:pPr>
        <w:jc w:val="both"/>
      </w:pPr>
    </w:p>
    <w:p w14:paraId="4CE9AC10" w14:textId="34DBD3C5" w:rsidR="00DE29B5" w:rsidRDefault="00DE29B5">
      <w:pPr>
        <w:spacing w:after="120" w:line="264" w:lineRule="auto"/>
        <w:rPr>
          <w:color w:val="262626" w:themeColor="text1" w:themeTint="D9"/>
        </w:rPr>
      </w:pPr>
      <w:bookmarkStart w:id="3" w:name="_Toc92873031"/>
      <w:bookmarkStart w:id="4" w:name="_Toc92873119"/>
      <w:r>
        <w:br w:type="page"/>
      </w:r>
    </w:p>
    <w:p w14:paraId="758BBB2C" w14:textId="144FC014" w:rsidR="00E64DD9" w:rsidRPr="009D0A4A" w:rsidRDefault="00C35E30" w:rsidP="00E0510C">
      <w:pPr>
        <w:pStyle w:val="Title"/>
        <w:numPr>
          <w:ilvl w:val="0"/>
          <w:numId w:val="0"/>
        </w:numPr>
      </w:pPr>
      <w:bookmarkStart w:id="5" w:name="_Toc126573191"/>
      <w:r>
        <w:lastRenderedPageBreak/>
        <w:t>Abbreviations</w:t>
      </w:r>
      <w:bookmarkEnd w:id="5"/>
    </w:p>
    <w:tbl>
      <w:tblPr>
        <w:tblStyle w:val="PlainTable4"/>
        <w:tblW w:w="0" w:type="auto"/>
        <w:tblInd w:w="0" w:type="dxa"/>
        <w:tblLook w:val="04A0" w:firstRow="1" w:lastRow="0" w:firstColumn="1" w:lastColumn="0" w:noHBand="0" w:noVBand="1"/>
      </w:tblPr>
      <w:tblGrid>
        <w:gridCol w:w="2972"/>
        <w:gridCol w:w="6044"/>
      </w:tblGrid>
      <w:tr w:rsidR="00865859" w:rsidRPr="009D0A4A" w14:paraId="203FAD6C" w14:textId="77777777" w:rsidTr="008658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hideMark/>
          </w:tcPr>
          <w:p w14:paraId="4122BCFF" w14:textId="77777777" w:rsidR="00865859" w:rsidRPr="009D0A4A" w:rsidRDefault="00865859" w:rsidP="00234FEF">
            <w:pPr>
              <w:pStyle w:val="BodyText"/>
            </w:pPr>
            <w:r w:rsidRPr="009D0A4A">
              <w:t>Acronym or term</w:t>
            </w:r>
          </w:p>
        </w:tc>
        <w:tc>
          <w:tcPr>
            <w:tcW w:w="6044" w:type="dxa"/>
            <w:hideMark/>
          </w:tcPr>
          <w:p w14:paraId="6CB96AB6" w14:textId="77777777" w:rsidR="00865859" w:rsidRPr="009D0A4A" w:rsidRDefault="00865859" w:rsidP="00234FEF">
            <w:pPr>
              <w:pStyle w:val="BodyText"/>
              <w:cnfStyle w:val="100000000000" w:firstRow="1" w:lastRow="0" w:firstColumn="0" w:lastColumn="0" w:oddVBand="0" w:evenVBand="0" w:oddHBand="0" w:evenHBand="0" w:firstRowFirstColumn="0" w:firstRowLastColumn="0" w:lastRowFirstColumn="0" w:lastRowLastColumn="0"/>
            </w:pPr>
            <w:r w:rsidRPr="009D0A4A">
              <w:t>Meaning</w:t>
            </w:r>
          </w:p>
        </w:tc>
      </w:tr>
      <w:tr w:rsidR="00865859" w:rsidRPr="009D0A4A" w14:paraId="1F7DBC69" w14:textId="77777777" w:rsidTr="00865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hideMark/>
          </w:tcPr>
          <w:p w14:paraId="45ECD1E4" w14:textId="77777777" w:rsidR="00865859" w:rsidRPr="009D0A4A" w:rsidRDefault="00865859" w:rsidP="00234FEF">
            <w:pPr>
              <w:pStyle w:val="BodyText"/>
            </w:pPr>
            <w:r w:rsidRPr="009D0A4A">
              <w:t>ABS</w:t>
            </w:r>
          </w:p>
        </w:tc>
        <w:tc>
          <w:tcPr>
            <w:tcW w:w="6044" w:type="dxa"/>
            <w:hideMark/>
          </w:tcPr>
          <w:p w14:paraId="293CE083" w14:textId="77777777" w:rsidR="00865859" w:rsidRPr="009D0A4A" w:rsidRDefault="00865859" w:rsidP="00234FEF">
            <w:pPr>
              <w:pStyle w:val="BodyText"/>
              <w:cnfStyle w:val="000000100000" w:firstRow="0" w:lastRow="0" w:firstColumn="0" w:lastColumn="0" w:oddVBand="0" w:evenVBand="0" w:oddHBand="1" w:evenHBand="0" w:firstRowFirstColumn="0" w:firstRowLastColumn="0" w:lastRowFirstColumn="0" w:lastRowLastColumn="0"/>
            </w:pPr>
            <w:r w:rsidRPr="009D0A4A">
              <w:t xml:space="preserve">Australian Bureau of Statistics </w:t>
            </w:r>
          </w:p>
        </w:tc>
      </w:tr>
      <w:tr w:rsidR="00865859" w:rsidRPr="009D0A4A" w14:paraId="7550C0CD" w14:textId="77777777" w:rsidTr="00865859">
        <w:tc>
          <w:tcPr>
            <w:cnfStyle w:val="001000000000" w:firstRow="0" w:lastRow="0" w:firstColumn="1" w:lastColumn="0" w:oddVBand="0" w:evenVBand="0" w:oddHBand="0" w:evenHBand="0" w:firstRowFirstColumn="0" w:firstRowLastColumn="0" w:lastRowFirstColumn="0" w:lastRowLastColumn="0"/>
            <w:tcW w:w="2972" w:type="dxa"/>
            <w:hideMark/>
          </w:tcPr>
          <w:p w14:paraId="35B1D22D" w14:textId="77777777" w:rsidR="00865859" w:rsidRPr="009D0A4A" w:rsidRDefault="00865859" w:rsidP="00234FEF">
            <w:pPr>
              <w:pStyle w:val="BodyText"/>
            </w:pPr>
            <w:r w:rsidRPr="009D0A4A">
              <w:t>AIOH</w:t>
            </w:r>
          </w:p>
        </w:tc>
        <w:tc>
          <w:tcPr>
            <w:tcW w:w="6044" w:type="dxa"/>
            <w:hideMark/>
          </w:tcPr>
          <w:p w14:paraId="01D8CD83" w14:textId="77777777" w:rsidR="00865859" w:rsidRPr="009D0A4A" w:rsidRDefault="00865859" w:rsidP="00234FEF">
            <w:pPr>
              <w:pStyle w:val="BodyText"/>
              <w:cnfStyle w:val="000000000000" w:firstRow="0" w:lastRow="0" w:firstColumn="0" w:lastColumn="0" w:oddVBand="0" w:evenVBand="0" w:oddHBand="0" w:evenHBand="0" w:firstRowFirstColumn="0" w:firstRowLastColumn="0" w:lastRowFirstColumn="0" w:lastRowLastColumn="0"/>
            </w:pPr>
            <w:r w:rsidRPr="009D0A4A">
              <w:t>Australian Institute of Occupational Hygienists</w:t>
            </w:r>
          </w:p>
        </w:tc>
      </w:tr>
      <w:tr w:rsidR="00865859" w:rsidRPr="009D0A4A" w14:paraId="21708E57" w14:textId="77777777" w:rsidTr="00865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hideMark/>
          </w:tcPr>
          <w:p w14:paraId="36016ABE" w14:textId="77777777" w:rsidR="00865859" w:rsidRPr="009D0A4A" w:rsidRDefault="00865859" w:rsidP="00234FEF">
            <w:pPr>
              <w:pStyle w:val="BodyText"/>
            </w:pPr>
            <w:r w:rsidRPr="009D0A4A">
              <w:t>BEA</w:t>
            </w:r>
          </w:p>
        </w:tc>
        <w:tc>
          <w:tcPr>
            <w:tcW w:w="6044" w:type="dxa"/>
            <w:hideMark/>
          </w:tcPr>
          <w:p w14:paraId="6F68C593" w14:textId="77777777" w:rsidR="00865859" w:rsidRPr="009D0A4A" w:rsidRDefault="00865859" w:rsidP="00234FEF">
            <w:pPr>
              <w:pStyle w:val="BodyText"/>
              <w:cnfStyle w:val="000000100000" w:firstRow="0" w:lastRow="0" w:firstColumn="0" w:lastColumn="0" w:oddVBand="0" w:evenVBand="0" w:oddHBand="1" w:evenHBand="0" w:firstRowFirstColumn="0" w:firstRowLastColumn="0" w:lastRowFirstColumn="0" w:lastRowLastColumn="0"/>
            </w:pPr>
            <w:r w:rsidRPr="009D0A4A">
              <w:t>Breakeven analysis</w:t>
            </w:r>
          </w:p>
        </w:tc>
      </w:tr>
      <w:tr w:rsidR="00865859" w:rsidRPr="009D0A4A" w14:paraId="191036C8" w14:textId="77777777" w:rsidTr="00865859">
        <w:tc>
          <w:tcPr>
            <w:cnfStyle w:val="001000000000" w:firstRow="0" w:lastRow="0" w:firstColumn="1" w:lastColumn="0" w:oddVBand="0" w:evenVBand="0" w:oddHBand="0" w:evenHBand="0" w:firstRowFirstColumn="0" w:firstRowLastColumn="0" w:lastRowFirstColumn="0" w:lastRowLastColumn="0"/>
            <w:tcW w:w="2972" w:type="dxa"/>
            <w:hideMark/>
          </w:tcPr>
          <w:p w14:paraId="761175D8" w14:textId="77777777" w:rsidR="00865859" w:rsidRPr="009D0A4A" w:rsidRDefault="00865859" w:rsidP="00234FEF">
            <w:pPr>
              <w:pStyle w:val="BodyText"/>
            </w:pPr>
            <w:r w:rsidRPr="009D0A4A">
              <w:t>CRIS</w:t>
            </w:r>
          </w:p>
        </w:tc>
        <w:tc>
          <w:tcPr>
            <w:tcW w:w="6044" w:type="dxa"/>
            <w:hideMark/>
          </w:tcPr>
          <w:p w14:paraId="16E2E24C" w14:textId="77777777" w:rsidR="00865859" w:rsidRPr="009D0A4A" w:rsidRDefault="00865859" w:rsidP="00234FEF">
            <w:pPr>
              <w:pStyle w:val="BodyText"/>
              <w:cnfStyle w:val="000000000000" w:firstRow="0" w:lastRow="0" w:firstColumn="0" w:lastColumn="0" w:oddVBand="0" w:evenVBand="0" w:oddHBand="0" w:evenHBand="0" w:firstRowFirstColumn="0" w:firstRowLastColumn="0" w:lastRowFirstColumn="0" w:lastRowLastColumn="0"/>
            </w:pPr>
            <w:r w:rsidRPr="009D0A4A">
              <w:t>Consultation Regulation Impact Statement</w:t>
            </w:r>
          </w:p>
        </w:tc>
      </w:tr>
      <w:tr w:rsidR="007C4FA8" w:rsidRPr="009D0A4A" w14:paraId="7612D119" w14:textId="77777777" w:rsidTr="00865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EF139E2" w14:textId="5D550142" w:rsidR="007C4FA8" w:rsidRPr="009D0A4A" w:rsidRDefault="007C4FA8" w:rsidP="00234FEF">
            <w:pPr>
              <w:pStyle w:val="BodyText"/>
            </w:pPr>
            <w:r w:rsidRPr="009D0A4A">
              <w:t>DALY</w:t>
            </w:r>
          </w:p>
        </w:tc>
        <w:tc>
          <w:tcPr>
            <w:tcW w:w="6044" w:type="dxa"/>
          </w:tcPr>
          <w:p w14:paraId="47467C13" w14:textId="69FB5D0F" w:rsidR="007C4FA8" w:rsidRPr="009D0A4A" w:rsidRDefault="007C4FA8" w:rsidP="00234FEF">
            <w:pPr>
              <w:pStyle w:val="BodyText"/>
              <w:cnfStyle w:val="000000100000" w:firstRow="0" w:lastRow="0" w:firstColumn="0" w:lastColumn="0" w:oddVBand="0" w:evenVBand="0" w:oddHBand="1" w:evenHBand="0" w:firstRowFirstColumn="0" w:firstRowLastColumn="0" w:lastRowFirstColumn="0" w:lastRowLastColumn="0"/>
            </w:pPr>
            <w:r w:rsidRPr="009D0A4A">
              <w:t>Disability adjusted life year</w:t>
            </w:r>
          </w:p>
        </w:tc>
      </w:tr>
      <w:tr w:rsidR="00911475" w:rsidRPr="009D0A4A" w14:paraId="44247449" w14:textId="77777777" w:rsidTr="00702329">
        <w:tc>
          <w:tcPr>
            <w:cnfStyle w:val="001000000000" w:firstRow="0" w:lastRow="0" w:firstColumn="1" w:lastColumn="0" w:oddVBand="0" w:evenVBand="0" w:oddHBand="0" w:evenHBand="0" w:firstRowFirstColumn="0" w:firstRowLastColumn="0" w:lastRowFirstColumn="0" w:lastRowLastColumn="0"/>
            <w:tcW w:w="2972" w:type="dxa"/>
          </w:tcPr>
          <w:p w14:paraId="1F09B7D9" w14:textId="399CB8B0" w:rsidR="00911475" w:rsidRPr="00B800C5" w:rsidRDefault="00911475" w:rsidP="00702329">
            <w:pPr>
              <w:pStyle w:val="BodyText"/>
            </w:pPr>
            <w:r>
              <w:t>DRIS</w:t>
            </w:r>
          </w:p>
        </w:tc>
        <w:tc>
          <w:tcPr>
            <w:tcW w:w="6044" w:type="dxa"/>
          </w:tcPr>
          <w:p w14:paraId="52DEB076" w14:textId="77777777" w:rsidR="00911475" w:rsidRPr="009D0A4A" w:rsidRDefault="00911475" w:rsidP="00702329">
            <w:pPr>
              <w:pStyle w:val="BodyText"/>
              <w:cnfStyle w:val="000000000000" w:firstRow="0" w:lastRow="0" w:firstColumn="0" w:lastColumn="0" w:oddVBand="0" w:evenVBand="0" w:oddHBand="0" w:evenHBand="0" w:firstRowFirstColumn="0" w:firstRowLastColumn="0" w:lastRowFirstColumn="0" w:lastRowLastColumn="0"/>
            </w:pPr>
            <w:r>
              <w:t>Decision Regulation Impact Statement</w:t>
            </w:r>
          </w:p>
        </w:tc>
      </w:tr>
      <w:tr w:rsidR="007C4FA8" w:rsidRPr="009D0A4A" w14:paraId="265373D0" w14:textId="77777777" w:rsidTr="00865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D78ECB5" w14:textId="02EB581B" w:rsidR="007C4FA8" w:rsidRPr="009D0A4A" w:rsidRDefault="007C4FA8" w:rsidP="00234FEF">
            <w:pPr>
              <w:pStyle w:val="BodyText"/>
            </w:pPr>
            <w:r w:rsidRPr="009D0A4A">
              <w:t>EY</w:t>
            </w:r>
          </w:p>
        </w:tc>
        <w:tc>
          <w:tcPr>
            <w:tcW w:w="6044" w:type="dxa"/>
          </w:tcPr>
          <w:p w14:paraId="031DB91E" w14:textId="63AC6740" w:rsidR="007C4FA8" w:rsidRPr="009D0A4A" w:rsidRDefault="007C4FA8" w:rsidP="00234FEF">
            <w:pPr>
              <w:pStyle w:val="BodyText"/>
              <w:cnfStyle w:val="000000100000" w:firstRow="0" w:lastRow="0" w:firstColumn="0" w:lastColumn="0" w:oddVBand="0" w:evenVBand="0" w:oddHBand="1" w:evenHBand="0" w:firstRowFirstColumn="0" w:firstRowLastColumn="0" w:lastRowFirstColumn="0" w:lastRowLastColumn="0"/>
            </w:pPr>
            <w:r w:rsidRPr="009D0A4A">
              <w:t>Ernst and Young Pty Ltd</w:t>
            </w:r>
          </w:p>
        </w:tc>
      </w:tr>
      <w:tr w:rsidR="00865859" w:rsidRPr="009D0A4A" w14:paraId="71A13070" w14:textId="77777777" w:rsidTr="00865859">
        <w:tc>
          <w:tcPr>
            <w:cnfStyle w:val="001000000000" w:firstRow="0" w:lastRow="0" w:firstColumn="1" w:lastColumn="0" w:oddVBand="0" w:evenVBand="0" w:oddHBand="0" w:evenHBand="0" w:firstRowFirstColumn="0" w:firstRowLastColumn="0" w:lastRowFirstColumn="0" w:lastRowLastColumn="0"/>
            <w:tcW w:w="2972" w:type="dxa"/>
            <w:hideMark/>
          </w:tcPr>
          <w:p w14:paraId="1E1260D6" w14:textId="2B002106" w:rsidR="00865859" w:rsidRPr="009D0A4A" w:rsidRDefault="00C35E30" w:rsidP="00234FEF">
            <w:pPr>
              <w:pStyle w:val="BodyText"/>
            </w:pPr>
            <w:r w:rsidRPr="009D0A4A">
              <w:t>HRCT</w:t>
            </w:r>
          </w:p>
        </w:tc>
        <w:tc>
          <w:tcPr>
            <w:tcW w:w="6044" w:type="dxa"/>
            <w:hideMark/>
          </w:tcPr>
          <w:p w14:paraId="4219C4D6" w14:textId="77777777" w:rsidR="00865859" w:rsidRPr="009D0A4A" w:rsidRDefault="00865859" w:rsidP="00234FEF">
            <w:pPr>
              <w:pStyle w:val="BodyText"/>
              <w:cnfStyle w:val="000000000000" w:firstRow="0" w:lastRow="0" w:firstColumn="0" w:lastColumn="0" w:oddVBand="0" w:evenVBand="0" w:oddHBand="0" w:evenHBand="0" w:firstRowFirstColumn="0" w:firstRowLastColumn="0" w:lastRowFirstColumn="0" w:lastRowLastColumn="0"/>
            </w:pPr>
            <w:r w:rsidRPr="009D0A4A">
              <w:t>High-resolution computed tomography</w:t>
            </w:r>
          </w:p>
        </w:tc>
      </w:tr>
      <w:tr w:rsidR="00865859" w:rsidRPr="009D0A4A" w14:paraId="58E39F01" w14:textId="77777777" w:rsidTr="00865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hideMark/>
          </w:tcPr>
          <w:p w14:paraId="4FCC2BB4" w14:textId="591F43C1" w:rsidR="00865859" w:rsidRPr="009D0A4A" w:rsidRDefault="00865859" w:rsidP="00234FEF">
            <w:pPr>
              <w:pStyle w:val="BodyText"/>
            </w:pPr>
            <w:r w:rsidRPr="009D0A4A">
              <w:t>i</w:t>
            </w:r>
            <w:r w:rsidR="00C35E30" w:rsidRPr="009D0A4A">
              <w:t>c</w:t>
            </w:r>
            <w:r w:rsidRPr="009D0A4A">
              <w:t>are</w:t>
            </w:r>
          </w:p>
        </w:tc>
        <w:tc>
          <w:tcPr>
            <w:tcW w:w="6044" w:type="dxa"/>
            <w:hideMark/>
          </w:tcPr>
          <w:p w14:paraId="66B56B56" w14:textId="77777777" w:rsidR="00865859" w:rsidRPr="009D0A4A" w:rsidRDefault="00865859" w:rsidP="00234FEF">
            <w:pPr>
              <w:pStyle w:val="BodyText"/>
              <w:cnfStyle w:val="000000100000" w:firstRow="0" w:lastRow="0" w:firstColumn="0" w:lastColumn="0" w:oddVBand="0" w:evenVBand="0" w:oddHBand="1" w:evenHBand="0" w:firstRowFirstColumn="0" w:firstRowLastColumn="0" w:lastRowFirstColumn="0" w:lastRowLastColumn="0"/>
            </w:pPr>
            <w:r w:rsidRPr="009D0A4A">
              <w:t>Insurance and Care NSW</w:t>
            </w:r>
          </w:p>
        </w:tc>
      </w:tr>
      <w:tr w:rsidR="00865859" w:rsidRPr="009D0A4A" w14:paraId="067EE7EC" w14:textId="77777777" w:rsidTr="00865859">
        <w:tc>
          <w:tcPr>
            <w:cnfStyle w:val="001000000000" w:firstRow="0" w:lastRow="0" w:firstColumn="1" w:lastColumn="0" w:oddVBand="0" w:evenVBand="0" w:oddHBand="0" w:evenHBand="0" w:firstRowFirstColumn="0" w:firstRowLastColumn="0" w:lastRowFirstColumn="0" w:lastRowLastColumn="0"/>
            <w:tcW w:w="2972" w:type="dxa"/>
            <w:hideMark/>
          </w:tcPr>
          <w:p w14:paraId="2F57BE42" w14:textId="3C9C341F" w:rsidR="00865859" w:rsidRPr="009D0A4A" w:rsidRDefault="00865859" w:rsidP="00234FEF">
            <w:pPr>
              <w:pStyle w:val="BodyText"/>
            </w:pPr>
            <w:r w:rsidRPr="009D0A4A">
              <w:t>O</w:t>
            </w:r>
            <w:r w:rsidR="00911475">
              <w:t>IA</w:t>
            </w:r>
          </w:p>
        </w:tc>
        <w:tc>
          <w:tcPr>
            <w:tcW w:w="6044" w:type="dxa"/>
            <w:hideMark/>
          </w:tcPr>
          <w:p w14:paraId="542ABC19" w14:textId="2B04C63F" w:rsidR="00865859" w:rsidRPr="009D0A4A" w:rsidRDefault="00865859" w:rsidP="00234FEF">
            <w:pPr>
              <w:pStyle w:val="BodyText"/>
              <w:cnfStyle w:val="000000000000" w:firstRow="0" w:lastRow="0" w:firstColumn="0" w:lastColumn="0" w:oddVBand="0" w:evenVBand="0" w:oddHBand="0" w:evenHBand="0" w:firstRowFirstColumn="0" w:firstRowLastColumn="0" w:lastRowFirstColumn="0" w:lastRowLastColumn="0"/>
            </w:pPr>
            <w:r w:rsidRPr="009D0A4A">
              <w:t xml:space="preserve">The Office of </w:t>
            </w:r>
            <w:r w:rsidR="00911475">
              <w:t>Impact Analysis</w:t>
            </w:r>
          </w:p>
        </w:tc>
      </w:tr>
      <w:tr w:rsidR="00865859" w:rsidRPr="009D0A4A" w14:paraId="5BF09C52" w14:textId="77777777" w:rsidTr="00865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hideMark/>
          </w:tcPr>
          <w:p w14:paraId="4D93FE3C" w14:textId="77777777" w:rsidR="00865859" w:rsidRPr="009D0A4A" w:rsidRDefault="00865859" w:rsidP="00234FEF">
            <w:pPr>
              <w:pStyle w:val="BodyText"/>
            </w:pPr>
            <w:r w:rsidRPr="009D0A4A">
              <w:t>MCA</w:t>
            </w:r>
          </w:p>
        </w:tc>
        <w:tc>
          <w:tcPr>
            <w:tcW w:w="6044" w:type="dxa"/>
            <w:hideMark/>
          </w:tcPr>
          <w:p w14:paraId="418D11CC" w14:textId="77777777" w:rsidR="00865859" w:rsidRPr="009D0A4A" w:rsidRDefault="00865859" w:rsidP="00234FEF">
            <w:pPr>
              <w:pStyle w:val="BodyText"/>
              <w:cnfStyle w:val="000000100000" w:firstRow="0" w:lastRow="0" w:firstColumn="0" w:lastColumn="0" w:oddVBand="0" w:evenVBand="0" w:oddHBand="1" w:evenHBand="0" w:firstRowFirstColumn="0" w:firstRowLastColumn="0" w:lastRowFirstColumn="0" w:lastRowLastColumn="0"/>
            </w:pPr>
            <w:r w:rsidRPr="009D0A4A">
              <w:t>Multi-criteria analysis</w:t>
            </w:r>
          </w:p>
        </w:tc>
      </w:tr>
      <w:tr w:rsidR="00865859" w:rsidRPr="009D0A4A" w14:paraId="22112979" w14:textId="77777777" w:rsidTr="00865859">
        <w:tc>
          <w:tcPr>
            <w:cnfStyle w:val="001000000000" w:firstRow="0" w:lastRow="0" w:firstColumn="1" w:lastColumn="0" w:oddVBand="0" w:evenVBand="0" w:oddHBand="0" w:evenHBand="0" w:firstRowFirstColumn="0" w:firstRowLastColumn="0" w:lastRowFirstColumn="0" w:lastRowLastColumn="0"/>
            <w:tcW w:w="2972" w:type="dxa"/>
            <w:hideMark/>
          </w:tcPr>
          <w:p w14:paraId="38A9CE21" w14:textId="77777777" w:rsidR="00865859" w:rsidRPr="00B800C5" w:rsidRDefault="00865859" w:rsidP="00234FEF">
            <w:pPr>
              <w:pStyle w:val="BodyText"/>
            </w:pPr>
            <w:r w:rsidRPr="00B800C5">
              <w:t>PCBU</w:t>
            </w:r>
          </w:p>
        </w:tc>
        <w:tc>
          <w:tcPr>
            <w:tcW w:w="6044" w:type="dxa"/>
            <w:hideMark/>
          </w:tcPr>
          <w:p w14:paraId="6555A7BF" w14:textId="77777777" w:rsidR="00865859" w:rsidRPr="009D0A4A" w:rsidRDefault="00865859" w:rsidP="00234FEF">
            <w:pPr>
              <w:pStyle w:val="BodyText"/>
              <w:cnfStyle w:val="000000000000" w:firstRow="0" w:lastRow="0" w:firstColumn="0" w:lastColumn="0" w:oddVBand="0" w:evenVBand="0" w:oddHBand="0" w:evenHBand="0" w:firstRowFirstColumn="0" w:firstRowLastColumn="0" w:lastRowFirstColumn="0" w:lastRowLastColumn="0"/>
            </w:pPr>
            <w:r w:rsidRPr="009D0A4A">
              <w:t>Person conducting a business or undertaking</w:t>
            </w:r>
          </w:p>
        </w:tc>
      </w:tr>
      <w:tr w:rsidR="00865859" w:rsidRPr="009D0A4A" w14:paraId="5F7C2EED" w14:textId="77777777" w:rsidTr="00865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hideMark/>
          </w:tcPr>
          <w:p w14:paraId="0770CDB1" w14:textId="77777777" w:rsidR="00865859" w:rsidRPr="00B800C5" w:rsidRDefault="00865859" w:rsidP="00234FEF">
            <w:pPr>
              <w:pStyle w:val="BodyText"/>
            </w:pPr>
            <w:r w:rsidRPr="00B800C5">
              <w:t>PPE</w:t>
            </w:r>
          </w:p>
        </w:tc>
        <w:tc>
          <w:tcPr>
            <w:tcW w:w="6044" w:type="dxa"/>
            <w:hideMark/>
          </w:tcPr>
          <w:p w14:paraId="0D8FC4C3" w14:textId="77777777" w:rsidR="00865859" w:rsidRPr="009D0A4A" w:rsidRDefault="00865859" w:rsidP="00234FEF">
            <w:pPr>
              <w:pStyle w:val="BodyText"/>
              <w:cnfStyle w:val="000000100000" w:firstRow="0" w:lastRow="0" w:firstColumn="0" w:lastColumn="0" w:oddVBand="0" w:evenVBand="0" w:oddHBand="1" w:evenHBand="0" w:firstRowFirstColumn="0" w:firstRowLastColumn="0" w:lastRowFirstColumn="0" w:lastRowLastColumn="0"/>
            </w:pPr>
            <w:r w:rsidRPr="009D0A4A">
              <w:t>Personal protective equipment</w:t>
            </w:r>
          </w:p>
        </w:tc>
      </w:tr>
      <w:tr w:rsidR="00865859" w:rsidRPr="009D0A4A" w14:paraId="1EBD3CB9" w14:textId="77777777" w:rsidTr="00865859">
        <w:tc>
          <w:tcPr>
            <w:cnfStyle w:val="001000000000" w:firstRow="0" w:lastRow="0" w:firstColumn="1" w:lastColumn="0" w:oddVBand="0" w:evenVBand="0" w:oddHBand="0" w:evenHBand="0" w:firstRowFirstColumn="0" w:firstRowLastColumn="0" w:lastRowFirstColumn="0" w:lastRowLastColumn="0"/>
            <w:tcW w:w="2972" w:type="dxa"/>
            <w:hideMark/>
          </w:tcPr>
          <w:p w14:paraId="3A211BE1" w14:textId="77777777" w:rsidR="00865859" w:rsidRPr="00B800C5" w:rsidRDefault="00865859" w:rsidP="00234FEF">
            <w:pPr>
              <w:pStyle w:val="BodyText"/>
            </w:pPr>
            <w:r w:rsidRPr="00B800C5">
              <w:t>RCS</w:t>
            </w:r>
          </w:p>
        </w:tc>
        <w:tc>
          <w:tcPr>
            <w:tcW w:w="6044" w:type="dxa"/>
            <w:hideMark/>
          </w:tcPr>
          <w:p w14:paraId="23376227" w14:textId="77777777" w:rsidR="00865859" w:rsidRPr="009D0A4A" w:rsidRDefault="00865859" w:rsidP="00234FEF">
            <w:pPr>
              <w:pStyle w:val="BodyText"/>
              <w:cnfStyle w:val="000000000000" w:firstRow="0" w:lastRow="0" w:firstColumn="0" w:lastColumn="0" w:oddVBand="0" w:evenVBand="0" w:oddHBand="0" w:evenHBand="0" w:firstRowFirstColumn="0" w:firstRowLastColumn="0" w:lastRowFirstColumn="0" w:lastRowLastColumn="0"/>
            </w:pPr>
            <w:r w:rsidRPr="009D0A4A">
              <w:t>Respirable crystalline silica</w:t>
            </w:r>
          </w:p>
        </w:tc>
      </w:tr>
      <w:tr w:rsidR="007C4FA8" w:rsidRPr="009D0A4A" w14:paraId="7DDA2F81" w14:textId="77777777" w:rsidTr="00865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1280212" w14:textId="5B9DA2CF" w:rsidR="007C4FA8" w:rsidRPr="00B800C5" w:rsidRDefault="007C4FA8" w:rsidP="00234FEF">
            <w:pPr>
              <w:pStyle w:val="BodyText"/>
            </w:pPr>
            <w:r w:rsidRPr="00B800C5">
              <w:t>RIS</w:t>
            </w:r>
          </w:p>
        </w:tc>
        <w:tc>
          <w:tcPr>
            <w:tcW w:w="6044" w:type="dxa"/>
          </w:tcPr>
          <w:p w14:paraId="06E44290" w14:textId="3274B7DA" w:rsidR="007C4FA8" w:rsidRPr="009D0A4A" w:rsidRDefault="007C4FA8" w:rsidP="00234FEF">
            <w:pPr>
              <w:pStyle w:val="BodyText"/>
              <w:cnfStyle w:val="000000100000" w:firstRow="0" w:lastRow="0" w:firstColumn="0" w:lastColumn="0" w:oddVBand="0" w:evenVBand="0" w:oddHBand="1" w:evenHBand="0" w:firstRowFirstColumn="0" w:firstRowLastColumn="0" w:lastRowFirstColumn="0" w:lastRowLastColumn="0"/>
            </w:pPr>
            <w:r w:rsidRPr="009D0A4A">
              <w:t>Regulation Impact Statement</w:t>
            </w:r>
          </w:p>
        </w:tc>
      </w:tr>
      <w:tr w:rsidR="00865859" w:rsidRPr="009D0A4A" w14:paraId="70175E46" w14:textId="77777777" w:rsidTr="00865859">
        <w:tc>
          <w:tcPr>
            <w:cnfStyle w:val="001000000000" w:firstRow="0" w:lastRow="0" w:firstColumn="1" w:lastColumn="0" w:oddVBand="0" w:evenVBand="0" w:oddHBand="0" w:evenHBand="0" w:firstRowFirstColumn="0" w:firstRowLastColumn="0" w:lastRowFirstColumn="0" w:lastRowLastColumn="0"/>
            <w:tcW w:w="2972" w:type="dxa"/>
            <w:hideMark/>
          </w:tcPr>
          <w:p w14:paraId="5CCF54C8" w14:textId="77777777" w:rsidR="00865859" w:rsidRPr="009D0A4A" w:rsidRDefault="00865859" w:rsidP="00234FEF">
            <w:pPr>
              <w:pStyle w:val="BodyText"/>
            </w:pPr>
            <w:r w:rsidRPr="009D0A4A">
              <w:t>RPE</w:t>
            </w:r>
          </w:p>
        </w:tc>
        <w:tc>
          <w:tcPr>
            <w:tcW w:w="6044" w:type="dxa"/>
            <w:hideMark/>
          </w:tcPr>
          <w:p w14:paraId="18F452C0" w14:textId="77777777" w:rsidR="00865859" w:rsidRPr="009D0A4A" w:rsidRDefault="00865859" w:rsidP="00234FEF">
            <w:pPr>
              <w:pStyle w:val="BodyText"/>
              <w:cnfStyle w:val="000000000000" w:firstRow="0" w:lastRow="0" w:firstColumn="0" w:lastColumn="0" w:oddVBand="0" w:evenVBand="0" w:oddHBand="0" w:evenHBand="0" w:firstRowFirstColumn="0" w:firstRowLastColumn="0" w:lastRowFirstColumn="0" w:lastRowLastColumn="0"/>
            </w:pPr>
            <w:r w:rsidRPr="009D0A4A">
              <w:t>Respiratory protective equipment</w:t>
            </w:r>
          </w:p>
        </w:tc>
      </w:tr>
      <w:tr w:rsidR="00865859" w:rsidRPr="009D0A4A" w14:paraId="7A94D4CD" w14:textId="77777777" w:rsidTr="00865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hideMark/>
          </w:tcPr>
          <w:p w14:paraId="4B888B0E" w14:textId="77777777" w:rsidR="00865859" w:rsidRPr="009D0A4A" w:rsidRDefault="00865859" w:rsidP="00234FEF">
            <w:pPr>
              <w:pStyle w:val="BodyText"/>
            </w:pPr>
            <w:r w:rsidRPr="009D0A4A">
              <w:t>SWMS</w:t>
            </w:r>
          </w:p>
        </w:tc>
        <w:tc>
          <w:tcPr>
            <w:tcW w:w="6044" w:type="dxa"/>
            <w:hideMark/>
          </w:tcPr>
          <w:p w14:paraId="504B7A04" w14:textId="77777777" w:rsidR="00865859" w:rsidRPr="009D0A4A" w:rsidRDefault="00865859" w:rsidP="00234FEF">
            <w:pPr>
              <w:pStyle w:val="BodyText"/>
              <w:cnfStyle w:val="000000100000" w:firstRow="0" w:lastRow="0" w:firstColumn="0" w:lastColumn="0" w:oddVBand="0" w:evenVBand="0" w:oddHBand="1" w:evenHBand="0" w:firstRowFirstColumn="0" w:firstRowLastColumn="0" w:lastRowFirstColumn="0" w:lastRowLastColumn="0"/>
            </w:pPr>
            <w:r w:rsidRPr="009D0A4A">
              <w:t xml:space="preserve">Safe work method statement </w:t>
            </w:r>
          </w:p>
        </w:tc>
      </w:tr>
      <w:tr w:rsidR="00865859" w:rsidRPr="009D0A4A" w14:paraId="40C067E9" w14:textId="77777777" w:rsidTr="00865859">
        <w:tc>
          <w:tcPr>
            <w:cnfStyle w:val="001000000000" w:firstRow="0" w:lastRow="0" w:firstColumn="1" w:lastColumn="0" w:oddVBand="0" w:evenVBand="0" w:oddHBand="0" w:evenHBand="0" w:firstRowFirstColumn="0" w:firstRowLastColumn="0" w:lastRowFirstColumn="0" w:lastRowLastColumn="0"/>
            <w:tcW w:w="2972" w:type="dxa"/>
            <w:hideMark/>
          </w:tcPr>
          <w:p w14:paraId="3AB4A526" w14:textId="77777777" w:rsidR="00865859" w:rsidRPr="009D0A4A" w:rsidRDefault="00865859" w:rsidP="00234FEF">
            <w:pPr>
              <w:pStyle w:val="BodyText"/>
            </w:pPr>
            <w:r w:rsidRPr="009D0A4A">
              <w:t>TWA</w:t>
            </w:r>
          </w:p>
        </w:tc>
        <w:tc>
          <w:tcPr>
            <w:tcW w:w="6044" w:type="dxa"/>
            <w:hideMark/>
          </w:tcPr>
          <w:p w14:paraId="3F307334" w14:textId="77777777" w:rsidR="00865859" w:rsidRPr="009D0A4A" w:rsidRDefault="00865859" w:rsidP="00234FEF">
            <w:pPr>
              <w:pStyle w:val="BodyText"/>
              <w:cnfStyle w:val="000000000000" w:firstRow="0" w:lastRow="0" w:firstColumn="0" w:lastColumn="0" w:oddVBand="0" w:evenVBand="0" w:oddHBand="0" w:evenHBand="0" w:firstRowFirstColumn="0" w:firstRowLastColumn="0" w:lastRowFirstColumn="0" w:lastRowLastColumn="0"/>
            </w:pPr>
            <w:r w:rsidRPr="009D0A4A">
              <w:t>Time weighted average</w:t>
            </w:r>
          </w:p>
        </w:tc>
      </w:tr>
      <w:tr w:rsidR="007C4FA8" w:rsidRPr="009D0A4A" w14:paraId="75E6E73B" w14:textId="77777777" w:rsidTr="00865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02638DD" w14:textId="5EBC9362" w:rsidR="007C4FA8" w:rsidRPr="009D0A4A" w:rsidRDefault="007C4FA8" w:rsidP="00234FEF">
            <w:pPr>
              <w:pStyle w:val="BodyText"/>
            </w:pPr>
            <w:r w:rsidRPr="009D0A4A">
              <w:t>VSL</w:t>
            </w:r>
          </w:p>
        </w:tc>
        <w:tc>
          <w:tcPr>
            <w:tcW w:w="6044" w:type="dxa"/>
          </w:tcPr>
          <w:p w14:paraId="25602E8F" w14:textId="7EC2D9D9" w:rsidR="007C4FA8" w:rsidRPr="009D0A4A" w:rsidRDefault="007C4FA8" w:rsidP="00234FEF">
            <w:pPr>
              <w:pStyle w:val="BodyText"/>
              <w:cnfStyle w:val="000000100000" w:firstRow="0" w:lastRow="0" w:firstColumn="0" w:lastColumn="0" w:oddVBand="0" w:evenVBand="0" w:oddHBand="1" w:evenHBand="0" w:firstRowFirstColumn="0" w:firstRowLastColumn="0" w:lastRowFirstColumn="0" w:lastRowLastColumn="0"/>
            </w:pPr>
            <w:r w:rsidRPr="009D0A4A">
              <w:t>Value of a statistical life year</w:t>
            </w:r>
          </w:p>
        </w:tc>
      </w:tr>
      <w:tr w:rsidR="00865859" w:rsidRPr="009D0A4A" w14:paraId="550673E9" w14:textId="77777777" w:rsidTr="00865859">
        <w:tc>
          <w:tcPr>
            <w:cnfStyle w:val="001000000000" w:firstRow="0" w:lastRow="0" w:firstColumn="1" w:lastColumn="0" w:oddVBand="0" w:evenVBand="0" w:oddHBand="0" w:evenHBand="0" w:firstRowFirstColumn="0" w:firstRowLastColumn="0" w:lastRowFirstColumn="0" w:lastRowLastColumn="0"/>
            <w:tcW w:w="2972" w:type="dxa"/>
            <w:hideMark/>
          </w:tcPr>
          <w:p w14:paraId="305F1D34" w14:textId="77777777" w:rsidR="00865859" w:rsidRPr="009D0A4A" w:rsidRDefault="00865859" w:rsidP="00234FEF">
            <w:pPr>
              <w:pStyle w:val="BodyText"/>
            </w:pPr>
            <w:r w:rsidRPr="009D0A4A">
              <w:t>WES</w:t>
            </w:r>
          </w:p>
        </w:tc>
        <w:tc>
          <w:tcPr>
            <w:tcW w:w="6044" w:type="dxa"/>
            <w:hideMark/>
          </w:tcPr>
          <w:p w14:paraId="4BF01946" w14:textId="77777777" w:rsidR="00865859" w:rsidRPr="009D0A4A" w:rsidRDefault="00865859" w:rsidP="00234FEF">
            <w:pPr>
              <w:pStyle w:val="BodyText"/>
              <w:cnfStyle w:val="000000000000" w:firstRow="0" w:lastRow="0" w:firstColumn="0" w:lastColumn="0" w:oddVBand="0" w:evenVBand="0" w:oddHBand="0" w:evenHBand="0" w:firstRowFirstColumn="0" w:firstRowLastColumn="0" w:lastRowFirstColumn="0" w:lastRowLastColumn="0"/>
            </w:pPr>
            <w:r w:rsidRPr="009D0A4A">
              <w:t>Workplace exposure standard</w:t>
            </w:r>
          </w:p>
        </w:tc>
      </w:tr>
      <w:tr w:rsidR="00865859" w:rsidRPr="009D0A4A" w14:paraId="4D2A35B4" w14:textId="77777777" w:rsidTr="00865859">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972" w:type="dxa"/>
            <w:hideMark/>
          </w:tcPr>
          <w:p w14:paraId="7399978B" w14:textId="77777777" w:rsidR="00865859" w:rsidRPr="009D0A4A" w:rsidRDefault="00865859" w:rsidP="00234FEF">
            <w:pPr>
              <w:pStyle w:val="BodyText"/>
            </w:pPr>
            <w:r w:rsidRPr="009D0A4A">
              <w:t>WHS</w:t>
            </w:r>
          </w:p>
        </w:tc>
        <w:tc>
          <w:tcPr>
            <w:tcW w:w="6044" w:type="dxa"/>
            <w:hideMark/>
          </w:tcPr>
          <w:p w14:paraId="6657B0E5" w14:textId="77777777" w:rsidR="00865859" w:rsidRPr="009D0A4A" w:rsidRDefault="00865859" w:rsidP="00234FEF">
            <w:pPr>
              <w:pStyle w:val="BodyText"/>
              <w:cnfStyle w:val="000000100000" w:firstRow="0" w:lastRow="0" w:firstColumn="0" w:lastColumn="0" w:oddVBand="0" w:evenVBand="0" w:oddHBand="1" w:evenHBand="0" w:firstRowFirstColumn="0" w:firstRowLastColumn="0" w:lastRowFirstColumn="0" w:lastRowLastColumn="0"/>
            </w:pPr>
            <w:r w:rsidRPr="009D0A4A">
              <w:t>Work health and safety</w:t>
            </w:r>
          </w:p>
        </w:tc>
      </w:tr>
    </w:tbl>
    <w:p w14:paraId="26E2BF9C" w14:textId="77777777" w:rsidR="00812654" w:rsidRPr="009D0A4A" w:rsidRDefault="00812654" w:rsidP="00234FEF">
      <w:pPr>
        <w:pStyle w:val="BodyText"/>
      </w:pPr>
    </w:p>
    <w:p w14:paraId="19A1DF77" w14:textId="6A0B4C39" w:rsidR="00B0627D" w:rsidRPr="009D0A4A" w:rsidRDefault="00B0627D" w:rsidP="00183C12">
      <w:pPr>
        <w:jc w:val="both"/>
        <w:rPr>
          <w:rFonts w:eastAsiaTheme="minorEastAsia"/>
          <w:b/>
          <w:bCs/>
        </w:rPr>
      </w:pPr>
      <w:r w:rsidRPr="009D0A4A">
        <w:rPr>
          <w:rFonts w:eastAsiaTheme="minorEastAsia"/>
          <w:b/>
          <w:bCs/>
        </w:rPr>
        <w:br w:type="page"/>
      </w:r>
    </w:p>
    <w:p w14:paraId="43BF69F8" w14:textId="47793A0E" w:rsidR="00B0627D" w:rsidRPr="009D0A4A" w:rsidRDefault="00B0627D" w:rsidP="00E0510C">
      <w:pPr>
        <w:pStyle w:val="Title"/>
        <w:numPr>
          <w:ilvl w:val="0"/>
          <w:numId w:val="0"/>
        </w:numPr>
      </w:pPr>
      <w:bookmarkStart w:id="6" w:name="_Ref102054050"/>
      <w:bookmarkStart w:id="7" w:name="_Toc126573192"/>
      <w:r>
        <w:lastRenderedPageBreak/>
        <w:t>Executive Summary</w:t>
      </w:r>
      <w:bookmarkEnd w:id="6"/>
      <w:bookmarkEnd w:id="7"/>
      <w:r>
        <w:t xml:space="preserve"> </w:t>
      </w:r>
    </w:p>
    <w:p w14:paraId="13EC9FD4" w14:textId="007246BD" w:rsidR="004307A7" w:rsidRPr="004307A7" w:rsidRDefault="004307A7" w:rsidP="00734706">
      <w:pPr>
        <w:pStyle w:val="BodyText"/>
      </w:pPr>
      <w:r w:rsidRPr="004307A7">
        <w:t xml:space="preserve">This Decision Regulatory Impact Statement (DRIS) provides an analysis of the regulatory impacts of options, under the model </w:t>
      </w:r>
      <w:r w:rsidR="00691F1F">
        <w:t>W</w:t>
      </w:r>
      <w:r w:rsidRPr="004307A7">
        <w:t xml:space="preserve">ork </w:t>
      </w:r>
      <w:r w:rsidR="00691F1F">
        <w:t>H</w:t>
      </w:r>
      <w:r w:rsidRPr="004307A7">
        <w:t xml:space="preserve">ealth and </w:t>
      </w:r>
      <w:r w:rsidR="00691F1F">
        <w:t>S</w:t>
      </w:r>
      <w:r w:rsidRPr="004307A7">
        <w:t>afety (WHS) laws, to manage the risks of respirable crystalline silica (RCS)</w:t>
      </w:r>
      <w:r w:rsidR="00F36CE8">
        <w:t>,</w:t>
      </w:r>
      <w:r w:rsidRPr="004307A7">
        <w:t xml:space="preserve"> to improve protection of the health and safety of workers. Th</w:t>
      </w:r>
      <w:r w:rsidR="00F36CE8">
        <w:t>e</w:t>
      </w:r>
      <w:r w:rsidRPr="004307A7">
        <w:t xml:space="preserve"> DRIS provides recommendations to Ministers responsible for WHS (WHS ministers) for decision. </w:t>
      </w:r>
    </w:p>
    <w:p w14:paraId="77BC4F6B" w14:textId="77777777" w:rsidR="004307A7" w:rsidRPr="004307A7" w:rsidRDefault="004307A7" w:rsidP="00734706">
      <w:pPr>
        <w:pStyle w:val="BodyText"/>
      </w:pPr>
      <w:r w:rsidRPr="004307A7">
        <w:t xml:space="preserve">The DRIS is informed by stakeholder feedback on a Consultation Regulation Impact Statement (CRIS). </w:t>
      </w:r>
    </w:p>
    <w:p w14:paraId="0E3FC00C" w14:textId="77777777" w:rsidR="004307A7" w:rsidRPr="004307A7" w:rsidRDefault="004307A7" w:rsidP="00734706">
      <w:pPr>
        <w:pStyle w:val="BodyText"/>
      </w:pPr>
      <w:r w:rsidRPr="004307A7">
        <w:t>This DRIS has been prepared in accordance with the Regulatory Impact Analysis Guide for Ministers’ Meeting and National Standard Setting Bodies (the Guide). The Office of Impact Analysis (OIA) has confirmed this DRIS meets the requirements set out in the Guide.</w:t>
      </w:r>
    </w:p>
    <w:p w14:paraId="3EB74FB8" w14:textId="77777777" w:rsidR="004307A7" w:rsidRPr="004307A7" w:rsidRDefault="004307A7" w:rsidP="00707FB9">
      <w:pPr>
        <w:pStyle w:val="Heading5"/>
      </w:pPr>
      <w:r w:rsidRPr="004307A7">
        <w:t>Statement of the problem</w:t>
      </w:r>
    </w:p>
    <w:p w14:paraId="197A2B00" w14:textId="77777777" w:rsidR="004307A7" w:rsidRPr="004307A7" w:rsidRDefault="004307A7" w:rsidP="0026607A">
      <w:pPr>
        <w:pStyle w:val="BodyText"/>
      </w:pPr>
      <w:r w:rsidRPr="004307A7">
        <w:t>Workers in a broad range of industries including manufacturing, stonemasonry, construction, tunnelling, demolition, mining and quarrying are exposed to respirable crystalline silica (RCS). In 2011, an estimated 6.6 per cent of Australian workers were exposed, and 3.7 per cent of workers were heavily exposed, to RCS. There are also multiple reports of personal exposure above the current workplace exposure standard across industry sectors, where adequate engineering controls are not employed. There has been a recent focus on compliance in the engineered stone sector given the high prevalence of silicosis in stonemasons and engineered stone workers. However, workers in a broad range of industries outside of the engineered stone sector have also developed silicosis.</w:t>
      </w:r>
    </w:p>
    <w:p w14:paraId="7ED05AB7" w14:textId="2982E0A0" w:rsidR="004307A7" w:rsidRPr="004307A7" w:rsidRDefault="004307A7" w:rsidP="0026607A">
      <w:pPr>
        <w:pStyle w:val="BodyText"/>
      </w:pPr>
      <w:r w:rsidRPr="004307A7">
        <w:t xml:space="preserve">Stakeholder consultation highlighted that a lack of awareness of the risks associated with RCS and a lack of clarity on how to comply with the model WHS laws contributes to the number of cases of silicosis and </w:t>
      </w:r>
      <w:r w:rsidRPr="004307A7" w:rsidDel="00DD6525">
        <w:t>silica</w:t>
      </w:r>
      <w:r w:rsidRPr="004307A7">
        <w:t xml:space="preserve">-related diseases. Despite several awareness campaigns being undertaken since 2018, awareness of </w:t>
      </w:r>
      <w:r w:rsidRPr="004307A7" w:rsidDel="00DD6525">
        <w:t>silica</w:t>
      </w:r>
      <w:r w:rsidRPr="004307A7">
        <w:t xml:space="preserve">-related risks remains sub-optimal. Stakeholders also highlighted that requirements </w:t>
      </w:r>
      <w:r w:rsidR="004C6E43">
        <w:t>under</w:t>
      </w:r>
      <w:r w:rsidR="0098119F">
        <w:t xml:space="preserve"> the</w:t>
      </w:r>
      <w:r w:rsidRPr="004307A7">
        <w:t xml:space="preserve"> model WHS laws are difficult to understand for those without regulatory expertise and this may be associated with an inadequate level of compliance.</w:t>
      </w:r>
    </w:p>
    <w:p w14:paraId="1A3515C5" w14:textId="77777777" w:rsidR="004307A7" w:rsidRPr="004307A7" w:rsidRDefault="004307A7" w:rsidP="0026607A">
      <w:pPr>
        <w:pStyle w:val="BodyText"/>
      </w:pPr>
      <w:r w:rsidRPr="004307A7">
        <w:t>The following problem statement has been developed following preliminary consultation with stakeholders:</w:t>
      </w:r>
    </w:p>
    <w:p w14:paraId="0190E0A4" w14:textId="77777777" w:rsidR="004307A7" w:rsidRPr="004307A7" w:rsidRDefault="004307A7" w:rsidP="00C13A5A">
      <w:pPr>
        <w:pStyle w:val="EmphasisPanelBody"/>
      </w:pPr>
      <w:r w:rsidRPr="004307A7">
        <w:t xml:space="preserve">Workplace exposures to RCS have led to a substantial increase in the number of cases of silicosis and other silica-related diseases in Australian workers. </w:t>
      </w:r>
      <w:r w:rsidRPr="004307A7" w:rsidDel="000B2E3D">
        <w:t>Silicosis is an irreversible and debilitating disease</w:t>
      </w:r>
      <w:r w:rsidRPr="004307A7">
        <w:t xml:space="preserve"> which can be fatal</w:t>
      </w:r>
      <w:r w:rsidRPr="004307A7" w:rsidDel="000B2E3D">
        <w:t xml:space="preserve">. </w:t>
      </w:r>
      <w:r w:rsidRPr="004307A7">
        <w:t>Workers exposed to RCS are also at risk of developing other serious and debilitating diseases, including lung cancer, COPD, chronic kidney disease and autoimmune diseases. A significant proportion of the increased cases of silicosis are in engineered stone workers. However, cases have also been identified in workers outside this industry. This includes workers exposed to RCS during mining, quarrying, tunnelling, as well as those working with natural stone.  Silicosis and other silica-related diseases can be prevented by implementing effective controls to eliminate or minimise the generation of, and exposure to, RCS at the workplace.</w:t>
      </w:r>
      <w:r w:rsidRPr="004307A7" w:rsidDel="000B2E3D">
        <w:t xml:space="preserve"> </w:t>
      </w:r>
    </w:p>
    <w:p w14:paraId="2E069E4A" w14:textId="77777777" w:rsidR="004307A7" w:rsidRPr="004307A7" w:rsidRDefault="004307A7" w:rsidP="00707FB9">
      <w:pPr>
        <w:pStyle w:val="Heading5"/>
      </w:pPr>
      <w:r w:rsidRPr="004307A7">
        <w:t>Objectives of government action</w:t>
      </w:r>
    </w:p>
    <w:p w14:paraId="4EF344E4" w14:textId="77777777" w:rsidR="004307A7" w:rsidRPr="004307A7" w:rsidRDefault="004307A7" w:rsidP="00482765">
      <w:pPr>
        <w:pStyle w:val="BodyText"/>
      </w:pPr>
      <w:r w:rsidRPr="004307A7">
        <w:t xml:space="preserve">Silicosis and silica-related diseases pose an unacceptable health risk to workers. There are significant financial and non-financial costs associated with diagnosis of silicosis and silica-related diseases, including significant physical and emotional harm, reduced ability to work, reduced quality of life and premature death of workers. There are </w:t>
      </w:r>
      <w:r w:rsidRPr="004307A7">
        <w:lastRenderedPageBreak/>
        <w:t>also significant costs to the public health system, including for health screening, diagnosis, treatment, and disease management.</w:t>
      </w:r>
    </w:p>
    <w:p w14:paraId="65A6B328" w14:textId="77777777" w:rsidR="004307A7" w:rsidRPr="004307A7" w:rsidRDefault="004307A7" w:rsidP="00482765">
      <w:pPr>
        <w:pStyle w:val="BodyText"/>
      </w:pPr>
      <w:r w:rsidRPr="004307A7">
        <w:t xml:space="preserve">The primary objective of government intervention is to reduce workplace exposure to RCS in Australia, with the ultimate aim of eliminating silicosis and other silica-related diseases. </w:t>
      </w:r>
    </w:p>
    <w:p w14:paraId="47340343" w14:textId="77777777" w:rsidR="004307A7" w:rsidRPr="004307A7" w:rsidRDefault="004307A7" w:rsidP="00707FB9">
      <w:pPr>
        <w:pStyle w:val="Heading5"/>
      </w:pPr>
      <w:r w:rsidRPr="004307A7">
        <w:t>What policy options are being considered?</w:t>
      </w:r>
    </w:p>
    <w:p w14:paraId="316DF33D" w14:textId="75EE71B1" w:rsidR="004307A7" w:rsidRPr="004307A7" w:rsidRDefault="004307A7" w:rsidP="00482765">
      <w:pPr>
        <w:pStyle w:val="BodyText"/>
      </w:pPr>
      <w:r w:rsidRPr="004307A7">
        <w:t>Safe Work Australia sought public comment on five regulatory and non-regulatory options to reduce workplace exposures to RCS in Australia through publication of a CRIS in mid-2022.  Following feedback received from public consultation, Option 3 has been removed and Option 5 has been refined</w:t>
      </w:r>
      <w:r w:rsidR="00BC645B">
        <w:t xml:space="preserve"> to include elements </w:t>
      </w:r>
      <w:r w:rsidR="00D16D49">
        <w:t>of Option 3</w:t>
      </w:r>
      <w:r w:rsidR="00876AEC">
        <w:t>, which focused on clarifying the existing requirements under the model WHS laws</w:t>
      </w:r>
      <w:r w:rsidRPr="004307A7">
        <w:t>.</w:t>
      </w:r>
    </w:p>
    <w:p w14:paraId="62193317" w14:textId="77777777" w:rsidR="004307A7" w:rsidRPr="004307A7" w:rsidRDefault="004307A7" w:rsidP="00482765">
      <w:pPr>
        <w:pStyle w:val="EmphasisPanelBody"/>
      </w:pPr>
      <w:r w:rsidRPr="004307A7">
        <w:rPr>
          <w:b/>
          <w:bCs/>
        </w:rPr>
        <w:t>Option 1:</w:t>
      </w:r>
      <w:r w:rsidRPr="004307A7">
        <w:t xml:space="preserve"> </w:t>
      </w:r>
      <w:r w:rsidRPr="004307A7">
        <w:tab/>
        <w:t>Base case</w:t>
      </w:r>
    </w:p>
    <w:p w14:paraId="7BC9E194" w14:textId="1D3877AE" w:rsidR="004307A7" w:rsidRPr="004307A7" w:rsidRDefault="004307A7" w:rsidP="00482765">
      <w:pPr>
        <w:pStyle w:val="EmphasisPanelBody"/>
      </w:pPr>
      <w:r w:rsidRPr="004307A7">
        <w:rPr>
          <w:b/>
          <w:bCs/>
        </w:rPr>
        <w:t>Option 2:</w:t>
      </w:r>
      <w:r w:rsidRPr="004307A7">
        <w:t xml:space="preserve"> </w:t>
      </w:r>
      <w:r w:rsidRPr="004307A7">
        <w:tab/>
        <w:t xml:space="preserve">National awareness and behaviour change </w:t>
      </w:r>
      <w:r w:rsidR="003874B7">
        <w:t>initiatives</w:t>
      </w:r>
    </w:p>
    <w:p w14:paraId="0ADFDE02" w14:textId="77777777" w:rsidR="004307A7" w:rsidRPr="004307A7" w:rsidRDefault="004307A7" w:rsidP="00482765">
      <w:pPr>
        <w:pStyle w:val="EmphasisPanelBody"/>
      </w:pPr>
      <w:r w:rsidRPr="004307A7">
        <w:rPr>
          <w:b/>
          <w:bCs/>
        </w:rPr>
        <w:t>Option 4:</w:t>
      </w:r>
      <w:r w:rsidRPr="004307A7">
        <w:t xml:space="preserve"> </w:t>
      </w:r>
      <w:r w:rsidRPr="004307A7">
        <w:tab/>
        <w:t>National licensing framework for PCBUs working with engineered stone</w:t>
      </w:r>
    </w:p>
    <w:p w14:paraId="4954B44A" w14:textId="77777777" w:rsidR="004307A7" w:rsidRPr="004307A7" w:rsidRDefault="004307A7" w:rsidP="00482765">
      <w:pPr>
        <w:pStyle w:val="EmphasisPanelBody"/>
      </w:pPr>
      <w:r w:rsidRPr="004307A7">
        <w:rPr>
          <w:b/>
          <w:bCs/>
        </w:rPr>
        <w:t>Option 5a:</w:t>
      </w:r>
      <w:r w:rsidRPr="004307A7">
        <w:t xml:space="preserve"> </w:t>
      </w:r>
      <w:r w:rsidRPr="004307A7">
        <w:tab/>
        <w:t>Regulation of high risk crystalline silica processes for all materials, including engineered stone</w:t>
      </w:r>
    </w:p>
    <w:p w14:paraId="51955240" w14:textId="77777777" w:rsidR="004307A7" w:rsidRPr="004307A7" w:rsidRDefault="004307A7" w:rsidP="00482765">
      <w:pPr>
        <w:pStyle w:val="EmphasisPanelBody"/>
      </w:pPr>
      <w:r w:rsidRPr="004307A7">
        <w:rPr>
          <w:b/>
          <w:bCs/>
        </w:rPr>
        <w:t>Option 5b:</w:t>
      </w:r>
      <w:r w:rsidRPr="004307A7">
        <w:t xml:space="preserve"> </w:t>
      </w:r>
      <w:r w:rsidRPr="004307A7">
        <w:tab/>
      </w:r>
      <w:bookmarkStart w:id="8" w:name="_Hlk125538189"/>
      <w:r w:rsidRPr="004307A7">
        <w:t>Regulation of high risk crystalline silica processes for all materials other than engineered stone</w:t>
      </w:r>
      <w:bookmarkEnd w:id="8"/>
    </w:p>
    <w:p w14:paraId="0102FD30" w14:textId="77777777" w:rsidR="003E2D85" w:rsidRPr="004307A7" w:rsidRDefault="003E2D85" w:rsidP="003E2D85">
      <w:pPr>
        <w:pStyle w:val="Heading5"/>
      </w:pPr>
      <w:r>
        <w:t xml:space="preserve">Option 6 - </w:t>
      </w:r>
      <w:r w:rsidRPr="004307A7">
        <w:t>Consideration of a prohibition on use of engineered stone</w:t>
      </w:r>
    </w:p>
    <w:p w14:paraId="6AB7D1CF" w14:textId="77777777" w:rsidR="003E2D85" w:rsidRPr="004307A7" w:rsidRDefault="003E2D85" w:rsidP="003E2D85">
      <w:pPr>
        <w:pStyle w:val="BodyText"/>
      </w:pPr>
      <w:r w:rsidRPr="004307A7">
        <w:t>As part of the feedback on the CRIS, unions, peak health bodies, and professional organisations called for a prohibition on the use of engineered stone. As a result, a new option</w:t>
      </w:r>
      <w:r>
        <w:t>, Option 6,</w:t>
      </w:r>
      <w:r w:rsidRPr="004307A7">
        <w:t xml:space="preserve"> has been included in this DRIS for consideration by WHS ministers. </w:t>
      </w:r>
    </w:p>
    <w:p w14:paraId="46CB5184" w14:textId="4DE7FD24" w:rsidR="003E2D85" w:rsidRDefault="003E2D85" w:rsidP="003E2D85">
      <w:pPr>
        <w:pStyle w:val="BodyText"/>
      </w:pPr>
      <w:r w:rsidRPr="004307A7">
        <w:t xml:space="preserve">This </w:t>
      </w:r>
      <w:r>
        <w:t>O</w:t>
      </w:r>
      <w:r w:rsidRPr="004307A7">
        <w:t>ption describ</w:t>
      </w:r>
      <w:r>
        <w:t xml:space="preserve">es </w:t>
      </w:r>
      <w:r w:rsidRPr="004307A7">
        <w:t xml:space="preserve">a prohibition on </w:t>
      </w:r>
      <w:r>
        <w:t xml:space="preserve">the </w:t>
      </w:r>
      <w:r w:rsidRPr="004307A7">
        <w:t>use of engineered stone</w:t>
      </w:r>
      <w:r>
        <w:t xml:space="preserve"> and</w:t>
      </w:r>
      <w:r w:rsidRPr="004307A7">
        <w:t xml:space="preserve"> is modelled on the </w:t>
      </w:r>
      <w:r w:rsidR="00305470">
        <w:t xml:space="preserve">asbestos </w:t>
      </w:r>
      <w:r w:rsidRPr="004307A7">
        <w:t xml:space="preserve">regulations </w:t>
      </w:r>
      <w:r>
        <w:t>in the model WHS Regulations</w:t>
      </w:r>
      <w:r w:rsidRPr="004307A7">
        <w:t xml:space="preserve">. </w:t>
      </w:r>
      <w:r>
        <w:t xml:space="preserve">Option 6 </w:t>
      </w:r>
      <w:r w:rsidRPr="004307A7">
        <w:t xml:space="preserve">would prohibit most uses of engineered stone, with a licensing scheme to ensure exempt uses (removal, repair and minor modifications of engineered stone already installed) </w:t>
      </w:r>
      <w:r w:rsidR="00305470">
        <w:t>are</w:t>
      </w:r>
      <w:r w:rsidRPr="004307A7">
        <w:t xml:space="preserve"> undertaken safely. </w:t>
      </w:r>
    </w:p>
    <w:p w14:paraId="68813325" w14:textId="57E73BD9" w:rsidR="004307A7" w:rsidRPr="004307A7" w:rsidRDefault="004307A7" w:rsidP="00707FB9">
      <w:pPr>
        <w:pStyle w:val="Heading5"/>
      </w:pPr>
      <w:r w:rsidRPr="004307A7">
        <w:t xml:space="preserve">What is the likely impact of </w:t>
      </w:r>
      <w:r w:rsidR="003E2D85">
        <w:t>the options</w:t>
      </w:r>
      <w:r w:rsidRPr="004307A7">
        <w:t>?</w:t>
      </w:r>
    </w:p>
    <w:p w14:paraId="3F9400BC" w14:textId="5CEFD1A4" w:rsidR="004307A7" w:rsidRPr="004307A7" w:rsidRDefault="004307A7" w:rsidP="00450ABE">
      <w:pPr>
        <w:pStyle w:val="BodyText"/>
        <w:rPr>
          <w:rFonts w:cs="Calibri"/>
          <w:lang w:bidi="en-AU"/>
        </w:rPr>
      </w:pPr>
      <w:r w:rsidRPr="004307A7">
        <w:t>Impact analysis for the initial suite of options (options 2 – 5) uses a combination of multi-criteria analysis</w:t>
      </w:r>
      <w:r w:rsidRPr="004307A7">
        <w:rPr>
          <w:b/>
          <w:bCs/>
        </w:rPr>
        <w:t xml:space="preserve"> </w:t>
      </w:r>
      <w:r w:rsidRPr="004307A7">
        <w:t>(MCA)</w:t>
      </w:r>
      <w:r w:rsidRPr="004307A7">
        <w:rPr>
          <w:b/>
          <w:bCs/>
        </w:rPr>
        <w:t xml:space="preserve"> </w:t>
      </w:r>
      <w:r w:rsidRPr="004307A7">
        <w:t xml:space="preserve">and breakeven analysis (BEA). MCA is used to </w:t>
      </w:r>
      <w:r w:rsidRPr="004307A7">
        <w:rPr>
          <w:rFonts w:cs="Calibri"/>
        </w:rPr>
        <w:t xml:space="preserve">produce detailed estimates of the additional costs of each option, to industry and government, above the base case. BEA </w:t>
      </w:r>
      <w:r w:rsidRPr="004307A7">
        <w:rPr>
          <w:rFonts w:cs="Calibri"/>
          <w:lang w:bidi="en-AU"/>
        </w:rPr>
        <w:t xml:space="preserve">was used to quantify the economic cost of each case of silicosis and assesses the number of silicosis cases which would need to be avoided under each option for the benefits to outweigh the additional costs. The table below outlines the number of businesses potentially impacted by the option, the costs to industry and government for each option, and the required number of cases of silicosis that would need to be avoided for each option to breakeven from an economic perspective. </w:t>
      </w:r>
    </w:p>
    <w:p w14:paraId="2BED1486" w14:textId="77777777" w:rsidR="004307A7" w:rsidRPr="004307A7" w:rsidRDefault="004307A7" w:rsidP="00450ABE">
      <w:pPr>
        <w:pStyle w:val="Caption"/>
      </w:pPr>
      <w:r w:rsidRPr="004307A7">
        <w:t>Table - Estimated economic impact and breakeven analysis, Options 2, 4, 5a and 5b</w:t>
      </w:r>
    </w:p>
    <w:tbl>
      <w:tblPr>
        <w:tblStyle w:val="TableGrid"/>
        <w:tblW w:w="5053"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
        <w:gridCol w:w="1648"/>
        <w:gridCol w:w="107"/>
        <w:gridCol w:w="1811"/>
        <w:gridCol w:w="107"/>
        <w:gridCol w:w="2267"/>
        <w:gridCol w:w="107"/>
        <w:gridCol w:w="1974"/>
        <w:gridCol w:w="107"/>
        <w:gridCol w:w="1972"/>
        <w:gridCol w:w="105"/>
      </w:tblGrid>
      <w:tr w:rsidR="004307A7" w:rsidRPr="004307A7" w14:paraId="6EB42F77" w14:textId="77777777" w:rsidTr="00760B36">
        <w:trPr>
          <w:gridAfter w:val="1"/>
          <w:wAfter w:w="51" w:type="pct"/>
          <w:trHeight w:val="104"/>
          <w:tblHeader/>
        </w:trPr>
        <w:tc>
          <w:tcPr>
            <w:tcW w:w="851" w:type="pct"/>
            <w:gridSpan w:val="2"/>
            <w:shd w:val="clear" w:color="auto" w:fill="E7E6E6"/>
            <w:vAlign w:val="center"/>
          </w:tcPr>
          <w:p w14:paraId="4139258E" w14:textId="77777777" w:rsidR="004307A7" w:rsidRPr="004307A7" w:rsidRDefault="004307A7" w:rsidP="00E14EFD">
            <w:pPr>
              <w:pStyle w:val="TableHeading"/>
              <w:jc w:val="center"/>
              <w:rPr>
                <w:rFonts w:cs="Calibri"/>
              </w:rPr>
            </w:pPr>
            <w:r w:rsidRPr="004307A7">
              <w:rPr>
                <w:rFonts w:cs="Calibri"/>
              </w:rPr>
              <w:t>O</w:t>
            </w:r>
            <w:r w:rsidRPr="004307A7">
              <w:t>ption</w:t>
            </w:r>
          </w:p>
        </w:tc>
        <w:tc>
          <w:tcPr>
            <w:tcW w:w="930" w:type="pct"/>
            <w:gridSpan w:val="2"/>
            <w:shd w:val="clear" w:color="auto" w:fill="E7E6E6"/>
            <w:vAlign w:val="center"/>
          </w:tcPr>
          <w:p w14:paraId="4862A05D" w14:textId="77777777" w:rsidR="004307A7" w:rsidRPr="004307A7" w:rsidRDefault="004307A7" w:rsidP="00E14EFD">
            <w:pPr>
              <w:pStyle w:val="TableHeading"/>
              <w:jc w:val="center"/>
              <w:rPr>
                <w:rFonts w:cs="Calibri"/>
              </w:rPr>
            </w:pPr>
            <w:r w:rsidRPr="004307A7">
              <w:t>Number of businesses covered</w:t>
            </w:r>
          </w:p>
        </w:tc>
        <w:tc>
          <w:tcPr>
            <w:tcW w:w="1151" w:type="pct"/>
            <w:gridSpan w:val="2"/>
            <w:shd w:val="clear" w:color="auto" w:fill="E7E6E6"/>
            <w:vAlign w:val="center"/>
          </w:tcPr>
          <w:p w14:paraId="0AAED938" w14:textId="731552FF" w:rsidR="004307A7" w:rsidRPr="004307A7" w:rsidRDefault="00735B5B" w:rsidP="00E14EFD">
            <w:pPr>
              <w:pStyle w:val="TableHeading"/>
              <w:jc w:val="center"/>
              <w:rPr>
                <w:rFonts w:cs="Calibri"/>
              </w:rPr>
            </w:pPr>
            <w:r>
              <w:rPr>
                <w:rFonts w:cs="Calibri"/>
              </w:rPr>
              <w:t>E</w:t>
            </w:r>
            <w:r w:rsidR="004307A7" w:rsidRPr="004307A7">
              <w:rPr>
                <w:rFonts w:cs="Calibri"/>
              </w:rPr>
              <w:t xml:space="preserve">stimated cost </w:t>
            </w:r>
            <w:r w:rsidR="004307A7" w:rsidRPr="004307A7">
              <w:t>to industry ($m)</w:t>
            </w:r>
          </w:p>
        </w:tc>
        <w:tc>
          <w:tcPr>
            <w:tcW w:w="1009" w:type="pct"/>
            <w:gridSpan w:val="2"/>
            <w:shd w:val="clear" w:color="auto" w:fill="E7E6E6"/>
            <w:vAlign w:val="center"/>
          </w:tcPr>
          <w:p w14:paraId="70CFED1E" w14:textId="5F047EFD" w:rsidR="004307A7" w:rsidRPr="004307A7" w:rsidRDefault="00735B5B" w:rsidP="00E14EFD">
            <w:pPr>
              <w:pStyle w:val="TableHeading"/>
              <w:jc w:val="center"/>
              <w:rPr>
                <w:rFonts w:cs="Calibri"/>
              </w:rPr>
            </w:pPr>
            <w:r>
              <w:rPr>
                <w:rFonts w:cs="Calibri"/>
              </w:rPr>
              <w:t>E</w:t>
            </w:r>
            <w:r w:rsidR="004307A7" w:rsidRPr="004307A7">
              <w:rPr>
                <w:rFonts w:cs="Calibri"/>
              </w:rPr>
              <w:t xml:space="preserve">stimated cost </w:t>
            </w:r>
            <w:r w:rsidR="004307A7" w:rsidRPr="004307A7">
              <w:t>to government ($m)</w:t>
            </w:r>
          </w:p>
        </w:tc>
        <w:tc>
          <w:tcPr>
            <w:tcW w:w="1008" w:type="pct"/>
            <w:gridSpan w:val="2"/>
            <w:shd w:val="clear" w:color="auto" w:fill="E7E6E6"/>
            <w:vAlign w:val="center"/>
          </w:tcPr>
          <w:p w14:paraId="73C88571" w14:textId="77777777" w:rsidR="004307A7" w:rsidRPr="004307A7" w:rsidRDefault="004307A7" w:rsidP="00E14EFD">
            <w:pPr>
              <w:pStyle w:val="TableHeading"/>
              <w:jc w:val="center"/>
              <w:rPr>
                <w:rFonts w:cs="Calibri"/>
              </w:rPr>
            </w:pPr>
            <w:r w:rsidRPr="004307A7">
              <w:rPr>
                <w:rFonts w:cs="Calibri"/>
              </w:rPr>
              <w:t>R</w:t>
            </w:r>
            <w:r w:rsidRPr="004307A7">
              <w:t>equired avoided non-fatality over 10-year reporting period</w:t>
            </w:r>
          </w:p>
        </w:tc>
      </w:tr>
      <w:tr w:rsidR="00E14EFD" w:rsidRPr="004307A7" w14:paraId="3A461645" w14:textId="77777777" w:rsidTr="00E14EFD">
        <w:trPr>
          <w:gridBefore w:val="1"/>
          <w:wBefore w:w="52" w:type="pct"/>
          <w:trHeight w:val="196"/>
        </w:trPr>
        <w:tc>
          <w:tcPr>
            <w:tcW w:w="851" w:type="pct"/>
            <w:gridSpan w:val="2"/>
            <w:tcBorders>
              <w:bottom w:val="single" w:sz="8" w:space="0" w:color="E7E6E6"/>
            </w:tcBorders>
          </w:tcPr>
          <w:p w14:paraId="118DEC55" w14:textId="77777777" w:rsidR="004307A7" w:rsidRPr="005B47A6" w:rsidRDefault="004307A7" w:rsidP="00A95830">
            <w:pPr>
              <w:pStyle w:val="TableBody"/>
              <w:rPr>
                <w:rFonts w:cs="Calibri"/>
                <w:b/>
                <w:bCs/>
              </w:rPr>
            </w:pPr>
            <w:r w:rsidRPr="005B47A6">
              <w:rPr>
                <w:b/>
                <w:bCs/>
              </w:rPr>
              <w:t xml:space="preserve">Option 2 </w:t>
            </w:r>
          </w:p>
        </w:tc>
        <w:tc>
          <w:tcPr>
            <w:tcW w:w="930" w:type="pct"/>
            <w:gridSpan w:val="2"/>
            <w:tcBorders>
              <w:bottom w:val="single" w:sz="8" w:space="0" w:color="E7E6E6"/>
            </w:tcBorders>
          </w:tcPr>
          <w:p w14:paraId="0CB03559" w14:textId="77777777" w:rsidR="004307A7" w:rsidRPr="004307A7" w:rsidRDefault="004307A7" w:rsidP="00A95830">
            <w:pPr>
              <w:pStyle w:val="TableBody"/>
              <w:jc w:val="center"/>
              <w:rPr>
                <w:rFonts w:ascii="Calibri" w:hAnsi="Calibri" w:cs="Calibri"/>
                <w:color w:val="262626"/>
              </w:rPr>
            </w:pPr>
            <w:r w:rsidRPr="004307A7">
              <w:rPr>
                <w:rFonts w:ascii="Calibri" w:hAnsi="Calibri" w:cs="Calibri"/>
                <w:color w:val="262626"/>
              </w:rPr>
              <w:t>22,000</w:t>
            </w:r>
          </w:p>
        </w:tc>
        <w:tc>
          <w:tcPr>
            <w:tcW w:w="1151" w:type="pct"/>
            <w:gridSpan w:val="2"/>
            <w:tcBorders>
              <w:bottom w:val="single" w:sz="8" w:space="0" w:color="E7E6E6"/>
            </w:tcBorders>
            <w:vAlign w:val="center"/>
          </w:tcPr>
          <w:p w14:paraId="5EFB6136" w14:textId="77777777" w:rsidR="004307A7" w:rsidRPr="004307A7" w:rsidRDefault="004307A7" w:rsidP="00A95830">
            <w:pPr>
              <w:pStyle w:val="TableBody"/>
              <w:jc w:val="center"/>
            </w:pPr>
            <w:r w:rsidRPr="004307A7">
              <w:rPr>
                <w:rFonts w:ascii="Calibri" w:hAnsi="Calibri" w:cs="Calibri"/>
                <w:color w:val="262626"/>
              </w:rPr>
              <w:t>$0</w:t>
            </w:r>
          </w:p>
        </w:tc>
        <w:tc>
          <w:tcPr>
            <w:tcW w:w="1009" w:type="pct"/>
            <w:gridSpan w:val="2"/>
            <w:tcBorders>
              <w:bottom w:val="single" w:sz="8" w:space="0" w:color="E7E6E6"/>
            </w:tcBorders>
          </w:tcPr>
          <w:p w14:paraId="6CCD3233" w14:textId="77777777" w:rsidR="004307A7" w:rsidRPr="004307A7" w:rsidRDefault="004307A7" w:rsidP="00A95830">
            <w:pPr>
              <w:pStyle w:val="TableBody"/>
              <w:jc w:val="center"/>
              <w:rPr>
                <w:rFonts w:ascii="Calibri" w:hAnsi="Calibri" w:cs="Calibri"/>
                <w:color w:val="262626"/>
              </w:rPr>
            </w:pPr>
            <w:r w:rsidRPr="004307A7">
              <w:rPr>
                <w:rFonts w:ascii="Calibri" w:hAnsi="Calibri" w:cs="Calibri"/>
                <w:color w:val="262626"/>
              </w:rPr>
              <w:t>$6.1</w:t>
            </w:r>
          </w:p>
        </w:tc>
        <w:tc>
          <w:tcPr>
            <w:tcW w:w="1007" w:type="pct"/>
            <w:gridSpan w:val="2"/>
            <w:tcBorders>
              <w:bottom w:val="single" w:sz="8" w:space="0" w:color="E7E6E6"/>
            </w:tcBorders>
            <w:vAlign w:val="center"/>
          </w:tcPr>
          <w:p w14:paraId="170BC9B6" w14:textId="77777777" w:rsidR="004307A7" w:rsidRPr="004307A7" w:rsidRDefault="004307A7" w:rsidP="00A95830">
            <w:pPr>
              <w:pStyle w:val="TableBody"/>
              <w:jc w:val="center"/>
            </w:pPr>
            <w:r w:rsidRPr="004307A7">
              <w:rPr>
                <w:rFonts w:ascii="Calibri" w:hAnsi="Calibri" w:cs="Calibri"/>
                <w:color w:val="262626"/>
              </w:rPr>
              <w:t>1</w:t>
            </w:r>
          </w:p>
        </w:tc>
      </w:tr>
      <w:tr w:rsidR="00E14EFD" w:rsidRPr="004307A7" w14:paraId="0E1995E7" w14:textId="77777777" w:rsidTr="00E14EFD">
        <w:trPr>
          <w:gridBefore w:val="1"/>
          <w:wBefore w:w="52" w:type="pct"/>
          <w:trHeight w:val="196"/>
        </w:trPr>
        <w:tc>
          <w:tcPr>
            <w:tcW w:w="851" w:type="pct"/>
            <w:gridSpan w:val="2"/>
            <w:tcBorders>
              <w:top w:val="single" w:sz="8" w:space="0" w:color="E7E6E6"/>
              <w:bottom w:val="single" w:sz="8" w:space="0" w:color="E7E6E6"/>
            </w:tcBorders>
          </w:tcPr>
          <w:p w14:paraId="2DD13606" w14:textId="77777777" w:rsidR="004307A7" w:rsidRPr="005B47A6" w:rsidRDefault="004307A7" w:rsidP="00A95830">
            <w:pPr>
              <w:pStyle w:val="TableBody"/>
              <w:rPr>
                <w:rFonts w:cs="Calibri"/>
                <w:b/>
                <w:bCs/>
              </w:rPr>
            </w:pPr>
            <w:r w:rsidRPr="005B47A6">
              <w:rPr>
                <w:b/>
                <w:bCs/>
              </w:rPr>
              <w:lastRenderedPageBreak/>
              <w:t>Option 4</w:t>
            </w:r>
          </w:p>
        </w:tc>
        <w:tc>
          <w:tcPr>
            <w:tcW w:w="930" w:type="pct"/>
            <w:gridSpan w:val="2"/>
            <w:tcBorders>
              <w:top w:val="single" w:sz="8" w:space="0" w:color="E7E6E6"/>
              <w:bottom w:val="single" w:sz="8" w:space="0" w:color="E7E6E6"/>
            </w:tcBorders>
          </w:tcPr>
          <w:p w14:paraId="4E125FAB" w14:textId="77777777" w:rsidR="004307A7" w:rsidRPr="004307A7" w:rsidRDefault="004307A7" w:rsidP="00A95830">
            <w:pPr>
              <w:pStyle w:val="TableBody"/>
              <w:jc w:val="center"/>
              <w:rPr>
                <w:rFonts w:ascii="Calibri" w:hAnsi="Calibri" w:cs="Calibri"/>
                <w:color w:val="262626"/>
              </w:rPr>
            </w:pPr>
            <w:r w:rsidRPr="004307A7">
              <w:rPr>
                <w:rFonts w:ascii="Calibri" w:hAnsi="Calibri" w:cs="Calibri"/>
                <w:color w:val="262626"/>
              </w:rPr>
              <w:t>1,000</w:t>
            </w:r>
          </w:p>
        </w:tc>
        <w:tc>
          <w:tcPr>
            <w:tcW w:w="1151" w:type="pct"/>
            <w:gridSpan w:val="2"/>
            <w:tcBorders>
              <w:top w:val="single" w:sz="8" w:space="0" w:color="E7E6E6"/>
              <w:bottom w:val="single" w:sz="8" w:space="0" w:color="E7E6E6"/>
            </w:tcBorders>
            <w:vAlign w:val="center"/>
          </w:tcPr>
          <w:p w14:paraId="31ECF4A5" w14:textId="77777777" w:rsidR="004307A7" w:rsidRPr="004307A7" w:rsidRDefault="004307A7" w:rsidP="00A95830">
            <w:pPr>
              <w:pStyle w:val="TableBody"/>
              <w:jc w:val="center"/>
            </w:pPr>
            <w:r w:rsidRPr="004307A7">
              <w:rPr>
                <w:rFonts w:ascii="Calibri" w:hAnsi="Calibri" w:cs="Calibri"/>
                <w:color w:val="262626"/>
              </w:rPr>
              <w:t>$16.0</w:t>
            </w:r>
          </w:p>
        </w:tc>
        <w:tc>
          <w:tcPr>
            <w:tcW w:w="1009" w:type="pct"/>
            <w:gridSpan w:val="2"/>
            <w:tcBorders>
              <w:top w:val="single" w:sz="8" w:space="0" w:color="E7E6E6"/>
              <w:bottom w:val="single" w:sz="8" w:space="0" w:color="E7E6E6"/>
            </w:tcBorders>
          </w:tcPr>
          <w:p w14:paraId="6A722964" w14:textId="77777777" w:rsidR="004307A7" w:rsidRPr="004307A7" w:rsidRDefault="004307A7" w:rsidP="00A95830">
            <w:pPr>
              <w:pStyle w:val="TableBody"/>
              <w:jc w:val="center"/>
              <w:rPr>
                <w:rFonts w:ascii="Calibri" w:hAnsi="Calibri" w:cs="Calibri"/>
                <w:color w:val="262626"/>
              </w:rPr>
            </w:pPr>
            <w:r w:rsidRPr="004307A7">
              <w:rPr>
                <w:rFonts w:ascii="Calibri" w:hAnsi="Calibri" w:cs="Calibri"/>
                <w:color w:val="262626"/>
              </w:rPr>
              <w:t>$16.9</w:t>
            </w:r>
          </w:p>
        </w:tc>
        <w:tc>
          <w:tcPr>
            <w:tcW w:w="1007" w:type="pct"/>
            <w:gridSpan w:val="2"/>
            <w:tcBorders>
              <w:top w:val="single" w:sz="8" w:space="0" w:color="E7E6E6"/>
              <w:bottom w:val="single" w:sz="8" w:space="0" w:color="E7E6E6"/>
            </w:tcBorders>
            <w:vAlign w:val="center"/>
          </w:tcPr>
          <w:p w14:paraId="38AADE29" w14:textId="77777777" w:rsidR="004307A7" w:rsidRPr="004307A7" w:rsidRDefault="004307A7" w:rsidP="00A95830">
            <w:pPr>
              <w:pStyle w:val="TableBody"/>
              <w:jc w:val="center"/>
            </w:pPr>
            <w:r w:rsidRPr="004307A7">
              <w:rPr>
                <w:rFonts w:ascii="Calibri" w:hAnsi="Calibri" w:cs="Calibri"/>
                <w:color w:val="262626"/>
              </w:rPr>
              <w:t>7</w:t>
            </w:r>
          </w:p>
        </w:tc>
      </w:tr>
      <w:tr w:rsidR="00E14EFD" w:rsidRPr="004307A7" w14:paraId="15CC4006" w14:textId="77777777" w:rsidTr="00E14EFD">
        <w:trPr>
          <w:gridBefore w:val="1"/>
          <w:wBefore w:w="52" w:type="pct"/>
          <w:trHeight w:val="196"/>
        </w:trPr>
        <w:tc>
          <w:tcPr>
            <w:tcW w:w="851" w:type="pct"/>
            <w:gridSpan w:val="2"/>
            <w:tcBorders>
              <w:top w:val="single" w:sz="8" w:space="0" w:color="E7E6E6"/>
              <w:bottom w:val="single" w:sz="8" w:space="0" w:color="E7E6E6"/>
            </w:tcBorders>
          </w:tcPr>
          <w:p w14:paraId="06986B94" w14:textId="77777777" w:rsidR="004307A7" w:rsidRPr="005B47A6" w:rsidRDefault="004307A7" w:rsidP="00A95830">
            <w:pPr>
              <w:pStyle w:val="TableBody"/>
              <w:rPr>
                <w:rFonts w:cs="Calibri"/>
                <w:b/>
                <w:bCs/>
              </w:rPr>
            </w:pPr>
            <w:r w:rsidRPr="005B47A6">
              <w:rPr>
                <w:b/>
                <w:bCs/>
              </w:rPr>
              <w:t>Option 5a</w:t>
            </w:r>
          </w:p>
        </w:tc>
        <w:tc>
          <w:tcPr>
            <w:tcW w:w="930" w:type="pct"/>
            <w:gridSpan w:val="2"/>
            <w:tcBorders>
              <w:top w:val="single" w:sz="8" w:space="0" w:color="E7E6E6"/>
              <w:bottom w:val="single" w:sz="8" w:space="0" w:color="E7E6E6"/>
            </w:tcBorders>
          </w:tcPr>
          <w:p w14:paraId="2063CA22" w14:textId="77777777" w:rsidR="004307A7" w:rsidRPr="004307A7" w:rsidRDefault="004307A7" w:rsidP="00A95830">
            <w:pPr>
              <w:pStyle w:val="TableBody"/>
              <w:jc w:val="center"/>
              <w:rPr>
                <w:rFonts w:ascii="Calibri" w:hAnsi="Calibri" w:cs="Calibri"/>
                <w:color w:val="262626"/>
              </w:rPr>
            </w:pPr>
            <w:r w:rsidRPr="004307A7">
              <w:rPr>
                <w:rFonts w:ascii="Calibri" w:hAnsi="Calibri" w:cs="Calibri"/>
                <w:color w:val="262626"/>
              </w:rPr>
              <w:t>22,000</w:t>
            </w:r>
          </w:p>
        </w:tc>
        <w:tc>
          <w:tcPr>
            <w:tcW w:w="1151" w:type="pct"/>
            <w:gridSpan w:val="2"/>
            <w:tcBorders>
              <w:top w:val="single" w:sz="8" w:space="0" w:color="E7E6E6"/>
              <w:bottom w:val="single" w:sz="8" w:space="0" w:color="E7E6E6"/>
            </w:tcBorders>
            <w:vAlign w:val="center"/>
          </w:tcPr>
          <w:p w14:paraId="2F4E4B20" w14:textId="77777777" w:rsidR="004307A7" w:rsidRPr="004307A7" w:rsidRDefault="004307A7" w:rsidP="00A95830">
            <w:pPr>
              <w:pStyle w:val="TableBody"/>
              <w:jc w:val="center"/>
            </w:pPr>
            <w:r w:rsidRPr="004307A7">
              <w:rPr>
                <w:rFonts w:ascii="Calibri" w:hAnsi="Calibri" w:cs="Calibri"/>
                <w:color w:val="262626"/>
              </w:rPr>
              <w:t>$168.7</w:t>
            </w:r>
          </w:p>
        </w:tc>
        <w:tc>
          <w:tcPr>
            <w:tcW w:w="1009" w:type="pct"/>
            <w:gridSpan w:val="2"/>
            <w:tcBorders>
              <w:top w:val="single" w:sz="8" w:space="0" w:color="E7E6E6"/>
              <w:bottom w:val="single" w:sz="8" w:space="0" w:color="E7E6E6"/>
            </w:tcBorders>
          </w:tcPr>
          <w:p w14:paraId="69A4DD1E" w14:textId="77777777" w:rsidR="004307A7" w:rsidRPr="004307A7" w:rsidRDefault="004307A7" w:rsidP="00A95830">
            <w:pPr>
              <w:pStyle w:val="TableBody"/>
              <w:jc w:val="center"/>
              <w:rPr>
                <w:rFonts w:ascii="Calibri" w:hAnsi="Calibri" w:cs="Calibri"/>
                <w:color w:val="262626"/>
              </w:rPr>
            </w:pPr>
            <w:r w:rsidRPr="004307A7">
              <w:rPr>
                <w:rFonts w:ascii="Calibri" w:hAnsi="Calibri" w:cs="Calibri"/>
                <w:color w:val="262626"/>
              </w:rPr>
              <w:t>$0.9</w:t>
            </w:r>
          </w:p>
        </w:tc>
        <w:tc>
          <w:tcPr>
            <w:tcW w:w="1007" w:type="pct"/>
            <w:gridSpan w:val="2"/>
            <w:tcBorders>
              <w:top w:val="single" w:sz="8" w:space="0" w:color="E7E6E6"/>
              <w:bottom w:val="single" w:sz="8" w:space="0" w:color="E7E6E6"/>
            </w:tcBorders>
            <w:vAlign w:val="center"/>
          </w:tcPr>
          <w:p w14:paraId="74C3C793" w14:textId="77777777" w:rsidR="004307A7" w:rsidRPr="004307A7" w:rsidRDefault="004307A7" w:rsidP="00A95830">
            <w:pPr>
              <w:pStyle w:val="TableBody"/>
              <w:jc w:val="center"/>
            </w:pPr>
            <w:r w:rsidRPr="004307A7">
              <w:rPr>
                <w:rFonts w:ascii="Calibri" w:hAnsi="Calibri" w:cs="Calibri"/>
                <w:color w:val="262626"/>
              </w:rPr>
              <w:t>37</w:t>
            </w:r>
          </w:p>
        </w:tc>
      </w:tr>
      <w:tr w:rsidR="00E14EFD" w:rsidRPr="004307A7" w14:paraId="4AB825FC" w14:textId="77777777" w:rsidTr="00E14EFD">
        <w:trPr>
          <w:gridBefore w:val="1"/>
          <w:wBefore w:w="52" w:type="pct"/>
          <w:trHeight w:val="196"/>
        </w:trPr>
        <w:tc>
          <w:tcPr>
            <w:tcW w:w="851" w:type="pct"/>
            <w:gridSpan w:val="2"/>
            <w:tcBorders>
              <w:top w:val="single" w:sz="8" w:space="0" w:color="E7E6E6"/>
              <w:bottom w:val="single" w:sz="8" w:space="0" w:color="E7E6E6"/>
            </w:tcBorders>
          </w:tcPr>
          <w:p w14:paraId="57C0F621" w14:textId="77777777" w:rsidR="004307A7" w:rsidRPr="005B47A6" w:rsidRDefault="004307A7" w:rsidP="00A95830">
            <w:pPr>
              <w:pStyle w:val="TableBody"/>
              <w:rPr>
                <w:rFonts w:cs="Calibri"/>
                <w:b/>
                <w:bCs/>
              </w:rPr>
            </w:pPr>
            <w:r w:rsidRPr="005B47A6">
              <w:rPr>
                <w:b/>
                <w:bCs/>
              </w:rPr>
              <w:t>Option 5b</w:t>
            </w:r>
          </w:p>
        </w:tc>
        <w:tc>
          <w:tcPr>
            <w:tcW w:w="930" w:type="pct"/>
            <w:gridSpan w:val="2"/>
            <w:tcBorders>
              <w:top w:val="single" w:sz="8" w:space="0" w:color="E7E6E6"/>
              <w:bottom w:val="single" w:sz="8" w:space="0" w:color="E7E6E6"/>
            </w:tcBorders>
          </w:tcPr>
          <w:p w14:paraId="20AF2290" w14:textId="77777777" w:rsidR="004307A7" w:rsidRPr="004307A7" w:rsidRDefault="004307A7" w:rsidP="00A95830">
            <w:pPr>
              <w:pStyle w:val="TableBody"/>
              <w:jc w:val="center"/>
              <w:rPr>
                <w:rFonts w:ascii="Calibri" w:hAnsi="Calibri" w:cs="Calibri"/>
                <w:color w:val="262626"/>
              </w:rPr>
            </w:pPr>
            <w:r w:rsidRPr="004307A7">
              <w:rPr>
                <w:rFonts w:ascii="Calibri" w:hAnsi="Calibri" w:cs="Calibri"/>
                <w:color w:val="262626"/>
              </w:rPr>
              <w:t>21,000</w:t>
            </w:r>
          </w:p>
        </w:tc>
        <w:tc>
          <w:tcPr>
            <w:tcW w:w="1151" w:type="pct"/>
            <w:gridSpan w:val="2"/>
            <w:tcBorders>
              <w:top w:val="single" w:sz="8" w:space="0" w:color="E7E6E6"/>
              <w:bottom w:val="single" w:sz="8" w:space="0" w:color="E7E6E6"/>
            </w:tcBorders>
            <w:vAlign w:val="center"/>
          </w:tcPr>
          <w:p w14:paraId="79CDA83B" w14:textId="77777777" w:rsidR="004307A7" w:rsidRPr="004307A7" w:rsidRDefault="004307A7" w:rsidP="00A95830">
            <w:pPr>
              <w:pStyle w:val="TableBody"/>
              <w:jc w:val="center"/>
            </w:pPr>
            <w:r w:rsidRPr="004307A7">
              <w:rPr>
                <w:rFonts w:ascii="Calibri" w:hAnsi="Calibri" w:cs="Calibri"/>
                <w:color w:val="262626"/>
              </w:rPr>
              <w:t>$159.9</w:t>
            </w:r>
          </w:p>
        </w:tc>
        <w:tc>
          <w:tcPr>
            <w:tcW w:w="1009" w:type="pct"/>
            <w:gridSpan w:val="2"/>
            <w:tcBorders>
              <w:top w:val="single" w:sz="8" w:space="0" w:color="E7E6E6"/>
              <w:bottom w:val="single" w:sz="8" w:space="0" w:color="E7E6E6"/>
            </w:tcBorders>
          </w:tcPr>
          <w:p w14:paraId="61BBC8EE" w14:textId="77777777" w:rsidR="004307A7" w:rsidRPr="004307A7" w:rsidRDefault="004307A7" w:rsidP="00A95830">
            <w:pPr>
              <w:pStyle w:val="TableBody"/>
              <w:jc w:val="center"/>
              <w:rPr>
                <w:rFonts w:ascii="Calibri" w:hAnsi="Calibri" w:cs="Calibri"/>
                <w:color w:val="262626"/>
              </w:rPr>
            </w:pPr>
            <w:r w:rsidRPr="004307A7">
              <w:rPr>
                <w:rFonts w:ascii="Calibri" w:hAnsi="Calibri" w:cs="Calibri"/>
                <w:color w:val="262626"/>
              </w:rPr>
              <w:t>$0.9</w:t>
            </w:r>
          </w:p>
        </w:tc>
        <w:tc>
          <w:tcPr>
            <w:tcW w:w="1007" w:type="pct"/>
            <w:gridSpan w:val="2"/>
            <w:tcBorders>
              <w:top w:val="single" w:sz="8" w:space="0" w:color="E7E6E6"/>
              <w:bottom w:val="single" w:sz="8" w:space="0" w:color="E7E6E6"/>
            </w:tcBorders>
            <w:vAlign w:val="center"/>
          </w:tcPr>
          <w:p w14:paraId="7C184912" w14:textId="77777777" w:rsidR="004307A7" w:rsidRPr="004307A7" w:rsidRDefault="004307A7" w:rsidP="00A95830">
            <w:pPr>
              <w:pStyle w:val="TableBody"/>
              <w:jc w:val="center"/>
            </w:pPr>
            <w:r w:rsidRPr="004307A7">
              <w:rPr>
                <w:rFonts w:ascii="Calibri" w:hAnsi="Calibri" w:cs="Calibri"/>
                <w:color w:val="262626"/>
              </w:rPr>
              <w:t>35</w:t>
            </w:r>
          </w:p>
        </w:tc>
      </w:tr>
    </w:tbl>
    <w:p w14:paraId="15960480" w14:textId="77777777" w:rsidR="004307A7" w:rsidRDefault="004307A7" w:rsidP="005B47A6">
      <w:pPr>
        <w:pStyle w:val="BodyText"/>
      </w:pPr>
      <w:r w:rsidRPr="004307A7">
        <w:t xml:space="preserve">*Estimated number of cases required to break even rounded to the nearest whole number </w:t>
      </w:r>
    </w:p>
    <w:p w14:paraId="7441E2DB" w14:textId="77777777" w:rsidR="00F86088" w:rsidRDefault="00F86088" w:rsidP="00EB74B3">
      <w:pPr>
        <w:pStyle w:val="BodyText"/>
      </w:pPr>
    </w:p>
    <w:p w14:paraId="72D81AC0" w14:textId="774A6A4D" w:rsidR="0052491F" w:rsidRDefault="0052491F" w:rsidP="0052491F">
      <w:pPr>
        <w:pStyle w:val="BodyText"/>
      </w:pPr>
      <w:r w:rsidRPr="004307A7">
        <w:t xml:space="preserve">A prohibition on the use of engineered stone </w:t>
      </w:r>
      <w:r>
        <w:t xml:space="preserve">(Option 6) </w:t>
      </w:r>
      <w:r w:rsidRPr="004307A7">
        <w:t>would impact businesses in differing ways depend</w:t>
      </w:r>
      <w:r w:rsidR="00305470">
        <w:t xml:space="preserve">ing </w:t>
      </w:r>
      <w:r w:rsidRPr="004307A7">
        <w:t xml:space="preserve">on the size of the business and whether a business decided to: gain a licence to continue to undertake exempt work with engineered stone, transition their business to non-engineered stone products; or cease operating.  </w:t>
      </w:r>
    </w:p>
    <w:p w14:paraId="5C95F3E4" w14:textId="431B3ADB" w:rsidR="00F86088" w:rsidRPr="00F86088" w:rsidRDefault="009A7FB4" w:rsidP="00F86088">
      <w:r w:rsidRPr="004307A7">
        <w:t>This DRIS includes a preliminary analysis of two scenarios</w:t>
      </w:r>
      <w:r>
        <w:t xml:space="preserve"> under this Option</w:t>
      </w:r>
      <w:r w:rsidRPr="004307A7">
        <w:t xml:space="preserve"> to provide indicative upper and lower bound costs for business and government. This preliminary analysis is presented to assist WHS ministers to understand the possible scope and impacts of a prohibition on use of engineered stone.</w:t>
      </w:r>
      <w:r>
        <w:t xml:space="preserve"> This DRIS recommends that f</w:t>
      </w:r>
      <w:r w:rsidRPr="004307A7">
        <w:t xml:space="preserve">urther analysis and consultation with industry </w:t>
      </w:r>
      <w:r>
        <w:t>be undertaken</w:t>
      </w:r>
      <w:r w:rsidRPr="004307A7">
        <w:t xml:space="preserve"> to determine the full impact of this option</w:t>
      </w:r>
      <w:r>
        <w:t xml:space="preserve"> before any decision on a prohibition is taken</w:t>
      </w:r>
      <w:r w:rsidRPr="004307A7">
        <w:t xml:space="preserve">. </w:t>
      </w:r>
    </w:p>
    <w:p w14:paraId="37374EB5" w14:textId="1AC8DB50" w:rsidR="004307A7" w:rsidRPr="004307A7" w:rsidRDefault="004307A7" w:rsidP="00707FB9">
      <w:pPr>
        <w:pStyle w:val="Heading5"/>
      </w:pPr>
      <w:r w:rsidRPr="004307A7">
        <w:t>What is the best option or combination of options?</w:t>
      </w:r>
    </w:p>
    <w:p w14:paraId="5FD35609" w14:textId="77777777" w:rsidR="004307A7" w:rsidRPr="00D07E16" w:rsidRDefault="004307A7" w:rsidP="00E91DB9">
      <w:pPr>
        <w:pStyle w:val="EmphasisPanelBody"/>
        <w:rPr>
          <w:b/>
          <w:bCs/>
        </w:rPr>
      </w:pPr>
      <w:r w:rsidRPr="00D07E16">
        <w:rPr>
          <w:b/>
          <w:bCs/>
        </w:rPr>
        <w:t xml:space="preserve">Recommended options: </w:t>
      </w:r>
    </w:p>
    <w:p w14:paraId="499880C5" w14:textId="50DEDDDE" w:rsidR="004307A7" w:rsidRPr="004307A7" w:rsidRDefault="004307A7" w:rsidP="00E91DB9">
      <w:pPr>
        <w:pStyle w:val="EmphasisPanelBody"/>
        <w:rPr>
          <w:rFonts w:ascii="Calibri" w:hAnsi="Calibri" w:cs="Calibri"/>
        </w:rPr>
      </w:pPr>
      <w:r w:rsidRPr="009A7FB4">
        <w:rPr>
          <w:rFonts w:ascii="Calibri" w:hAnsi="Calibri" w:cs="Calibri"/>
          <w:b/>
          <w:bCs/>
        </w:rPr>
        <w:t>Option 2</w:t>
      </w:r>
      <w:r w:rsidRPr="004307A7">
        <w:rPr>
          <w:rFonts w:ascii="Calibri" w:hAnsi="Calibri" w:cs="Calibri"/>
        </w:rPr>
        <w:t xml:space="preserve">: National awareness and behaviour change </w:t>
      </w:r>
      <w:r w:rsidR="003874B7">
        <w:rPr>
          <w:rFonts w:ascii="Calibri" w:hAnsi="Calibri" w:cs="Calibri"/>
        </w:rPr>
        <w:t>initiatives</w:t>
      </w:r>
      <w:r w:rsidRPr="004307A7">
        <w:rPr>
          <w:rFonts w:ascii="Calibri" w:hAnsi="Calibri" w:cs="Calibri"/>
        </w:rPr>
        <w:t xml:space="preserve">, and </w:t>
      </w:r>
    </w:p>
    <w:p w14:paraId="1D452CD7" w14:textId="77777777" w:rsidR="004E3312" w:rsidRDefault="004307A7" w:rsidP="008763FE">
      <w:pPr>
        <w:pStyle w:val="EmphasisPanelBody"/>
        <w:rPr>
          <w:rFonts w:ascii="Calibri" w:hAnsi="Calibri" w:cs="Calibri"/>
        </w:rPr>
      </w:pPr>
      <w:r w:rsidRPr="009A7FB4">
        <w:rPr>
          <w:rFonts w:ascii="Calibri" w:hAnsi="Calibri" w:cs="Calibri"/>
          <w:b/>
          <w:bCs/>
        </w:rPr>
        <w:t>Option 5a</w:t>
      </w:r>
      <w:r w:rsidRPr="004307A7">
        <w:rPr>
          <w:rFonts w:ascii="Calibri" w:hAnsi="Calibri" w:cs="Calibri"/>
        </w:rPr>
        <w:t>: Regulation of high-risk crystalline silica processes for all materials (including engineered stone)</w:t>
      </w:r>
    </w:p>
    <w:p w14:paraId="319123B7" w14:textId="7FC8FA25" w:rsidR="00273ECE" w:rsidRPr="00D46FE2" w:rsidRDefault="004E3312" w:rsidP="008763FE">
      <w:pPr>
        <w:pStyle w:val="EmphasisPanelBody"/>
        <w:rPr>
          <w:rFonts w:ascii="Calibri" w:hAnsi="Calibri" w:cs="Calibri"/>
          <w:lang w:eastAsia="en-AU"/>
        </w:rPr>
      </w:pPr>
      <w:r>
        <w:rPr>
          <w:rFonts w:ascii="Calibri" w:hAnsi="Calibri" w:cs="Calibri"/>
          <w:b/>
          <w:bCs/>
        </w:rPr>
        <w:t>Option 6</w:t>
      </w:r>
      <w:r w:rsidR="00305470">
        <w:rPr>
          <w:rFonts w:ascii="Calibri" w:hAnsi="Calibri" w:cs="Calibri"/>
          <w:b/>
          <w:bCs/>
        </w:rPr>
        <w:t>:</w:t>
      </w:r>
      <w:r>
        <w:rPr>
          <w:rFonts w:ascii="Calibri" w:hAnsi="Calibri" w:cs="Calibri"/>
        </w:rPr>
        <w:t xml:space="preserve"> </w:t>
      </w:r>
      <w:r w:rsidR="00305470">
        <w:rPr>
          <w:rFonts w:ascii="Calibri" w:hAnsi="Calibri" w:cs="Calibri"/>
        </w:rPr>
        <w:t>F</w:t>
      </w:r>
      <w:r>
        <w:rPr>
          <w:rFonts w:ascii="Calibri" w:hAnsi="Calibri" w:cs="Calibri"/>
        </w:rPr>
        <w:t xml:space="preserve">urther </w:t>
      </w:r>
      <w:r w:rsidR="006B77F3">
        <w:rPr>
          <w:rFonts w:ascii="Calibri" w:hAnsi="Calibri" w:cs="Calibri"/>
        </w:rPr>
        <w:t>analysis and consultation on</w:t>
      </w:r>
      <w:r>
        <w:rPr>
          <w:rFonts w:ascii="Calibri" w:hAnsi="Calibri" w:cs="Calibri"/>
        </w:rPr>
        <w:t xml:space="preserve"> the impacts of </w:t>
      </w:r>
      <w:r w:rsidR="00305470">
        <w:rPr>
          <w:rFonts w:ascii="Calibri" w:hAnsi="Calibri" w:cs="Calibri"/>
        </w:rPr>
        <w:t>the prohibition of use of engineered stone</w:t>
      </w:r>
      <w:r>
        <w:rPr>
          <w:rFonts w:ascii="Calibri" w:hAnsi="Calibri" w:cs="Calibri"/>
        </w:rPr>
        <w:t xml:space="preserve"> </w:t>
      </w:r>
      <w:r w:rsidR="003E2D85">
        <w:rPr>
          <w:rFonts w:ascii="Calibri" w:hAnsi="Calibri" w:cs="Calibri"/>
        </w:rPr>
        <w:t xml:space="preserve">should </w:t>
      </w:r>
      <w:r>
        <w:rPr>
          <w:rFonts w:ascii="Calibri" w:hAnsi="Calibri" w:cs="Calibri"/>
        </w:rPr>
        <w:t>be undertaken.</w:t>
      </w:r>
    </w:p>
    <w:p w14:paraId="21677B02" w14:textId="77777777" w:rsidR="004307A7" w:rsidRPr="004307A7" w:rsidRDefault="004307A7" w:rsidP="00601B28">
      <w:pPr>
        <w:pStyle w:val="BodyText"/>
        <w:rPr>
          <w:lang w:eastAsia="en-AU"/>
        </w:rPr>
      </w:pPr>
      <w:r w:rsidRPr="004307A7">
        <w:rPr>
          <w:lang w:eastAsia="en-AU"/>
        </w:rPr>
        <w:t>All options were considered in the context of consultation feedback, impact analysis, and ability to meet the objective of reducing exposure to RCS at work.</w:t>
      </w:r>
    </w:p>
    <w:p w14:paraId="19E6CBAD" w14:textId="77777777" w:rsidR="004307A7" w:rsidRPr="004307A7" w:rsidRDefault="004307A7" w:rsidP="00601B28">
      <w:pPr>
        <w:pStyle w:val="BodyText"/>
        <w:rPr>
          <w:lang w:eastAsia="en-AU"/>
        </w:rPr>
      </w:pPr>
      <w:r w:rsidRPr="004307A7">
        <w:rPr>
          <w:lang w:eastAsia="en-AU"/>
        </w:rPr>
        <w:t xml:space="preserve">Feedback on the CRIS showed that there was clear support for government action. Stakeholders agreed that there is a strong need to ensure that any action is protective of all workers who are exposed to RCS, and not limited to the engineered stone sector. </w:t>
      </w:r>
    </w:p>
    <w:p w14:paraId="46207E6B" w14:textId="2D65D811" w:rsidR="004307A7" w:rsidRDefault="004307A7" w:rsidP="00601B28">
      <w:pPr>
        <w:pStyle w:val="BodyText"/>
        <w:rPr>
          <w:lang w:eastAsia="en-AU"/>
        </w:rPr>
      </w:pPr>
      <w:r w:rsidRPr="004307A7">
        <w:rPr>
          <w:lang w:eastAsia="en-AU"/>
        </w:rPr>
        <w:t>There was support from all stakeholder groups to undertake awareness and behaviour change initiatives (option 2), in combination with regulatory change. Option 5a would achieve the objective of reducing exposure to RCS through:</w:t>
      </w:r>
    </w:p>
    <w:p w14:paraId="679EAF27" w14:textId="2B133A1B" w:rsidR="004307A7" w:rsidRPr="004307A7" w:rsidRDefault="004307A7" w:rsidP="00601B28">
      <w:pPr>
        <w:pStyle w:val="IAListbullet2"/>
        <w:numPr>
          <w:ilvl w:val="0"/>
          <w:numId w:val="8"/>
        </w:numPr>
        <w:rPr>
          <w:lang w:eastAsia="en-AU"/>
        </w:rPr>
      </w:pPr>
      <w:r w:rsidRPr="004307A7">
        <w:rPr>
          <w:lang w:eastAsia="en-AU"/>
        </w:rPr>
        <w:t>regulation of high risk crystalline silica processes for all crystalline silica materials, not just engineered stone</w:t>
      </w:r>
    </w:p>
    <w:p w14:paraId="4DB254AB" w14:textId="3AE17A08" w:rsidR="004307A7" w:rsidRPr="004307A7" w:rsidRDefault="004307A7" w:rsidP="00601B28">
      <w:pPr>
        <w:pStyle w:val="IAListbullet2"/>
        <w:numPr>
          <w:ilvl w:val="0"/>
          <w:numId w:val="8"/>
        </w:numPr>
        <w:rPr>
          <w:lang w:eastAsia="en-AU"/>
        </w:rPr>
      </w:pPr>
      <w:r w:rsidRPr="004307A7">
        <w:rPr>
          <w:lang w:eastAsia="en-AU"/>
        </w:rPr>
        <w:t xml:space="preserve">improved PCBU awareness of their duties under the </w:t>
      </w:r>
      <w:r w:rsidR="00814342">
        <w:rPr>
          <w:lang w:eastAsia="en-AU"/>
        </w:rPr>
        <w:t xml:space="preserve">model </w:t>
      </w:r>
      <w:r w:rsidRPr="004307A7">
        <w:rPr>
          <w:lang w:eastAsia="en-AU"/>
        </w:rPr>
        <w:t>WHS</w:t>
      </w:r>
      <w:r w:rsidR="00814342">
        <w:rPr>
          <w:lang w:eastAsia="en-AU"/>
        </w:rPr>
        <w:t xml:space="preserve"> legislative</w:t>
      </w:r>
      <w:r w:rsidRPr="004307A7">
        <w:rPr>
          <w:lang w:eastAsia="en-AU"/>
        </w:rPr>
        <w:t xml:space="preserve"> framework, including requirements to undertake air monitoring and provide health monitoring and training to workers, and </w:t>
      </w:r>
    </w:p>
    <w:p w14:paraId="4D66F45E" w14:textId="0A03A29D" w:rsidR="004307A7" w:rsidRPr="004307A7" w:rsidRDefault="004307A7" w:rsidP="00601B28">
      <w:pPr>
        <w:pStyle w:val="IAListbullet2"/>
        <w:numPr>
          <w:ilvl w:val="0"/>
          <w:numId w:val="8"/>
        </w:numPr>
        <w:rPr>
          <w:lang w:eastAsia="en-AU"/>
        </w:rPr>
      </w:pPr>
      <w:r w:rsidRPr="004307A7">
        <w:rPr>
          <w:lang w:eastAsia="en-AU"/>
        </w:rPr>
        <w:t>implementation of appropriate risk control measures through development and implementation of silica risk control plans.</w:t>
      </w:r>
    </w:p>
    <w:p w14:paraId="01B9A899" w14:textId="77777777" w:rsidR="004307A7" w:rsidRPr="004307A7" w:rsidRDefault="004307A7" w:rsidP="00DD3339">
      <w:pPr>
        <w:pStyle w:val="BodyText"/>
      </w:pPr>
      <w:r w:rsidRPr="004307A7">
        <w:lastRenderedPageBreak/>
        <w:t xml:space="preserve">There was very little support for maintaining the status quo (Option 1) and a clear call for further government intervention to protect workers from exposure to RCS. </w:t>
      </w:r>
    </w:p>
    <w:p w14:paraId="4A859F04" w14:textId="3BA169D5" w:rsidR="004307A7" w:rsidRPr="004307A7" w:rsidRDefault="004307A7" w:rsidP="00DD3339">
      <w:pPr>
        <w:pStyle w:val="BodyText"/>
      </w:pPr>
      <w:r w:rsidRPr="004307A7">
        <w:t xml:space="preserve">Options 4 and 5b are not recommended. </w:t>
      </w:r>
      <w:r w:rsidR="00EE625F" w:rsidRPr="00EE625F">
        <w:t>Stakeholder feedback was clear that action must not be limited to the engineered stone sector, but that all workers exposed to RCS</w:t>
      </w:r>
      <w:r w:rsidR="00A05868">
        <w:t xml:space="preserve"> should</w:t>
      </w:r>
      <w:r w:rsidR="00EE625F" w:rsidRPr="00EE625F">
        <w:t xml:space="preserve"> be protected. </w:t>
      </w:r>
      <w:r w:rsidRPr="004307A7">
        <w:t>T</w:t>
      </w:r>
      <w:r w:rsidR="004364EE">
        <w:t>herefore</w:t>
      </w:r>
      <w:r w:rsidRPr="004307A7">
        <w:t xml:space="preserve">, Option 4 (Licensing framework for engineered stone) would need to be considered in combination with Option 5b (Regulation of high risk crystalline silica processes for all materials other than engineered stone). This combination is not recommended for the following reasons: </w:t>
      </w:r>
    </w:p>
    <w:p w14:paraId="03324775" w14:textId="4B530198" w:rsidR="004307A7" w:rsidRPr="004307A7" w:rsidRDefault="004307A7" w:rsidP="00DD3339">
      <w:pPr>
        <w:pStyle w:val="IAListbullet2"/>
        <w:numPr>
          <w:ilvl w:val="0"/>
          <w:numId w:val="8"/>
        </w:numPr>
      </w:pPr>
      <w:r w:rsidRPr="004307A7">
        <w:t>the implementation of Options 4 and 5b would provide little added benefit over Option 5a</w:t>
      </w:r>
    </w:p>
    <w:p w14:paraId="3AEC064E" w14:textId="3B6D2ACD" w:rsidR="004307A7" w:rsidRPr="004307A7" w:rsidRDefault="00912CBA" w:rsidP="00DD3339">
      <w:pPr>
        <w:pStyle w:val="IAListbullet2"/>
        <w:numPr>
          <w:ilvl w:val="0"/>
          <w:numId w:val="8"/>
        </w:numPr>
      </w:pPr>
      <w:r>
        <w:t xml:space="preserve">WHS </w:t>
      </w:r>
      <w:r w:rsidR="00254920">
        <w:t xml:space="preserve">regulators stated </w:t>
      </w:r>
      <w:r w:rsidR="004307A7" w:rsidRPr="004307A7">
        <w:t>any benefit would be outweighed by the administrative and financial burden it would place on industry and government</w:t>
      </w:r>
      <w:r w:rsidR="001D3E25">
        <w:t>, and</w:t>
      </w:r>
    </w:p>
    <w:p w14:paraId="040C15BE" w14:textId="7A3FFECF" w:rsidR="009A7FB4" w:rsidRDefault="008763FE" w:rsidP="009A7FB4">
      <w:pPr>
        <w:pStyle w:val="IAListbullet2"/>
        <w:numPr>
          <w:ilvl w:val="0"/>
          <w:numId w:val="8"/>
        </w:numPr>
      </w:pPr>
      <w:r>
        <w:t>O</w:t>
      </w:r>
      <w:r w:rsidR="004307A7" w:rsidRPr="004307A7">
        <w:t>ption 4 would require significant lead time to implement following the necessary legislative changes in each jurisdiction. This would further delay improving health outcomes for engineered stone workers</w:t>
      </w:r>
      <w:r w:rsidR="00EC756C">
        <w:t xml:space="preserve">, thereby not </w:t>
      </w:r>
      <w:r w:rsidR="00C769AE">
        <w:t xml:space="preserve">addressing the policy problem. </w:t>
      </w:r>
    </w:p>
    <w:p w14:paraId="533A3FE7" w14:textId="77777777" w:rsidR="0052491F" w:rsidRDefault="0052491F" w:rsidP="0052491F">
      <w:pPr>
        <w:pStyle w:val="IAListbullet2"/>
        <w:numPr>
          <w:ilvl w:val="0"/>
          <w:numId w:val="0"/>
        </w:numPr>
      </w:pPr>
      <w:r w:rsidRPr="00CC7FEF">
        <w:t xml:space="preserve">With regard to Option 6, further analysis and consultation on the impacts of this option </w:t>
      </w:r>
      <w:r>
        <w:t xml:space="preserve">should </w:t>
      </w:r>
      <w:r w:rsidRPr="00CC7FEF">
        <w:t>be undertaken</w:t>
      </w:r>
      <w:r>
        <w:t xml:space="preserve"> before any decision is taken on whether a prohibition is required</w:t>
      </w:r>
      <w:r w:rsidRPr="009A7FB4">
        <w:t>.</w:t>
      </w:r>
      <w:r>
        <w:t xml:space="preserve"> </w:t>
      </w:r>
    </w:p>
    <w:p w14:paraId="645F34F4" w14:textId="773FADD5" w:rsidR="0052491F" w:rsidRPr="004307A7" w:rsidRDefault="0052491F" w:rsidP="0052491F">
      <w:pPr>
        <w:pStyle w:val="IAListbullet2"/>
        <w:numPr>
          <w:ilvl w:val="0"/>
          <w:numId w:val="0"/>
        </w:numPr>
      </w:pPr>
      <w:r w:rsidRPr="004307A7">
        <w:t xml:space="preserve">In calling for a prohibition, stakeholders including the unions and peak health bodies have suggested an interim licensing framework (Option 4) be put in place prior to a prohibition on use of engineered stone. </w:t>
      </w:r>
      <w:r w:rsidRPr="004307A7">
        <w:rPr>
          <w:rFonts w:cs="Calibri"/>
        </w:rPr>
        <w:t>Should a prohibition on use of engineered stone be supported by WHS ministers, Option 4 is not recommended as an interim measure due to the significant lead time associated with the introduction of a licensing framework, meaning</w:t>
      </w:r>
      <w:r w:rsidRPr="00C6097C">
        <w:t xml:space="preserve"> </w:t>
      </w:r>
      <w:r w:rsidRPr="00C6097C">
        <w:rPr>
          <w:rFonts w:cs="Calibri"/>
        </w:rPr>
        <w:t>there would be a significant delay in implementing more effective protections for engineered stone workers, thereby not addressing the policy problem</w:t>
      </w:r>
      <w:r w:rsidRPr="004307A7">
        <w:rPr>
          <w:rFonts w:cs="Calibri"/>
        </w:rPr>
        <w:t xml:space="preserve">. </w:t>
      </w:r>
      <w:r>
        <w:rPr>
          <w:rFonts w:cs="Calibri"/>
        </w:rPr>
        <w:t xml:space="preserve">If an interim option is required, the recommended option (Option 5a) would </w:t>
      </w:r>
      <w:r w:rsidR="00535B59">
        <w:rPr>
          <w:rFonts w:cs="Calibri"/>
        </w:rPr>
        <w:t xml:space="preserve">be more effective at reducing RCS exposure risks while the impacts of a prohibition are further assessed.   </w:t>
      </w:r>
      <w:r>
        <w:rPr>
          <w:rFonts w:cs="Calibri"/>
        </w:rPr>
        <w:t xml:space="preserve">  </w:t>
      </w:r>
    </w:p>
    <w:p w14:paraId="640439B6" w14:textId="20539B38" w:rsidR="00CC7FEF" w:rsidRDefault="00CC7FEF">
      <w:pPr>
        <w:spacing w:after="120" w:line="264" w:lineRule="auto"/>
      </w:pPr>
      <w:r>
        <w:br w:type="page"/>
      </w:r>
    </w:p>
    <w:p w14:paraId="4EE80577" w14:textId="52F38A0F" w:rsidR="00880680" w:rsidRPr="009D0A4A" w:rsidRDefault="00880680" w:rsidP="00E0510C">
      <w:pPr>
        <w:pStyle w:val="Heading1"/>
        <w:numPr>
          <w:ilvl w:val="0"/>
          <w:numId w:val="0"/>
        </w:numPr>
      </w:pPr>
      <w:bookmarkStart w:id="9" w:name="_Toc126573193"/>
      <w:r>
        <w:lastRenderedPageBreak/>
        <w:t>Acknowledgements</w:t>
      </w:r>
      <w:bookmarkEnd w:id="9"/>
    </w:p>
    <w:p w14:paraId="024776DA" w14:textId="3358939A" w:rsidR="00090CF7" w:rsidRPr="009D0A4A" w:rsidRDefault="00880680" w:rsidP="00234FEF">
      <w:pPr>
        <w:pStyle w:val="BodyText"/>
      </w:pPr>
      <w:r w:rsidRPr="009D0A4A">
        <w:t xml:space="preserve">Safe Work Australia </w:t>
      </w:r>
      <w:r w:rsidR="007412A4" w:rsidRPr="009D0A4A">
        <w:t>engaged Ernst and Young Australia Pty Ltd (EY) to support development of this Regulation Impact Statement. Safe Work Australia thanks EY for their input into the development of the problem statement</w:t>
      </w:r>
      <w:r w:rsidR="00FF1EFA" w:rsidRPr="009D0A4A">
        <w:t xml:space="preserve"> and</w:t>
      </w:r>
      <w:r w:rsidR="007412A4" w:rsidRPr="009D0A4A">
        <w:t xml:space="preserve"> options</w:t>
      </w:r>
      <w:r w:rsidR="00FF1EFA" w:rsidRPr="009D0A4A">
        <w:t xml:space="preserve"> chapters</w:t>
      </w:r>
      <w:r w:rsidR="007412A4" w:rsidRPr="009D0A4A">
        <w:t xml:space="preserve">, </w:t>
      </w:r>
      <w:r w:rsidR="00FF1EFA" w:rsidRPr="009D0A4A">
        <w:t xml:space="preserve">for undertaking the </w:t>
      </w:r>
      <w:r w:rsidR="007412A4" w:rsidRPr="009D0A4A">
        <w:t xml:space="preserve">impact analysis and </w:t>
      </w:r>
      <w:r w:rsidR="007C71D8" w:rsidRPr="009D0A4A">
        <w:t>supporting the</w:t>
      </w:r>
      <w:r w:rsidR="007412A4" w:rsidRPr="009D0A4A">
        <w:t xml:space="preserve"> preliminary consultation process. </w:t>
      </w:r>
      <w:r w:rsidR="00090CF7" w:rsidRPr="0024330A">
        <w:t xml:space="preserve">This analysis was conducted in </w:t>
      </w:r>
      <w:r w:rsidR="0024330A" w:rsidRPr="0024330A">
        <w:t>April 2022 and</w:t>
      </w:r>
      <w:r w:rsidR="00090CF7" w:rsidRPr="0024330A">
        <w:t xml:space="preserve"> </w:t>
      </w:r>
      <w:r w:rsidR="00F2095C" w:rsidRPr="0024330A">
        <w:t>updated</w:t>
      </w:r>
      <w:r w:rsidR="00395935" w:rsidRPr="0024330A">
        <w:t xml:space="preserve"> in </w:t>
      </w:r>
      <w:r w:rsidR="00911475">
        <w:t>January 2023</w:t>
      </w:r>
      <w:r w:rsidR="007C399D" w:rsidRPr="0024330A">
        <w:t>. P</w:t>
      </w:r>
      <w:r w:rsidR="00090CF7" w:rsidRPr="0024330A">
        <w:t xml:space="preserve">arameter assumptions were current at </w:t>
      </w:r>
      <w:r w:rsidR="00911475">
        <w:t>January 2023</w:t>
      </w:r>
      <w:r w:rsidR="00090CF7" w:rsidRPr="0024330A">
        <w:t>.</w:t>
      </w:r>
      <w:r w:rsidR="00090CF7" w:rsidRPr="009D0A4A">
        <w:t xml:space="preserve"> </w:t>
      </w:r>
    </w:p>
    <w:p w14:paraId="61634D1E" w14:textId="5749274E" w:rsidR="007412A4" w:rsidRPr="009D0A4A" w:rsidRDefault="007412A4" w:rsidP="00234FEF">
      <w:pPr>
        <w:pStyle w:val="BodyText"/>
      </w:pPr>
      <w:r>
        <w:t xml:space="preserve">Safe Work Australia also thanks </w:t>
      </w:r>
      <w:r w:rsidR="00A44997">
        <w:t>all</w:t>
      </w:r>
      <w:r w:rsidR="00347D31">
        <w:t xml:space="preserve"> </w:t>
      </w:r>
      <w:r>
        <w:t xml:space="preserve">stakeholders who participated in </w:t>
      </w:r>
      <w:r w:rsidR="00A44997">
        <w:t xml:space="preserve">the </w:t>
      </w:r>
      <w:r w:rsidR="66C3F9C3">
        <w:t>consultation</w:t>
      </w:r>
      <w:r w:rsidR="00A44997">
        <w:t xml:space="preserve"> processes</w:t>
      </w:r>
      <w:r>
        <w:t xml:space="preserve">. </w:t>
      </w:r>
    </w:p>
    <w:p w14:paraId="14216D1A" w14:textId="77777777" w:rsidR="007412A4" w:rsidRPr="009D0A4A" w:rsidRDefault="007412A4" w:rsidP="00234FEF">
      <w:pPr>
        <w:pStyle w:val="BodyText"/>
      </w:pPr>
    </w:p>
    <w:p w14:paraId="1686DD64" w14:textId="77777777" w:rsidR="00880680" w:rsidRPr="009D0A4A" w:rsidRDefault="00880680" w:rsidP="00183C12">
      <w:pPr>
        <w:pStyle w:val="BodyText1"/>
        <w:jc w:val="both"/>
        <w:rPr>
          <w:rFonts w:asciiTheme="minorHAnsi" w:eastAsiaTheme="minorEastAsia" w:hAnsiTheme="minorHAnsi" w:cstheme="minorBidi"/>
          <w:sz w:val="20"/>
          <w:szCs w:val="20"/>
        </w:rPr>
      </w:pPr>
    </w:p>
    <w:p w14:paraId="47C84D06" w14:textId="6A3FC5E7" w:rsidR="007F627B" w:rsidRPr="009D0A4A" w:rsidRDefault="007F627B" w:rsidP="00183C12">
      <w:pPr>
        <w:jc w:val="both"/>
        <w:rPr>
          <w:rFonts w:eastAsiaTheme="minorEastAsia"/>
          <w:b/>
          <w:bCs/>
        </w:rPr>
      </w:pPr>
      <w:r w:rsidRPr="009D0A4A">
        <w:rPr>
          <w:rFonts w:eastAsiaTheme="minorEastAsia"/>
          <w:b/>
          <w:bCs/>
        </w:rPr>
        <w:br w:type="page"/>
      </w:r>
    </w:p>
    <w:p w14:paraId="4848B01C" w14:textId="7767C80A" w:rsidR="00E64DD9" w:rsidRPr="009D0A4A" w:rsidRDefault="001C3DD9" w:rsidP="00E0510C">
      <w:pPr>
        <w:pStyle w:val="Heading1"/>
        <w:rPr>
          <w:rStyle w:val="Heading1Char"/>
          <w:b/>
          <w:bCs/>
        </w:rPr>
      </w:pPr>
      <w:bookmarkStart w:id="10" w:name="_Toc102142407"/>
      <w:bookmarkStart w:id="11" w:name="_Toc106109636"/>
      <w:bookmarkStart w:id="12" w:name="_Toc106111951"/>
      <w:bookmarkStart w:id="13" w:name="_Toc126573194"/>
      <w:bookmarkEnd w:id="10"/>
      <w:bookmarkEnd w:id="11"/>
      <w:bookmarkEnd w:id="12"/>
      <w:r>
        <w:lastRenderedPageBreak/>
        <w:t>Introduction</w:t>
      </w:r>
      <w:bookmarkEnd w:id="13"/>
    </w:p>
    <w:p w14:paraId="142FA9F2" w14:textId="14C4E2F7" w:rsidR="005D2DDF" w:rsidRPr="009D0A4A" w:rsidRDefault="00620243" w:rsidP="003A3B2B">
      <w:pPr>
        <w:pStyle w:val="Heading2"/>
      </w:pPr>
      <w:bookmarkStart w:id="14" w:name="_Toc126573195"/>
      <w:r>
        <w:t>A</w:t>
      </w:r>
      <w:r w:rsidR="005D2DDF">
        <w:t>bout Safe Work Australia</w:t>
      </w:r>
      <w:bookmarkEnd w:id="14"/>
    </w:p>
    <w:p w14:paraId="7D37F2C3" w14:textId="57CBC121" w:rsidR="00AC6B02" w:rsidRPr="00C7017F" w:rsidRDefault="00AC6B02" w:rsidP="00234FEF">
      <w:pPr>
        <w:pStyle w:val="BodyText"/>
      </w:pPr>
      <w:r w:rsidRPr="00C7017F">
        <w:t>Safe Work Australia is an independent Australian Government statutory agency jointly funded by the Commonwealth, state and territory governments through an Intergovernmental Agreement.</w:t>
      </w:r>
    </w:p>
    <w:p w14:paraId="66691973" w14:textId="70579AC9" w:rsidR="00AC6B02" w:rsidRPr="00C7017F" w:rsidRDefault="00AC6B02" w:rsidP="00234FEF">
      <w:pPr>
        <w:pStyle w:val="BodyText"/>
      </w:pPr>
      <w:r w:rsidRPr="00C7017F">
        <w:t xml:space="preserve">Safe Work Australia was established by the Safe Work Australia Act 2008 (Cth) with primary responsibility to lead the development of policy to improve </w:t>
      </w:r>
      <w:r w:rsidR="00FA48E5" w:rsidRPr="00C7017F">
        <w:t>work health and safety (</w:t>
      </w:r>
      <w:r w:rsidRPr="00C7017F">
        <w:t>WHS</w:t>
      </w:r>
      <w:r w:rsidR="00FA48E5" w:rsidRPr="00C7017F">
        <w:t>)</w:t>
      </w:r>
      <w:r w:rsidRPr="00C7017F">
        <w:t xml:space="preserve"> and workers’ compensation arrangements across Australia. </w:t>
      </w:r>
    </w:p>
    <w:p w14:paraId="69023F4B" w14:textId="31A994BD" w:rsidR="00AC6B02" w:rsidRPr="00C7017F" w:rsidRDefault="00AC6B02" w:rsidP="00234FEF">
      <w:pPr>
        <w:pStyle w:val="BodyText"/>
      </w:pPr>
      <w:r w:rsidRPr="00C7017F">
        <w:t xml:space="preserve">Safe Work Australia does not regulate WHS. The Commonwealth, states and territories retain responsibility for </w:t>
      </w:r>
      <w:r w:rsidR="00183C12" w:rsidRPr="00C7017F">
        <w:t>implementing</w:t>
      </w:r>
      <w:r w:rsidRPr="00C7017F">
        <w:t xml:space="preserve"> WHS laws in their jurisdiction.</w:t>
      </w:r>
    </w:p>
    <w:p w14:paraId="16431D61" w14:textId="0D2AEFFF" w:rsidR="00AC6B02" w:rsidRPr="00B800C5" w:rsidRDefault="00AC6B02" w:rsidP="00234FEF">
      <w:pPr>
        <w:pStyle w:val="BodyText"/>
      </w:pPr>
      <w:r w:rsidRPr="00B800C5">
        <w:t>Safe Work Australia is governed by a tripartite body comprising 15 Members, including:</w:t>
      </w:r>
    </w:p>
    <w:p w14:paraId="27CAD2C1" w14:textId="23219995" w:rsidR="00AC6B02" w:rsidRPr="00B645BD" w:rsidRDefault="00AC6B02" w:rsidP="008B35E0">
      <w:pPr>
        <w:pStyle w:val="ListBullet"/>
      </w:pPr>
      <w:r w:rsidRPr="00B645BD">
        <w:t xml:space="preserve">an </w:t>
      </w:r>
      <w:r w:rsidRPr="00690456">
        <w:t>independent</w:t>
      </w:r>
      <w:r w:rsidRPr="00B645BD">
        <w:t xml:space="preserve"> Chair</w:t>
      </w:r>
    </w:p>
    <w:p w14:paraId="2B03F8A7" w14:textId="5B0D9E07" w:rsidR="00AC6B02" w:rsidRPr="00B645BD" w:rsidRDefault="00AC6B02" w:rsidP="008B35E0">
      <w:pPr>
        <w:pStyle w:val="ListBullet"/>
      </w:pPr>
      <w:r w:rsidRPr="00B645BD">
        <w:t>nine Members representing the Commonwealth and each state and territory</w:t>
      </w:r>
    </w:p>
    <w:p w14:paraId="5266DD88" w14:textId="34745586" w:rsidR="00AC6B02" w:rsidRPr="00B645BD" w:rsidRDefault="00AC6B02" w:rsidP="008B35E0">
      <w:pPr>
        <w:pStyle w:val="ListBullet"/>
      </w:pPr>
      <w:r w:rsidRPr="00B645BD">
        <w:t>two Members representing the interests of workers</w:t>
      </w:r>
    </w:p>
    <w:p w14:paraId="4F4D9375" w14:textId="6E01CD7E" w:rsidR="00AC6B02" w:rsidRPr="00B645BD" w:rsidRDefault="00AC6B02" w:rsidP="008B35E0">
      <w:pPr>
        <w:pStyle w:val="ListBullet"/>
      </w:pPr>
      <w:r w:rsidRPr="00B645BD">
        <w:t xml:space="preserve">two Members representing the interests of employers, and </w:t>
      </w:r>
    </w:p>
    <w:p w14:paraId="6E1EBC4E" w14:textId="20F70EA1" w:rsidR="00AC6B02" w:rsidRPr="00B645BD" w:rsidRDefault="00AC6B02" w:rsidP="008B35E0">
      <w:pPr>
        <w:pStyle w:val="ListBullet"/>
      </w:pPr>
      <w:r w:rsidRPr="00B645BD">
        <w:t>the Chief Executive Officer of Safe Work Australia, who is responsible for managing Safe Work Australia’s administration and assisting it in the performance of its statutory functions.</w:t>
      </w:r>
    </w:p>
    <w:p w14:paraId="2C2ADD25" w14:textId="77777777" w:rsidR="00AC6B02" w:rsidRPr="009D0A4A" w:rsidRDefault="00AC6B02" w:rsidP="00234FEF">
      <w:pPr>
        <w:pStyle w:val="BodyText"/>
      </w:pPr>
      <w:r w:rsidRPr="009D0A4A">
        <w:t xml:space="preserve">Safe </w:t>
      </w:r>
      <w:r w:rsidRPr="00B800C5">
        <w:t>Work</w:t>
      </w:r>
      <w:r w:rsidRPr="009D0A4A">
        <w:t xml:space="preserve"> Australia’s role includes:</w:t>
      </w:r>
    </w:p>
    <w:p w14:paraId="07EEF70C" w14:textId="29167169" w:rsidR="00E752D5" w:rsidRPr="009D0A4A" w:rsidRDefault="00E752D5" w:rsidP="008B35E0">
      <w:pPr>
        <w:pStyle w:val="ListBullet"/>
      </w:pPr>
      <w:r w:rsidRPr="009D0A4A">
        <w:t>monitoring and evaluating the model WHS laws to improve safety outcomes and address issues that have the potential to impede the effective and efficient operation of the laws, and</w:t>
      </w:r>
    </w:p>
    <w:p w14:paraId="461FE5DE" w14:textId="53EB9B98" w:rsidR="00AC6B02" w:rsidRPr="009D0A4A" w:rsidRDefault="00AC6B02" w:rsidP="008B35E0">
      <w:pPr>
        <w:pStyle w:val="ListBullet"/>
      </w:pPr>
      <w:r w:rsidRPr="009D0A4A">
        <w:t>facilitating the development of accessible, effective and practical material to aid understanding and compliance; minimise regulatory cost; and support improved work health and safety outcomes, particularly for small business and individuals.</w:t>
      </w:r>
    </w:p>
    <w:p w14:paraId="6073BAF0" w14:textId="026556D9" w:rsidR="008564D1" w:rsidRDefault="00DD6004" w:rsidP="00234FEF">
      <w:pPr>
        <w:pStyle w:val="BodyText"/>
      </w:pPr>
      <w:r w:rsidRPr="009D0A4A">
        <w:t xml:space="preserve">The model WHS </w:t>
      </w:r>
      <w:r w:rsidRPr="00C7017F">
        <w:t>laws</w:t>
      </w:r>
      <w:r w:rsidRPr="009D0A4A">
        <w:t xml:space="preserve"> </w:t>
      </w:r>
      <w:r w:rsidR="00412992" w:rsidRPr="009D0A4A">
        <w:t>(</w:t>
      </w:r>
      <w:r w:rsidR="007412A4" w:rsidRPr="009D0A4A">
        <w:t>summarised</w:t>
      </w:r>
      <w:r w:rsidR="00412992" w:rsidRPr="009D0A4A">
        <w:t xml:space="preserve"> in Section </w:t>
      </w:r>
      <w:r w:rsidR="007412A4" w:rsidRPr="009D0A4A">
        <w:t>1.3 and described further in Appendix A</w:t>
      </w:r>
      <w:r w:rsidR="00412992" w:rsidRPr="009D0A4A">
        <w:t xml:space="preserve">) </w:t>
      </w:r>
      <w:r w:rsidR="002926E7" w:rsidRPr="009D0A4A">
        <w:t>have been implemented</w:t>
      </w:r>
      <w:r w:rsidR="00F61D34" w:rsidRPr="009D0A4A">
        <w:t xml:space="preserve"> in</w:t>
      </w:r>
      <w:r w:rsidR="00FA48E5" w:rsidRPr="009D0A4A">
        <w:t xml:space="preserve"> the Commonwealth and</w:t>
      </w:r>
      <w:r w:rsidR="00F61D34" w:rsidRPr="009D0A4A">
        <w:t xml:space="preserve"> all states and territories except Victoria.</w:t>
      </w:r>
    </w:p>
    <w:p w14:paraId="03F21C50" w14:textId="6043C91D" w:rsidR="6E04D04A" w:rsidRPr="009D0A4A" w:rsidRDefault="6E04D04A" w:rsidP="003A3B2B">
      <w:pPr>
        <w:pStyle w:val="Heading2"/>
      </w:pPr>
      <w:bookmarkStart w:id="15" w:name="_Background"/>
      <w:bookmarkStart w:id="16" w:name="_Ref102054054"/>
      <w:bookmarkStart w:id="17" w:name="_Toc126573196"/>
      <w:bookmarkEnd w:id="15"/>
      <w:r>
        <w:t>Background</w:t>
      </w:r>
      <w:bookmarkEnd w:id="16"/>
      <w:bookmarkEnd w:id="17"/>
    </w:p>
    <w:p w14:paraId="60F746F2" w14:textId="45655F12" w:rsidR="007115AC" w:rsidRPr="009D0A4A" w:rsidRDefault="00E70410" w:rsidP="00234FEF">
      <w:pPr>
        <w:pStyle w:val="BodyText"/>
      </w:pPr>
      <w:r w:rsidRPr="009D0A4A">
        <w:t>Crystalline s</w:t>
      </w:r>
      <w:r w:rsidR="007115AC" w:rsidRPr="009D0A4A">
        <w:t>ilica dust is a significant</w:t>
      </w:r>
      <w:r w:rsidR="002E10DB">
        <w:t xml:space="preserve"> human</w:t>
      </w:r>
      <w:r w:rsidR="007115AC" w:rsidRPr="009D0A4A">
        <w:t xml:space="preserve"> health hazard. </w:t>
      </w:r>
      <w:r w:rsidRPr="009D0A4A">
        <w:t>Respirable crystalline silica (RCS) refers to particles of crystalline silica that are less than 10µm in diameter.</w:t>
      </w:r>
      <w:r w:rsidR="00DD7745">
        <w:t xml:space="preserve"> </w:t>
      </w:r>
      <w:r w:rsidR="00216C4E" w:rsidRPr="009D0A4A">
        <w:t xml:space="preserve">RCS is released when materials containing silica are processed, particularly with power tools. </w:t>
      </w:r>
      <w:r w:rsidR="00D2100D">
        <w:t xml:space="preserve">Occupational exposure is the </w:t>
      </w:r>
      <w:r w:rsidR="00DD7745">
        <w:t xml:space="preserve">main source of </w:t>
      </w:r>
      <w:r w:rsidR="00C6616E">
        <w:t xml:space="preserve">RCS </w:t>
      </w:r>
      <w:r w:rsidR="000C1E6F">
        <w:t>exposure</w:t>
      </w:r>
      <w:r w:rsidR="00322A5C">
        <w:t xml:space="preserve"> and a variety of industrial operations, </w:t>
      </w:r>
      <w:r w:rsidR="00322A5C" w:rsidRPr="00C7017F">
        <w:t>including</w:t>
      </w:r>
      <w:r w:rsidR="00322A5C">
        <w:t xml:space="preserve"> mining, quarrying, sandblasting, rock drilling, road construction, stone masonry and tunnelling have</w:t>
      </w:r>
      <w:r w:rsidR="00BE0C92">
        <w:t xml:space="preserve"> long been associated with </w:t>
      </w:r>
      <w:r w:rsidR="00216C4E">
        <w:t>exposure to RCS</w:t>
      </w:r>
      <w:r w:rsidR="00DA0EA0">
        <w:t xml:space="preserve"> </w:t>
      </w:r>
      <w:sdt>
        <w:sdtPr>
          <w:id w:val="224569969"/>
          <w:citation/>
        </w:sdtPr>
        <w:sdtEndPr/>
        <w:sdtContent>
          <w:r w:rsidR="007447BD">
            <w:fldChar w:fldCharType="begin"/>
          </w:r>
          <w:r w:rsidR="007447BD">
            <w:instrText xml:space="preserve"> CITATION Ban15 \l 3081 </w:instrText>
          </w:r>
          <w:r w:rsidR="007447BD">
            <w:fldChar w:fldCharType="separate"/>
          </w:r>
          <w:r w:rsidR="00C80572">
            <w:rPr>
              <w:noProof/>
            </w:rPr>
            <w:t>(Bang, 2015)</w:t>
          </w:r>
          <w:r w:rsidR="007447BD">
            <w:fldChar w:fldCharType="end"/>
          </w:r>
        </w:sdtContent>
      </w:sdt>
      <w:r w:rsidR="007447BD">
        <w:t>.</w:t>
      </w:r>
      <w:r w:rsidR="000C1E6F">
        <w:t xml:space="preserve"> </w:t>
      </w:r>
      <w:r w:rsidRPr="009D0A4A">
        <w:t xml:space="preserve"> </w:t>
      </w:r>
      <w:r w:rsidR="007115AC" w:rsidRPr="009D0A4A">
        <w:t xml:space="preserve">When airborne, workers can easily inhale </w:t>
      </w:r>
      <w:r w:rsidRPr="009D0A4A">
        <w:t>RCS</w:t>
      </w:r>
      <w:r w:rsidR="007115AC" w:rsidRPr="009D0A4A">
        <w:t xml:space="preserve"> deep into their lungs where it can lead to a range of respiratory diseases, including: </w:t>
      </w:r>
    </w:p>
    <w:p w14:paraId="4D315F0D" w14:textId="1E3F2A11" w:rsidR="007115AC" w:rsidRPr="009D0A4A" w:rsidRDefault="001459BD" w:rsidP="008B35E0">
      <w:pPr>
        <w:pStyle w:val="ListBullet"/>
      </w:pPr>
      <w:r w:rsidRPr="009D0A4A">
        <w:lastRenderedPageBreak/>
        <w:t>s</w:t>
      </w:r>
      <w:r w:rsidR="007115AC" w:rsidRPr="009D0A4A">
        <w:t>ilicosis</w:t>
      </w:r>
    </w:p>
    <w:p w14:paraId="31B01673" w14:textId="10A60C45" w:rsidR="007115AC" w:rsidRPr="009D0A4A" w:rsidRDefault="007115AC" w:rsidP="008B35E0">
      <w:pPr>
        <w:pStyle w:val="ListBullet"/>
      </w:pPr>
      <w:r w:rsidRPr="009D0A4A">
        <w:t>progressive massive fibrosis</w:t>
      </w:r>
    </w:p>
    <w:p w14:paraId="4B5A090D" w14:textId="6BD75244" w:rsidR="007115AC" w:rsidRPr="009D0A4A" w:rsidRDefault="007115AC" w:rsidP="008B35E0">
      <w:pPr>
        <w:pStyle w:val="ListBullet"/>
      </w:pPr>
      <w:r w:rsidRPr="009D0A4A">
        <w:t>chronic obstructive pulmonary disease</w:t>
      </w:r>
      <w:r w:rsidR="005A21FF">
        <w:t xml:space="preserve"> (COPD)</w:t>
      </w:r>
    </w:p>
    <w:p w14:paraId="581A184E" w14:textId="2CFE36BC" w:rsidR="007115AC" w:rsidRPr="009D0A4A" w:rsidRDefault="007115AC" w:rsidP="008B35E0">
      <w:pPr>
        <w:pStyle w:val="ListBullet"/>
      </w:pPr>
      <w:r w:rsidRPr="009D0A4A">
        <w:t>chronic bronchitis, and</w:t>
      </w:r>
    </w:p>
    <w:p w14:paraId="7C234757" w14:textId="5800CAAA" w:rsidR="007115AC" w:rsidRPr="009D0A4A" w:rsidRDefault="007115AC" w:rsidP="008B35E0">
      <w:pPr>
        <w:pStyle w:val="ListBullet"/>
      </w:pPr>
      <w:r w:rsidRPr="009D0A4A">
        <w:t xml:space="preserve">lung cancer. </w:t>
      </w:r>
    </w:p>
    <w:p w14:paraId="42A63C66" w14:textId="4692B838" w:rsidR="00E70996" w:rsidRPr="009D0A4A" w:rsidRDefault="00E70996" w:rsidP="00234FEF">
      <w:pPr>
        <w:pStyle w:val="BodyText"/>
        <w:rPr>
          <w:lang w:val="en-US"/>
        </w:rPr>
      </w:pPr>
      <w:r w:rsidRPr="009D0A4A">
        <w:rPr>
          <w:lang w:val="en-US"/>
        </w:rPr>
        <w:t>Exposure to RCS can also increase the risk of chronic kidney disease, autoimmune dis</w:t>
      </w:r>
      <w:r w:rsidR="00F00B18">
        <w:rPr>
          <w:lang w:val="en-US"/>
        </w:rPr>
        <w:t>eases</w:t>
      </w:r>
      <w:r w:rsidRPr="009D0A4A">
        <w:rPr>
          <w:lang w:val="en-US"/>
        </w:rPr>
        <w:t xml:space="preserve"> (such as scleroderma and systemic lupus erythematosus), and other adverse health effects, including eye irritation</w:t>
      </w:r>
      <w:r w:rsidR="00E70410" w:rsidRPr="009D0A4A">
        <w:rPr>
          <w:lang w:val="en-US"/>
        </w:rPr>
        <w:t xml:space="preserve">, </w:t>
      </w:r>
      <w:r w:rsidRPr="009D0A4A">
        <w:rPr>
          <w:lang w:val="en-US"/>
        </w:rPr>
        <w:t>eye damage</w:t>
      </w:r>
      <w:r w:rsidR="00E70410" w:rsidRPr="009D0A4A">
        <w:rPr>
          <w:lang w:val="en-US"/>
        </w:rPr>
        <w:t xml:space="preserve"> and an increased risk of activating latent tuberculosis</w:t>
      </w:r>
      <w:r w:rsidRPr="009D0A4A">
        <w:rPr>
          <w:lang w:val="en-US"/>
        </w:rPr>
        <w:t>.</w:t>
      </w:r>
    </w:p>
    <w:p w14:paraId="66CE402C" w14:textId="77777777" w:rsidR="00AA7187" w:rsidRDefault="00CA67F7" w:rsidP="00234FEF">
      <w:pPr>
        <w:pStyle w:val="BodyText"/>
        <w:rPr>
          <w:lang w:val="en-US"/>
        </w:rPr>
      </w:pPr>
      <w:r>
        <w:rPr>
          <w:lang w:val="en-US"/>
        </w:rPr>
        <w:t>In Australia, silicosis is a deemed disease</w:t>
      </w:r>
      <w:r w:rsidR="00DB5035">
        <w:rPr>
          <w:lang w:val="en-US"/>
        </w:rPr>
        <w:t xml:space="preserve">. </w:t>
      </w:r>
      <w:r w:rsidR="00334CCB">
        <w:rPr>
          <w:lang w:val="en-US"/>
        </w:rPr>
        <w:t>This means that cases of silicosis are deemed to be work related</w:t>
      </w:r>
      <w:r w:rsidR="00756808">
        <w:rPr>
          <w:lang w:val="en-US"/>
        </w:rPr>
        <w:t xml:space="preserve"> and a worker who has been exposed to RCS in the course of their work is assumed to have developed </w:t>
      </w:r>
      <w:r w:rsidR="00D8522A">
        <w:rPr>
          <w:lang w:val="en-US"/>
        </w:rPr>
        <w:t xml:space="preserve">the disease because of that exposure unless there is strong evidence to the contrary. </w:t>
      </w:r>
    </w:p>
    <w:p w14:paraId="79036384" w14:textId="0A1BC7D7" w:rsidR="007115AC" w:rsidRPr="009D0A4A" w:rsidRDefault="00E70996" w:rsidP="00234FEF">
      <w:pPr>
        <w:pStyle w:val="BodyText"/>
      </w:pPr>
      <w:r w:rsidRPr="009D0A4A">
        <w:rPr>
          <w:lang w:val="en-US"/>
        </w:rPr>
        <w:t xml:space="preserve">Silicosis is a serious, irreversible lung disease that causes permanent disability and can be fatal. When RCS comes into prolonged contact with the lung tissue, it causes inflammation and scarring and reduces the lungs’ ability to take in oxygen. Silicosis may continue to progress even after a worker is removed from exposure to silica dust and as the disease progresses, a worker may experience shortness of breath, a severe cough, chest pain or respiratory failure. </w:t>
      </w:r>
      <w:r w:rsidR="007115AC" w:rsidRPr="009D0A4A">
        <w:t xml:space="preserve">The three types of silicosis are outlined in </w:t>
      </w:r>
      <w:r w:rsidR="00877EBC" w:rsidRPr="009D0A4A">
        <w:fldChar w:fldCharType="begin"/>
      </w:r>
      <w:r w:rsidR="00877EBC" w:rsidRPr="009D0A4A">
        <w:instrText xml:space="preserve"> REF _Ref102050634 \h </w:instrText>
      </w:r>
      <w:r w:rsidR="001B4226" w:rsidRPr="009D0A4A">
        <w:instrText xml:space="preserve"> \* MERGEFORMAT </w:instrText>
      </w:r>
      <w:r w:rsidR="00877EBC" w:rsidRPr="009D0A4A">
        <w:fldChar w:fldCharType="separate"/>
      </w:r>
      <w:r w:rsidR="008216E0" w:rsidRPr="009D0A4A">
        <w:t xml:space="preserve">Table </w:t>
      </w:r>
      <w:r w:rsidR="008216E0" w:rsidRPr="009D0A4A">
        <w:rPr>
          <w:noProof/>
        </w:rPr>
        <w:t>1</w:t>
      </w:r>
      <w:r w:rsidR="00877EBC" w:rsidRPr="009D0A4A">
        <w:fldChar w:fldCharType="end"/>
      </w:r>
      <w:r w:rsidR="00877EBC" w:rsidRPr="009D0A4A">
        <w:t xml:space="preserve">. </w:t>
      </w:r>
    </w:p>
    <w:p w14:paraId="77744915" w14:textId="0BBF56FC" w:rsidR="00877EBC" w:rsidRPr="009D0A4A" w:rsidRDefault="00877EBC" w:rsidP="007012B9">
      <w:pPr>
        <w:pStyle w:val="Caption"/>
      </w:pPr>
      <w:bookmarkStart w:id="18" w:name="_Ref102050634"/>
      <w:r w:rsidRPr="009D0A4A">
        <w:t xml:space="preserve">Table </w:t>
      </w:r>
      <w:r>
        <w:fldChar w:fldCharType="begin"/>
      </w:r>
      <w:r>
        <w:instrText>SEQ Table \* ARABIC</w:instrText>
      </w:r>
      <w:r>
        <w:fldChar w:fldCharType="separate"/>
      </w:r>
      <w:r w:rsidR="00DF768D">
        <w:rPr>
          <w:noProof/>
        </w:rPr>
        <w:t>1</w:t>
      </w:r>
      <w:r>
        <w:fldChar w:fldCharType="end"/>
      </w:r>
      <w:bookmarkEnd w:id="18"/>
      <w:r w:rsidRPr="009D0A4A">
        <w:t>: Types of silicosis</w:t>
      </w:r>
    </w:p>
    <w:tbl>
      <w:tblPr>
        <w:tblStyle w:val="PMCDefaultTableStyle"/>
        <w:tblW w:w="5000" w:type="pct"/>
        <w:tblLook w:val="04A0" w:firstRow="1" w:lastRow="0" w:firstColumn="1" w:lastColumn="0" w:noHBand="0" w:noVBand="1"/>
      </w:tblPr>
      <w:tblGrid>
        <w:gridCol w:w="2251"/>
        <w:gridCol w:w="4290"/>
        <w:gridCol w:w="3663"/>
      </w:tblGrid>
      <w:tr w:rsidR="007115AC" w:rsidRPr="000A409D" w14:paraId="2CE93FBB" w14:textId="77777777" w:rsidTr="77D1441C">
        <w:trPr>
          <w:cnfStyle w:val="100000000000" w:firstRow="1" w:lastRow="0" w:firstColumn="0" w:lastColumn="0" w:oddVBand="0" w:evenVBand="0" w:oddHBand="0" w:evenHBand="0" w:firstRowFirstColumn="0" w:firstRowLastColumn="0" w:lastRowFirstColumn="0" w:lastRowLastColumn="0"/>
          <w:trHeight w:val="581"/>
        </w:trPr>
        <w:tc>
          <w:tcPr>
            <w:tcW w:w="1103" w:type="pct"/>
          </w:tcPr>
          <w:p w14:paraId="7B5C4ACD" w14:textId="65B8DAC0" w:rsidR="007115AC" w:rsidRPr="00E14EFD" w:rsidRDefault="007115AC" w:rsidP="00E14EFD">
            <w:pPr>
              <w:pStyle w:val="TableHeading"/>
              <w:rPr>
                <w:b/>
                <w:bCs/>
              </w:rPr>
            </w:pPr>
            <w:r w:rsidRPr="00E14EFD">
              <w:rPr>
                <w:b/>
                <w:bCs/>
              </w:rPr>
              <w:t>Silicosis type</w:t>
            </w:r>
          </w:p>
        </w:tc>
        <w:tc>
          <w:tcPr>
            <w:tcW w:w="2102" w:type="pct"/>
          </w:tcPr>
          <w:p w14:paraId="5222D5E5" w14:textId="6829B59F" w:rsidR="007115AC" w:rsidRPr="00E14EFD" w:rsidRDefault="007115AC" w:rsidP="00E14EFD">
            <w:pPr>
              <w:pStyle w:val="TableHeading"/>
              <w:rPr>
                <w:b/>
                <w:bCs/>
              </w:rPr>
            </w:pPr>
            <w:r w:rsidRPr="00E14EFD">
              <w:rPr>
                <w:b/>
                <w:bCs/>
              </w:rPr>
              <w:t>Exposure type</w:t>
            </w:r>
          </w:p>
        </w:tc>
        <w:tc>
          <w:tcPr>
            <w:tcW w:w="1795" w:type="pct"/>
          </w:tcPr>
          <w:p w14:paraId="1EAEA47E" w14:textId="2EC1C1B1" w:rsidR="007115AC" w:rsidRPr="00E14EFD" w:rsidRDefault="00877EBC" w:rsidP="00E14EFD">
            <w:pPr>
              <w:pStyle w:val="TableHeading"/>
              <w:rPr>
                <w:b/>
                <w:bCs/>
              </w:rPr>
            </w:pPr>
            <w:r w:rsidRPr="00E14EFD">
              <w:rPr>
                <w:b/>
                <w:bCs/>
              </w:rPr>
              <w:t>Respiratory impact of exposure</w:t>
            </w:r>
          </w:p>
        </w:tc>
      </w:tr>
      <w:tr w:rsidR="00877EBC" w:rsidRPr="009D0A4A" w14:paraId="3C2306AE" w14:textId="77777777" w:rsidTr="77D1441C">
        <w:trPr>
          <w:cnfStyle w:val="000000100000" w:firstRow="0" w:lastRow="0" w:firstColumn="0" w:lastColumn="0" w:oddVBand="0" w:evenVBand="0" w:oddHBand="1" w:evenHBand="0" w:firstRowFirstColumn="0" w:firstRowLastColumn="0" w:lastRowFirstColumn="0" w:lastRowLastColumn="0"/>
          <w:trHeight w:val="349"/>
        </w:trPr>
        <w:tc>
          <w:tcPr>
            <w:tcW w:w="1103" w:type="pct"/>
          </w:tcPr>
          <w:p w14:paraId="0B3EA721" w14:textId="5B5BE10C" w:rsidR="00877EBC" w:rsidRPr="009D0A4A" w:rsidRDefault="00877EBC" w:rsidP="00037BBB">
            <w:pPr>
              <w:pStyle w:val="TableBody"/>
              <w:rPr>
                <w:szCs w:val="18"/>
              </w:rPr>
            </w:pPr>
            <w:r w:rsidRPr="009D0A4A">
              <w:rPr>
                <w:lang w:val="en-US"/>
              </w:rPr>
              <w:t>Acute</w:t>
            </w:r>
          </w:p>
        </w:tc>
        <w:tc>
          <w:tcPr>
            <w:tcW w:w="2102" w:type="pct"/>
          </w:tcPr>
          <w:p w14:paraId="1D186A77" w14:textId="144DBA69" w:rsidR="00877EBC" w:rsidRPr="009D0A4A" w:rsidRDefault="00877EBC" w:rsidP="00037BBB">
            <w:pPr>
              <w:pStyle w:val="TableBody"/>
              <w:rPr>
                <w:szCs w:val="18"/>
              </w:rPr>
            </w:pPr>
            <w:r w:rsidRPr="009D0A4A">
              <w:rPr>
                <w:lang w:val="en-US"/>
              </w:rPr>
              <w:t>Can develop after short-term and very high levels of silica dust (for example less than one year, and after a few weeks).</w:t>
            </w:r>
          </w:p>
        </w:tc>
        <w:tc>
          <w:tcPr>
            <w:tcW w:w="1795" w:type="pct"/>
          </w:tcPr>
          <w:p w14:paraId="7D9E4752" w14:textId="0489BC3D" w:rsidR="00877EBC" w:rsidRPr="009D0A4A" w:rsidRDefault="00877EBC" w:rsidP="00037BBB">
            <w:pPr>
              <w:pStyle w:val="TableBody"/>
              <w:rPr>
                <w:szCs w:val="18"/>
              </w:rPr>
            </w:pPr>
            <w:r w:rsidRPr="009D0A4A">
              <w:rPr>
                <w:lang w:val="en-US"/>
              </w:rPr>
              <w:t>Causes severe inflammation and protein in the lung.</w:t>
            </w:r>
          </w:p>
        </w:tc>
      </w:tr>
      <w:tr w:rsidR="00877EBC" w:rsidRPr="009D0A4A" w14:paraId="2AAD3DD6" w14:textId="77777777" w:rsidTr="77D1441C">
        <w:trPr>
          <w:cnfStyle w:val="000000010000" w:firstRow="0" w:lastRow="0" w:firstColumn="0" w:lastColumn="0" w:oddVBand="0" w:evenVBand="0" w:oddHBand="0" w:evenHBand="1" w:firstRowFirstColumn="0" w:firstRowLastColumn="0" w:lastRowFirstColumn="0" w:lastRowLastColumn="0"/>
          <w:trHeight w:val="879"/>
        </w:trPr>
        <w:tc>
          <w:tcPr>
            <w:tcW w:w="1103" w:type="pct"/>
          </w:tcPr>
          <w:p w14:paraId="26C41EA6" w14:textId="71B1019C" w:rsidR="00877EBC" w:rsidRPr="009D0A4A" w:rsidRDefault="00877EBC" w:rsidP="00037BBB">
            <w:pPr>
              <w:pStyle w:val="TableBody"/>
              <w:rPr>
                <w:szCs w:val="18"/>
              </w:rPr>
            </w:pPr>
            <w:r w:rsidRPr="009D0A4A">
              <w:rPr>
                <w:lang w:val="en-US"/>
              </w:rPr>
              <w:t>Accelerated</w:t>
            </w:r>
          </w:p>
        </w:tc>
        <w:tc>
          <w:tcPr>
            <w:tcW w:w="2102" w:type="pct"/>
          </w:tcPr>
          <w:p w14:paraId="756BCA6D" w14:textId="4D9A0F75" w:rsidR="00877EBC" w:rsidRPr="009D0A4A" w:rsidRDefault="00877EBC" w:rsidP="00037BBB">
            <w:pPr>
              <w:pStyle w:val="TableBody"/>
            </w:pPr>
            <w:r w:rsidRPr="77D1441C">
              <w:rPr>
                <w:lang w:val="en-US"/>
              </w:rPr>
              <w:t>Results from short</w:t>
            </w:r>
            <w:r w:rsidR="6977D625" w:rsidRPr="77D1441C">
              <w:rPr>
                <w:rFonts w:eastAsia="Calibri" w:cs="Arial"/>
                <w:lang w:val="en-US"/>
              </w:rPr>
              <w:t>-</w:t>
            </w:r>
            <w:r w:rsidRPr="77D1441C">
              <w:rPr>
                <w:rFonts w:eastAsia="Calibri" w:cs="Arial"/>
                <w:lang w:val="en-US"/>
              </w:rPr>
              <w:t>term exposure to large amounts of silica dust (1 to 10 years of exposure).</w:t>
            </w:r>
          </w:p>
        </w:tc>
        <w:tc>
          <w:tcPr>
            <w:tcW w:w="1795" w:type="pct"/>
          </w:tcPr>
          <w:p w14:paraId="4CD88D30" w14:textId="2B87521C" w:rsidR="00877EBC" w:rsidRPr="009D0A4A" w:rsidRDefault="00877EBC" w:rsidP="00037BBB">
            <w:pPr>
              <w:pStyle w:val="TableBody"/>
              <w:rPr>
                <w:szCs w:val="18"/>
              </w:rPr>
            </w:pPr>
            <w:r w:rsidRPr="009D0A4A">
              <w:rPr>
                <w:lang w:val="en-US"/>
              </w:rPr>
              <w:t>Causes inflammation, and protein and scarring in the lung (fibrotic nodules).</w:t>
            </w:r>
          </w:p>
        </w:tc>
      </w:tr>
      <w:tr w:rsidR="00877EBC" w:rsidRPr="009D0A4A" w14:paraId="257712E5" w14:textId="77777777" w:rsidTr="77D1441C">
        <w:trPr>
          <w:cnfStyle w:val="000000100000" w:firstRow="0" w:lastRow="0" w:firstColumn="0" w:lastColumn="0" w:oddVBand="0" w:evenVBand="0" w:oddHBand="1" w:evenHBand="0" w:firstRowFirstColumn="0" w:firstRowLastColumn="0" w:lastRowFirstColumn="0" w:lastRowLastColumn="0"/>
          <w:trHeight w:val="709"/>
        </w:trPr>
        <w:tc>
          <w:tcPr>
            <w:tcW w:w="1103" w:type="pct"/>
          </w:tcPr>
          <w:p w14:paraId="5C905202" w14:textId="09E6DF8B" w:rsidR="00877EBC" w:rsidRPr="009D0A4A" w:rsidRDefault="00877EBC" w:rsidP="00037BBB">
            <w:pPr>
              <w:pStyle w:val="TableBody"/>
              <w:rPr>
                <w:szCs w:val="18"/>
              </w:rPr>
            </w:pPr>
            <w:r w:rsidRPr="009D0A4A">
              <w:rPr>
                <w:lang w:val="en-US"/>
              </w:rPr>
              <w:t>Chronic</w:t>
            </w:r>
          </w:p>
        </w:tc>
        <w:tc>
          <w:tcPr>
            <w:tcW w:w="2102" w:type="pct"/>
          </w:tcPr>
          <w:p w14:paraId="27A70F4A" w14:textId="2A4FC875" w:rsidR="00877EBC" w:rsidRPr="009D0A4A" w:rsidRDefault="00877EBC" w:rsidP="00037BBB">
            <w:pPr>
              <w:pStyle w:val="TableBody"/>
            </w:pPr>
            <w:r w:rsidRPr="77D1441C">
              <w:rPr>
                <w:lang w:val="en-US"/>
              </w:rPr>
              <w:t>Results from long</w:t>
            </w:r>
            <w:r w:rsidR="4593EE21" w:rsidRPr="77D1441C">
              <w:rPr>
                <w:rFonts w:eastAsia="Calibri" w:cs="Arial"/>
                <w:lang w:val="en-US"/>
              </w:rPr>
              <w:t>-</w:t>
            </w:r>
            <w:r w:rsidRPr="77D1441C">
              <w:rPr>
                <w:rFonts w:eastAsia="Calibri" w:cs="Arial"/>
                <w:lang w:val="en-US"/>
              </w:rPr>
              <w:t>term exposure (over 10 years of exposure) to low</w:t>
            </w:r>
            <w:r w:rsidR="16B162D1" w:rsidRPr="77D1441C">
              <w:rPr>
                <w:rFonts w:eastAsia="Calibri" w:cs="Arial"/>
                <w:lang w:val="en-US"/>
              </w:rPr>
              <w:t>er</w:t>
            </w:r>
            <w:r w:rsidRPr="77D1441C">
              <w:rPr>
                <w:rFonts w:eastAsia="Calibri" w:cs="Arial"/>
                <w:lang w:val="en-US"/>
              </w:rPr>
              <w:t xml:space="preserve"> levels of silica dust.</w:t>
            </w:r>
          </w:p>
        </w:tc>
        <w:tc>
          <w:tcPr>
            <w:tcW w:w="1795" w:type="pct"/>
          </w:tcPr>
          <w:p w14:paraId="4F024753" w14:textId="3269C05C" w:rsidR="00877EBC" w:rsidRPr="009D0A4A" w:rsidRDefault="00877EBC" w:rsidP="00037BBB">
            <w:pPr>
              <w:pStyle w:val="TableBody"/>
              <w:rPr>
                <w:szCs w:val="18"/>
              </w:rPr>
            </w:pPr>
            <w:r w:rsidRPr="009D0A4A">
              <w:rPr>
                <w:lang w:val="en-US"/>
              </w:rPr>
              <w:t xml:space="preserve">Causes scarring of the lung and shortness of breath. </w:t>
            </w:r>
          </w:p>
        </w:tc>
      </w:tr>
    </w:tbl>
    <w:p w14:paraId="4641F6C1" w14:textId="6BA43795" w:rsidR="007115AC" w:rsidRPr="009D0A4A" w:rsidRDefault="007115AC" w:rsidP="00234FEF">
      <w:pPr>
        <w:pStyle w:val="BodyText"/>
      </w:pPr>
    </w:p>
    <w:p w14:paraId="3CAD2068" w14:textId="34D5BF0A" w:rsidR="00E70996" w:rsidRPr="009D0A4A" w:rsidRDefault="00E70410" w:rsidP="00234FEF">
      <w:pPr>
        <w:pStyle w:val="BodyText"/>
        <w:rPr>
          <w:rFonts w:ascii="Helvetica" w:hAnsi="Helvetica"/>
          <w:sz w:val="27"/>
          <w:szCs w:val="27"/>
          <w:shd w:val="clear" w:color="auto" w:fill="FFFFFF"/>
        </w:rPr>
      </w:pPr>
      <w:r w:rsidRPr="246F2EB8">
        <w:rPr>
          <w:lang w:val="en-US"/>
        </w:rPr>
        <w:t>S</w:t>
      </w:r>
      <w:r w:rsidR="00E70996" w:rsidRPr="246F2EB8">
        <w:rPr>
          <w:lang w:val="en-US"/>
        </w:rPr>
        <w:t xml:space="preserve">ymptoms of </w:t>
      </w:r>
      <w:r w:rsidR="00390C70" w:rsidRPr="246F2EB8">
        <w:rPr>
          <w:lang w:val="en-US"/>
        </w:rPr>
        <w:t xml:space="preserve">silicosis and other </w:t>
      </w:r>
      <w:r w:rsidR="00880680" w:rsidRPr="246F2EB8" w:rsidDel="00DD6525">
        <w:rPr>
          <w:lang w:val="en-US"/>
        </w:rPr>
        <w:t>silica</w:t>
      </w:r>
      <w:r w:rsidR="00DD6525">
        <w:rPr>
          <w:lang w:val="en-US"/>
        </w:rPr>
        <w:t>-related</w:t>
      </w:r>
      <w:r w:rsidR="00E70996" w:rsidRPr="246F2EB8">
        <w:rPr>
          <w:lang w:val="en-US"/>
        </w:rPr>
        <w:t xml:space="preserve"> diseases (such as lung cancer, </w:t>
      </w:r>
      <w:r w:rsidR="005A21FF" w:rsidRPr="246F2EB8">
        <w:rPr>
          <w:lang w:val="en-US"/>
        </w:rPr>
        <w:t>COPD</w:t>
      </w:r>
      <w:r w:rsidR="00E70996" w:rsidRPr="246F2EB8">
        <w:rPr>
          <w:lang w:val="en-US"/>
        </w:rPr>
        <w:t xml:space="preserve"> and progressive massive fibrosis) may not appear for many years. The time between exposure and onset of symptoms, referred to as the latency period, for </w:t>
      </w:r>
      <w:r w:rsidR="00390C70" w:rsidRPr="246F2EB8">
        <w:rPr>
          <w:lang w:val="en-US"/>
        </w:rPr>
        <w:t xml:space="preserve">silicosis and </w:t>
      </w:r>
      <w:r w:rsidR="00880680" w:rsidRPr="246F2EB8" w:rsidDel="00DD6525">
        <w:rPr>
          <w:lang w:val="en-US"/>
        </w:rPr>
        <w:t>silica</w:t>
      </w:r>
      <w:r w:rsidR="00DD6525">
        <w:rPr>
          <w:lang w:val="en-US"/>
        </w:rPr>
        <w:t>-related</w:t>
      </w:r>
      <w:r w:rsidR="00E70996" w:rsidRPr="246F2EB8">
        <w:rPr>
          <w:lang w:val="en-US"/>
        </w:rPr>
        <w:t xml:space="preserve"> diseases </w:t>
      </w:r>
      <w:r w:rsidR="00CA27A6" w:rsidRPr="246F2EB8">
        <w:rPr>
          <w:lang w:val="en-US"/>
        </w:rPr>
        <w:t>can be extended in some cases up to</w:t>
      </w:r>
      <w:r w:rsidR="00E70996" w:rsidRPr="246F2EB8">
        <w:rPr>
          <w:lang w:val="en-US"/>
        </w:rPr>
        <w:t xml:space="preserve"> 10-30 years, although this can be shorter for workers </w:t>
      </w:r>
      <w:r w:rsidR="0E38F0B6" w:rsidRPr="246F2EB8">
        <w:rPr>
          <w:lang w:val="en-US"/>
        </w:rPr>
        <w:t xml:space="preserve">repeatedly </w:t>
      </w:r>
      <w:r w:rsidR="00E70996" w:rsidRPr="246F2EB8">
        <w:rPr>
          <w:lang w:val="en-US"/>
        </w:rPr>
        <w:t>exposed to high quantities of RCS</w:t>
      </w:r>
      <w:r w:rsidR="00CA27A6" w:rsidRPr="246F2EB8">
        <w:rPr>
          <w:lang w:val="en-US"/>
        </w:rPr>
        <w:t xml:space="preserve"> </w:t>
      </w:r>
      <w:r w:rsidRPr="246F2EB8">
        <w:rPr>
          <w:rStyle w:val="FootnoteReference"/>
          <w:lang w:val="en-US"/>
        </w:rPr>
        <w:fldChar w:fldCharType="begin"/>
      </w:r>
      <w:r w:rsidRPr="246F2EB8">
        <w:rPr>
          <w:lang w:val="en-US"/>
        </w:rPr>
        <w:instrText xml:space="preserve"> ADDIN ZOTERO_ITEM CSL_CITATION {"citationID":"CBaTR5Ng","properties":{"formattedCitation":"(Hoy &amp; Chambers 2020)","plainCitation":"(Hoy &amp; Chambers 2020)","noteIndex":0},"citationItems":[{"id":799,"uris":["http://zotero.org/users/6230888/items/AAX28WZL"],"itemData":{"id":799,"type":"article-journal","abstract":"Silicosis is an ancient and potentially fatal pneumoconiosis caused by exposure to respirable crystalline silica. Silicosis is historically a disease of miners; however, failure to recognize and control the risk associated with silica exposure in contemporary work practices such as sandblasting denim jeans and manufacturing of artificial stone benchtops has led to re-emergence of silicosis around the world. This review outlines the mineralogy, epidemiology, clinical and radiological features of the various forms of silicosis and other silica-associated diseases. Perspective is provided on the most recent studies shedding light on pathogenesis, including the central role of innate immune effector cells and subsequent inflammatory cascades in propagating pulmonary fibrosis and the extrapulmonary manifestations, which uniquely characterize this pneumoconiosis. Clinical conundrums in differential diagnosis, particularly between silicosis and sarcoidosis, are highlighted, as is the importance of obtaining a careful occupational history in the patient presenting with pulmonary infiltrates and/or fibrosis. While silicosis is a completely preventable disease, unfortunately workers around the world continue to be affected and experience progressive or even fatal disease. Although no treatments have been proven, opportunities to intervene to prevent progressive disease, founded in a thorough cellular and molecular understanding of the immunopathology of silicosis, are highlighted.","container-title":"Allergy","DOI":"10.1111/all.14202","ISSN":"1398-9995","issue":"11","language":"en","note":"_eprint: https://onlinelibrary.wiley.com/doi/pdf/10.1111/all.14202","page":"2805-2817","source":"Wiley Online Library","title":"Silica-related diseases in the modern world","volume":"75","author":[{"family":"Hoy","given":"Ryan F."},{"family":"Chambers","given":"Daniel C."}],"issued":{"date-parts":[["2020"]]}}}],"schema":"https://github.com/citation-style-language/schema/raw/master/csl-citation.json"} </w:instrText>
      </w:r>
      <w:r w:rsidRPr="246F2EB8">
        <w:rPr>
          <w:rStyle w:val="FootnoteReference"/>
          <w:lang w:val="en-US"/>
        </w:rPr>
        <w:fldChar w:fldCharType="separate"/>
      </w:r>
      <w:r w:rsidR="006B4A7D" w:rsidRPr="246F2EB8">
        <w:rPr>
          <w:rFonts w:ascii="Calibri" w:hAnsi="Calibri" w:cs="Calibri"/>
        </w:rPr>
        <w:t>(Hoy &amp; Chambers 2020)</w:t>
      </w:r>
      <w:r w:rsidRPr="246F2EB8">
        <w:rPr>
          <w:rStyle w:val="FootnoteReference"/>
          <w:lang w:val="en-US"/>
        </w:rPr>
        <w:fldChar w:fldCharType="end"/>
      </w:r>
      <w:r w:rsidR="2C029C26" w:rsidRPr="1271BCCF">
        <w:rPr>
          <w:lang w:val="en-US"/>
        </w:rPr>
        <w:t>.</w:t>
      </w:r>
      <w:r w:rsidR="00E70996" w:rsidRPr="246F2EB8">
        <w:rPr>
          <w:lang w:val="en-US"/>
        </w:rPr>
        <w:t xml:space="preserve"> Some workers may not show any symptoms, even at the point of initial diagnosis</w:t>
      </w:r>
      <w:r w:rsidR="00CA27A6" w:rsidRPr="246F2EB8">
        <w:rPr>
          <w:lang w:val="en-US"/>
        </w:rPr>
        <w:t xml:space="preserve"> </w:t>
      </w:r>
      <w:r w:rsidRPr="246F2EB8">
        <w:rPr>
          <w:lang w:val="en-US"/>
        </w:rPr>
        <w:fldChar w:fldCharType="begin"/>
      </w:r>
      <w:r w:rsidRPr="246F2EB8">
        <w:rPr>
          <w:lang w:val="en-US"/>
        </w:rPr>
        <w:instrText xml:space="preserve"> ADDIN ZOTERO_ITEM CSL_CITATION {"citationID":"8EOV6NKy","properties":{"formattedCitation":"(Nicol et al. 2015)","plainCitation":"(Nicol et al. 2015)","noteIndex":0},"citationItems":[{"id":802,"uris":["http://zotero.org/users/6230888/items/8WAH7JTF"],"itemData":{"id":802,"type":"article-journal","abstract":"Silicosis is one of the oldest occupational lung diseases, but it continues to cause significant morbidity and mortality worldwide.To report cases of silicosis presenting to two specialist respiratory clinics.A retrospective analysis of prospectively collected data of cases of silicosis in workers referred to specialist respiratory clinics.Over the course of 6 years, six cases were identified. The patients were all male with an age range between 24 and 39 years. The duration of silica exposure ranged between 7 and 20 years (mean 13 years). Four cases were entirely asymptomatic at presentation, and two cases described minimal shortness of breath on exertion. Pulmonary function tests were normal in three cases, and a mild restrictive ventilatory defect was documented in the other cases. All had a low apparent predicted probability of pneumoconiosis based on health questionnaires, spirometry and duration of silica exposure. The initial chest X-ray was abnormal in all six cases with radiological evidence of silicosis (International Labour Office profusion category ≥1/1) on imaging, and all had evidence of silicosis on high-resolution computed tomography (HRCT). Three patients had already progressed to progressive massive fibrosis on HRCT scanning at the time of referral to specialist respiratory services.The appearances of these six cases of silicosis in young, asymptomatic construction workers emphasizes the importance of enforcing effective exposure control and comprehensive surveillance programmes. Our observations highlight the importance of having a low threshold for early radiological screening to promote early and effective detection of this disease.","container-title":"Occupational Medicine","DOI":"10.1093/occmed/kqu209","ISSN":"0962-7480","issue":"3","journalAbbreviation":"Occupational Medicine","page":"220-225","source":"Silverchair","title":"Six cases of silicosis: implications for health surveillance of stonemasons","title-short":"Six cases of silicosis","volume":"65","author":[{"family":"Nicol","given":"L. M."},{"family":"McFarlane","given":"P. A."},{"family":"Hirani","given":"N."},{"family":"Reid","given":"P. T."}],"issued":{"date-parts":[["2015"]]}}}],"schema":"https://github.com/citation-style-language/schema/raw/master/csl-citation.json"} </w:instrText>
      </w:r>
      <w:r w:rsidRPr="246F2EB8">
        <w:rPr>
          <w:lang w:val="en-US"/>
        </w:rPr>
        <w:fldChar w:fldCharType="separate"/>
      </w:r>
      <w:r w:rsidR="006B4A7D" w:rsidRPr="246F2EB8">
        <w:rPr>
          <w:rFonts w:ascii="Calibri" w:hAnsi="Calibri" w:cs="Calibri"/>
        </w:rPr>
        <w:t>(Nicol et al. 2015)</w:t>
      </w:r>
      <w:r w:rsidRPr="246F2EB8">
        <w:rPr>
          <w:lang w:val="en-US"/>
        </w:rPr>
        <w:fldChar w:fldCharType="end"/>
      </w:r>
      <w:r w:rsidR="00E70996" w:rsidRPr="246F2EB8">
        <w:rPr>
          <w:lang w:val="en-US"/>
        </w:rPr>
        <w:t xml:space="preserve">. </w:t>
      </w:r>
    </w:p>
    <w:p w14:paraId="04F4C263" w14:textId="37FC9F79" w:rsidR="00DE7C24" w:rsidRPr="009D0A4A" w:rsidRDefault="00E70996" w:rsidP="00234FEF">
      <w:pPr>
        <w:pStyle w:val="BodyText"/>
      </w:pPr>
      <w:r>
        <w:t xml:space="preserve">A silicosis diagnosis can have serious impacts on all aspects of </w:t>
      </w:r>
      <w:r w:rsidR="00E70410">
        <w:t>as</w:t>
      </w:r>
      <w:r>
        <w:t xml:space="preserve"> person’s life and that of their families</w:t>
      </w:r>
      <w:r w:rsidR="008A1F5E">
        <w:t xml:space="preserve">.  A person diagnosed </w:t>
      </w:r>
      <w:r w:rsidR="00D34C00">
        <w:t>with silicosis</w:t>
      </w:r>
      <w:r w:rsidR="00682B1E">
        <w:t xml:space="preserve"> </w:t>
      </w:r>
      <w:r w:rsidR="008A1F5E">
        <w:t>will generall</w:t>
      </w:r>
      <w:r w:rsidR="00F01965">
        <w:t>y</w:t>
      </w:r>
      <w:r w:rsidR="008A1F5E">
        <w:t xml:space="preserve"> need t</w:t>
      </w:r>
      <w:r w:rsidR="00682B1E">
        <w:t xml:space="preserve">o avoid </w:t>
      </w:r>
      <w:r w:rsidR="008A1F5E">
        <w:t xml:space="preserve">any </w:t>
      </w:r>
      <w:r w:rsidR="004E5915">
        <w:t>further exposure</w:t>
      </w:r>
      <w:r w:rsidR="00D34C00">
        <w:t xml:space="preserve"> to RCS</w:t>
      </w:r>
      <w:r w:rsidR="00CA27A6">
        <w:t xml:space="preserve"> </w:t>
      </w:r>
      <w:r>
        <w:fldChar w:fldCharType="begin"/>
      </w:r>
      <w:r>
        <w:instrText xml:space="preserve"> ADDIN ZOTERO_ITEM CSL_CITATION {"citationID":"a4fJtqwc","properties":{"formattedCitation":"(Hoy &amp; Chambers 2020)","plainCitation":"(Hoy &amp; Chambers 2020)","noteIndex":0},"citationItems":[{"id":799,"uris":["http://zotero.org/users/6230888/items/AAX28WZL"],"itemData":{"id":799,"type":"article-journal","abstract":"Silicosis is an ancient and potentially fatal pneumoconiosis caused by exposure to respirable crystalline silica. Silicosis is historically a disease of miners; however, failure to recognize and control the risk associated with silica exposure in contemporary work practices such as sandblasting denim jeans and manufacturing of artificial stone benchtops has led to re-emergence of silicosis around the world. This review outlines the mineralogy, epidemiology, clinical and radiological features of the various forms of silicosis and other silica-associated diseases. Perspective is provided on the most recent studies shedding light on pathogenesis, including the central role of innate immune effector cells and subsequent inflammatory cascades in propagating pulmonary fibrosis and the extrapulmonary manifestations, which uniquely characterize this pneumoconiosis. Clinical conundrums in differential diagnosis, particularly between silicosis and sarcoidosis, are highlighted, as is the importance of obtaining a careful occupational history in the patient presenting with pulmonary infiltrates and/or fibrosis. While silicosis is a completely preventable disease, unfortunately workers around the world continue to be affected and experience progressive or even fatal disease. Although no treatments have been proven, opportunities to intervene to prevent progressive disease, founded in a thorough cellular and molecular understanding of the immunopathology of silicosis, are highlighted.","container-title":"Allergy","DOI":"10.1111/all.14202","ISSN":"1398-9995","issue":"11","language":"en","note":"_eprint: https://onlinelibrary.wiley.com/doi/pdf/10.1111/all.14202","page":"2805-2817","source":"Wiley Online Library","title":"Silica-related diseases in the modern world","volume":"75","author":[{"family":"Hoy","given":"Ryan F."},{"family":"Chambers","given":"Daniel C."}],"issued":{"date-parts":[["2020"]]}}}],"schema":"https://github.com/citation-style-language/schema/raw/master/csl-citation.json"} </w:instrText>
      </w:r>
      <w:r>
        <w:fldChar w:fldCharType="separate"/>
      </w:r>
      <w:r w:rsidR="006B4A7D" w:rsidRPr="77D1441C">
        <w:rPr>
          <w:rFonts w:ascii="Calibri" w:hAnsi="Calibri" w:cs="Calibri"/>
        </w:rPr>
        <w:t>(Hoy &amp; Chambers 2020)</w:t>
      </w:r>
      <w:r>
        <w:fldChar w:fldCharType="end"/>
      </w:r>
      <w:r w:rsidR="004E5915">
        <w:t>. This often</w:t>
      </w:r>
      <w:r>
        <w:t xml:space="preserve"> renders workers unable to work in their industry of choice and may force the person to retrain, work in a suboptimal job or even exit the workforce altogether. Depending on the severity of their disease, this may </w:t>
      </w:r>
      <w:r w:rsidR="00D34C00">
        <w:t xml:space="preserve">also </w:t>
      </w:r>
      <w:r>
        <w:t>mean a shortened life</w:t>
      </w:r>
      <w:r w:rsidR="7FA05D0D">
        <w:t>span</w:t>
      </w:r>
      <w:r>
        <w:t xml:space="preserve"> or living with severe disability.</w:t>
      </w:r>
      <w:r w:rsidR="00DE7C24">
        <w:t xml:space="preserve"> </w:t>
      </w:r>
    </w:p>
    <w:p w14:paraId="6A01F18D" w14:textId="3E58389B" w:rsidR="00E70996" w:rsidRPr="009D0A4A" w:rsidRDefault="00E70996" w:rsidP="00234FEF">
      <w:pPr>
        <w:pStyle w:val="BodyText"/>
        <w:rPr>
          <w:lang w:val="en-US"/>
        </w:rPr>
      </w:pPr>
      <w:r w:rsidRPr="009D0A4A">
        <w:rPr>
          <w:lang w:val="en-US"/>
        </w:rPr>
        <w:t xml:space="preserve">There is no proven treatment for silicosis other than a lung transplant. However, </w:t>
      </w:r>
      <w:r w:rsidR="00390C70" w:rsidRPr="009D0A4A">
        <w:rPr>
          <w:lang w:val="en-US"/>
        </w:rPr>
        <w:t xml:space="preserve">silicosis and </w:t>
      </w:r>
      <w:r w:rsidRPr="009D0A4A" w:rsidDel="00DD6525">
        <w:rPr>
          <w:lang w:val="en-US"/>
        </w:rPr>
        <w:t>silica</w:t>
      </w:r>
      <w:r w:rsidR="00DD6525">
        <w:rPr>
          <w:lang w:val="en-US"/>
        </w:rPr>
        <w:t>-related</w:t>
      </w:r>
      <w:r w:rsidRPr="009D0A4A">
        <w:rPr>
          <w:lang w:val="en-US"/>
        </w:rPr>
        <w:t xml:space="preserve"> disease</w:t>
      </w:r>
      <w:r w:rsidR="00A56551">
        <w:rPr>
          <w:lang w:val="en-US"/>
        </w:rPr>
        <w:t>s</w:t>
      </w:r>
      <w:r w:rsidR="00340703">
        <w:rPr>
          <w:lang w:val="en-US"/>
        </w:rPr>
        <w:t xml:space="preserve"> can be prevented</w:t>
      </w:r>
      <w:r w:rsidR="000C7A2B">
        <w:rPr>
          <w:lang w:val="en-US"/>
        </w:rPr>
        <w:t xml:space="preserve">, in all </w:t>
      </w:r>
      <w:r w:rsidR="00A56551">
        <w:rPr>
          <w:lang w:val="en-US"/>
        </w:rPr>
        <w:t xml:space="preserve">cases, </w:t>
      </w:r>
      <w:r w:rsidR="00A56551" w:rsidRPr="009D0A4A">
        <w:rPr>
          <w:lang w:val="en-US"/>
        </w:rPr>
        <w:t>by</w:t>
      </w:r>
      <w:r w:rsidRPr="009D0A4A">
        <w:rPr>
          <w:lang w:val="en-US"/>
        </w:rPr>
        <w:t xml:space="preserve"> eliminating or minimising exposure to RCS at the workplace.</w:t>
      </w:r>
    </w:p>
    <w:p w14:paraId="3381AF05" w14:textId="0F9CE5AC" w:rsidR="00183C12" w:rsidRPr="009D0A4A" w:rsidRDefault="00183C12" w:rsidP="00234FEF">
      <w:pPr>
        <w:pStyle w:val="BodyText"/>
      </w:pPr>
      <w:r w:rsidRPr="009D0A4A">
        <w:lastRenderedPageBreak/>
        <w:t xml:space="preserve">In 2019, the Commonwealth established the National Dust Disease Taskforce to develop a national approach for the prevention, early identification, control and management of occupational dust diseases in Australia. The </w:t>
      </w:r>
      <w:r w:rsidR="00FC4908" w:rsidRPr="009D0A4A">
        <w:t xml:space="preserve">National Dust Disease Taskforce </w:t>
      </w:r>
      <w:r w:rsidRPr="009D0A4A">
        <w:t xml:space="preserve">presented its Final Report to the Australian Minister for Health and Aged Care in June 2021, which </w:t>
      </w:r>
      <w:r w:rsidR="008739C4" w:rsidRPr="009D0A4A">
        <w:t xml:space="preserve">recommended that “… a regulatory impact analysis be undertaken to identify and decide implementation of measures that provide the highest protection to workers from the risks associated with </w:t>
      </w:r>
      <w:r w:rsidR="00880680" w:rsidRPr="009D0A4A">
        <w:t>[</w:t>
      </w:r>
      <w:r w:rsidR="008739C4" w:rsidRPr="009D0A4A">
        <w:t>RCS</w:t>
      </w:r>
      <w:r w:rsidR="00880680" w:rsidRPr="009D0A4A">
        <w:t>]</w:t>
      </w:r>
      <w:r w:rsidR="008739C4" w:rsidRPr="009D0A4A">
        <w:t xml:space="preserve"> generating activities in the engineered stone industry”</w:t>
      </w:r>
      <w:r w:rsidR="004352FD" w:rsidRPr="009D0A4A">
        <w:t xml:space="preserve"> </w:t>
      </w:r>
      <w:r w:rsidR="004352FD" w:rsidRPr="009D0A4A">
        <w:fldChar w:fldCharType="begin"/>
      </w:r>
      <w:r w:rsidR="004067E3">
        <w:instrText xml:space="preserve"> ADDIN ZOTERO_ITEM CSL_CITATION {"citationID":"GMe7AjbG","properties":{"formattedCitation":"(Department of Health 2021)","plainCitation":"(Department of Health 2021)","noteIndex":0},"citationItems":[{"id":806,"uris":["http://zotero.org/users/6230888/items/NWNXT6NL"],"itemData":{"id":806,"type":"article-journal","language":"en","page":"80","source":"Zotero","title":"National Dust Disease Taskforce Final Report to Minister for Health and Aged Care","author":[{"literal":"Department of Health"}],"issued":{"date-parts":[["2021"]]}}}],"schema":"https://github.com/citation-style-language/schema/raw/master/csl-citation.json"} </w:instrText>
      </w:r>
      <w:r w:rsidR="004352FD" w:rsidRPr="009D0A4A">
        <w:fldChar w:fldCharType="separate"/>
      </w:r>
      <w:r w:rsidR="006B4A7D" w:rsidRPr="009D0A4A">
        <w:rPr>
          <w:rFonts w:ascii="Calibri" w:hAnsi="Calibri" w:cs="Calibri"/>
        </w:rPr>
        <w:t>(Department of Health 2021)</w:t>
      </w:r>
      <w:r w:rsidR="004352FD" w:rsidRPr="009D0A4A">
        <w:fldChar w:fldCharType="end"/>
      </w:r>
      <w:r w:rsidR="008739C4" w:rsidRPr="009D0A4A">
        <w:t xml:space="preserve">. WHS </w:t>
      </w:r>
      <w:r w:rsidR="001132C8">
        <w:t>m</w:t>
      </w:r>
      <w:r w:rsidR="001132C8" w:rsidRPr="009D0A4A">
        <w:t xml:space="preserve">inisters </w:t>
      </w:r>
      <w:r w:rsidR="00390C70" w:rsidRPr="009D0A4A">
        <w:t xml:space="preserve">supported the Taskforce’s recommendations and </w:t>
      </w:r>
      <w:r w:rsidRPr="009D0A4A">
        <w:t xml:space="preserve">referred </w:t>
      </w:r>
      <w:r w:rsidR="008739C4" w:rsidRPr="009D0A4A">
        <w:t xml:space="preserve">the Final Report </w:t>
      </w:r>
      <w:r w:rsidRPr="009D0A4A">
        <w:t xml:space="preserve">to Safe Work Australia for consideration in this </w:t>
      </w:r>
      <w:r w:rsidR="004D1E1D">
        <w:t>Decision Regulation Impact Statement (</w:t>
      </w:r>
      <w:r w:rsidR="0054756F">
        <w:t>DRIS</w:t>
      </w:r>
      <w:r w:rsidR="00880680" w:rsidRPr="009D0A4A">
        <w:t>)</w:t>
      </w:r>
      <w:r w:rsidRPr="009D0A4A">
        <w:t xml:space="preserve">. </w:t>
      </w:r>
    </w:p>
    <w:p w14:paraId="3FE5517E" w14:textId="736EAA52" w:rsidR="00521F43" w:rsidRDefault="00DF7D98" w:rsidP="00234FEF">
      <w:pPr>
        <w:pStyle w:val="BodyText"/>
      </w:pPr>
      <w:r>
        <w:t>P</w:t>
      </w:r>
      <w:r w:rsidR="00E437BD">
        <w:t xml:space="preserve">rior to the release of the National Dust Disease Taskforce Final Report, </w:t>
      </w:r>
      <w:r w:rsidR="008739C4">
        <w:t>Safe Work Australia Members agreed to commence regulatory impact analysis on regulatory and non-regulatory options to minimise the risks of RCS in Australian workplaces.</w:t>
      </w:r>
      <w:r w:rsidR="00A120C6">
        <w:t xml:space="preserve"> </w:t>
      </w:r>
    </w:p>
    <w:p w14:paraId="2784F48A" w14:textId="23873DE5" w:rsidR="00C43F09" w:rsidRPr="009D0A4A" w:rsidRDefault="00C43F09" w:rsidP="003A3B2B">
      <w:pPr>
        <w:pStyle w:val="Heading2"/>
      </w:pPr>
      <w:bookmarkStart w:id="19" w:name="_Toc126573197"/>
      <w:r>
        <w:t>Legislative and regulatory framework for crystalline silica under the model WHS laws</w:t>
      </w:r>
      <w:bookmarkEnd w:id="19"/>
    </w:p>
    <w:p w14:paraId="48D7D420" w14:textId="6DA008BC" w:rsidR="00F46E4C" w:rsidRPr="009D0A4A" w:rsidRDefault="00F46E4C" w:rsidP="00234FEF">
      <w:pPr>
        <w:pStyle w:val="BodyText"/>
      </w:pPr>
      <w:r w:rsidRPr="009D0A4A">
        <w:t>In 2011, Safe Work Australia developed the model WHS</w:t>
      </w:r>
      <w:r w:rsidR="00E8413D">
        <w:t xml:space="preserve"> laws </w:t>
      </w:r>
      <w:r w:rsidRPr="009D0A4A">
        <w:t xml:space="preserve">to be implemented across Australia. To become legally binding the Commonwealth, states and territories must separately implement them as their own laws. </w:t>
      </w:r>
    </w:p>
    <w:p w14:paraId="1AF1A5F2" w14:textId="2BF802D6" w:rsidR="00F46E4C" w:rsidRPr="009D0A4A" w:rsidRDefault="00F46E4C" w:rsidP="00234FEF">
      <w:pPr>
        <w:pStyle w:val="BodyText"/>
      </w:pPr>
      <w:r w:rsidRPr="009D0A4A">
        <w:t xml:space="preserve">The model WHS </w:t>
      </w:r>
      <w:r w:rsidR="00B91FC3">
        <w:t>legislative framework</w:t>
      </w:r>
      <w:r w:rsidRPr="009D0A4A">
        <w:t> include</w:t>
      </w:r>
      <w:r w:rsidR="00B91FC3">
        <w:t>s</w:t>
      </w:r>
      <w:r w:rsidRPr="009D0A4A">
        <w:t xml:space="preserve">: </w:t>
      </w:r>
    </w:p>
    <w:p w14:paraId="4377F1FB" w14:textId="77777777" w:rsidR="00F46E4C" w:rsidRPr="00825394" w:rsidRDefault="00F46E4C" w:rsidP="008B35E0">
      <w:pPr>
        <w:pStyle w:val="ListBullet"/>
      </w:pPr>
      <w:r w:rsidRPr="00825394">
        <w:t xml:space="preserve">the model WHS Act </w:t>
      </w:r>
    </w:p>
    <w:p w14:paraId="6B8B0572" w14:textId="77777777" w:rsidR="00F46E4C" w:rsidRPr="00825394" w:rsidRDefault="00F46E4C" w:rsidP="008B35E0">
      <w:pPr>
        <w:pStyle w:val="ListBullet"/>
      </w:pPr>
      <w:r w:rsidRPr="00825394">
        <w:t xml:space="preserve">the model WHS Regulations, and </w:t>
      </w:r>
    </w:p>
    <w:p w14:paraId="4F5CC965" w14:textId="77777777" w:rsidR="00F46E4C" w:rsidRPr="00825394" w:rsidRDefault="00F46E4C" w:rsidP="008B35E0">
      <w:pPr>
        <w:pStyle w:val="ListBullet"/>
      </w:pPr>
      <w:r w:rsidRPr="00825394">
        <w:t xml:space="preserve">model Codes of Practice. </w:t>
      </w:r>
    </w:p>
    <w:p w14:paraId="35A6FF95" w14:textId="3753D396" w:rsidR="00F46E4C" w:rsidRPr="009D0A4A" w:rsidRDefault="00F46E4C" w:rsidP="00234FEF">
      <w:pPr>
        <w:pStyle w:val="BodyText"/>
      </w:pPr>
      <w:r w:rsidRPr="009D0A4A">
        <w:t xml:space="preserve">The model WHS laws have been implemented in all jurisdictions except Victoria. </w:t>
      </w:r>
      <w:r w:rsidR="0097054F" w:rsidRPr="009D0A4A">
        <w:t>Commonwealth and state and territory WHS regulators oversee and enforce the laws in their jurisdictions.</w:t>
      </w:r>
    </w:p>
    <w:p w14:paraId="2285E4D0" w14:textId="49DA5E44" w:rsidR="00940F2A" w:rsidRPr="009D0A4A" w:rsidRDefault="004A44A5" w:rsidP="00234FEF">
      <w:pPr>
        <w:pStyle w:val="BodyText"/>
      </w:pPr>
      <w:r w:rsidRPr="009D0A4A">
        <w:t xml:space="preserve">Appendix A provides an extensive summary of the </w:t>
      </w:r>
      <w:r w:rsidR="00940F2A" w:rsidRPr="009D0A4A">
        <w:t xml:space="preserve">duties and responsibilities regarding exposure to RCS at the workplace </w:t>
      </w:r>
      <w:r w:rsidR="00F014D2" w:rsidRPr="009D0A4A">
        <w:t>a</w:t>
      </w:r>
      <w:r w:rsidR="00F014D2">
        <w:t>s</w:t>
      </w:r>
      <w:r w:rsidR="00F014D2" w:rsidRPr="009D0A4A">
        <w:t xml:space="preserve"> </w:t>
      </w:r>
      <w:r w:rsidR="00940F2A" w:rsidRPr="009D0A4A">
        <w:t xml:space="preserve">described in the </w:t>
      </w:r>
      <w:r w:rsidR="00940F2A" w:rsidRPr="009D0A4A">
        <w:rPr>
          <w:iCs/>
        </w:rPr>
        <w:t xml:space="preserve">model </w:t>
      </w:r>
      <w:r w:rsidR="0097054F" w:rsidRPr="009D0A4A">
        <w:rPr>
          <w:iCs/>
        </w:rPr>
        <w:t>WHS</w:t>
      </w:r>
      <w:r w:rsidR="00940F2A" w:rsidRPr="009D0A4A">
        <w:rPr>
          <w:iCs/>
        </w:rPr>
        <w:t xml:space="preserve"> Act</w:t>
      </w:r>
      <w:r w:rsidR="00940F2A" w:rsidRPr="009D0A4A">
        <w:t xml:space="preserve">, model </w:t>
      </w:r>
      <w:r w:rsidR="0097054F" w:rsidRPr="009D0A4A">
        <w:t>WHS</w:t>
      </w:r>
      <w:r w:rsidR="00940F2A" w:rsidRPr="009D0A4A">
        <w:t xml:space="preserve"> Regulations, and the following model Codes of Practice:</w:t>
      </w:r>
    </w:p>
    <w:p w14:paraId="6EA57BBF" w14:textId="29D49CF5" w:rsidR="00940F2A" w:rsidRPr="009D0A4A" w:rsidRDefault="00940F2A" w:rsidP="008B35E0">
      <w:pPr>
        <w:pStyle w:val="ListBullet"/>
      </w:pPr>
      <w:r w:rsidRPr="009D0A4A">
        <w:t>Construction work</w:t>
      </w:r>
      <w:r w:rsidR="004352FD" w:rsidRPr="009D0A4A">
        <w:t xml:space="preserve"> </w:t>
      </w:r>
      <w:r w:rsidR="004352FD" w:rsidRPr="009D0A4A">
        <w:fldChar w:fldCharType="begin"/>
      </w:r>
      <w:r w:rsidR="004067E3">
        <w:instrText xml:space="preserve"> ADDIN ZOTERO_ITEM CSL_CITATION {"citationID":"g5rNhf13","properties":{"formattedCitation":"(Safe Work Australia 2018a)","plainCitation":"(Safe Work Australia 2018a)","noteIndex":0},"citationItems":[{"id":807,"uris":["http://zotero.org/users/6230888/items/39ZBKPDY"],"itemData":{"id":807,"type":"report","page":"59","title":"Model Code of Practice: Construction work","URL":"https://www.safeworkaustralia.gov.au/doc/model-codes-practice/model-code-practice-construction-work","author":[{"literal":"Safe Work Australia"}],"accessed":{"date-parts":[["2022",6,30]]},"issued":{"date-parts":[["2018"]]}}}],"schema":"https://github.com/citation-style-language/schema/raw/master/csl-citation.json"} </w:instrText>
      </w:r>
      <w:r w:rsidR="004352FD" w:rsidRPr="009D0A4A">
        <w:fldChar w:fldCharType="separate"/>
      </w:r>
      <w:r w:rsidR="006B4A7D" w:rsidRPr="009D0A4A">
        <w:t>(Safe Work Australia 2018a)</w:t>
      </w:r>
      <w:r w:rsidR="004352FD" w:rsidRPr="009D0A4A">
        <w:fldChar w:fldCharType="end"/>
      </w:r>
    </w:p>
    <w:p w14:paraId="5D8942AD" w14:textId="5F1FF72B" w:rsidR="00940F2A" w:rsidRPr="009D0A4A" w:rsidRDefault="00940F2A" w:rsidP="008B35E0">
      <w:pPr>
        <w:pStyle w:val="ListBullet"/>
      </w:pPr>
      <w:r w:rsidRPr="009D0A4A">
        <w:t>Demolition work</w:t>
      </w:r>
      <w:r w:rsidR="00D66BD4" w:rsidRPr="009D0A4A">
        <w:t xml:space="preserve"> </w:t>
      </w:r>
      <w:r w:rsidR="00D66BD4" w:rsidRPr="009D0A4A">
        <w:fldChar w:fldCharType="begin"/>
      </w:r>
      <w:r w:rsidR="004067E3">
        <w:instrText xml:space="preserve"> ADDIN ZOTERO_ITEM CSL_CITATION {"citationID":"oIZj6zNJ","properties":{"formattedCitation":"(Safe Work Australia 2018b)","plainCitation":"(Safe Work Australia 2018b)","noteIndex":0},"citationItems":[{"id":809,"uris":["http://zotero.org/users/6230888/items/ELFMYQ42"],"itemData":{"id":809,"type":"report","page":"59","title":"Model Code of Practice: Demolition work","URL":"https://www.safeworkaustralia.gov.au/doc/model-codes-practice/model-code-practice-demolition-work","author":[{"literal":"Safe Work Australia"}],"accessed":{"date-parts":[["2022",6,30]]},"issued":{"date-parts":[["2018"]]}}}],"schema":"https://github.com/citation-style-language/schema/raw/master/csl-citation.json"} </w:instrText>
      </w:r>
      <w:r w:rsidR="00D66BD4" w:rsidRPr="009D0A4A">
        <w:fldChar w:fldCharType="separate"/>
      </w:r>
      <w:r w:rsidR="006B4A7D" w:rsidRPr="009D0A4A">
        <w:t>(Safe Work Australia 2018b)</w:t>
      </w:r>
      <w:r w:rsidR="00D66BD4" w:rsidRPr="009D0A4A">
        <w:fldChar w:fldCharType="end"/>
      </w:r>
    </w:p>
    <w:p w14:paraId="75CFBD16" w14:textId="65617827" w:rsidR="00940F2A" w:rsidRPr="009D0A4A" w:rsidRDefault="00940F2A" w:rsidP="008B35E0">
      <w:pPr>
        <w:pStyle w:val="ListBullet"/>
      </w:pPr>
      <w:r w:rsidRPr="009D0A4A">
        <w:t>How to manage work health and safety risks</w:t>
      </w:r>
      <w:r w:rsidR="00B71044" w:rsidRPr="004B003B">
        <w:t xml:space="preserve"> </w:t>
      </w:r>
      <w:r w:rsidR="00D66BD4" w:rsidRPr="004B003B">
        <w:fldChar w:fldCharType="begin"/>
      </w:r>
      <w:r w:rsidR="004067E3" w:rsidRPr="004B003B">
        <w:instrText xml:space="preserve"> ADDIN ZOTERO_ITEM CSL_CITATION {"citationID":"qTEntk0p","properties":{"formattedCitation":"(Safe Work Australia 2018c)","plainCitation":"(Safe Work Australia 2018c)","noteIndex":0},"citationItems":[{"id":811,"uris":["http://zotero.org/users/6230888/items/7APZRZL4"],"itemData":{"id":811,"type":"report","page":"39","title":"Model Code of Practice: How to manage work health and safety risks","URL":"https://www.safeworkaustralia.gov.au/doc/model-codes-practice/model-code-practice-how-manage-work-health-and-safety-risks","author":[{"literal":"Safe Work Australia"}],"accessed":{"date-parts":[["2022",6,30]]},"issued":{"date-parts":[["2018"]]}}}],"schema":"https://github.com/citation-style-language/schema/raw/master/csl-citation.json"} </w:instrText>
      </w:r>
      <w:r w:rsidR="00D66BD4" w:rsidRPr="004B003B">
        <w:fldChar w:fldCharType="separate"/>
      </w:r>
      <w:r w:rsidR="006B4A7D" w:rsidRPr="009D0A4A">
        <w:t>(Safe Work Australia 2018c)</w:t>
      </w:r>
      <w:r w:rsidR="00D66BD4" w:rsidRPr="004B003B">
        <w:fldChar w:fldCharType="end"/>
      </w:r>
    </w:p>
    <w:p w14:paraId="3D95F7D1" w14:textId="267423FE" w:rsidR="00940F2A" w:rsidRPr="009D0A4A" w:rsidRDefault="00940F2A" w:rsidP="008B35E0">
      <w:pPr>
        <w:pStyle w:val="ListBullet"/>
      </w:pPr>
      <w:r w:rsidRPr="009D0A4A">
        <w:t>Managing risks of hazardous chemicals in the workplace</w:t>
      </w:r>
      <w:r w:rsidR="00D66BD4" w:rsidRPr="004B003B">
        <w:t xml:space="preserve"> </w:t>
      </w:r>
      <w:r w:rsidR="00D66BD4" w:rsidRPr="004B003B">
        <w:fldChar w:fldCharType="begin"/>
      </w:r>
      <w:r w:rsidR="004067E3" w:rsidRPr="004B003B">
        <w:instrText xml:space="preserve"> ADDIN ZOTERO_ITEM CSL_CITATION {"citationID":"YkCb7RY9","properties":{"formattedCitation":"(Safe Work Australia 2020a)","plainCitation":"(Safe Work Australia 2020a)","noteIndex":0},"citationItems":[{"id":813,"uris":["http://zotero.org/users/6230888/items/223K2VXM"],"itemData":{"id":813,"type":"report","page":"114","title":"Model Code of Practice: Managing risks of hazardous chemicals in the workplace","URL":"https://www.safeworkaustralia.gov.au/doc/model-code-practice-managing-risks-hazardous-chemicals-workplace","author":[{"literal":"Safe Work Australia"}],"accessed":{"date-parts":[["2022",6,30]]},"issued":{"date-parts":[["2020"]]}}}],"schema":"https://github.com/citation-style-language/schema/raw/master/csl-citation.json"} </w:instrText>
      </w:r>
      <w:r w:rsidR="00D66BD4" w:rsidRPr="004B003B">
        <w:fldChar w:fldCharType="separate"/>
      </w:r>
      <w:r w:rsidR="006B4A7D" w:rsidRPr="009D0A4A">
        <w:t>(Safe Work Australia 2020a)</w:t>
      </w:r>
      <w:r w:rsidR="00D66BD4" w:rsidRPr="004B003B">
        <w:fldChar w:fldCharType="end"/>
      </w:r>
    </w:p>
    <w:p w14:paraId="3D50EC76" w14:textId="53D0B8E6" w:rsidR="00940F2A" w:rsidRPr="009D0A4A" w:rsidRDefault="00940F2A" w:rsidP="008B35E0">
      <w:pPr>
        <w:pStyle w:val="ListBullet"/>
      </w:pPr>
      <w:r w:rsidRPr="009D0A4A">
        <w:t>Managing the risks of respirable crystalline silica from engineered stone in the workplace</w:t>
      </w:r>
      <w:r w:rsidR="007D7775" w:rsidRPr="004B003B">
        <w:t xml:space="preserve"> </w:t>
      </w:r>
      <w:r w:rsidR="007D7775" w:rsidRPr="004B003B">
        <w:fldChar w:fldCharType="begin"/>
      </w:r>
      <w:r w:rsidR="004067E3" w:rsidRPr="004B003B">
        <w:instrText xml:space="preserve"> ADDIN ZOTERO_ITEM CSL_CITATION {"citationID":"mqI6pUBX","properties":{"formattedCitation":"(Safe Work Australia 2021a)","plainCitation":"(Safe Work Australia 2021a)","noteIndex":0},"citationItems":[{"id":815,"uris":["http://zotero.org/users/6230888/items/VLQNCP7D"],"itemData":{"id":815,"type":"report","page":"59","title":"Model Code of Practice: Managing the risks of respirable crystalline silica from engineered stone in the workplace","URL":"https://www.safeworkaustralia.gov.au/doc/model-code-practice-managing-risks-respirable-crystalline-silica-engineered-stone-workplace","author":[{"literal":"Safe Work Australia"}],"accessed":{"date-parts":[["2022",6,30]]},"issued":{"date-parts":[["2021"]]}}}],"schema":"https://github.com/citation-style-language/schema/raw/master/csl-citation.json"} </w:instrText>
      </w:r>
      <w:r w:rsidR="007D7775" w:rsidRPr="004B003B">
        <w:fldChar w:fldCharType="separate"/>
      </w:r>
      <w:r w:rsidR="006B4A7D" w:rsidRPr="009D0A4A">
        <w:t>(Safe Work Australia 2021a)</w:t>
      </w:r>
      <w:r w:rsidR="007D7775" w:rsidRPr="004B003B">
        <w:fldChar w:fldCharType="end"/>
      </w:r>
      <w:r w:rsidRPr="009D0A4A">
        <w:t>, and</w:t>
      </w:r>
    </w:p>
    <w:p w14:paraId="648C350B" w14:textId="0E87CA33" w:rsidR="00940F2A" w:rsidRPr="009D0A4A" w:rsidRDefault="00940F2A" w:rsidP="008B35E0">
      <w:pPr>
        <w:pStyle w:val="ListBullet"/>
      </w:pPr>
      <w:r w:rsidRPr="009D0A4A">
        <w:t>Work health and safety consultation, cooperation and coordination</w:t>
      </w:r>
      <w:r w:rsidR="007D7775" w:rsidRPr="004B003B">
        <w:t xml:space="preserve"> </w:t>
      </w:r>
      <w:r w:rsidR="007D7775" w:rsidRPr="004B003B">
        <w:fldChar w:fldCharType="begin"/>
      </w:r>
      <w:r w:rsidR="004067E3" w:rsidRPr="004B003B">
        <w:instrText xml:space="preserve"> ADDIN ZOTERO_ITEM CSL_CITATION {"citationID":"mh3vge3C","properties":{"formattedCitation":"(Safe Work Australia 2022a)","plainCitation":"(Safe Work Australia 2022a)","noteIndex":0},"citationItems":[{"id":817,"uris":["http://zotero.org/users/6230888/items/6CYI2KT7"],"itemData":{"id":817,"type":"report","page":"45","title":"Model Code of Practice: Work health and safety consultation, cooperation and coordination","URL":"https://www.safeworkaustralia.gov.au/doc/model-code-practice-work-health-and-safety-consultation-cooperation-and-coordination","author":[{"literal":"Safe Work Australia"}],"accessed":{"date-parts":[["2022",6,30]]},"issued":{"date-parts":[["2022"]]}}}],"schema":"https://github.com/citation-style-language/schema/raw/master/csl-citation.json"} </w:instrText>
      </w:r>
      <w:r w:rsidR="007D7775" w:rsidRPr="004B003B">
        <w:fldChar w:fldCharType="separate"/>
      </w:r>
      <w:r w:rsidR="006B4A7D" w:rsidRPr="009D0A4A">
        <w:t>(Safe Work Australia 2022a)</w:t>
      </w:r>
      <w:r w:rsidR="007D7775" w:rsidRPr="004B003B">
        <w:fldChar w:fldCharType="end"/>
      </w:r>
      <w:r w:rsidR="000C20A5" w:rsidRPr="004B003B">
        <w:t>.</w:t>
      </w:r>
    </w:p>
    <w:p w14:paraId="58293207" w14:textId="71DBE074" w:rsidR="00940F2A" w:rsidRPr="009D0A4A" w:rsidRDefault="00940F2A" w:rsidP="00940F2A">
      <w:pPr>
        <w:contextualSpacing/>
        <w:jc w:val="both"/>
      </w:pPr>
    </w:p>
    <w:p w14:paraId="381F3F3F" w14:textId="5897A2E5" w:rsidR="00940F2A" w:rsidRPr="009D0A4A" w:rsidRDefault="0097054F" w:rsidP="00234FEF">
      <w:pPr>
        <w:pStyle w:val="BodyText"/>
      </w:pPr>
      <w:r w:rsidRPr="009D0A4A">
        <w:t>Appendix A</w:t>
      </w:r>
      <w:r w:rsidR="00E752D5" w:rsidRPr="009D0A4A">
        <w:t xml:space="preserve"> also</w:t>
      </w:r>
      <w:r w:rsidRPr="009D0A4A">
        <w:t xml:space="preserve"> </w:t>
      </w:r>
      <w:r w:rsidR="00940F2A" w:rsidRPr="009D0A4A">
        <w:t>summarises the duties of the following duty holders</w:t>
      </w:r>
      <w:r w:rsidR="00EC7485" w:rsidRPr="009D0A4A">
        <w:t xml:space="preserve"> related to</w:t>
      </w:r>
      <w:r w:rsidR="00940F2A" w:rsidRPr="009D0A4A">
        <w:t xml:space="preserve"> the risks of RCS at work: </w:t>
      </w:r>
    </w:p>
    <w:p w14:paraId="21CA27A9" w14:textId="77777777" w:rsidR="00940F2A" w:rsidRPr="009D0A4A" w:rsidRDefault="00940F2A" w:rsidP="008B35E0">
      <w:pPr>
        <w:pStyle w:val="ListBullet"/>
      </w:pPr>
      <w:r w:rsidRPr="009D0A4A">
        <w:t>persons conducting businesses or undertakings (PCBUs)</w:t>
      </w:r>
    </w:p>
    <w:p w14:paraId="636034B7" w14:textId="77777777" w:rsidR="00940F2A" w:rsidRPr="009D0A4A" w:rsidRDefault="00940F2A" w:rsidP="008B35E0">
      <w:pPr>
        <w:pStyle w:val="ListBullet"/>
      </w:pPr>
      <w:r w:rsidRPr="009D0A4A">
        <w:lastRenderedPageBreak/>
        <w:t>officers</w:t>
      </w:r>
    </w:p>
    <w:p w14:paraId="7CD344C4" w14:textId="77777777" w:rsidR="00940F2A" w:rsidRPr="009D0A4A" w:rsidRDefault="00940F2A" w:rsidP="008B35E0">
      <w:pPr>
        <w:pStyle w:val="ListBullet"/>
      </w:pPr>
      <w:r w:rsidRPr="009D0A4A">
        <w:t>designers, manufacturers, importers, suppliers, and those who commission plant or structures</w:t>
      </w:r>
    </w:p>
    <w:p w14:paraId="50020FCF" w14:textId="77777777" w:rsidR="00940F2A" w:rsidRPr="009D0A4A" w:rsidRDefault="00940F2A" w:rsidP="008B35E0">
      <w:pPr>
        <w:pStyle w:val="ListBullet"/>
      </w:pPr>
      <w:r w:rsidRPr="009D0A4A">
        <w:t>primary contractors</w:t>
      </w:r>
    </w:p>
    <w:p w14:paraId="7A2554BC" w14:textId="77777777" w:rsidR="00940F2A" w:rsidRPr="009D0A4A" w:rsidRDefault="00940F2A" w:rsidP="008B35E0">
      <w:pPr>
        <w:pStyle w:val="ListBullet"/>
      </w:pPr>
      <w:r w:rsidRPr="009D0A4A">
        <w:t xml:space="preserve">workers, and </w:t>
      </w:r>
    </w:p>
    <w:p w14:paraId="053096A7" w14:textId="77777777" w:rsidR="00940F2A" w:rsidRPr="009D0A4A" w:rsidRDefault="00940F2A" w:rsidP="008B35E0">
      <w:pPr>
        <w:pStyle w:val="ListBullet"/>
      </w:pPr>
      <w:r w:rsidRPr="009D0A4A">
        <w:t>other persons at the workplace.</w:t>
      </w:r>
    </w:p>
    <w:p w14:paraId="3875EE64" w14:textId="4B994D45" w:rsidR="00EC7485" w:rsidRPr="00825394" w:rsidRDefault="00EE55B3" w:rsidP="00234FEF">
      <w:pPr>
        <w:pStyle w:val="BodyText"/>
      </w:pPr>
      <w:r w:rsidRPr="00825394">
        <w:t xml:space="preserve">This includes </w:t>
      </w:r>
      <w:r w:rsidR="00DF7D98" w:rsidRPr="00825394">
        <w:t xml:space="preserve">duties around not </w:t>
      </w:r>
      <w:r w:rsidR="12071D26" w:rsidRPr="00825394">
        <w:t xml:space="preserve">exposing a person to a level of RCS </w:t>
      </w:r>
      <w:r w:rsidR="00DF7D98" w:rsidRPr="00825394">
        <w:t>exceeding the</w:t>
      </w:r>
      <w:r w:rsidR="0097054F" w:rsidRPr="00825394">
        <w:t xml:space="preserve"> </w:t>
      </w:r>
      <w:r w:rsidR="00722B43" w:rsidRPr="00825394">
        <w:t>workplace exposure standard (</w:t>
      </w:r>
      <w:r w:rsidR="00EC7485" w:rsidRPr="00825394">
        <w:t>WES</w:t>
      </w:r>
      <w:r w:rsidR="00722B43" w:rsidRPr="00825394">
        <w:t>)</w:t>
      </w:r>
      <w:r w:rsidR="00EC7485" w:rsidRPr="00825394">
        <w:t xml:space="preserve">, </w:t>
      </w:r>
      <w:r w:rsidR="00A858E5" w:rsidRPr="00825394">
        <w:t xml:space="preserve">duties to undertake air and health monitoring, </w:t>
      </w:r>
      <w:r w:rsidR="0097054F" w:rsidRPr="00825394">
        <w:t xml:space="preserve">and </w:t>
      </w:r>
      <w:r w:rsidR="00A858E5" w:rsidRPr="00825394">
        <w:t xml:space="preserve">describes the </w:t>
      </w:r>
      <w:r w:rsidR="008D2F6F" w:rsidRPr="00825394">
        <w:t xml:space="preserve">need to include </w:t>
      </w:r>
      <w:r w:rsidR="00C6232E" w:rsidRPr="00825394">
        <w:t xml:space="preserve">RCS risk </w:t>
      </w:r>
      <w:r w:rsidR="008D2F6F" w:rsidRPr="00825394">
        <w:t>controls in Safe Work Method Statements (</w:t>
      </w:r>
      <w:r w:rsidR="0097054F" w:rsidRPr="00825394">
        <w:t>SWMS</w:t>
      </w:r>
      <w:r w:rsidR="00E752D5" w:rsidRPr="00825394">
        <w:t>)</w:t>
      </w:r>
      <w:r w:rsidR="0097054F" w:rsidRPr="00825394">
        <w:t xml:space="preserve"> </w:t>
      </w:r>
      <w:r w:rsidR="00E752D5" w:rsidRPr="00825394">
        <w:t>(</w:t>
      </w:r>
      <w:r w:rsidR="008D2F6F" w:rsidRPr="00825394">
        <w:t>where the work is high risk construction work)</w:t>
      </w:r>
      <w:r w:rsidR="007875DF" w:rsidRPr="00825394">
        <w:t xml:space="preserve"> and consultation with workers and their representatives</w:t>
      </w:r>
      <w:r w:rsidR="008D2F6F" w:rsidRPr="00825394">
        <w:t>.</w:t>
      </w:r>
    </w:p>
    <w:p w14:paraId="0E8E37A5" w14:textId="165E444C" w:rsidR="0097054F" w:rsidRPr="009D0A4A" w:rsidRDefault="0097054F" w:rsidP="003A3B2B">
      <w:pPr>
        <w:pStyle w:val="Heading2"/>
      </w:pPr>
      <w:bookmarkStart w:id="20" w:name="_Toc126573198"/>
      <w:r>
        <w:t>National WHS policy initiatives</w:t>
      </w:r>
      <w:bookmarkEnd w:id="20"/>
    </w:p>
    <w:p w14:paraId="759868DF" w14:textId="070EACD1" w:rsidR="004F3309" w:rsidRPr="00825394" w:rsidRDefault="000F64C9" w:rsidP="00234FEF">
      <w:pPr>
        <w:pStyle w:val="BodyText"/>
      </w:pPr>
      <w:r w:rsidRPr="00825394">
        <w:t>Following the emergence of new cases of silicosis</w:t>
      </w:r>
      <w:r w:rsidR="004F3309" w:rsidRPr="00825394">
        <w:t xml:space="preserve">, there have been a range of </w:t>
      </w:r>
      <w:r w:rsidR="00435223" w:rsidRPr="00825394">
        <w:t xml:space="preserve">additional </w:t>
      </w:r>
      <w:r w:rsidR="004F3309" w:rsidRPr="00825394">
        <w:t xml:space="preserve">policy measures implemented by both Safe Work Australia and the </w:t>
      </w:r>
      <w:r w:rsidR="634A2C00" w:rsidRPr="00825394">
        <w:t>jurisd</w:t>
      </w:r>
      <w:r w:rsidR="23C16615" w:rsidRPr="00825394">
        <w:t>ictions</w:t>
      </w:r>
      <w:r w:rsidR="004F3309" w:rsidRPr="00825394">
        <w:t xml:space="preserve"> to address the risks of exposure to RCS in the workplace. </w:t>
      </w:r>
    </w:p>
    <w:p w14:paraId="2910D69C" w14:textId="77777777" w:rsidR="004F3309" w:rsidRPr="009D0A4A" w:rsidRDefault="004F3309" w:rsidP="004F3309">
      <w:pPr>
        <w:pStyle w:val="Heading3"/>
      </w:pPr>
      <w:r w:rsidRPr="009D0A4A">
        <w:t>Review of the WES for RCS</w:t>
      </w:r>
    </w:p>
    <w:p w14:paraId="293EE343" w14:textId="440BEBAB" w:rsidR="004F3309" w:rsidRPr="00825394" w:rsidRDefault="004F3309" w:rsidP="00234FEF">
      <w:pPr>
        <w:pStyle w:val="BodyText"/>
      </w:pPr>
      <w:r w:rsidRPr="00825394">
        <w:t>In 2019, WHS ministers agreed to reduce</w:t>
      </w:r>
      <w:r w:rsidR="00F42B29" w:rsidRPr="00825394">
        <w:t xml:space="preserve"> the WES</w:t>
      </w:r>
      <w:r w:rsidRPr="00825394">
        <w:t xml:space="preserve"> for RCS </w:t>
      </w:r>
      <w:r w:rsidR="00207548" w:rsidRPr="00825394">
        <w:t>from 0.1 mg/m</w:t>
      </w:r>
      <w:r w:rsidR="00207548" w:rsidRPr="00825394">
        <w:rPr>
          <w:vertAlign w:val="superscript"/>
        </w:rPr>
        <w:t>3</w:t>
      </w:r>
      <w:r w:rsidR="00207548" w:rsidRPr="00825394">
        <w:t xml:space="preserve"> </w:t>
      </w:r>
      <w:r w:rsidR="00F42B29" w:rsidRPr="00825394">
        <w:t xml:space="preserve">8-hour time weighted average (TWA) </w:t>
      </w:r>
      <w:r w:rsidRPr="00825394">
        <w:t>to 0.05</w:t>
      </w:r>
      <w:r w:rsidR="00207548" w:rsidRPr="00825394">
        <w:t xml:space="preserve"> </w:t>
      </w:r>
      <w:r w:rsidRPr="00825394">
        <w:t>mg/m</w:t>
      </w:r>
      <w:r w:rsidRPr="00825394">
        <w:rPr>
          <w:vertAlign w:val="superscript"/>
        </w:rPr>
        <w:t>3</w:t>
      </w:r>
      <w:r w:rsidRPr="00825394">
        <w:t xml:space="preserve">. </w:t>
      </w:r>
      <w:r w:rsidR="00B40804" w:rsidRPr="00825394">
        <w:t>A f</w:t>
      </w:r>
      <w:r w:rsidR="00313680" w:rsidRPr="00825394">
        <w:t xml:space="preserve">urther reduction of the WES </w:t>
      </w:r>
      <w:r w:rsidR="00B40804" w:rsidRPr="00825394">
        <w:t>to 0.02 mg/m</w:t>
      </w:r>
      <w:r w:rsidR="00B40804" w:rsidRPr="00825394">
        <w:rPr>
          <w:vertAlign w:val="superscript"/>
        </w:rPr>
        <w:t>3</w:t>
      </w:r>
      <w:r w:rsidR="00B40804" w:rsidRPr="00825394">
        <w:t xml:space="preserve"> 8-hour TWA </w:t>
      </w:r>
      <w:r w:rsidR="00313680" w:rsidRPr="00825394">
        <w:t>has been considered by Safe Work Australia Members</w:t>
      </w:r>
      <w:r w:rsidR="004067E3" w:rsidRPr="00825394">
        <w:t xml:space="preserve"> </w:t>
      </w:r>
      <w:r w:rsidR="004067E3" w:rsidRPr="00825394">
        <w:fldChar w:fldCharType="begin"/>
      </w:r>
      <w:r w:rsidR="004067E3" w:rsidRPr="00825394">
        <w:instrText xml:space="preserve"> ADDIN ZOTERO_ITEM CSL_CITATION {"citationID":"136qK7l1","properties":{"formattedCitation":"(Safe Work Australia 2020b)","plainCitation":"(Safe Work Australia 2020b)","noteIndex":0},"citationItems":[{"id":937,"uris":["http://zotero.org/users/6230888/items/8SQTPLH8"],"itemData":{"id":937,"type":"report","page":"44","title":"Measuring respirable crystalline silica","URL":"https://www.safeworkaustralia.gov.au/doc/report-measuring-respirable-crystalline-silica","author":[{"literal":"Safe Work Australia"}],"accessed":{"date-parts":[["2022",6,30]]},"issued":{"date-parts":[["2020"]]}}}],"schema":"https://github.com/citation-style-language/schema/raw/master/csl-citation.json"} </w:instrText>
      </w:r>
      <w:r w:rsidR="004067E3" w:rsidRPr="00825394">
        <w:fldChar w:fldCharType="separate"/>
      </w:r>
      <w:r w:rsidR="004067E3" w:rsidRPr="00825394">
        <w:t>(Safe Work Australia 2020b)</w:t>
      </w:r>
      <w:r w:rsidR="004067E3" w:rsidRPr="00825394">
        <w:fldChar w:fldCharType="end"/>
      </w:r>
      <w:r w:rsidR="004067E3" w:rsidRPr="00825394">
        <w:t>. H</w:t>
      </w:r>
      <w:r w:rsidR="00663CE6" w:rsidRPr="00825394">
        <w:t xml:space="preserve">owever, due to the uncertainty </w:t>
      </w:r>
      <w:r w:rsidR="00207548" w:rsidRPr="00825394">
        <w:t>in</w:t>
      </w:r>
      <w:r w:rsidR="002904AE" w:rsidRPr="00825394">
        <w:t xml:space="preserve"> </w:t>
      </w:r>
      <w:r w:rsidR="00773947" w:rsidRPr="00825394">
        <w:t>measuring levels of RCS below 0.05mg/m</w:t>
      </w:r>
      <w:r w:rsidR="00773947" w:rsidRPr="00825394">
        <w:rPr>
          <w:vertAlign w:val="superscript"/>
        </w:rPr>
        <w:t>3</w:t>
      </w:r>
      <w:r w:rsidR="00773947" w:rsidRPr="00825394">
        <w:t xml:space="preserve"> 8-hour TWA, </w:t>
      </w:r>
      <w:r w:rsidR="00556691" w:rsidRPr="00825394">
        <w:t xml:space="preserve">a further reduction </w:t>
      </w:r>
      <w:r w:rsidR="00F42B29" w:rsidRPr="00825394">
        <w:t xml:space="preserve">of the WES </w:t>
      </w:r>
      <w:r w:rsidR="00556691" w:rsidRPr="00825394">
        <w:t xml:space="preserve">was </w:t>
      </w:r>
      <w:r w:rsidR="00F42B29" w:rsidRPr="00825394">
        <w:t xml:space="preserve">not </w:t>
      </w:r>
      <w:r w:rsidR="00556691" w:rsidRPr="00825394">
        <w:t>considered feasible</w:t>
      </w:r>
      <w:r w:rsidR="00F42B29" w:rsidRPr="00825394">
        <w:t xml:space="preserve"> at this time</w:t>
      </w:r>
      <w:r w:rsidR="00556691" w:rsidRPr="00825394">
        <w:t>.</w:t>
      </w:r>
      <w:r w:rsidR="007D7775" w:rsidRPr="00825394">
        <w:t xml:space="preserve"> </w:t>
      </w:r>
      <w:r w:rsidRPr="00825394">
        <w:t xml:space="preserve">As part of its Occupational Lung </w:t>
      </w:r>
      <w:r w:rsidR="00FC4908" w:rsidRPr="00825394">
        <w:t>D</w:t>
      </w:r>
      <w:r w:rsidRPr="00825394">
        <w:t xml:space="preserve">iseases </w:t>
      </w:r>
      <w:r w:rsidR="00FC4908" w:rsidRPr="00825394">
        <w:t>W</w:t>
      </w:r>
      <w:r w:rsidRPr="00825394">
        <w:t>orkplan, Safe Work Australia will continue to monitor developments in the measurability of RCS to inform future reductions in the WES</w:t>
      </w:r>
      <w:r w:rsidR="007D7775" w:rsidRPr="00825394">
        <w:t xml:space="preserve"> </w:t>
      </w:r>
      <w:r w:rsidR="007D7775" w:rsidRPr="00825394">
        <w:fldChar w:fldCharType="begin"/>
      </w:r>
      <w:r w:rsidR="004067E3" w:rsidRPr="00825394">
        <w:instrText xml:space="preserve"> ADDIN ZOTERO_ITEM CSL_CITATION {"citationID":"1QXMuRal","properties":{"formattedCitation":"(Safe Work Australia 2022b)","plainCitation":"(Safe Work Australia 2022b)","noteIndex":0},"citationItems":[{"id":819,"uris":["http://zotero.org/users/6230888/items/NZD525RC"],"itemData":{"id":819,"type":"webpage","title":"Safe Work Australia Occupational Lung Diseases work plan","URL":"https://www.safeworkaustralia.gov.au/doc/safe-work-australia-occupational-lung-diseases-work-plan","author":[{"literal":"Safe Work Australia"}],"accessed":{"date-parts":[["2022",6,30]]},"issued":{"date-parts":[["2022"]]}}}],"schema":"https://github.com/citation-style-language/schema/raw/master/csl-citation.json"} </w:instrText>
      </w:r>
      <w:r w:rsidR="007D7775" w:rsidRPr="00825394">
        <w:fldChar w:fldCharType="separate"/>
      </w:r>
      <w:r w:rsidR="006B4A7D" w:rsidRPr="00825394">
        <w:t>(Safe Work Australia 2022b)</w:t>
      </w:r>
      <w:r w:rsidR="007D7775" w:rsidRPr="00825394">
        <w:fldChar w:fldCharType="end"/>
      </w:r>
      <w:r w:rsidRPr="00825394">
        <w:t>.</w:t>
      </w:r>
    </w:p>
    <w:p w14:paraId="46CC0DB6" w14:textId="0BBD9A51" w:rsidR="004F3309" w:rsidRPr="009D0A4A" w:rsidRDefault="004F3309" w:rsidP="004F3309">
      <w:pPr>
        <w:pStyle w:val="Heading3"/>
      </w:pPr>
      <w:r w:rsidRPr="009D0A4A">
        <w:t>Prohibition on uncontrolled processing of engineered stone</w:t>
      </w:r>
    </w:p>
    <w:p w14:paraId="13E400EB" w14:textId="4D0B181B" w:rsidR="004F3309" w:rsidRPr="009D0A4A" w:rsidRDefault="004F3309" w:rsidP="00234FEF">
      <w:pPr>
        <w:pStyle w:val="BodyText"/>
      </w:pPr>
      <w:r>
        <w:t xml:space="preserve">Safe Work Australia Members have also agreed to include a specific regulation in the model WHS Regulations to expressly prohibit the uncontrolled processing of engineered stone. This regulatory amendment is being drafted. It will cover the cutting, grinding, trimming, sanding, polishing, or drilling of engineered stone using power tools or another form of mechanical plant. If a PCBU is unable to eliminate, substitute or isolate the </w:t>
      </w:r>
      <w:r w:rsidR="486D8100">
        <w:t xml:space="preserve">RCS exposure </w:t>
      </w:r>
      <w:r>
        <w:t>hazard, one or more of the following engineering controls are required: a water delivery system</w:t>
      </w:r>
      <w:r w:rsidR="00C64892">
        <w:t xml:space="preserve"> that supplies a continuous feed of water over the stone being processed to supress the generation of </w:t>
      </w:r>
      <w:r w:rsidR="00D84C90">
        <w:t>dust</w:t>
      </w:r>
      <w:r>
        <w:t xml:space="preserve">, </w:t>
      </w:r>
      <w:r w:rsidR="00D84C90">
        <w:t xml:space="preserve">an </w:t>
      </w:r>
      <w:r>
        <w:t>on</w:t>
      </w:r>
      <w:r w:rsidR="00D84C90">
        <w:t>-</w:t>
      </w:r>
      <w:r>
        <w:t>tool dust extraction</w:t>
      </w:r>
      <w:r w:rsidR="00D84C90">
        <w:t xml:space="preserve"> system</w:t>
      </w:r>
      <w:r>
        <w:t xml:space="preserve">, or </w:t>
      </w:r>
      <w:r w:rsidR="006C3645">
        <w:t xml:space="preserve">a </w:t>
      </w:r>
      <w:r>
        <w:t>local exhaust ventilation</w:t>
      </w:r>
      <w:r w:rsidR="006C3645">
        <w:t xml:space="preserve"> system</w:t>
      </w:r>
      <w:r>
        <w:t xml:space="preserve">. In addition to engineering controls, the amendment regulation would require that each worker who </w:t>
      </w:r>
      <w:r w:rsidR="00D84C90">
        <w:t xml:space="preserve">is processing engineered stone is provided with </w:t>
      </w:r>
      <w:r>
        <w:t>respiratory protective equipment (RPE).</w:t>
      </w:r>
    </w:p>
    <w:p w14:paraId="6CA14812" w14:textId="77777777" w:rsidR="004F3309" w:rsidRPr="009D0A4A" w:rsidRDefault="004F3309" w:rsidP="009F6D84">
      <w:pPr>
        <w:pStyle w:val="Heading3"/>
      </w:pPr>
      <w:r w:rsidRPr="009D0A4A">
        <w:t>Incident notification provisions for long latency diseases under the model WHS laws</w:t>
      </w:r>
    </w:p>
    <w:p w14:paraId="6D34887F" w14:textId="01EC3237" w:rsidR="004139B1" w:rsidRPr="009D0A4A" w:rsidRDefault="005A4AB9" w:rsidP="00234FEF">
      <w:pPr>
        <w:pStyle w:val="BodyText"/>
      </w:pPr>
      <w:r>
        <w:t xml:space="preserve">Recommendation 20 of the </w:t>
      </w:r>
      <w:hyperlink r:id="rId14">
        <w:r w:rsidRPr="00825394">
          <w:rPr>
            <w:rStyle w:val="Hyperlink"/>
          </w:rPr>
          <w:t>DRIS</w:t>
        </w:r>
      </w:hyperlink>
      <w:r>
        <w:t xml:space="preserve"> for the 2018 Review of the model WHS laws recommended that Safe Work Australia “review incident notification provisions in the model WHS Act to ensure the provisions meet the intention outlined in the </w:t>
      </w:r>
      <w:hyperlink r:id="rId15" w:anchor="national-review-into-model-occupational-health-and-safety-laws-20082009" w:history="1">
        <w:r w:rsidRPr="007E66F7">
          <w:rPr>
            <w:rStyle w:val="Hyperlink"/>
            <w:rFonts w:asciiTheme="minorHAnsi" w:hAnsiTheme="minorHAnsi"/>
          </w:rPr>
          <w:t>2008 National Review</w:t>
        </w:r>
      </w:hyperlink>
      <w:r>
        <w:t xml:space="preserve">; the provisions capture relevant incidents, injuries and illnesses </w:t>
      </w:r>
      <w:r>
        <w:lastRenderedPageBreak/>
        <w:t>that are emerging from new work practices, industries and work arrangements; and, WHS regulators have appropriate visibility of work-related psychological injuries and illnesses” (Safe Work Australia 2021b). The review explored options for improving WHS regulator visibility of long latency diseases due to exposure to substances. The review confirmed there are more appropriate mechanisms for capturing diagnoses than incident notification, mostly due to the often long period between exposure and diagnosis. It also recognised that there are other mechanisms in place or being established that provide, or will provide, WHS regulators with data on diagnoses including silicosis (e.g. jurisdictional mandatory notification arrangements and the National Occupational Respiratory Disease Registry). The review did identify support for further considering options to improve WHS regulator visibility of exposures to hazardous chemicals, including PCBU reporting of exceedances of workplace exposure standards. Further consultation will be undertaken as part of the incident notification review regulation impact analysis process and will be informed by the outcomes of this work on managing the risks of RCS.</w:t>
      </w:r>
      <w:r w:rsidR="00E55C56" w:rsidRPr="00E403F4">
        <w:t xml:space="preserve"> </w:t>
      </w:r>
    </w:p>
    <w:p w14:paraId="57A02957" w14:textId="7A764078" w:rsidR="004F3309" w:rsidRPr="009D0A4A" w:rsidRDefault="003F5102" w:rsidP="004F3309">
      <w:pPr>
        <w:pStyle w:val="Heading3"/>
      </w:pPr>
      <w:r w:rsidRPr="009D0A4A">
        <w:t>Undertaking the</w:t>
      </w:r>
      <w:r w:rsidR="004F3309" w:rsidRPr="009D0A4A">
        <w:t xml:space="preserve"> Clean Air. Clear Lungs. </w:t>
      </w:r>
      <w:r w:rsidRPr="009D0A4A">
        <w:t>national awareness campaign</w:t>
      </w:r>
    </w:p>
    <w:p w14:paraId="2594404B" w14:textId="057FFCD0" w:rsidR="003F5102" w:rsidRPr="009D0A4A" w:rsidRDefault="0065485D" w:rsidP="00234FEF">
      <w:pPr>
        <w:pStyle w:val="BodyText"/>
      </w:pPr>
      <w:r>
        <w:t>The Clean Air. Clear Lungs. national education and awareness campaign concluded in December 2021. The campaign aimed to raise awareness of occupational lung diseases and provide practical information</w:t>
      </w:r>
      <w:r w:rsidR="00D909FB">
        <w:t>, in a range of languages,</w:t>
      </w:r>
      <w:r>
        <w:t xml:space="preserve"> to eliminate or manage the risk of workers developing a lung disease</w:t>
      </w:r>
      <w:r w:rsidR="00C96D80">
        <w:t xml:space="preserve"> </w:t>
      </w:r>
      <w:r>
        <w:fldChar w:fldCharType="begin"/>
      </w:r>
      <w:r>
        <w:instrText xml:space="preserve"> ADDIN ZOTERO_ITEM CSL_CITATION {"citationID":"ixvUTNlt","properties":{"formattedCitation":"(Safe Work Australia 2021c)","plainCitation":"(Safe Work Australia 2021c)","noteIndex":0},"citationItems":[{"id":823,"uris":["http://zotero.org/users/6230888/items/ICFBT637"],"itemData":{"id":823,"type":"webpage","title":"Clean Air. Clear Lungs.","URL":"https://www.safeworkaustralia.gov.au/clearlungs","author":[{"literal":"Safe Work Australia"}],"accessed":{"date-parts":[["2022",6,30]]},"issued":{"date-parts":[["2021"]]}}}],"schema":"https://github.com/citation-style-language/schema/raw/master/csl-citation.json"} </w:instrText>
      </w:r>
      <w:r>
        <w:fldChar w:fldCharType="separate"/>
      </w:r>
      <w:r w:rsidR="006B4A7D" w:rsidRPr="6ADCFC47">
        <w:rPr>
          <w:rFonts w:ascii="Calibri" w:hAnsi="Calibri" w:cs="Calibri"/>
        </w:rPr>
        <w:t>(Safe Work Australia 2021c)</w:t>
      </w:r>
      <w:r>
        <w:fldChar w:fldCharType="end"/>
      </w:r>
      <w:r>
        <w:t xml:space="preserve">. The campaign was a key initiative of </w:t>
      </w:r>
      <w:r w:rsidRPr="00825394">
        <w:t>the</w:t>
      </w:r>
      <w:r>
        <w:t xml:space="preserve"> occupational lung disease work plan agreed by Safe Work Australia Members in 2018 and targeted the construction, agriculture, manufacturing and engineered stone sectors. The campaign evaluation showed that the campaign was successful in increasing audience awareness of occupational lung diseases.</w:t>
      </w:r>
    </w:p>
    <w:p w14:paraId="02E6FE97" w14:textId="5D3A9CE3" w:rsidR="003F5102" w:rsidRPr="009D0A4A" w:rsidRDefault="003F5102" w:rsidP="003F5102">
      <w:pPr>
        <w:pStyle w:val="Heading3"/>
      </w:pPr>
      <w:r w:rsidRPr="009D0A4A">
        <w:t>Publication of revised national guidance on RCS</w:t>
      </w:r>
    </w:p>
    <w:p w14:paraId="042E2FCE" w14:textId="4A8C2A7F" w:rsidR="004F3309" w:rsidRPr="009D0A4A" w:rsidRDefault="003F5102" w:rsidP="00234FEF">
      <w:pPr>
        <w:pStyle w:val="BodyText"/>
      </w:pPr>
      <w:r w:rsidRPr="009D0A4A">
        <w:t xml:space="preserve">In 2022, Safe Work Australia published a revised version of </w:t>
      </w:r>
      <w:r w:rsidR="00FC4908" w:rsidRPr="009D0A4A">
        <w:t>the national guide:</w:t>
      </w:r>
      <w:r w:rsidR="004F3309" w:rsidRPr="009D0A4A">
        <w:t xml:space="preserve"> Working with silica and silica containing products</w:t>
      </w:r>
      <w:r w:rsidR="00C96D80" w:rsidRPr="009D0A4A">
        <w:t xml:space="preserve"> </w:t>
      </w:r>
      <w:r w:rsidR="00C96D80" w:rsidRPr="009D0A4A">
        <w:fldChar w:fldCharType="begin"/>
      </w:r>
      <w:r w:rsidR="004067E3">
        <w:instrText xml:space="preserve"> ADDIN ZOTERO_ITEM CSL_CITATION {"citationID":"i1AUgMb8","properties":{"formattedCitation":"(Safe Work Australia 2022c)","plainCitation":"(Safe Work Australia 2022c)","noteIndex":0},"citationItems":[{"id":825,"uris":["http://zotero.org/users/6230888/items/CWP3HXBL"],"itemData":{"id":825,"type":"report","page":"40","title":"Working with silica and silica containing products","URL":"https://www.safeworkaustralia.gov.au/doc/working-silica-and-silica-containing-products","author":[{"literal":"Safe Work Australia"}],"accessed":{"date-parts":[["2022",6,30]]},"issued":{"date-parts":[["2022"]]}}}],"schema":"https://github.com/citation-style-language/schema/raw/master/csl-citation.json"} </w:instrText>
      </w:r>
      <w:r w:rsidR="00C96D80" w:rsidRPr="009D0A4A">
        <w:fldChar w:fldCharType="separate"/>
      </w:r>
      <w:r w:rsidR="006B4A7D" w:rsidRPr="009D0A4A">
        <w:rPr>
          <w:rFonts w:ascii="Calibri" w:hAnsi="Calibri" w:cs="Calibri"/>
        </w:rPr>
        <w:t>(Safe Work Australia 2022c)</w:t>
      </w:r>
      <w:r w:rsidR="00C96D80" w:rsidRPr="009D0A4A">
        <w:fldChar w:fldCharType="end"/>
      </w:r>
      <w:r w:rsidRPr="009D0A4A">
        <w:t xml:space="preserve">, which </w:t>
      </w:r>
      <w:r w:rsidR="000E215E">
        <w:t xml:space="preserve">has been </w:t>
      </w:r>
      <w:r w:rsidRPr="009D0A4A">
        <w:t xml:space="preserve">translated into 6 additional languages. Safe Work Australia also recently </w:t>
      </w:r>
      <w:r w:rsidRPr="00825394">
        <w:t>revised</w:t>
      </w:r>
      <w:r w:rsidRPr="009D0A4A">
        <w:t xml:space="preserve"> its guidance on health monitoring, including publication of </w:t>
      </w:r>
      <w:r w:rsidR="00FC4908" w:rsidRPr="009D0A4A">
        <w:t xml:space="preserve">guides on </w:t>
      </w:r>
      <w:r w:rsidR="004F3309" w:rsidRPr="009D0A4A">
        <w:t>Health monitoring: Guide for crystalline silica</w:t>
      </w:r>
      <w:r w:rsidR="00C9713B" w:rsidRPr="009D0A4A">
        <w:t xml:space="preserve"> </w:t>
      </w:r>
      <w:r w:rsidR="00C9713B" w:rsidRPr="009D0A4A">
        <w:rPr>
          <w:rStyle w:val="FootnoteReference"/>
        </w:rPr>
        <w:fldChar w:fldCharType="begin"/>
      </w:r>
      <w:r w:rsidR="004067E3">
        <w:instrText xml:space="preserve"> ADDIN ZOTERO_ITEM CSL_CITATION {"citationID":"yVBCXcfN","properties":{"formattedCitation":"(Safe Work Australia 2020c)","plainCitation":"(Safe Work Australia 2020c)","noteIndex":0},"citationItems":[{"id":827,"uris":["http://zotero.org/users/6230888/items/F7SQ7AIW"],"itemData":{"id":827,"type":"report","page":"27","title":"Health monitoring for crystalline silica","URL":"https://www.safeworkaustralia.gov.au/doc/health-monitoring-crystalline-silica","author":[{"literal":"Safe Work Australia"}],"accessed":{"date-parts":[["2022",6,30]]},"issued":{"date-parts":[["2020"]]}}}],"schema":"https://github.com/citation-style-language/schema/raw/master/csl-citation.json"} </w:instrText>
      </w:r>
      <w:r w:rsidR="00C9713B" w:rsidRPr="009D0A4A">
        <w:rPr>
          <w:rStyle w:val="FootnoteReference"/>
        </w:rPr>
        <w:fldChar w:fldCharType="separate"/>
      </w:r>
      <w:r w:rsidR="004067E3" w:rsidRPr="004067E3">
        <w:rPr>
          <w:rFonts w:ascii="Calibri" w:hAnsi="Calibri" w:cs="Calibri"/>
        </w:rPr>
        <w:t>(Safe Work Australia 2020c)</w:t>
      </w:r>
      <w:r w:rsidR="00C9713B" w:rsidRPr="009D0A4A">
        <w:rPr>
          <w:rStyle w:val="FootnoteReference"/>
        </w:rPr>
        <w:fldChar w:fldCharType="end"/>
      </w:r>
      <w:r w:rsidRPr="009D0A4A">
        <w:t>, and</w:t>
      </w:r>
      <w:r w:rsidR="004F3309" w:rsidRPr="009D0A4A">
        <w:t xml:space="preserve"> Health monitoring: Guide for registered medical practitioners</w:t>
      </w:r>
      <w:r w:rsidR="00C9713B" w:rsidRPr="009D0A4A">
        <w:t xml:space="preserve"> </w:t>
      </w:r>
      <w:r w:rsidR="00C9713B" w:rsidRPr="009D0A4A">
        <w:fldChar w:fldCharType="begin"/>
      </w:r>
      <w:r w:rsidR="004067E3">
        <w:instrText xml:space="preserve"> ADDIN ZOTERO_ITEM CSL_CITATION {"citationID":"GHQVTvlt","properties":{"formattedCitation":"(Safe Work Australia 2020d)","plainCitation":"(Safe Work Australia 2020d)","noteIndex":0},"citationItems":[{"id":829,"uris":["http://zotero.org/users/6230888/items/M2SJ9L4G"],"itemData":{"id":829,"type":"report","page":"29","title":"Health monitoring for registered medical practitioners guide","URL":"https://www.safeworkaustralia.gov.au/resources-and-publications/guidance-materials/health-monitoring-registered-medical-practitioners-guide","author":[{"literal":"Safe Work Australia"}],"accessed":{"date-parts":[["2022",6,30]]},"issued":{"date-parts":[["2020"]]}}}],"schema":"https://github.com/citation-style-language/schema/raw/master/csl-citation.json"} </w:instrText>
      </w:r>
      <w:r w:rsidR="00C9713B" w:rsidRPr="009D0A4A">
        <w:fldChar w:fldCharType="separate"/>
      </w:r>
      <w:r w:rsidR="004067E3" w:rsidRPr="004067E3">
        <w:rPr>
          <w:rFonts w:ascii="Calibri" w:hAnsi="Calibri" w:cs="Calibri"/>
        </w:rPr>
        <w:t>(Safe Work Australia 2020d)</w:t>
      </w:r>
      <w:r w:rsidR="00C9713B" w:rsidRPr="009D0A4A">
        <w:fldChar w:fldCharType="end"/>
      </w:r>
      <w:r w:rsidR="00C9713B" w:rsidRPr="009D0A4A">
        <w:t>.</w:t>
      </w:r>
    </w:p>
    <w:p w14:paraId="384C54DB" w14:textId="49C23CAF" w:rsidR="003F5102" w:rsidRPr="009D0A4A" w:rsidRDefault="003F5102" w:rsidP="003F5102">
      <w:pPr>
        <w:pStyle w:val="Heading3"/>
      </w:pPr>
      <w:r w:rsidRPr="009D0A4A">
        <w:t>State and territory initiatives to manage RCS risks</w:t>
      </w:r>
    </w:p>
    <w:p w14:paraId="29C185A3" w14:textId="5523159B" w:rsidR="00920515" w:rsidRPr="009D0A4A" w:rsidRDefault="003F5102" w:rsidP="00234FEF">
      <w:pPr>
        <w:pStyle w:val="BodyText"/>
      </w:pPr>
      <w:r w:rsidRPr="009D0A4A">
        <w:t xml:space="preserve"> Table 2 below summarises state and territory initiatives to manage the risks of RCS. </w:t>
      </w:r>
    </w:p>
    <w:p w14:paraId="09F7D0EE" w14:textId="1AEA2E40" w:rsidR="00BE3206" w:rsidRDefault="00BE3206" w:rsidP="00BE3206">
      <w:pPr>
        <w:pStyle w:val="Caption"/>
      </w:pPr>
      <w:r>
        <w:t xml:space="preserve">Table </w:t>
      </w:r>
      <w:fldSimple w:instr=" SEQ Table \* ARABIC ">
        <w:r w:rsidR="00DF768D">
          <w:rPr>
            <w:noProof/>
          </w:rPr>
          <w:t>2</w:t>
        </w:r>
      </w:fldSimple>
      <w:r>
        <w:t xml:space="preserve">: </w:t>
      </w:r>
      <w:r w:rsidRPr="009D0A4A">
        <w:t>Overview of state and territory measures to manage RCS exposure in jurisdictions subject to the model WHS laws</w:t>
      </w:r>
    </w:p>
    <w:tbl>
      <w:tblPr>
        <w:tblStyle w:val="PMCDefaultTableStyle"/>
        <w:tblW w:w="10206" w:type="dxa"/>
        <w:tblLayout w:type="fixed"/>
        <w:tblLook w:val="04A0" w:firstRow="1" w:lastRow="0" w:firstColumn="1" w:lastColumn="0" w:noHBand="0" w:noVBand="1"/>
      </w:tblPr>
      <w:tblGrid>
        <w:gridCol w:w="1418"/>
        <w:gridCol w:w="2977"/>
        <w:gridCol w:w="2693"/>
        <w:gridCol w:w="3118"/>
      </w:tblGrid>
      <w:tr w:rsidR="00037BBB" w:rsidRPr="00C44ACC" w14:paraId="70BE6DFC" w14:textId="77777777" w:rsidTr="00C42342">
        <w:trPr>
          <w:cnfStyle w:val="100000000000" w:firstRow="1" w:lastRow="0" w:firstColumn="0" w:lastColumn="0" w:oddVBand="0" w:evenVBand="0" w:oddHBand="0" w:evenHBand="0" w:firstRowFirstColumn="0" w:firstRowLastColumn="0" w:lastRowFirstColumn="0" w:lastRowLastColumn="0"/>
          <w:trHeight w:val="582"/>
        </w:trPr>
        <w:tc>
          <w:tcPr>
            <w:tcW w:w="1418" w:type="dxa"/>
          </w:tcPr>
          <w:p w14:paraId="5F1E64B7" w14:textId="77777777" w:rsidR="004F3309" w:rsidRPr="00797C1F" w:rsidRDefault="004F3309" w:rsidP="00797C1F">
            <w:pPr>
              <w:pStyle w:val="TableHeading"/>
              <w:rPr>
                <w:b/>
                <w:bCs/>
              </w:rPr>
            </w:pPr>
            <w:r w:rsidRPr="00797C1F">
              <w:rPr>
                <w:b/>
                <w:bCs/>
              </w:rPr>
              <w:t>Jurisdiction</w:t>
            </w:r>
          </w:p>
        </w:tc>
        <w:tc>
          <w:tcPr>
            <w:tcW w:w="2977" w:type="dxa"/>
          </w:tcPr>
          <w:p w14:paraId="2C0A99DF" w14:textId="77777777" w:rsidR="004F3309" w:rsidRPr="00797C1F" w:rsidRDefault="004F3309" w:rsidP="00797C1F">
            <w:pPr>
              <w:pStyle w:val="TableHeading"/>
              <w:rPr>
                <w:b/>
                <w:bCs/>
              </w:rPr>
            </w:pPr>
            <w:r w:rsidRPr="00797C1F">
              <w:rPr>
                <w:b/>
                <w:bCs/>
              </w:rPr>
              <w:t>Education and awareness</w:t>
            </w:r>
          </w:p>
        </w:tc>
        <w:tc>
          <w:tcPr>
            <w:tcW w:w="2693" w:type="dxa"/>
          </w:tcPr>
          <w:p w14:paraId="2DBDCE3D" w14:textId="77777777" w:rsidR="004F3309" w:rsidRPr="00797C1F" w:rsidRDefault="004F3309" w:rsidP="00797C1F">
            <w:pPr>
              <w:pStyle w:val="TableHeading"/>
              <w:rPr>
                <w:b/>
                <w:bCs/>
              </w:rPr>
            </w:pPr>
            <w:r w:rsidRPr="00797C1F">
              <w:rPr>
                <w:b/>
                <w:bCs/>
              </w:rPr>
              <w:t>Health screening</w:t>
            </w:r>
            <w:r w:rsidRPr="00797C1F">
              <w:rPr>
                <w:b/>
                <w:bCs/>
              </w:rPr>
              <w:footnoteReference w:id="2"/>
            </w:r>
            <w:r w:rsidRPr="00797C1F">
              <w:rPr>
                <w:b/>
                <w:bCs/>
              </w:rPr>
              <w:t xml:space="preserve"> and registries</w:t>
            </w:r>
          </w:p>
        </w:tc>
        <w:tc>
          <w:tcPr>
            <w:tcW w:w="3118" w:type="dxa"/>
          </w:tcPr>
          <w:p w14:paraId="659DC5E9" w14:textId="77777777" w:rsidR="004F3309" w:rsidRPr="00797C1F" w:rsidRDefault="004F3309" w:rsidP="00797C1F">
            <w:pPr>
              <w:pStyle w:val="TableHeading"/>
              <w:rPr>
                <w:b/>
                <w:bCs/>
              </w:rPr>
            </w:pPr>
            <w:r w:rsidRPr="00797C1F">
              <w:rPr>
                <w:b/>
                <w:bCs/>
              </w:rPr>
              <w:t>Other measures</w:t>
            </w:r>
          </w:p>
        </w:tc>
      </w:tr>
      <w:tr w:rsidR="00037BBB" w:rsidRPr="009D0A4A" w14:paraId="188BEF6A" w14:textId="77777777" w:rsidTr="00BE3206">
        <w:trPr>
          <w:cnfStyle w:val="000000100000" w:firstRow="0" w:lastRow="0" w:firstColumn="0" w:lastColumn="0" w:oddVBand="0" w:evenVBand="0" w:oddHBand="1" w:evenHBand="0" w:firstRowFirstColumn="0" w:firstRowLastColumn="0" w:lastRowFirstColumn="0" w:lastRowLastColumn="0"/>
          <w:trHeight w:val="349"/>
        </w:trPr>
        <w:tc>
          <w:tcPr>
            <w:tcW w:w="1418" w:type="dxa"/>
          </w:tcPr>
          <w:p w14:paraId="548E3D6E" w14:textId="77777777" w:rsidR="004F3309" w:rsidRPr="009D0A4A" w:rsidRDefault="004F3309" w:rsidP="004F3309">
            <w:r w:rsidRPr="009D0A4A">
              <w:t>ACT</w:t>
            </w:r>
          </w:p>
        </w:tc>
        <w:tc>
          <w:tcPr>
            <w:tcW w:w="2977" w:type="dxa"/>
          </w:tcPr>
          <w:p w14:paraId="42691080" w14:textId="1A578C4E" w:rsidR="0039709B" w:rsidRPr="009D0A4A" w:rsidRDefault="0039709B" w:rsidP="00825394">
            <w:pPr>
              <w:pStyle w:val="TableBody"/>
            </w:pPr>
            <w:r w:rsidRPr="009D0A4A">
              <w:t xml:space="preserve">Developed online materials </w:t>
            </w:r>
            <w:r w:rsidR="00D94848" w:rsidRPr="009D0A4A">
              <w:fldChar w:fldCharType="begin"/>
            </w:r>
            <w:r w:rsidR="004067E3">
              <w:instrText xml:space="preserve"> ADDIN ZOTERO_ITEM CSL_CITATION {"citationID":"TjfqqIB4","properties":{"formattedCitation":"(WorkSafe ACT 2020)","plainCitation":"(WorkSafe ACT 2020)","noteIndex":0},"citationItems":[{"id":920,"uris":["http://zotero.org/users/6230888/items/LQQGQ4JK"],"itemData":{"id":920,"type":"webpage","language":"en","note":"Last Modified: 2022-01-18 09:08:45","title":"Silica dust","URL":"https://www.worksafe.act.gov.au/health-and-safety-portal/safety-topics/dangerous-goods-and-hazardous-substances/silica-dust","author":[{"literal":"WorkSafe ACT"}],"accessed":{"date-parts":[["2022",6,30]]},"issued":{"date-parts":[["2020",10,1]]}}}],"schema":"https://github.com/citation-style-language/schema/raw/master/csl-citation.json"} </w:instrText>
            </w:r>
            <w:r w:rsidR="00D94848" w:rsidRPr="009D0A4A">
              <w:fldChar w:fldCharType="separate"/>
            </w:r>
            <w:r w:rsidR="00D94848" w:rsidRPr="009D0A4A">
              <w:rPr>
                <w:rFonts w:ascii="Calibri" w:hAnsi="Calibri" w:cs="Calibri"/>
              </w:rPr>
              <w:t>(WorkSafe ACT 2020)</w:t>
            </w:r>
            <w:r w:rsidR="00D94848" w:rsidRPr="009D0A4A">
              <w:fldChar w:fldCharType="end"/>
            </w:r>
          </w:p>
          <w:p w14:paraId="13BDC59F" w14:textId="77777777" w:rsidR="004F3309" w:rsidRDefault="004F3309" w:rsidP="00825394">
            <w:pPr>
              <w:pStyle w:val="TableBody"/>
            </w:pPr>
            <w:r w:rsidRPr="009D0A4A">
              <w:t xml:space="preserve">Produced </w:t>
            </w:r>
            <w:r w:rsidR="0039709B" w:rsidRPr="009D0A4A">
              <w:t>2</w:t>
            </w:r>
            <w:r w:rsidRPr="009D0A4A">
              <w:t xml:space="preserve"> guidance note</w:t>
            </w:r>
            <w:r w:rsidR="0039709B" w:rsidRPr="009D0A4A">
              <w:t>s</w:t>
            </w:r>
            <w:r w:rsidRPr="009D0A4A">
              <w:t xml:space="preserve"> </w:t>
            </w:r>
            <w:r w:rsidR="0039709B" w:rsidRPr="009D0A4A">
              <w:t>on the risks of RCS</w:t>
            </w:r>
            <w:r w:rsidR="00BB5F3A" w:rsidRPr="009D0A4A">
              <w:t xml:space="preserve"> </w:t>
            </w:r>
            <w:r w:rsidR="00BA0D00" w:rsidRPr="009D0A4A">
              <w:fldChar w:fldCharType="begin"/>
            </w:r>
            <w:r w:rsidR="004067E3">
              <w:instrText xml:space="preserve"> ADDIN ZOTERO_ITEM CSL_CITATION {"citationID":"51b5GGWq","properties":{"formattedCitation":"(WorkSafe ACT 2021, WorkSafe ACT 2022)","plainCitation":"(WorkSafe ACT 2021, WorkSafe ACT 2022)","noteIndex":0},"citationItems":[{"id":923,"uris":["http://zotero.org/users/6230888/items/JJQGJ7QL"],"itemData":{"id":923,"type":"report","page":"4","title":"Guidance note crystalline silica dust","URL":"https://www.worksafe.act.gov.au/__data/assets/pdf_file/0011/1793342/WorkSafe-ACT-Crystalline-Silica-Dust-Guidance-note.pdf","author":[{"literal":"WorkSafe ACT"}],"accessed":{"date-parts":[["2022",6,30]]},"issued":{"date-parts":[["2021"]]}}},{"id":922,"uris":["http://zotero.org/users/6230888/items/QWNLZU5U"],"itemData":{"id":922,"type":"report","page":"18","title":"Managing silica dust at construction sites","URL":"https://www.worksafe.act.gov.au/__data/assets/pdf_file/0005/1931765/Guidance-note-Managing-silica-dust-at-construction-sites.pdf","author":[{"literal":"WorkSafe ACT"}],"accessed":{"date-parts":[["2022",6,30]]},"issued":{"date-parts":[["2022"]]}}}],"schema":"https://github.com/citation-style-language/schema/raw/master/csl-citation.json"} </w:instrText>
            </w:r>
            <w:r w:rsidR="00BA0D00" w:rsidRPr="009D0A4A">
              <w:fldChar w:fldCharType="separate"/>
            </w:r>
            <w:r w:rsidR="00BA0D00" w:rsidRPr="009D0A4A">
              <w:rPr>
                <w:rFonts w:ascii="Calibri" w:hAnsi="Calibri" w:cs="Calibri"/>
              </w:rPr>
              <w:t>(WorkSafe ACT 2021, WorkSafe ACT 2022)</w:t>
            </w:r>
            <w:r w:rsidR="00BA0D00" w:rsidRPr="009D0A4A">
              <w:fldChar w:fldCharType="end"/>
            </w:r>
            <w:r w:rsidR="00BA0D00" w:rsidRPr="009D0A4A">
              <w:t>.</w:t>
            </w:r>
            <w:r w:rsidR="00BB5F3A" w:rsidRPr="009D0A4A">
              <w:t xml:space="preserve"> </w:t>
            </w:r>
          </w:p>
          <w:p w14:paraId="6FD7798D" w14:textId="57BA4E45" w:rsidR="004F3309" w:rsidRPr="009D0A4A" w:rsidRDefault="00E60BAB" w:rsidP="00825394">
            <w:pPr>
              <w:pStyle w:val="TableBody"/>
            </w:pPr>
            <w:r>
              <w:lastRenderedPageBreak/>
              <w:t>Published research report by</w:t>
            </w:r>
            <w:r w:rsidR="00527A5E">
              <w:t xml:space="preserve"> ThinkPlace </w:t>
            </w:r>
            <w:r>
              <w:t>on</w:t>
            </w:r>
            <w:r w:rsidR="002E7CA7">
              <w:t xml:space="preserve"> silica dust exposure attitudes, perceptions and practices within the ACT </w:t>
            </w:r>
            <w:sdt>
              <w:sdtPr>
                <w:id w:val="-660846047"/>
                <w:citation/>
              </w:sdtPr>
              <w:sdtEndPr/>
              <w:sdtContent>
                <w:r w:rsidR="00EA1346">
                  <w:fldChar w:fldCharType="begin"/>
                </w:r>
                <w:r w:rsidR="00EA1346">
                  <w:instrText xml:space="preserve"> CITATION Wor231 \l 3081 </w:instrText>
                </w:r>
                <w:r w:rsidR="00EA1346">
                  <w:fldChar w:fldCharType="separate"/>
                </w:r>
                <w:r w:rsidR="00C80572">
                  <w:rPr>
                    <w:noProof/>
                  </w:rPr>
                  <w:t>(WorkSafe ACT, 2022)</w:t>
                </w:r>
                <w:r w:rsidR="00EA1346">
                  <w:fldChar w:fldCharType="end"/>
                </w:r>
              </w:sdtContent>
            </w:sdt>
          </w:p>
        </w:tc>
        <w:tc>
          <w:tcPr>
            <w:tcW w:w="2693" w:type="dxa"/>
          </w:tcPr>
          <w:p w14:paraId="385F1933" w14:textId="6EA2C626" w:rsidR="004F3309" w:rsidRPr="009D0A4A" w:rsidRDefault="004F3309" w:rsidP="004F3309"/>
        </w:tc>
        <w:tc>
          <w:tcPr>
            <w:tcW w:w="3118" w:type="dxa"/>
          </w:tcPr>
          <w:p w14:paraId="7884844D" w14:textId="77777777" w:rsidR="00152F6E" w:rsidRPr="00825394" w:rsidRDefault="3455AEA5" w:rsidP="00825394">
            <w:pPr>
              <w:pStyle w:val="TableBody"/>
              <w:rPr>
                <w:rFonts w:ascii="Calibri" w:hAnsi="Calibri"/>
                <w:szCs w:val="18"/>
              </w:rPr>
            </w:pPr>
            <w:r w:rsidRPr="00037BBB">
              <w:rPr>
                <w:rFonts w:ascii="Calibri" w:hAnsi="Calibri"/>
                <w:szCs w:val="18"/>
              </w:rPr>
              <w:t>N</w:t>
            </w:r>
            <w:r w:rsidR="3488AE5B" w:rsidRPr="00037BBB">
              <w:rPr>
                <w:rFonts w:ascii="Calibri" w:hAnsi="Calibri"/>
                <w:szCs w:val="18"/>
              </w:rPr>
              <w:t xml:space="preserve">ew silica dust regulations </w:t>
            </w:r>
            <w:r w:rsidR="645CFB06" w:rsidRPr="00037BBB">
              <w:rPr>
                <w:rFonts w:ascii="Calibri" w:hAnsi="Calibri"/>
                <w:szCs w:val="18"/>
              </w:rPr>
              <w:t xml:space="preserve">prohibiting </w:t>
            </w:r>
            <w:r w:rsidR="228BCC32" w:rsidRPr="00037BBB">
              <w:rPr>
                <w:rFonts w:ascii="Calibri" w:hAnsi="Calibri"/>
                <w:szCs w:val="18"/>
              </w:rPr>
              <w:t xml:space="preserve">dry cutting of engineered stone and </w:t>
            </w:r>
            <w:r w:rsidR="675D5AD5" w:rsidRPr="00037BBB">
              <w:rPr>
                <w:rFonts w:ascii="Calibri" w:hAnsi="Calibri"/>
                <w:szCs w:val="18"/>
              </w:rPr>
              <w:t xml:space="preserve">specifying </w:t>
            </w:r>
            <w:r w:rsidR="3599C977" w:rsidRPr="00037BBB">
              <w:rPr>
                <w:rFonts w:ascii="Calibri" w:hAnsi="Calibri"/>
                <w:szCs w:val="18"/>
              </w:rPr>
              <w:t xml:space="preserve">silica control measures that </w:t>
            </w:r>
            <w:r w:rsidR="3599C977" w:rsidRPr="00825394">
              <w:rPr>
                <w:rFonts w:ascii="Calibri" w:hAnsi="Calibri"/>
                <w:szCs w:val="18"/>
              </w:rPr>
              <w:t xml:space="preserve">must be considered </w:t>
            </w:r>
            <w:r w:rsidR="4C2D7026" w:rsidRPr="00825394">
              <w:rPr>
                <w:rFonts w:ascii="Calibri" w:hAnsi="Calibri"/>
                <w:szCs w:val="18"/>
              </w:rPr>
              <w:t xml:space="preserve">as a minimum for silica dust </w:t>
            </w:r>
            <w:r w:rsidR="165C1511" w:rsidRPr="00825394">
              <w:rPr>
                <w:rFonts w:ascii="Calibri" w:hAnsi="Calibri"/>
                <w:szCs w:val="18"/>
              </w:rPr>
              <w:t>from 1 November 2022</w:t>
            </w:r>
            <w:r w:rsidR="00E00BF3" w:rsidRPr="00825394">
              <w:rPr>
                <w:rFonts w:ascii="Calibri" w:hAnsi="Calibri"/>
                <w:szCs w:val="18"/>
              </w:rPr>
              <w:t>.</w:t>
            </w:r>
          </w:p>
          <w:p w14:paraId="3356807C" w14:textId="70FF77BA" w:rsidR="00752CD2" w:rsidRPr="00037BBB" w:rsidRDefault="00E00BF3" w:rsidP="00037BBB">
            <w:pPr>
              <w:pStyle w:val="TableBody"/>
              <w:rPr>
                <w:rFonts w:ascii="Calibri" w:hAnsi="Calibri"/>
                <w:szCs w:val="18"/>
              </w:rPr>
            </w:pPr>
            <w:r w:rsidRPr="00825394">
              <w:rPr>
                <w:rFonts w:ascii="Calibri" w:hAnsi="Calibri"/>
                <w:szCs w:val="18"/>
              </w:rPr>
              <w:lastRenderedPageBreak/>
              <w:t>Introduction</w:t>
            </w:r>
            <w:r w:rsidRPr="00037BBB">
              <w:rPr>
                <w:rFonts w:ascii="Calibri" w:hAnsi="Calibri"/>
                <w:szCs w:val="18"/>
              </w:rPr>
              <w:t xml:space="preserve"> of </w:t>
            </w:r>
            <w:r w:rsidRPr="00825394">
              <w:rPr>
                <w:rFonts w:ascii="Calibri" w:hAnsi="Calibri"/>
                <w:szCs w:val="18"/>
              </w:rPr>
              <w:t>mandatory training course</w:t>
            </w:r>
            <w:r w:rsidRPr="00037BBB">
              <w:rPr>
                <w:rFonts w:ascii="Calibri" w:hAnsi="Calibri"/>
                <w:szCs w:val="18"/>
              </w:rPr>
              <w:t xml:space="preserve"> for work with silica</w:t>
            </w:r>
            <w:r w:rsidR="00B93268">
              <w:rPr>
                <w:rFonts w:ascii="Calibri" w:hAnsi="Calibri"/>
                <w:szCs w:val="18"/>
              </w:rPr>
              <w:t>-</w:t>
            </w:r>
            <w:r w:rsidRPr="00037BBB">
              <w:rPr>
                <w:rFonts w:ascii="Calibri" w:hAnsi="Calibri"/>
                <w:szCs w:val="18"/>
              </w:rPr>
              <w:t>containing materials</w:t>
            </w:r>
            <w:r w:rsidR="00037BBB">
              <w:rPr>
                <w:rFonts w:ascii="Calibri" w:hAnsi="Calibri"/>
                <w:szCs w:val="18"/>
              </w:rPr>
              <w:t xml:space="preserve"> </w:t>
            </w:r>
            <w:r w:rsidR="00942425" w:rsidRPr="00037BBB">
              <w:rPr>
                <w:rFonts w:ascii="Calibri" w:hAnsi="Calibri"/>
                <w:szCs w:val="18"/>
              </w:rPr>
              <w:fldChar w:fldCharType="begin"/>
            </w:r>
            <w:r w:rsidR="00942425" w:rsidRPr="00037BBB">
              <w:rPr>
                <w:rFonts w:ascii="Calibri" w:hAnsi="Calibri"/>
                <w:szCs w:val="18"/>
              </w:rPr>
              <w:instrText xml:space="preserve"> CITATION Wor23 \l 3081 </w:instrText>
            </w:r>
            <w:r w:rsidR="00942425" w:rsidRPr="00037BBB">
              <w:rPr>
                <w:rFonts w:ascii="Calibri" w:hAnsi="Calibri"/>
                <w:szCs w:val="18"/>
              </w:rPr>
              <w:fldChar w:fldCharType="separate"/>
            </w:r>
            <w:r w:rsidR="00C80572">
              <w:rPr>
                <w:rFonts w:ascii="Calibri" w:hAnsi="Calibri"/>
                <w:noProof/>
                <w:szCs w:val="18"/>
              </w:rPr>
              <w:t xml:space="preserve"> </w:t>
            </w:r>
            <w:r w:rsidR="00C80572" w:rsidRPr="00C80572">
              <w:rPr>
                <w:rFonts w:ascii="Calibri" w:hAnsi="Calibri"/>
                <w:noProof/>
                <w:szCs w:val="18"/>
              </w:rPr>
              <w:t>(WorkSafe ACT, 2023)</w:t>
            </w:r>
            <w:r w:rsidR="00942425" w:rsidRPr="00037BBB">
              <w:rPr>
                <w:rFonts w:ascii="Calibri" w:hAnsi="Calibri"/>
                <w:szCs w:val="18"/>
              </w:rPr>
              <w:fldChar w:fldCharType="end"/>
            </w:r>
          </w:p>
        </w:tc>
      </w:tr>
      <w:tr w:rsidR="004F3309" w:rsidRPr="009D0A4A" w14:paraId="21160D7F" w14:textId="77777777" w:rsidTr="00C42342">
        <w:trPr>
          <w:cnfStyle w:val="000000010000" w:firstRow="0" w:lastRow="0" w:firstColumn="0" w:lastColumn="0" w:oddVBand="0" w:evenVBand="0" w:oddHBand="0" w:evenHBand="1" w:firstRowFirstColumn="0" w:firstRowLastColumn="0" w:lastRowFirstColumn="0" w:lastRowLastColumn="0"/>
          <w:trHeight w:val="1772"/>
        </w:trPr>
        <w:tc>
          <w:tcPr>
            <w:tcW w:w="1418" w:type="dxa"/>
          </w:tcPr>
          <w:p w14:paraId="4B6C6B3B" w14:textId="77777777" w:rsidR="004F3309" w:rsidRPr="009D0A4A" w:rsidRDefault="004F3309" w:rsidP="004F3309">
            <w:r w:rsidRPr="009D0A4A">
              <w:lastRenderedPageBreak/>
              <w:t>NSW</w:t>
            </w:r>
          </w:p>
        </w:tc>
        <w:tc>
          <w:tcPr>
            <w:tcW w:w="2977" w:type="dxa"/>
          </w:tcPr>
          <w:p w14:paraId="195A9957" w14:textId="000E2097" w:rsidR="004F3309" w:rsidRPr="009D0A4A" w:rsidRDefault="004F3309" w:rsidP="00825394">
            <w:pPr>
              <w:pStyle w:val="TableBody"/>
            </w:pPr>
            <w:r w:rsidRPr="009D0A4A">
              <w:t>Awareness campaigns ran in 2018, 2019 and 2020 including radio and online advertising, a Silica Symposium and regional roadshow event series, webinars and safety videos as well as 107 industry presentations</w:t>
            </w:r>
            <w:r w:rsidR="005B62D3" w:rsidRPr="009D0A4A">
              <w:t xml:space="preserve"> </w:t>
            </w:r>
            <w:r w:rsidR="005B62D3" w:rsidRPr="009D0A4A">
              <w:fldChar w:fldCharType="begin"/>
            </w:r>
            <w:r w:rsidR="004067E3">
              <w:instrText xml:space="preserve"> ADDIN ZOTERO_ITEM CSL_CITATION {"citationID":"VcnT3Duo","properties":{"formattedCitation":"(SafeWork NSW 2021)","plainCitation":"(SafeWork NSW 2021)","noteIndex":0},"citationItems":[{"id":832,"uris":["http://zotero.org/users/6230888/items/GZWLVXHN"],"itemData":{"id":832,"type":"report","language":"en","page":"33","source":"Zotero","title":"NSW Dust Disease Register Annual Report 2020-2021","URL":"https://www.nsw.gov.au/sites/default/files/2021-08/nsw-dust-disease-register-annual-report-2020-21.pdf","author":[{"literal":"SafeWork NSW"}],"accessed":{"date-parts":[["2022",6,30]]},"issued":{"date-parts":[["2021"]]}}}],"schema":"https://github.com/citation-style-language/schema/raw/master/csl-citation.json"} </w:instrText>
            </w:r>
            <w:r w:rsidR="005B62D3" w:rsidRPr="009D0A4A">
              <w:fldChar w:fldCharType="separate"/>
            </w:r>
            <w:r w:rsidR="006B4A7D" w:rsidRPr="009D0A4A">
              <w:rPr>
                <w:rFonts w:ascii="Calibri" w:hAnsi="Calibri" w:cs="Calibri"/>
              </w:rPr>
              <w:t>(SafeWork NSW 2021)</w:t>
            </w:r>
            <w:r w:rsidR="005B62D3" w:rsidRPr="009D0A4A">
              <w:fldChar w:fldCharType="end"/>
            </w:r>
            <w:r w:rsidRPr="009D0A4A">
              <w:t>.</w:t>
            </w:r>
          </w:p>
        </w:tc>
        <w:tc>
          <w:tcPr>
            <w:tcW w:w="2693" w:type="dxa"/>
          </w:tcPr>
          <w:p w14:paraId="3BF58E9B" w14:textId="5E647906" w:rsidR="004F3309" w:rsidRPr="009D0A4A" w:rsidRDefault="004F3309" w:rsidP="00825394">
            <w:pPr>
              <w:pStyle w:val="TableBody"/>
            </w:pPr>
            <w:r w:rsidRPr="009D0A4A">
              <w:t>Commenced the NSW Dust Disease Register</w:t>
            </w:r>
            <w:r w:rsidR="0039709B" w:rsidRPr="009D0A4A">
              <w:t xml:space="preserve"> which r</w:t>
            </w:r>
            <w:r w:rsidRPr="009D0A4A">
              <w:t>equire</w:t>
            </w:r>
            <w:r w:rsidR="0039709B" w:rsidRPr="009D0A4A">
              <w:t>d</w:t>
            </w:r>
            <w:r w:rsidRPr="009D0A4A">
              <w:t xml:space="preserve"> all NSW medical practitioners to notify NSW Health upon diagnosing a silicosis case from 1 July 2020</w:t>
            </w:r>
            <w:r w:rsidR="00BB5F3A" w:rsidRPr="009D0A4A">
              <w:t xml:space="preserve"> </w:t>
            </w:r>
            <w:r w:rsidR="000D181A" w:rsidRPr="009D0A4A">
              <w:fldChar w:fldCharType="begin"/>
            </w:r>
            <w:r w:rsidR="004067E3">
              <w:instrText xml:space="preserve"> ADDIN ZOTERO_ITEM CSL_CITATION {"citationID":"RzVdG4TM","properties":{"formattedCitation":"(SafeWork NSW 2021)","plainCitation":"(SafeWork NSW 2021)","noteIndex":0},"citationItems":[{"id":832,"uris":["http://zotero.org/users/6230888/items/GZWLVXHN"],"itemData":{"id":832,"type":"report","language":"en","page":"33","source":"Zotero","title":"NSW Dust Disease Register Annual Report 2020-2021","URL":"https://www.nsw.gov.au/sites/default/files/2021-08/nsw-dust-disease-register-annual-report-2020-21.pdf","author":[{"literal":"SafeWork NSW"}],"accessed":{"date-parts":[["2022",6,30]]},"issued":{"date-parts":[["2021"]]}}}],"schema":"https://github.com/citation-style-language/schema/raw/master/csl-citation.json"} </w:instrText>
            </w:r>
            <w:r w:rsidR="000D181A" w:rsidRPr="009D0A4A">
              <w:fldChar w:fldCharType="separate"/>
            </w:r>
            <w:r w:rsidR="000D181A" w:rsidRPr="009D0A4A">
              <w:rPr>
                <w:rFonts w:ascii="Calibri" w:hAnsi="Calibri" w:cs="Calibri"/>
              </w:rPr>
              <w:t>(SafeWork NSW 2021)</w:t>
            </w:r>
            <w:r w:rsidR="000D181A" w:rsidRPr="009D0A4A">
              <w:fldChar w:fldCharType="end"/>
            </w:r>
            <w:r w:rsidR="000D181A" w:rsidRPr="009D0A4A">
              <w:t>.</w:t>
            </w:r>
          </w:p>
        </w:tc>
        <w:tc>
          <w:tcPr>
            <w:tcW w:w="3118" w:type="dxa"/>
          </w:tcPr>
          <w:p w14:paraId="6A8820BA" w14:textId="2A1E5020" w:rsidR="004F3309" w:rsidRPr="009D0A4A" w:rsidRDefault="004F3309" w:rsidP="00825394">
            <w:pPr>
              <w:pStyle w:val="TableBody"/>
            </w:pPr>
            <w:r>
              <w:t>Banned uncontrolled dry cutting of manufactured stone and offered rebates of up to $1,000 to businesses for the purchase of necessary equipment</w:t>
            </w:r>
            <w:r w:rsidR="00BB5F3A">
              <w:t xml:space="preserve"> </w:t>
            </w:r>
            <w:r>
              <w:fldChar w:fldCharType="begin"/>
            </w:r>
            <w:r>
              <w:instrText xml:space="preserve"> ADDIN ZOTERO_ITEM CSL_CITATION {"citationID":"pOtqUyRg","properties":{"formattedCitation":"(NSW Legislative Council Standing Committee on Law and Justice 2022)","plainCitation":"(NSW Legislative Council Standing Committee on Law and Justice 2022)","noteIndex":0},"citationItems":[{"id":902,"uris":["http://zotero.org/users/6230888/items/W7BHQ3ZM"],"itemData":{"id":902,"type":"report","title":"2021 Review of the Dust Diseases Scheme","URL":"https://www.parliament.nsw.gov.au/lcdocs/inquiries/2833/Report%20No.%2080%20-%202021%20Review%20of%20the%20Dust%20Diseases%20Scheme.pdf","author":[{"literal":"NSW Legislative Council Standing Committee on Law and Justice"}],"accessed":{"date-parts":[["2022",6,30]]},"issued":{"date-parts":[["2022"]]}}}],"schema":"https://github.com/citation-style-language/schema/raw/master/csl-citation.json"} </w:instrText>
            </w:r>
            <w:r>
              <w:fldChar w:fldCharType="separate"/>
            </w:r>
            <w:r w:rsidR="00BB5F3A" w:rsidRPr="6ADCFC47">
              <w:rPr>
                <w:rFonts w:ascii="Calibri" w:hAnsi="Calibri" w:cs="Calibri"/>
              </w:rPr>
              <w:t>(NSW Legislative Council Standing Committee on Law and Justice 2022)</w:t>
            </w:r>
            <w:r>
              <w:fldChar w:fldCharType="end"/>
            </w:r>
            <w:r w:rsidR="00BB5F3A">
              <w:t>.</w:t>
            </w:r>
          </w:p>
          <w:p w14:paraId="566CA580" w14:textId="2FA4B27A" w:rsidR="000D181A" w:rsidRPr="009D0A4A" w:rsidRDefault="000D181A" w:rsidP="00825394">
            <w:pPr>
              <w:pStyle w:val="TableBody"/>
            </w:pPr>
            <w:r w:rsidRPr="009D0A4A">
              <w:t xml:space="preserve">Implemented the </w:t>
            </w:r>
            <w:r w:rsidRPr="009D0A4A">
              <w:rPr>
                <w:rFonts w:cstheme="minorHAnsi"/>
              </w:rPr>
              <w:t xml:space="preserve">model Code of Practice: Managing the risks of RCS from engineered stone in the workplace </w:t>
            </w:r>
            <w:r w:rsidR="00262B8C" w:rsidRPr="009D0A4A">
              <w:rPr>
                <w:rFonts w:cstheme="minorHAnsi"/>
              </w:rPr>
              <w:fldChar w:fldCharType="begin"/>
            </w:r>
            <w:r w:rsidR="004067E3">
              <w:rPr>
                <w:rFonts w:cstheme="minorHAnsi"/>
              </w:rPr>
              <w:instrText xml:space="preserve"> ADDIN ZOTERO_ITEM CSL_CITATION {"citationID":"UJXY0w2L","properties":{"formattedCitation":"(SafeWork NSW 2022)","plainCitation":"(SafeWork NSW 2022)","noteIndex":0},"citationItems":[{"id":924,"uris":["http://zotero.org/users/6230888/items/SPL4RT7W"],"itemData":{"id":924,"type":"webpage","abstract":"The Code of Practice: Silica in engineered stone provides practical guidance on how to manage the risks of respirable crystalline silica from engineered stone in the workplace.","container-title":"SafeWork NSW","genre":"Code of practice","language":"en-AU","title":"Managing the risks of respirable crystalline silica from engineered stone in the workplace","title-short":"Code of Practice","URL":"https://www.safework.nsw.gov.au/resource-library/list-of-all-codes-of-practice/codes-of-practice/engineered-stone-code-of-practice","author":[{"literal":"SafeWork NSW"}],"accessed":{"date-parts":[["2022",6,30]]},"issued":{"date-parts":[["2022"]]}}}],"schema":"https://github.com/citation-style-language/schema/raw/master/csl-citation.json"} </w:instrText>
            </w:r>
            <w:r w:rsidR="00262B8C" w:rsidRPr="009D0A4A">
              <w:rPr>
                <w:rFonts w:cstheme="minorHAnsi"/>
              </w:rPr>
              <w:fldChar w:fldCharType="separate"/>
            </w:r>
            <w:r w:rsidR="00262B8C" w:rsidRPr="009D0A4A">
              <w:rPr>
                <w:rFonts w:ascii="Calibri" w:hAnsi="Calibri" w:cs="Calibri"/>
              </w:rPr>
              <w:t>(SafeWork NSW 2022)</w:t>
            </w:r>
            <w:r w:rsidR="00262B8C" w:rsidRPr="009D0A4A">
              <w:rPr>
                <w:rFonts w:cstheme="minorHAnsi"/>
              </w:rPr>
              <w:fldChar w:fldCharType="end"/>
            </w:r>
            <w:r w:rsidRPr="009D0A4A">
              <w:t>.</w:t>
            </w:r>
          </w:p>
        </w:tc>
      </w:tr>
      <w:tr w:rsidR="004F3309" w:rsidRPr="009D0A4A" w14:paraId="4565FC61" w14:textId="77777777" w:rsidTr="00C42342">
        <w:trPr>
          <w:cnfStyle w:val="000000100000" w:firstRow="0" w:lastRow="0" w:firstColumn="0" w:lastColumn="0" w:oddVBand="0" w:evenVBand="0" w:oddHBand="1" w:evenHBand="0" w:firstRowFirstColumn="0" w:firstRowLastColumn="0" w:lastRowFirstColumn="0" w:lastRowLastColumn="0"/>
          <w:trHeight w:val="349"/>
        </w:trPr>
        <w:tc>
          <w:tcPr>
            <w:tcW w:w="1418" w:type="dxa"/>
          </w:tcPr>
          <w:p w14:paraId="66108D7D" w14:textId="77777777" w:rsidR="004F3309" w:rsidRPr="009D0A4A" w:rsidRDefault="004F3309" w:rsidP="004F3309">
            <w:r w:rsidRPr="009D0A4A">
              <w:t>NT</w:t>
            </w:r>
          </w:p>
        </w:tc>
        <w:tc>
          <w:tcPr>
            <w:tcW w:w="2977" w:type="dxa"/>
          </w:tcPr>
          <w:p w14:paraId="2410D1C6" w14:textId="0696AEE5" w:rsidR="004F3309" w:rsidRPr="009D0A4A" w:rsidRDefault="004F3309" w:rsidP="004F3309"/>
        </w:tc>
        <w:tc>
          <w:tcPr>
            <w:tcW w:w="2693" w:type="dxa"/>
          </w:tcPr>
          <w:p w14:paraId="344C58D8" w14:textId="5DC04023" w:rsidR="004F3309" w:rsidRPr="009D0A4A" w:rsidRDefault="004F3309" w:rsidP="004F3309"/>
        </w:tc>
        <w:tc>
          <w:tcPr>
            <w:tcW w:w="3118" w:type="dxa"/>
          </w:tcPr>
          <w:p w14:paraId="6FF92DFB" w14:textId="01E87A81" w:rsidR="004F3309" w:rsidRPr="009D0A4A" w:rsidRDefault="004F3309" w:rsidP="00825394">
            <w:pPr>
              <w:pStyle w:val="TableBody"/>
            </w:pPr>
            <w:r w:rsidRPr="009D0A4A">
              <w:t>NT WorkSafe conducted a compliance campaign in 2019 visiting 3</w:t>
            </w:r>
            <w:r w:rsidR="00BB5F3A" w:rsidRPr="009D0A4A">
              <w:t>5</w:t>
            </w:r>
            <w:r w:rsidRPr="009D0A4A">
              <w:t xml:space="preserve"> businesses in the engineered stone benchtop manufacturing industry</w:t>
            </w:r>
            <w:r w:rsidR="00BB5F3A" w:rsidRPr="009D0A4A">
              <w:t xml:space="preserve"> </w:t>
            </w:r>
            <w:r w:rsidR="00BB5F3A" w:rsidRPr="009D0A4A">
              <w:fldChar w:fldCharType="begin"/>
            </w:r>
            <w:r w:rsidR="004067E3">
              <w:instrText xml:space="preserve"> ADDIN ZOTERO_ITEM CSL_CITATION {"citationID":"NrZUU838","properties":{"formattedCitation":"(Australian Government 2022)","plainCitation":"(Australian Government 2022)","noteIndex":0},"citationItems":[{"id":881,"uris":["http://zotero.org/users/6230888/items/MBL8JFFI"],"itemData":{"id":881,"type":"report","page":"64","title":"All of governments’ response to the National Dust Disease Taskforce Final Report","URL":"https://www1.health.gov.au/internet/main/publishing.nsf/Content/45748C2442F5BA74CA2587E4000F8600/$File/All-Govt-Response-Final-Report-Dust-Disease-Taskforce.pdf","author":[{"literal":"Australian Government"}],"accessed":{"date-parts":[["2022",6,30]]},"issued":{"date-parts":[["2022"]]}}}],"schema":"https://github.com/citation-style-language/schema/raw/master/csl-citation.json"} </w:instrText>
            </w:r>
            <w:r w:rsidR="00BB5F3A" w:rsidRPr="009D0A4A">
              <w:fldChar w:fldCharType="separate"/>
            </w:r>
            <w:r w:rsidR="00BB5F3A" w:rsidRPr="009D0A4A">
              <w:rPr>
                <w:rFonts w:ascii="Calibri" w:hAnsi="Calibri" w:cs="Calibri"/>
              </w:rPr>
              <w:t>(Australian Government 2022)</w:t>
            </w:r>
            <w:r w:rsidR="00BB5F3A" w:rsidRPr="009D0A4A">
              <w:fldChar w:fldCharType="end"/>
            </w:r>
            <w:r w:rsidRPr="009D0A4A">
              <w:t>.</w:t>
            </w:r>
          </w:p>
        </w:tc>
      </w:tr>
      <w:tr w:rsidR="004F3309" w:rsidRPr="009D0A4A" w14:paraId="1B1E5653" w14:textId="77777777" w:rsidTr="00C42342">
        <w:trPr>
          <w:cnfStyle w:val="000000010000" w:firstRow="0" w:lastRow="0" w:firstColumn="0" w:lastColumn="0" w:oddVBand="0" w:evenVBand="0" w:oddHBand="0" w:evenHBand="1" w:firstRowFirstColumn="0" w:firstRowLastColumn="0" w:lastRowFirstColumn="0" w:lastRowLastColumn="0"/>
          <w:trHeight w:val="1255"/>
        </w:trPr>
        <w:tc>
          <w:tcPr>
            <w:tcW w:w="1418" w:type="dxa"/>
          </w:tcPr>
          <w:p w14:paraId="748FFB5D" w14:textId="77777777" w:rsidR="004F3309" w:rsidRPr="009D0A4A" w:rsidRDefault="004F3309" w:rsidP="004F3309">
            <w:r w:rsidRPr="009D0A4A">
              <w:t>QLD</w:t>
            </w:r>
          </w:p>
        </w:tc>
        <w:tc>
          <w:tcPr>
            <w:tcW w:w="2977" w:type="dxa"/>
          </w:tcPr>
          <w:p w14:paraId="52AB0EBA" w14:textId="6AC7E374" w:rsidR="004F3309" w:rsidRPr="009D0A4A" w:rsidRDefault="004F3309" w:rsidP="00825394">
            <w:pPr>
              <w:pStyle w:val="TableBody"/>
            </w:pPr>
            <w:r w:rsidRPr="009D0A4A">
              <w:t>Issued a safety alert in September 2018 for uncontrolled dry cutting of engineered stone</w:t>
            </w:r>
            <w:r w:rsidR="00BB5F3A" w:rsidRPr="009D0A4A">
              <w:t xml:space="preserve"> </w:t>
            </w:r>
            <w:r w:rsidR="00262B8C" w:rsidRPr="009D0A4A">
              <w:fldChar w:fldCharType="begin"/>
            </w:r>
            <w:r w:rsidR="004067E3">
              <w:instrText xml:space="preserve"> ADDIN ZOTERO_ITEM CSL_CITATION {"citationID":"SP0gBbnD","properties":{"formattedCitation":"(Queensland Government 2018)","plainCitation":"(Queensland Government 2018)","noteIndex":0},"citationItems":[{"id":926,"uris":["http://zotero.org/users/6230888/items/63EAHN2A"],"itemData":{"id":926,"type":"webpage","container-title":"Ministerial Media Statements","language":"en","title":"Safety alert issued for engineered stone benchtop workers","URL":"https://statements.qld.gov.au/statements/85566","author":[{"literal":"Queensland Government"}],"accessed":{"date-parts":[["2022",6,30]]},"issued":{"date-parts":[["2018"]]}}}],"schema":"https://github.com/citation-style-language/schema/raw/master/csl-citation.json"} </w:instrText>
            </w:r>
            <w:r w:rsidR="00262B8C" w:rsidRPr="009D0A4A">
              <w:fldChar w:fldCharType="separate"/>
            </w:r>
            <w:r w:rsidR="00262B8C" w:rsidRPr="009D0A4A">
              <w:rPr>
                <w:rFonts w:ascii="Calibri" w:hAnsi="Calibri" w:cs="Calibri"/>
              </w:rPr>
              <w:t>(Queensland Government 2018)</w:t>
            </w:r>
            <w:r w:rsidR="00262B8C" w:rsidRPr="009D0A4A">
              <w:fldChar w:fldCharType="end"/>
            </w:r>
            <w:r w:rsidR="00262B8C" w:rsidRPr="009D0A4A">
              <w:t>.</w:t>
            </w:r>
          </w:p>
        </w:tc>
        <w:tc>
          <w:tcPr>
            <w:tcW w:w="2693" w:type="dxa"/>
          </w:tcPr>
          <w:p w14:paraId="0760DDCD" w14:textId="2BAB6401" w:rsidR="004F3309" w:rsidRPr="009D0A4A" w:rsidRDefault="004F3309" w:rsidP="00825394">
            <w:pPr>
              <w:pStyle w:val="TableBody"/>
            </w:pPr>
            <w:r w:rsidRPr="009D0A4A">
              <w:t xml:space="preserve">Diagnoses of silicosis are notifiable in Queensland, in the opinion of the prescribed medical </w:t>
            </w:r>
            <w:r w:rsidR="000D181A" w:rsidRPr="009D0A4A">
              <w:t xml:space="preserve">practitioner </w:t>
            </w:r>
            <w:r w:rsidR="00262B8C" w:rsidRPr="009D0A4A">
              <w:fldChar w:fldCharType="begin"/>
            </w:r>
            <w:r w:rsidR="004067E3">
              <w:instrText xml:space="preserve"> ADDIN ZOTERO_ITEM CSL_CITATION {"citationID":"dPhgggBQ","properties":{"formattedCitation":"(Queensland Health 2022)","plainCitation":"(Queensland Health 2022)","noteIndex":0},"citationItems":[{"id":928,"uris":["http://zotero.org/users/6230888/items/U24LPU96"],"itemData":{"id":928,"type":"webpage","abstract":"Changes to the Public Health Act 2005 and Regulation provide a legislative framework for a notifiable dust lung disease register.","genre":"Text","language":"en-AU","note":"Last Modified: 2022-05-16 09:03:00\npublisher: corporateName=The State of Queensland; jurisdiction=Queensland","title":"About the Notifiable Dust Lung Disease Register","URL":"https://www.health.qld.gov.au/public-health/industry-environment/dust-lung-disease-register/about-the-register","author":[{"literal":"Queensland Health"}],"accessed":{"date-parts":[["2022",6,30]]},"issued":{"date-parts":[["2022"]]}}}],"schema":"https://github.com/citation-style-language/schema/raw/master/csl-citation.json"} </w:instrText>
            </w:r>
            <w:r w:rsidR="00262B8C" w:rsidRPr="009D0A4A">
              <w:fldChar w:fldCharType="separate"/>
            </w:r>
            <w:r w:rsidR="00262B8C" w:rsidRPr="009D0A4A">
              <w:rPr>
                <w:rFonts w:ascii="Calibri" w:hAnsi="Calibri" w:cs="Calibri"/>
              </w:rPr>
              <w:t>(Queensland Health 2022)</w:t>
            </w:r>
            <w:r w:rsidR="00262B8C" w:rsidRPr="009D0A4A">
              <w:fldChar w:fldCharType="end"/>
            </w:r>
            <w:r w:rsidRPr="009D0A4A">
              <w:t>.</w:t>
            </w:r>
          </w:p>
        </w:tc>
        <w:tc>
          <w:tcPr>
            <w:tcW w:w="3118" w:type="dxa"/>
          </w:tcPr>
          <w:p w14:paraId="7FEDCC03" w14:textId="77777777" w:rsidR="004F3309" w:rsidRDefault="004F3309" w:rsidP="00825394">
            <w:pPr>
              <w:pStyle w:val="TableBody"/>
            </w:pPr>
            <w:r w:rsidRPr="009D0A4A">
              <w:t>Managing RCS dust exposure in the stone benchtop industry Code of Practice commenced on 31 October 2019</w:t>
            </w:r>
            <w:r w:rsidR="00BB5F3A" w:rsidRPr="009D0A4A">
              <w:t xml:space="preserve"> </w:t>
            </w:r>
            <w:r w:rsidR="00BB5F3A" w:rsidRPr="009D0A4A">
              <w:rPr>
                <w:rFonts w:ascii="Calibri" w:hAnsi="Calibri" w:cs="Calibri"/>
              </w:rPr>
              <w:t>(Workplace Health and Safety Queensland 2019)</w:t>
            </w:r>
            <w:r w:rsidRPr="009D0A4A">
              <w:t>.</w:t>
            </w:r>
          </w:p>
          <w:p w14:paraId="2A29A7FD" w14:textId="7D9E4669" w:rsidR="00E30B13" w:rsidRPr="009D0A4A" w:rsidRDefault="0C12FAED" w:rsidP="00825394">
            <w:pPr>
              <w:pStyle w:val="TableBody"/>
            </w:pPr>
            <w:r>
              <w:t>Managing respirable crystalline silica dust exposure in construction and manufacturing of construction elements Code of Practice 2022 approved</w:t>
            </w:r>
            <w:r w:rsidR="0E6949A0">
              <w:t xml:space="preserve"> by WHS minister</w:t>
            </w:r>
            <w:r>
              <w:t xml:space="preserve"> </w:t>
            </w:r>
            <w:r w:rsidR="451B03F0">
              <w:t>and will commence in Queensland on 1 May 2023.</w:t>
            </w:r>
          </w:p>
        </w:tc>
      </w:tr>
      <w:tr w:rsidR="004F3309" w:rsidRPr="009D0A4A" w14:paraId="146AB326" w14:textId="77777777" w:rsidTr="00C42342">
        <w:trPr>
          <w:cnfStyle w:val="000000100000" w:firstRow="0" w:lastRow="0" w:firstColumn="0" w:lastColumn="0" w:oddVBand="0" w:evenVBand="0" w:oddHBand="1" w:evenHBand="0" w:firstRowFirstColumn="0" w:firstRowLastColumn="0" w:lastRowFirstColumn="0" w:lastRowLastColumn="0"/>
          <w:trHeight w:val="816"/>
        </w:trPr>
        <w:tc>
          <w:tcPr>
            <w:tcW w:w="1418" w:type="dxa"/>
          </w:tcPr>
          <w:p w14:paraId="75E27794" w14:textId="77777777" w:rsidR="004F3309" w:rsidRPr="009D0A4A" w:rsidRDefault="004F3309" w:rsidP="004F3309">
            <w:r w:rsidRPr="009D0A4A">
              <w:t>SA</w:t>
            </w:r>
          </w:p>
        </w:tc>
        <w:tc>
          <w:tcPr>
            <w:tcW w:w="2977" w:type="dxa"/>
          </w:tcPr>
          <w:p w14:paraId="0C126945" w14:textId="2877D7BE" w:rsidR="004F3309" w:rsidRPr="009D0A4A" w:rsidRDefault="004F3309" w:rsidP="004F3309"/>
        </w:tc>
        <w:tc>
          <w:tcPr>
            <w:tcW w:w="2693" w:type="dxa"/>
          </w:tcPr>
          <w:p w14:paraId="395D4353" w14:textId="09C56CFE" w:rsidR="004F3309" w:rsidRPr="009D0A4A" w:rsidRDefault="00901AC3" w:rsidP="00825394">
            <w:pPr>
              <w:pStyle w:val="TableBody"/>
            </w:pPr>
            <w:r>
              <w:t>The Mining and Quarrying</w:t>
            </w:r>
            <w:r w:rsidR="008B572F">
              <w:t xml:space="preserve"> Occupational Health and Safety Committee (MAQOHSC)</w:t>
            </w:r>
            <w:r w:rsidRPr="009D0A4A">
              <w:t xml:space="preserve"> </w:t>
            </w:r>
            <w:r w:rsidR="004F3309" w:rsidRPr="009D0A4A">
              <w:t xml:space="preserve"> conducted a baseline finding screening program</w:t>
            </w:r>
            <w:r w:rsidR="00BB5F3A" w:rsidRPr="009D0A4A">
              <w:t xml:space="preserve"> </w:t>
            </w:r>
            <w:r w:rsidR="00BB5F3A" w:rsidRPr="009D0A4A">
              <w:fldChar w:fldCharType="begin"/>
            </w:r>
            <w:r w:rsidR="004067E3">
              <w:instrText xml:space="preserve"> ADDIN ZOTERO_ITEM CSL_CITATION {"citationID":"5GJfqozI","properties":{"formattedCitation":"(Wellbeing SA 2020)","plainCitation":"(Wellbeing SA 2020)","noteIndex":0},"citationItems":[{"id":870,"uris":["http://zotero.org/users/6230888/items/QSF8UJ79"],"itemData":{"id":870,"type":"report","page":"40","title":"Silicosis Health Screening Program Baseline findings – September 2020","URL":"https://www.safework.sa.gov.au/workplaces/chemicals-substances-and-explosives/documents/Silicosis-Health-Screening-Program-Baseline-Findings.pdf","author":[{"literal":"Wellbeing SA"}],"accessed":{"date-parts":[["2022",6,30]]},"issued":{"date-parts":[["2020"]]}}}],"schema":"https://github.com/citation-style-language/schema/raw/master/csl-citation.json"} </w:instrText>
            </w:r>
            <w:r w:rsidR="00BB5F3A" w:rsidRPr="009D0A4A">
              <w:fldChar w:fldCharType="separate"/>
            </w:r>
            <w:r w:rsidR="00BB5F3A" w:rsidRPr="009D0A4A">
              <w:rPr>
                <w:rFonts w:ascii="Calibri" w:hAnsi="Calibri" w:cs="Calibri"/>
              </w:rPr>
              <w:t>(Wellbeing SA 2020)</w:t>
            </w:r>
            <w:r w:rsidR="00BB5F3A" w:rsidRPr="009D0A4A">
              <w:fldChar w:fldCharType="end"/>
            </w:r>
            <w:r w:rsidR="004F3309" w:rsidRPr="009D0A4A">
              <w:t xml:space="preserve">. </w:t>
            </w:r>
          </w:p>
        </w:tc>
        <w:tc>
          <w:tcPr>
            <w:tcW w:w="3118" w:type="dxa"/>
          </w:tcPr>
          <w:p w14:paraId="49EC9707" w14:textId="5977FE50" w:rsidR="004F3309" w:rsidRPr="009D0A4A" w:rsidRDefault="004F3309" w:rsidP="00825394">
            <w:pPr>
              <w:pStyle w:val="TableBody"/>
            </w:pPr>
            <w:r w:rsidRPr="009D0A4A">
              <w:t>Silicosis database and compliance program from 2019 to 2021</w:t>
            </w:r>
            <w:r w:rsidR="00BB5F3A" w:rsidRPr="009D0A4A">
              <w:t xml:space="preserve"> </w:t>
            </w:r>
            <w:r w:rsidR="000D181A" w:rsidRPr="009D0A4A">
              <w:fldChar w:fldCharType="begin"/>
            </w:r>
            <w:r w:rsidR="004067E3">
              <w:instrText xml:space="preserve"> ADDIN ZOTERO_ITEM CSL_CITATION {"citationID":"jruxQRoj","properties":{"formattedCitation":"(SafeWork SA 2019, SafeWork SA 2021)","plainCitation":"(SafeWork SA 2019, SafeWork SA 2021)","noteIndex":0},"citationItems":[{"id":884,"uris":["http://zotero.org/users/6230888/items/XAX8CMBR"],"itemData":{"id":884,"type":"report","page":"15","title":"Respirable Crystalline Silica Compliance Program - 2019 Audit Report","URL":"https://www.safework.sa.gov.au/__data/assets/pdf_file/0010/187624/rcs_compliance_audit_report_2019.pdf","author":[{"literal":"SafeWork SA"}],"accessed":{"date-parts":[["2022",6,30]]},"issued":{"date-parts":[["2019"]]}}},{"id":879,"uris":["http://zotero.org/users/6230888/items/DKBHJC4X"],"itemData":{"id":879,"type":"report","page":"18","title":"Respirable Crystalline Silica Campaign Report 2020-21","URL":"https://www.safework.sa.gov.au/__data/assets/pdf_file/0006/469833/Respirable-Crystalline-Silica-Campaign-Report-2020-21.pdf","author":[{"literal":"SafeWork SA"}],"accessed":{"date-parts":[["2022",6,30]]},"issued":{"date-parts":[["2021"]]}}}],"schema":"https://github.com/citation-style-language/schema/raw/master/csl-citation.json"} </w:instrText>
            </w:r>
            <w:r w:rsidR="000D181A" w:rsidRPr="009D0A4A">
              <w:fldChar w:fldCharType="separate"/>
            </w:r>
            <w:r w:rsidR="00262B8C" w:rsidRPr="009D0A4A">
              <w:rPr>
                <w:rFonts w:ascii="Calibri" w:hAnsi="Calibri" w:cs="Calibri"/>
              </w:rPr>
              <w:t>(SafeWork SA 2019, SafeWork SA 2021)</w:t>
            </w:r>
            <w:r w:rsidR="000D181A" w:rsidRPr="009D0A4A">
              <w:fldChar w:fldCharType="end"/>
            </w:r>
            <w:r w:rsidRPr="009D0A4A">
              <w:t xml:space="preserve">. </w:t>
            </w:r>
          </w:p>
        </w:tc>
      </w:tr>
      <w:tr w:rsidR="004F3309" w:rsidRPr="009D0A4A" w14:paraId="40EB4C82" w14:textId="77777777" w:rsidTr="00C42342">
        <w:trPr>
          <w:cnfStyle w:val="000000010000" w:firstRow="0" w:lastRow="0" w:firstColumn="0" w:lastColumn="0" w:oddVBand="0" w:evenVBand="0" w:oddHBand="0" w:evenHBand="1" w:firstRowFirstColumn="0" w:firstRowLastColumn="0" w:lastRowFirstColumn="0" w:lastRowLastColumn="0"/>
          <w:trHeight w:val="563"/>
        </w:trPr>
        <w:tc>
          <w:tcPr>
            <w:tcW w:w="1418" w:type="dxa"/>
          </w:tcPr>
          <w:p w14:paraId="5C6776D8" w14:textId="77777777" w:rsidR="004F3309" w:rsidRPr="009D0A4A" w:rsidRDefault="004F3309" w:rsidP="004F3309">
            <w:r w:rsidRPr="009D0A4A">
              <w:t>TAS</w:t>
            </w:r>
          </w:p>
        </w:tc>
        <w:tc>
          <w:tcPr>
            <w:tcW w:w="2977" w:type="dxa"/>
          </w:tcPr>
          <w:p w14:paraId="08472599" w14:textId="4B471310" w:rsidR="004F3309" w:rsidRPr="009D0A4A" w:rsidRDefault="004F3309" w:rsidP="00825394">
            <w:pPr>
              <w:pStyle w:val="TableBody"/>
            </w:pPr>
            <w:r w:rsidRPr="009D0A4A">
              <w:t>A media campaign ran by WorkSafe Tasmania between November 2019 and January 2020 targeting tradespeople and others with the tagline: ‘don’t breathe dust’ and ‘be silica safe</w:t>
            </w:r>
            <w:r w:rsidR="008D0D91" w:rsidRPr="009D0A4A">
              <w:t xml:space="preserve">’ </w:t>
            </w:r>
            <w:r w:rsidR="008D0D91" w:rsidRPr="009D0A4A">
              <w:fldChar w:fldCharType="begin"/>
            </w:r>
            <w:r w:rsidR="004067E3">
              <w:instrText xml:space="preserve"> ADDIN ZOTERO_ITEM CSL_CITATION {"citationID":"xxLN77UU","properties":{"formattedCitation":"(WorkSafe Tasmania 2019)","plainCitation":"(WorkSafe Tasmania 2019)","noteIndex":0},"citationItems":[{"id":930,"uris":["http://zotero.org/users/6230888/items/WFYPX5L7"],"itemData":{"id":930,"type":"report","event-place":"10","publisher-place":"10","title":"Silica Dust Awareness Campaign 2019","URL":"https://worksafe.tas.gov.au/__data/assets/pdf_file/0007/548971/Silica-Dust-Awareness-Campaign-Kit.pdf","author":[{"literal":"WorkSafe Tasmania"}],"accessed":{"date-parts":[["2022",6,30]]},"issued":{"date-parts":[["2019"]]}}}],"schema":"https://github.com/citation-style-language/schema/raw/master/csl-citation.json"} </w:instrText>
            </w:r>
            <w:r w:rsidR="008D0D91" w:rsidRPr="009D0A4A">
              <w:fldChar w:fldCharType="separate"/>
            </w:r>
            <w:r w:rsidR="008D0D91" w:rsidRPr="009D0A4A">
              <w:rPr>
                <w:rFonts w:ascii="Calibri" w:hAnsi="Calibri" w:cs="Calibri"/>
              </w:rPr>
              <w:t>(WorkSafe Tasmania 2019)</w:t>
            </w:r>
            <w:r w:rsidR="008D0D91" w:rsidRPr="009D0A4A">
              <w:fldChar w:fldCharType="end"/>
            </w:r>
            <w:r w:rsidRPr="009D0A4A">
              <w:t>.</w:t>
            </w:r>
          </w:p>
        </w:tc>
        <w:tc>
          <w:tcPr>
            <w:tcW w:w="2693" w:type="dxa"/>
          </w:tcPr>
          <w:p w14:paraId="2C7A0BFD" w14:textId="494BE81C" w:rsidR="004F3309" w:rsidRPr="009D0A4A" w:rsidRDefault="004F3309" w:rsidP="00825394">
            <w:pPr>
              <w:pStyle w:val="TableBody"/>
            </w:pPr>
          </w:p>
        </w:tc>
        <w:tc>
          <w:tcPr>
            <w:tcW w:w="3118" w:type="dxa"/>
          </w:tcPr>
          <w:p w14:paraId="612AC598" w14:textId="0DD09092" w:rsidR="004F3309" w:rsidRPr="009D0A4A" w:rsidRDefault="000D181A" w:rsidP="00825394">
            <w:pPr>
              <w:pStyle w:val="TableBody"/>
              <w:rPr>
                <w:rFonts w:cstheme="minorHAnsi"/>
              </w:rPr>
            </w:pPr>
            <w:r w:rsidRPr="009D0A4A">
              <w:t xml:space="preserve">Implemented the </w:t>
            </w:r>
            <w:r w:rsidRPr="009D0A4A">
              <w:rPr>
                <w:rFonts w:cstheme="minorHAnsi"/>
              </w:rPr>
              <w:t xml:space="preserve">model Code of Practice: Managing the risks of RCS from engineered stone in the workplace </w:t>
            </w:r>
            <w:r w:rsidR="008D0D91" w:rsidRPr="009D0A4A">
              <w:fldChar w:fldCharType="begin"/>
            </w:r>
            <w:r w:rsidR="004067E3">
              <w:instrText xml:space="preserve"> ADDIN ZOTERO_ITEM CSL_CITATION {"citationID":"RhhwerJg","properties":{"formattedCitation":"(WorkSafe Tasmania 2022)","plainCitation":"(WorkSafe Tasmania 2022)","noteIndex":0},"citationItems":[{"id":931,"uris":["http://zotero.org/users/6230888/items/6HS98EWH"],"itemData":{"id":931,"type":"webpage","abstract":"Provides practical guidance on how to manage the health and safety risks associated with respirable crystalline silica from engineered stone","language":"en","note":"publisher: Department of Justice","title":"Managing the risks of respirable crystalline silica from engineered stone in the workplace","URL":"https://worksafe.tas.gov.au/topics/laws-and-compliance/codes-of-practice/cop-folder/managing-the-risks-of-respirable-crystalline-silica-from-engineered-stone-in-the-workplace","author":[{"literal":"WorkSafe Tasmania"}],"accessed":{"date-parts":[["2022",6,30]]},"issued":{"date-parts":[["2022"]]}}}],"schema":"https://github.com/citation-style-language/schema/raw/master/csl-citation.json"} </w:instrText>
            </w:r>
            <w:r w:rsidR="008D0D91" w:rsidRPr="009D0A4A">
              <w:fldChar w:fldCharType="separate"/>
            </w:r>
            <w:r w:rsidR="008D0D91" w:rsidRPr="009D0A4A">
              <w:rPr>
                <w:rFonts w:ascii="Calibri" w:hAnsi="Calibri" w:cs="Calibri"/>
              </w:rPr>
              <w:t>(WorkSafe Tasmania 2022)</w:t>
            </w:r>
            <w:r w:rsidR="008D0D91" w:rsidRPr="009D0A4A">
              <w:fldChar w:fldCharType="end"/>
            </w:r>
            <w:r w:rsidR="008D0D91" w:rsidRPr="009D0A4A">
              <w:t>.</w:t>
            </w:r>
          </w:p>
        </w:tc>
      </w:tr>
      <w:tr w:rsidR="004F3309" w:rsidRPr="009D0A4A" w14:paraId="30CB5B7E" w14:textId="77777777" w:rsidTr="00C42342">
        <w:trPr>
          <w:cnfStyle w:val="000000100000" w:firstRow="0" w:lastRow="0" w:firstColumn="0" w:lastColumn="0" w:oddVBand="0" w:evenVBand="0" w:oddHBand="1" w:evenHBand="0" w:firstRowFirstColumn="0" w:firstRowLastColumn="0" w:lastRowFirstColumn="0" w:lastRowLastColumn="0"/>
          <w:trHeight w:val="1750"/>
        </w:trPr>
        <w:tc>
          <w:tcPr>
            <w:tcW w:w="1418" w:type="dxa"/>
          </w:tcPr>
          <w:p w14:paraId="1DE2ED79" w14:textId="77777777" w:rsidR="004F3309" w:rsidRPr="009D0A4A" w:rsidRDefault="004F3309" w:rsidP="004F3309">
            <w:r w:rsidRPr="009D0A4A">
              <w:lastRenderedPageBreak/>
              <w:t>WA</w:t>
            </w:r>
          </w:p>
        </w:tc>
        <w:tc>
          <w:tcPr>
            <w:tcW w:w="2977" w:type="dxa"/>
          </w:tcPr>
          <w:p w14:paraId="25BCF10F" w14:textId="508E82B4" w:rsidR="004F3309" w:rsidRPr="009D0A4A" w:rsidRDefault="004F3309" w:rsidP="00825394">
            <w:pPr>
              <w:pStyle w:val="TableBody"/>
            </w:pPr>
            <w:r w:rsidRPr="009D0A4A">
              <w:t xml:space="preserve">WorkSafe </w:t>
            </w:r>
            <w:r w:rsidR="00FC4908" w:rsidRPr="009D0A4A">
              <w:t>Western Australia</w:t>
            </w:r>
            <w:r w:rsidRPr="009D0A4A">
              <w:t xml:space="preserve"> issued a safety alert in November 2018 for stone benchtop workers at risk of silicosis</w:t>
            </w:r>
            <w:r w:rsidR="000D181A" w:rsidRPr="009D0A4A">
              <w:t xml:space="preserve"> </w:t>
            </w:r>
            <w:r w:rsidR="004067E3">
              <w:fldChar w:fldCharType="begin"/>
            </w:r>
            <w:r w:rsidR="004067E3">
              <w:instrText xml:space="preserve"> ADDIN ZOTERO_ITEM CSL_CITATION {"citationID":"pLbxNn9g","properties":{"formattedCitation":"(WorkSafe Western Australia 2018)","plainCitation":"(WorkSafe Western Australia 2018)","noteIndex":0},"citationItems":[{"id":939,"uris":["http://zotero.org/users/6230888/items/PJY4XCSL"],"itemData":{"id":939,"type":"report","page":"4","title":"Safety alert 11/2018 - Stone benchtop workers at risk of silicosis","URL":"https://www.commerce.wa.gov.au/publications/safety-alert-112018-stone-benchtop-workers-risk-silicosis","author":[{"literal":"WorkSafe Western Australia"}],"accessed":{"date-parts":[["2022",6,28]]},"issued":{"date-parts":[["2018"]]}}}],"schema":"https://github.com/citation-style-language/schema/raw/master/csl-citation.json"} </w:instrText>
            </w:r>
            <w:r w:rsidR="004067E3">
              <w:fldChar w:fldCharType="separate"/>
            </w:r>
            <w:r w:rsidR="004067E3" w:rsidRPr="004067E3">
              <w:rPr>
                <w:rFonts w:ascii="Calibri" w:hAnsi="Calibri" w:cs="Calibri"/>
              </w:rPr>
              <w:t>(WorkSafe Western Australia 2018)</w:t>
            </w:r>
            <w:r w:rsidR="004067E3">
              <w:fldChar w:fldCharType="end"/>
            </w:r>
            <w:r w:rsidRPr="009D0A4A">
              <w:t xml:space="preserve">. </w:t>
            </w:r>
          </w:p>
          <w:p w14:paraId="5C788578" w14:textId="5AFCD2C2" w:rsidR="004F3309" w:rsidRPr="009D0A4A" w:rsidRDefault="004F3309" w:rsidP="00825394">
            <w:pPr>
              <w:pStyle w:val="TableBody"/>
            </w:pPr>
            <w:r w:rsidRPr="009D0A4A">
              <w:t xml:space="preserve">Guidance note developed for those working with stone </w:t>
            </w:r>
            <w:r w:rsidR="00FC4908" w:rsidRPr="009D0A4A">
              <w:fldChar w:fldCharType="begin"/>
            </w:r>
            <w:r w:rsidR="004067E3">
              <w:instrText xml:space="preserve"> ADDIN ZOTERO_ITEM CSL_CITATION {"citationID":"jbEFprJv","properties":{"formattedCitation":"(WorkSafe Western Australia 2021)","plainCitation":"(WorkSafe Western Australia 2021)","noteIndex":0},"citationItems":[{"id":871,"uris":["http://zotero.org/users/6230888/items/TA8RQVKK"],"itemData":{"id":871,"type":"report","abstract":"Between July 2018 and May 2021, WorkSafe WA undertook a proactive compliance project into engineered stone benchtop fabrication and installation to investigate respirable crystalline silica (RCS) e","language":"en","page":"8","title":"WorkSafe Western Australia silica compliance project - report","URL":"https://www.commerce.wa.gov.au/sites/default/files/atoms/files/silica_compliance_report.pdf","author":[{"literal":"WorkSafe Western Australia"}],"accessed":{"date-parts":[["2022",6,30]]},"issued":{"date-parts":[["2021",7,14]]}}}],"schema":"https://github.com/citation-style-language/schema/raw/master/csl-citation.json"} </w:instrText>
            </w:r>
            <w:r w:rsidR="00FC4908" w:rsidRPr="009D0A4A">
              <w:fldChar w:fldCharType="separate"/>
            </w:r>
            <w:r w:rsidR="00FC4908" w:rsidRPr="009D0A4A">
              <w:t>(WorkSafe Western Australia 2021)</w:t>
            </w:r>
            <w:r w:rsidR="00FC4908" w:rsidRPr="009D0A4A">
              <w:fldChar w:fldCharType="end"/>
            </w:r>
            <w:r w:rsidR="00FC4908" w:rsidRPr="009D0A4A">
              <w:t>.</w:t>
            </w:r>
          </w:p>
        </w:tc>
        <w:tc>
          <w:tcPr>
            <w:tcW w:w="2693" w:type="dxa"/>
          </w:tcPr>
          <w:p w14:paraId="16A52F34" w14:textId="08F9812D" w:rsidR="004F3309" w:rsidRPr="009D0A4A" w:rsidRDefault="004F3309" w:rsidP="00825394">
            <w:pPr>
              <w:pStyle w:val="TableBody"/>
            </w:pPr>
            <w:r w:rsidRPr="009D0A4A">
              <w:t>Between July 2018 and May 2021, workers participated in the WorkSafe Health Surveillance Recall Project or the WA Silicosis Screening Project</w:t>
            </w:r>
            <w:r w:rsidR="008D0D91" w:rsidRPr="009D0A4A">
              <w:t xml:space="preserve"> </w:t>
            </w:r>
            <w:r w:rsidR="008D0D91" w:rsidRPr="009D0A4A">
              <w:fldChar w:fldCharType="begin"/>
            </w:r>
            <w:r w:rsidR="004067E3">
              <w:instrText xml:space="preserve"> ADDIN ZOTERO_ITEM CSL_CITATION {"citationID":"22kt1JRr","properties":{"formattedCitation":"(WorkSafe Western Australia 2021)","plainCitation":"(WorkSafe Western Australia 2021)","noteIndex":0},"citationItems":[{"id":871,"uris":["http://zotero.org/users/6230888/items/TA8RQVKK"],"itemData":{"id":871,"type":"report","abstract":"Between July 2018 and May 2021, WorkSafe WA undertook a proactive compliance project into engineered stone benchtop fabrication and installation to investigate respirable crystalline silica (RCS) e","language":"en","page":"8","title":"WorkSafe Western Australia silica compliance project - report","URL":"https://www.commerce.wa.gov.au/sites/default/files/atoms/files/silica_compliance_report.pdf","author":[{"literal":"WorkSafe Western Australia"}],"accessed":{"date-parts":[["2022",6,30]]},"issued":{"date-parts":[["2021",7,14]]}}}],"schema":"https://github.com/citation-style-language/schema/raw/master/csl-citation.json"} </w:instrText>
            </w:r>
            <w:r w:rsidR="008D0D91" w:rsidRPr="009D0A4A">
              <w:fldChar w:fldCharType="separate"/>
            </w:r>
            <w:r w:rsidR="008D0D91" w:rsidRPr="009D0A4A">
              <w:rPr>
                <w:rFonts w:ascii="Calibri" w:hAnsi="Calibri" w:cs="Calibri"/>
              </w:rPr>
              <w:t>(WorkSafe Western Australia 2021)</w:t>
            </w:r>
            <w:r w:rsidR="008D0D91" w:rsidRPr="009D0A4A">
              <w:fldChar w:fldCharType="end"/>
            </w:r>
            <w:r w:rsidRPr="009D0A4A">
              <w:t>.</w:t>
            </w:r>
          </w:p>
          <w:p w14:paraId="5A1092DD" w14:textId="1927FDAE" w:rsidR="004F3309" w:rsidRPr="009D0A4A" w:rsidRDefault="004F3309" w:rsidP="00825394">
            <w:pPr>
              <w:pStyle w:val="TableBody"/>
            </w:pPr>
            <w:r w:rsidRPr="009D0A4A">
              <w:t>In January 2021, amended the OHS regulations to require employers to provide a low-dose HRCT scan instead of previously required chest X-ray</w:t>
            </w:r>
            <w:r w:rsidR="005B62D3" w:rsidRPr="009D0A4A">
              <w:t xml:space="preserve"> </w:t>
            </w:r>
            <w:r w:rsidR="005B62D3" w:rsidRPr="009D0A4A">
              <w:fldChar w:fldCharType="begin"/>
            </w:r>
            <w:r w:rsidR="004067E3">
              <w:instrText xml:space="preserve"> ADDIN ZOTERO_ITEM CSL_CITATION {"citationID":"wk8tjjh1","properties":{"formattedCitation":"(Government of Western Australia 2021)","plainCitation":"(Government of Western Australia 2021)","noteIndex":0},"citationItems":[{"id":833,"uris":["http://zotero.org/users/6230888/items/SBVRFUDL"],"itemData":{"id":833,"type":"webpage","container-title":"Health surveillance requirements for silica strengthened","title":"Media Statements - Health surveillance requirements for silica strengthened","URL":"https://www.mediastatements.wa.gov.au/Pages/McGowan/2021/01/Health-surveillance-requirements-for-silica-strengthened.aspx","author":[{"literal":"Government of Western Australia"}],"accessed":{"date-parts":[["2022",6,30]]},"issued":{"date-parts":[["2021"]]}}}],"schema":"https://github.com/citation-style-language/schema/raw/master/csl-citation.json"} </w:instrText>
            </w:r>
            <w:r w:rsidR="005B62D3" w:rsidRPr="009D0A4A">
              <w:fldChar w:fldCharType="separate"/>
            </w:r>
            <w:r w:rsidR="006B4A7D" w:rsidRPr="009D0A4A">
              <w:rPr>
                <w:rFonts w:ascii="Calibri" w:hAnsi="Calibri" w:cs="Calibri"/>
              </w:rPr>
              <w:t>(Government of Western Australia 2021)</w:t>
            </w:r>
            <w:r w:rsidR="005B62D3" w:rsidRPr="009D0A4A">
              <w:fldChar w:fldCharType="end"/>
            </w:r>
          </w:p>
        </w:tc>
        <w:tc>
          <w:tcPr>
            <w:tcW w:w="3118" w:type="dxa"/>
          </w:tcPr>
          <w:p w14:paraId="48DF123C" w14:textId="09A33ED2" w:rsidR="004F3309" w:rsidRPr="009D0A4A" w:rsidRDefault="004F3309" w:rsidP="00825394">
            <w:pPr>
              <w:pStyle w:val="TableBody"/>
            </w:pPr>
          </w:p>
        </w:tc>
      </w:tr>
    </w:tbl>
    <w:p w14:paraId="402D27FC" w14:textId="396EE3BD" w:rsidR="008A1D1F" w:rsidRPr="009D0A4A" w:rsidRDefault="00B61508" w:rsidP="003A3B2B">
      <w:pPr>
        <w:pStyle w:val="Heading2"/>
      </w:pPr>
      <w:bookmarkStart w:id="21" w:name="_Toc126573199"/>
      <w:r>
        <w:t xml:space="preserve">Other complementary </w:t>
      </w:r>
      <w:r w:rsidR="005654F1">
        <w:t xml:space="preserve">policy </w:t>
      </w:r>
      <w:r w:rsidR="008A1D1F">
        <w:t>initiatives</w:t>
      </w:r>
      <w:bookmarkEnd w:id="21"/>
    </w:p>
    <w:p w14:paraId="1F63B26F" w14:textId="7E8D196D" w:rsidR="008A1D1F" w:rsidRPr="009D0A4A" w:rsidRDefault="008A1D1F" w:rsidP="00234FEF">
      <w:pPr>
        <w:pStyle w:val="BodyText"/>
      </w:pPr>
      <w:r>
        <w:t xml:space="preserve">Several regulatory and non-regulatory initiatives are being progressed in parallel with this </w:t>
      </w:r>
      <w:r w:rsidR="006651C5">
        <w:t xml:space="preserve">impact analysis </w:t>
      </w:r>
      <w:r>
        <w:t>process</w:t>
      </w:r>
      <w:r w:rsidR="00244966">
        <w:t xml:space="preserve"> at the </w:t>
      </w:r>
      <w:r w:rsidR="00E752D5">
        <w:t>national</w:t>
      </w:r>
      <w:r w:rsidR="00244966">
        <w:t xml:space="preserve"> level</w:t>
      </w:r>
      <w:r>
        <w:t xml:space="preserve">, which </w:t>
      </w:r>
      <w:r w:rsidR="00CE6EC6">
        <w:t>are intended to reduce</w:t>
      </w:r>
      <w:r>
        <w:t xml:space="preserve"> the risks associated with RCS exposures at the workplace</w:t>
      </w:r>
      <w:r w:rsidR="00BE02B3">
        <w:t xml:space="preserve">. </w:t>
      </w:r>
      <w:r w:rsidR="00BE02B3" w:rsidRPr="00825394">
        <w:t>These</w:t>
      </w:r>
      <w:r w:rsidR="00BE02B3">
        <w:t xml:space="preserve"> </w:t>
      </w:r>
      <w:r w:rsidR="00244966">
        <w:t xml:space="preserve">include </w:t>
      </w:r>
      <w:r w:rsidR="00E6161D">
        <w:t xml:space="preserve">Commonwealth </w:t>
      </w:r>
      <w:r w:rsidR="0097054F">
        <w:t xml:space="preserve">initiatives in the </w:t>
      </w:r>
      <w:r w:rsidR="00244966">
        <w:t>All of Australian Governments</w:t>
      </w:r>
      <w:r w:rsidR="004E3629">
        <w:t>’</w:t>
      </w:r>
      <w:r w:rsidR="00244966">
        <w:t xml:space="preserve"> Response to the National Dust Disease Taskforce Report and development of a </w:t>
      </w:r>
      <w:r w:rsidR="00745E60">
        <w:t xml:space="preserve">nationally </w:t>
      </w:r>
      <w:r w:rsidR="00E547F5">
        <w:t>accredited</w:t>
      </w:r>
      <w:r w:rsidR="00745E60">
        <w:t xml:space="preserve"> </w:t>
      </w:r>
      <w:r w:rsidR="00244966">
        <w:t xml:space="preserve">silica safety training package. These </w:t>
      </w:r>
      <w:r w:rsidR="00BE02B3">
        <w:t>are summarised in Appendix B.</w:t>
      </w:r>
      <w:r>
        <w:t xml:space="preserve"> </w:t>
      </w:r>
    </w:p>
    <w:p w14:paraId="6C56218A" w14:textId="6E23921D" w:rsidR="6E04D04A" w:rsidRPr="001A17E0" w:rsidRDefault="6E04D04A" w:rsidP="003A3B2B">
      <w:pPr>
        <w:pStyle w:val="Heading2"/>
      </w:pPr>
      <w:bookmarkStart w:id="22" w:name="_Toc126573200"/>
      <w:r>
        <w:t>Purpose</w:t>
      </w:r>
      <w:r w:rsidR="008258DC">
        <w:t xml:space="preserve"> </w:t>
      </w:r>
      <w:r w:rsidR="007502F0">
        <w:t xml:space="preserve">and scope </w:t>
      </w:r>
      <w:r w:rsidR="008A1D1F">
        <w:t xml:space="preserve">of this </w:t>
      </w:r>
      <w:r w:rsidR="00911475">
        <w:t>D</w:t>
      </w:r>
      <w:r w:rsidR="00D971C3">
        <w:t xml:space="preserve">ecision </w:t>
      </w:r>
      <w:r w:rsidR="008A1D1F">
        <w:t>R</w:t>
      </w:r>
      <w:r w:rsidR="00911475">
        <w:t>egulation Impact Statement</w:t>
      </w:r>
      <w:bookmarkEnd w:id="22"/>
    </w:p>
    <w:p w14:paraId="31E03DC0" w14:textId="300A5ABE" w:rsidR="00A7374C" w:rsidRPr="009D0A4A" w:rsidRDefault="0027349B" w:rsidP="00234FEF">
      <w:pPr>
        <w:pStyle w:val="BodyText"/>
      </w:pPr>
      <w:r>
        <w:t>The purpose of this</w:t>
      </w:r>
      <w:r w:rsidR="00A7374C">
        <w:t xml:space="preserve"> </w:t>
      </w:r>
      <w:r w:rsidR="00911475">
        <w:t>Decision Regulation Impact Statement (</w:t>
      </w:r>
      <w:r w:rsidR="0054756F">
        <w:t>DRIS</w:t>
      </w:r>
      <w:r w:rsidR="00911475">
        <w:t>)</w:t>
      </w:r>
      <w:r w:rsidR="00054F57">
        <w:t xml:space="preserve"> </w:t>
      </w:r>
      <w:r>
        <w:t xml:space="preserve">is to </w:t>
      </w:r>
      <w:r w:rsidR="0039049B">
        <w:t xml:space="preserve">consider and </w:t>
      </w:r>
      <w:r w:rsidR="005F7BDD">
        <w:t xml:space="preserve">make recommendations to WHS </w:t>
      </w:r>
      <w:r w:rsidR="5F85CD9A">
        <w:t>m</w:t>
      </w:r>
      <w:r w:rsidR="005F7BDD">
        <w:t>inisters</w:t>
      </w:r>
      <w:r w:rsidR="006651C5">
        <w:t xml:space="preserve"> </w:t>
      </w:r>
      <w:r>
        <w:t>on</w:t>
      </w:r>
      <w:r w:rsidR="0039049B">
        <w:t xml:space="preserve"> the preferred</w:t>
      </w:r>
      <w:r>
        <w:t xml:space="preserve"> </w:t>
      </w:r>
      <w:r w:rsidR="00A7374C">
        <w:t xml:space="preserve">options for managing the risks of </w:t>
      </w:r>
      <w:r w:rsidR="0039049B">
        <w:t xml:space="preserve">crystalline silica </w:t>
      </w:r>
      <w:r w:rsidR="00E752D5">
        <w:t>at work</w:t>
      </w:r>
      <w:r w:rsidR="00A7374C">
        <w:t>.</w:t>
      </w:r>
    </w:p>
    <w:p w14:paraId="5996E6A4" w14:textId="72F36AFD" w:rsidR="008739C4" w:rsidRPr="009D0A4A" w:rsidRDefault="00E95290" w:rsidP="00234FEF">
      <w:pPr>
        <w:pStyle w:val="BodyText"/>
      </w:pPr>
      <w:r>
        <w:t xml:space="preserve">As explained in Section </w:t>
      </w:r>
      <w:r>
        <w:fldChar w:fldCharType="begin"/>
      </w:r>
      <w:r>
        <w:instrText xml:space="preserve"> REF _Ref124686819 \r \h </w:instrText>
      </w:r>
      <w:r>
        <w:fldChar w:fldCharType="separate"/>
      </w:r>
      <w:r w:rsidR="002729D7">
        <w:t>2.2</w:t>
      </w:r>
      <w:r>
        <w:fldChar w:fldCharType="end"/>
      </w:r>
      <w:r>
        <w:t xml:space="preserve">, </w:t>
      </w:r>
      <w:r w:rsidR="00522F68">
        <w:t>w</w:t>
      </w:r>
      <w:r>
        <w:t xml:space="preserve">orkplace exposure to RCS occurs in a wide range of industries. </w:t>
      </w:r>
      <w:r w:rsidR="004432B2">
        <w:t xml:space="preserve">The scope of this </w:t>
      </w:r>
      <w:r w:rsidR="00911475">
        <w:t>DRIS</w:t>
      </w:r>
      <w:r w:rsidR="00D971C3">
        <w:t xml:space="preserve"> </w:t>
      </w:r>
      <w:r w:rsidR="005F7BDD">
        <w:t>includes</w:t>
      </w:r>
      <w:r w:rsidR="00743773">
        <w:t xml:space="preserve"> </w:t>
      </w:r>
      <w:r w:rsidR="006A1ED1">
        <w:t>all workplaces</w:t>
      </w:r>
      <w:r w:rsidR="00E752D5">
        <w:t xml:space="preserve"> </w:t>
      </w:r>
      <w:r w:rsidR="00743773">
        <w:t xml:space="preserve">subject to the model WHS laws </w:t>
      </w:r>
      <w:r w:rsidR="3ED84033">
        <w:t xml:space="preserve">and </w:t>
      </w:r>
      <w:r w:rsidR="005F7BDD">
        <w:t>where</w:t>
      </w:r>
      <w:r w:rsidR="00E752D5">
        <w:t xml:space="preserve"> workers</w:t>
      </w:r>
      <w:r w:rsidR="006F1E8E">
        <w:t xml:space="preserve"> may be exposed to hazardous levels of RCS</w:t>
      </w:r>
      <w:r w:rsidR="006A1ED1">
        <w:t xml:space="preserve">. </w:t>
      </w:r>
    </w:p>
    <w:p w14:paraId="6CE7DBA9" w14:textId="4AAA4DEA" w:rsidR="00E44777" w:rsidRPr="009D0A4A" w:rsidRDefault="00D34F34" w:rsidP="00234FEF">
      <w:pPr>
        <w:pStyle w:val="BodyText"/>
      </w:pPr>
      <w:r w:rsidRPr="009D0A4A">
        <w:t>Victoria has not adop</w:t>
      </w:r>
      <w:r w:rsidR="0063053F" w:rsidRPr="009D0A4A">
        <w:t>t</w:t>
      </w:r>
      <w:r w:rsidRPr="009D0A4A">
        <w:t xml:space="preserve">ed the model WHS laws, and </w:t>
      </w:r>
      <w:r w:rsidR="000111E3" w:rsidRPr="009D0A4A">
        <w:t xml:space="preserve">therefore </w:t>
      </w:r>
      <w:r w:rsidRPr="009D0A4A">
        <w:t>w</w:t>
      </w:r>
      <w:r w:rsidR="004F4169" w:rsidRPr="009D0A4A">
        <w:t xml:space="preserve">orkplaces in Victoria are </w:t>
      </w:r>
      <w:r w:rsidRPr="009D0A4A">
        <w:t>out of</w:t>
      </w:r>
      <w:r w:rsidR="001C2A3C" w:rsidRPr="009D0A4A">
        <w:t xml:space="preserve"> </w:t>
      </w:r>
      <w:r w:rsidRPr="009D0A4A">
        <w:t xml:space="preserve">the </w:t>
      </w:r>
      <w:r w:rsidR="001C2A3C" w:rsidRPr="009D0A4A">
        <w:t xml:space="preserve">scope </w:t>
      </w:r>
      <w:r w:rsidRPr="009D0A4A">
        <w:t>of</w:t>
      </w:r>
      <w:r w:rsidR="00C25444" w:rsidRPr="009D0A4A">
        <w:t xml:space="preserve"> this </w:t>
      </w:r>
      <w:r w:rsidR="0054756F">
        <w:t>DRIS</w:t>
      </w:r>
      <w:r w:rsidRPr="009D0A4A">
        <w:t xml:space="preserve">. </w:t>
      </w:r>
      <w:r w:rsidR="00E44777" w:rsidRPr="009D0A4A">
        <w:t xml:space="preserve">However, </w:t>
      </w:r>
      <w:r w:rsidR="006A5D0B" w:rsidRPr="009D0A4A">
        <w:t>recent</w:t>
      </w:r>
      <w:r w:rsidR="00E44777" w:rsidRPr="009D0A4A">
        <w:t xml:space="preserve"> amendments to the Victorian Occupational Health and Safety Regulations</w:t>
      </w:r>
      <w:r w:rsidR="006A5D0B" w:rsidRPr="009D0A4A">
        <w:t xml:space="preserve"> </w:t>
      </w:r>
      <w:r w:rsidR="008739C4" w:rsidRPr="009D0A4A">
        <w:t xml:space="preserve">2017 </w:t>
      </w:r>
      <w:r w:rsidR="00D971C3">
        <w:t>were</w:t>
      </w:r>
      <w:r w:rsidR="006A5D0B" w:rsidRPr="009D0A4A">
        <w:t xml:space="preserve"> considered in developing the options</w:t>
      </w:r>
      <w:r w:rsidR="00FA48E5" w:rsidRPr="009D0A4A">
        <w:t xml:space="preserve">. The </w:t>
      </w:r>
      <w:r w:rsidR="002729D7">
        <w:t xml:space="preserve">Victorian </w:t>
      </w:r>
      <w:r w:rsidR="00FA48E5" w:rsidRPr="009D0A4A">
        <w:t xml:space="preserve">amendments include </w:t>
      </w:r>
      <w:r w:rsidR="006A5D0B" w:rsidRPr="009D0A4A">
        <w:t>the introduction of</w:t>
      </w:r>
      <w:r w:rsidR="00E44777" w:rsidRPr="009D0A4A">
        <w:t xml:space="preserve"> a licensing scheme for employers working with engineered stone, duties on </w:t>
      </w:r>
      <w:r w:rsidR="006A5D0B" w:rsidRPr="009D0A4A">
        <w:t xml:space="preserve">manufacturers and suppliers </w:t>
      </w:r>
      <w:r w:rsidR="00E44777" w:rsidRPr="009D0A4A">
        <w:t xml:space="preserve">of engineered stone, and </w:t>
      </w:r>
      <w:r w:rsidR="006A5D0B" w:rsidRPr="009D0A4A">
        <w:t xml:space="preserve">additional regulatory oversight of high risk crystalline silica work outside of engineered stone across </w:t>
      </w:r>
      <w:r w:rsidR="00FA48E5" w:rsidRPr="009D0A4A">
        <w:t>a broad range of</w:t>
      </w:r>
      <w:r w:rsidR="006A5D0B" w:rsidRPr="009D0A4A">
        <w:t xml:space="preserve"> industries</w:t>
      </w:r>
      <w:r w:rsidR="0039083F" w:rsidRPr="009D0A4A">
        <w:t xml:space="preserve"> </w:t>
      </w:r>
      <w:r w:rsidR="0039083F" w:rsidRPr="009D0A4A">
        <w:fldChar w:fldCharType="begin"/>
      </w:r>
      <w:r w:rsidR="004067E3">
        <w:instrText xml:space="preserve"> ADDIN ZOTERO_ITEM CSL_CITATION {"citationID":"3iK7yZfu","properties":{"formattedCitation":"(WorkSafe Victoria 2021)","plainCitation":"(WorkSafe Victoria 2021)","noteIndex":0},"citationItems":[{"id":835,"uris":["http://zotero.org/users/6230888/items/H4E4TH5E"],"itemData":{"id":835,"type":"webpage","title":"Changes to protect Victorians working with crystalline silica","URL":"https://www.worksafe.vic.gov.au/changes-protect-victorians-working-crystalline-silica","author":[{"literal":"WorkSafe Victoria"}],"accessed":{"date-parts":[["2022",6,24]]},"issued":{"date-parts":[["2021"]]}}}],"schema":"https://github.com/citation-style-language/schema/raw/master/csl-citation.json"} </w:instrText>
      </w:r>
      <w:r w:rsidR="0039083F" w:rsidRPr="009D0A4A">
        <w:fldChar w:fldCharType="separate"/>
      </w:r>
      <w:r w:rsidR="006B4A7D" w:rsidRPr="009D0A4A">
        <w:rPr>
          <w:rFonts w:ascii="Calibri" w:hAnsi="Calibri" w:cs="Calibri"/>
        </w:rPr>
        <w:t>(WorkSafe Victoria 2021)</w:t>
      </w:r>
      <w:r w:rsidR="0039083F" w:rsidRPr="009D0A4A">
        <w:fldChar w:fldCharType="end"/>
      </w:r>
      <w:r w:rsidR="006A5D0B" w:rsidRPr="009D0A4A">
        <w:t>.</w:t>
      </w:r>
    </w:p>
    <w:p w14:paraId="0C2FA077" w14:textId="619484FC" w:rsidR="00914114" w:rsidRPr="009D0A4A" w:rsidRDefault="006A5D0B" w:rsidP="00234FEF">
      <w:pPr>
        <w:pStyle w:val="BodyText"/>
      </w:pPr>
      <w:r w:rsidRPr="009D0A4A">
        <w:t>T</w:t>
      </w:r>
      <w:r w:rsidR="00C25444" w:rsidRPr="009D0A4A">
        <w:t xml:space="preserve">he </w:t>
      </w:r>
      <w:r w:rsidR="000111E3" w:rsidRPr="009D0A4A">
        <w:t xml:space="preserve">quarrying and </w:t>
      </w:r>
      <w:r w:rsidR="000D1201" w:rsidRPr="009D0A4A">
        <w:t xml:space="preserve">mining industries </w:t>
      </w:r>
      <w:r w:rsidR="00C25444" w:rsidRPr="009D0A4A">
        <w:t xml:space="preserve">in </w:t>
      </w:r>
      <w:r w:rsidR="00E707B3" w:rsidRPr="009D0A4A">
        <w:t xml:space="preserve">New South Wales, </w:t>
      </w:r>
      <w:r w:rsidR="00C66563" w:rsidRPr="009D0A4A">
        <w:t>Queensland</w:t>
      </w:r>
      <w:r w:rsidR="00916DE1" w:rsidRPr="009D0A4A">
        <w:t xml:space="preserve">, </w:t>
      </w:r>
      <w:r w:rsidR="00CF6594">
        <w:t xml:space="preserve">and </w:t>
      </w:r>
      <w:r w:rsidR="00916DE1" w:rsidRPr="009D0A4A">
        <w:t xml:space="preserve">Tasmania </w:t>
      </w:r>
      <w:r w:rsidR="00C25444" w:rsidRPr="009D0A4A">
        <w:t xml:space="preserve">are </w:t>
      </w:r>
      <w:r w:rsidR="00C355A4" w:rsidRPr="009D0A4A">
        <w:t xml:space="preserve">not regulated </w:t>
      </w:r>
      <w:r w:rsidR="00B22ED8" w:rsidRPr="009D0A4A">
        <w:t>under</w:t>
      </w:r>
      <w:r w:rsidR="00C355A4" w:rsidRPr="009D0A4A">
        <w:t xml:space="preserve"> the model WHS laws</w:t>
      </w:r>
      <w:r w:rsidR="00C66563" w:rsidRPr="009D0A4A">
        <w:t xml:space="preserve"> and are also out of scope</w:t>
      </w:r>
      <w:r w:rsidR="0089649B">
        <w:t>.</w:t>
      </w:r>
      <w:r w:rsidR="00340F8E">
        <w:t xml:space="preserve"> </w:t>
      </w:r>
      <w:r w:rsidR="00A16E14" w:rsidRPr="009D0A4A">
        <w:t>The Commonwealth does not regulate quarrying and mining</w:t>
      </w:r>
      <w:r w:rsidR="005B0AF3" w:rsidRPr="009D0A4A">
        <w:t xml:space="preserve">; </w:t>
      </w:r>
      <w:r w:rsidR="004E3629" w:rsidRPr="009D0A4A">
        <w:t>however,</w:t>
      </w:r>
      <w:r w:rsidR="005B0AF3" w:rsidRPr="009D0A4A">
        <w:t xml:space="preserve"> the Commonwealth </w:t>
      </w:r>
      <w:r w:rsidR="008B35E0">
        <w:t xml:space="preserve">WHS </w:t>
      </w:r>
      <w:r w:rsidR="005B0AF3" w:rsidRPr="009D0A4A">
        <w:t>regulator</w:t>
      </w:r>
      <w:r w:rsidR="005701B6" w:rsidRPr="009D0A4A">
        <w:t>,</w:t>
      </w:r>
      <w:r w:rsidR="005B0AF3" w:rsidRPr="009D0A4A">
        <w:t xml:space="preserve"> Comcare</w:t>
      </w:r>
      <w:r w:rsidR="005701B6" w:rsidRPr="009D0A4A">
        <w:t>,</w:t>
      </w:r>
      <w:r w:rsidR="005B0AF3" w:rsidRPr="009D0A4A">
        <w:t xml:space="preserve"> </w:t>
      </w:r>
      <w:r w:rsidR="00917163" w:rsidRPr="009D0A4A">
        <w:t>regulates self-insured</w:t>
      </w:r>
      <w:r w:rsidR="001819B8" w:rsidRPr="009D0A4A">
        <w:t xml:space="preserve"> licensees</w:t>
      </w:r>
      <w:r w:rsidR="0097054F" w:rsidRPr="009D0A4A">
        <w:t xml:space="preserve">, which includes </w:t>
      </w:r>
      <w:r w:rsidR="00D26D77" w:rsidRPr="009D0A4A">
        <w:t xml:space="preserve">businesses involved in </w:t>
      </w:r>
      <w:r w:rsidR="0097054F" w:rsidRPr="009D0A4A">
        <w:t xml:space="preserve">the </w:t>
      </w:r>
      <w:r w:rsidR="00D26D77" w:rsidRPr="009D0A4A">
        <w:t>tunnelling sector</w:t>
      </w:r>
      <w:r w:rsidR="00A16E14" w:rsidRPr="009D0A4A">
        <w:t>.</w:t>
      </w:r>
      <w:r w:rsidR="002729D7">
        <w:t xml:space="preserve"> </w:t>
      </w:r>
      <w:r>
        <w:fldChar w:fldCharType="begin"/>
      </w:r>
      <w:r>
        <w:instrText xml:space="preserve"> REF _Ref124686999 \r \h </w:instrText>
      </w:r>
      <w:r>
        <w:fldChar w:fldCharType="end"/>
      </w:r>
    </w:p>
    <w:p w14:paraId="0C46CDD6" w14:textId="65A9552C" w:rsidR="00A71E6D" w:rsidRPr="009D0A4A" w:rsidRDefault="00CC36B9" w:rsidP="003A3B2B">
      <w:pPr>
        <w:pStyle w:val="Heading2"/>
      </w:pPr>
      <w:bookmarkStart w:id="23" w:name="_Toc126573201"/>
      <w:r>
        <w:lastRenderedPageBreak/>
        <w:t>Structure of this report</w:t>
      </w:r>
      <w:bookmarkEnd w:id="23"/>
    </w:p>
    <w:p w14:paraId="0F039150" w14:textId="64F7F7FA" w:rsidR="00CC36B9" w:rsidRPr="009D0A4A" w:rsidRDefault="00F15F7A" w:rsidP="00234FEF">
      <w:pPr>
        <w:pStyle w:val="BodyText"/>
      </w:pPr>
      <w:r w:rsidRPr="009D0A4A">
        <w:t xml:space="preserve">This </w:t>
      </w:r>
      <w:r w:rsidR="0054756F">
        <w:t>DRIS</w:t>
      </w:r>
      <w:r w:rsidR="00D971C3" w:rsidRPr="009D0A4A">
        <w:t xml:space="preserve"> </w:t>
      </w:r>
      <w:r w:rsidRPr="009D0A4A">
        <w:t xml:space="preserve">was prepared </w:t>
      </w:r>
      <w:r w:rsidR="006B652E" w:rsidRPr="009D0A4A">
        <w:t xml:space="preserve">in accordance </w:t>
      </w:r>
      <w:r w:rsidR="000A630D" w:rsidRPr="009D0A4A">
        <w:t xml:space="preserve">with the </w:t>
      </w:r>
      <w:r w:rsidR="00A767B1" w:rsidRPr="009D0A4A">
        <w:t>Regulatory Impact Analysis Guide for Ministers’ Meetings and National Standard Setting Bodies</w:t>
      </w:r>
      <w:r w:rsidR="0039083F" w:rsidRPr="009D0A4A">
        <w:t xml:space="preserve"> </w:t>
      </w:r>
      <w:r w:rsidR="0039083F" w:rsidRPr="009D0A4A">
        <w:fldChar w:fldCharType="begin"/>
      </w:r>
      <w:r w:rsidR="004067E3">
        <w:instrText xml:space="preserve"> ADDIN ZOTERO_ITEM CSL_CITATION {"citationID":"QMtJAFM9","properties":{"formattedCitation":"(Department of Prime Minister and Cabinet 2021a)","plainCitation":"(Department of Prime Minister and Cabinet 2021a)","noteIndex":0},"citationItems":[{"id":837,"uris":["http://zotero.org/users/6230888/items/QGN7XAW3"],"itemData":{"id":837,"type":"report","page":"34","title":"Regulatory Impact Analysis Guide for Ministers’ Meetings and National Standard Setting Bodies | OBPR","URL":"https://obpr.pmc.gov.au/resources/guidance-impact-analysis/regulatory-impact-analysis-guide-ministers-meetings-and-national","author":[{"literal":"Department of Prime Minister and Cabinet"}],"accessed":{"date-parts":[["2022",6,24]]},"issued":{"date-parts":[["2021"]]}}}],"schema":"https://github.com/citation-style-language/schema/raw/master/csl-citation.json"} </w:instrText>
      </w:r>
      <w:r w:rsidR="0039083F" w:rsidRPr="009D0A4A">
        <w:fldChar w:fldCharType="separate"/>
      </w:r>
      <w:r w:rsidR="00D45D04" w:rsidRPr="009D0A4A">
        <w:rPr>
          <w:rFonts w:ascii="Calibri" w:hAnsi="Calibri" w:cs="Calibri"/>
        </w:rPr>
        <w:t>(Department of Prime Minister and Cabinet 2021a)</w:t>
      </w:r>
      <w:r w:rsidR="0039083F" w:rsidRPr="009D0A4A">
        <w:fldChar w:fldCharType="end"/>
      </w:r>
      <w:r w:rsidR="00A767B1" w:rsidRPr="009D0A4A">
        <w:t>.</w:t>
      </w:r>
      <w:r w:rsidR="0081209A" w:rsidRPr="009D0A4A">
        <w:t xml:space="preserve"> It </w:t>
      </w:r>
      <w:r w:rsidR="00CC36B9" w:rsidRPr="009D0A4A">
        <w:t>is structured as follows:</w:t>
      </w:r>
    </w:p>
    <w:p w14:paraId="44B497F3" w14:textId="110C8FE4" w:rsidR="001459BD" w:rsidRPr="00F56C45" w:rsidRDefault="001459BD" w:rsidP="00234FEF">
      <w:pPr>
        <w:pStyle w:val="BodyText"/>
      </w:pPr>
      <w:r w:rsidRPr="00F56C45">
        <w:t xml:space="preserve">Chapter 1 – Introduction </w:t>
      </w:r>
    </w:p>
    <w:p w14:paraId="16EA573F" w14:textId="55E81D30" w:rsidR="00CC36B9" w:rsidRPr="00F56C45" w:rsidRDefault="00CC36B9" w:rsidP="00234FEF">
      <w:pPr>
        <w:pStyle w:val="BodyText"/>
      </w:pPr>
      <w:r w:rsidRPr="00F56C45">
        <w:t xml:space="preserve">Chapter </w:t>
      </w:r>
      <w:r w:rsidR="009E4771" w:rsidRPr="00F56C45">
        <w:t>2</w:t>
      </w:r>
      <w:r w:rsidRPr="00F56C45">
        <w:t xml:space="preserve"> – </w:t>
      </w:r>
      <w:r w:rsidR="0011021D" w:rsidRPr="00F56C45">
        <w:t>Statement of the problem</w:t>
      </w:r>
    </w:p>
    <w:p w14:paraId="3721D3AB" w14:textId="1749D387" w:rsidR="00CC36B9" w:rsidRPr="00F56C45" w:rsidRDefault="00CC36B9" w:rsidP="00234FEF">
      <w:pPr>
        <w:pStyle w:val="BodyText"/>
      </w:pPr>
      <w:r w:rsidRPr="00F56C45">
        <w:t xml:space="preserve">Chapter </w:t>
      </w:r>
      <w:r w:rsidR="009E4771" w:rsidRPr="00F56C45">
        <w:t>3</w:t>
      </w:r>
      <w:r w:rsidRPr="00F56C45">
        <w:t xml:space="preserve"> – Why is government action needed? </w:t>
      </w:r>
    </w:p>
    <w:p w14:paraId="27C22169" w14:textId="06448F4E" w:rsidR="00CC36B9" w:rsidRPr="00F56C45" w:rsidRDefault="00CC36B9" w:rsidP="00234FEF">
      <w:pPr>
        <w:pStyle w:val="BodyText"/>
      </w:pPr>
      <w:r w:rsidRPr="00F56C45">
        <w:t xml:space="preserve">Chapter </w:t>
      </w:r>
      <w:r w:rsidR="009E4771" w:rsidRPr="00F56C45">
        <w:t>4</w:t>
      </w:r>
      <w:r w:rsidRPr="00F56C45">
        <w:t xml:space="preserve"> – What policy options are</w:t>
      </w:r>
      <w:r w:rsidR="008739C4" w:rsidRPr="00F56C45">
        <w:t xml:space="preserve"> being considered</w:t>
      </w:r>
      <w:r w:rsidRPr="00F56C45">
        <w:t>?</w:t>
      </w:r>
    </w:p>
    <w:p w14:paraId="5D888E43" w14:textId="3CC2D93D" w:rsidR="00CC36B9" w:rsidRDefault="00CC36B9" w:rsidP="00234FEF">
      <w:pPr>
        <w:pStyle w:val="BodyText"/>
      </w:pPr>
      <w:r w:rsidRPr="00F56C45">
        <w:t xml:space="preserve">Chapter </w:t>
      </w:r>
      <w:r w:rsidR="009E4771" w:rsidRPr="00F56C45">
        <w:t>5</w:t>
      </w:r>
      <w:r w:rsidRPr="00F56C45">
        <w:t xml:space="preserve"> – </w:t>
      </w:r>
      <w:r w:rsidR="00645AB1" w:rsidRPr="00F56C45">
        <w:t>What is the likely impact of each option</w:t>
      </w:r>
      <w:r w:rsidR="00AD3F33">
        <w:t xml:space="preserve"> (options 1-5)</w:t>
      </w:r>
      <w:r w:rsidR="00645AB1" w:rsidRPr="00F56C45">
        <w:t>?</w:t>
      </w:r>
    </w:p>
    <w:p w14:paraId="290F99C8" w14:textId="002B9A3E" w:rsidR="00AD3F33" w:rsidRPr="00F56C45" w:rsidRDefault="00AD3F33" w:rsidP="00234FEF">
      <w:pPr>
        <w:pStyle w:val="BodyText"/>
      </w:pPr>
      <w:r>
        <w:t xml:space="preserve">Chapter 6 </w:t>
      </w:r>
      <w:r w:rsidR="00F8292E">
        <w:t>–</w:t>
      </w:r>
      <w:r>
        <w:t xml:space="preserve"> </w:t>
      </w:r>
      <w:r w:rsidR="00F8292E">
        <w:t>What is the likely impact of option 6?</w:t>
      </w:r>
    </w:p>
    <w:p w14:paraId="5AC6875D" w14:textId="6D44B1D6" w:rsidR="00CC36B9" w:rsidRPr="00F56C45" w:rsidRDefault="00CC36B9" w:rsidP="00234FEF">
      <w:pPr>
        <w:pStyle w:val="BodyText"/>
      </w:pPr>
      <w:r w:rsidRPr="00F56C45">
        <w:t xml:space="preserve">Chapter </w:t>
      </w:r>
      <w:r w:rsidR="00F8292E">
        <w:t>7</w:t>
      </w:r>
      <w:r w:rsidRPr="00F56C45">
        <w:t xml:space="preserve"> – </w:t>
      </w:r>
      <w:r w:rsidR="00645AB1" w:rsidRPr="00F56C45">
        <w:t>Who was consulted and how was their feedback incorporated?</w:t>
      </w:r>
    </w:p>
    <w:p w14:paraId="0D43F1A0" w14:textId="3A7EA96D" w:rsidR="00CC36B9" w:rsidRPr="00F56C45" w:rsidRDefault="00CC36B9" w:rsidP="00234FEF">
      <w:pPr>
        <w:pStyle w:val="BodyText"/>
      </w:pPr>
      <w:r w:rsidRPr="00F56C45">
        <w:t xml:space="preserve">Chapter </w:t>
      </w:r>
      <w:r w:rsidR="00F8292E">
        <w:t>8</w:t>
      </w:r>
      <w:r w:rsidRPr="00F56C45">
        <w:t xml:space="preserve"> – </w:t>
      </w:r>
      <w:r w:rsidR="008C0F06" w:rsidRPr="00F56C45">
        <w:t xml:space="preserve">What is the best option </w:t>
      </w:r>
      <w:r w:rsidR="00645AB1" w:rsidRPr="00F56C45">
        <w:t>or combination of options</w:t>
      </w:r>
      <w:r w:rsidR="001B4300" w:rsidRPr="00F56C45">
        <w:t>?</w:t>
      </w:r>
      <w:r w:rsidR="008C0F06" w:rsidRPr="00F56C45">
        <w:t xml:space="preserve"> </w:t>
      </w:r>
    </w:p>
    <w:p w14:paraId="3291653F" w14:textId="4DF28080" w:rsidR="00C75317" w:rsidRPr="00C42342" w:rsidRDefault="00CC36B9" w:rsidP="00234FEF">
      <w:pPr>
        <w:pStyle w:val="BodyText"/>
      </w:pPr>
      <w:r w:rsidRPr="00F56C45">
        <w:t xml:space="preserve">Chapter </w:t>
      </w:r>
      <w:r w:rsidR="00F8292E">
        <w:t>9</w:t>
      </w:r>
      <w:r w:rsidRPr="00F56C45">
        <w:t xml:space="preserve"> – </w:t>
      </w:r>
      <w:r w:rsidR="001B4300">
        <w:t>Implementation and Evaluation</w:t>
      </w:r>
      <w:bookmarkStart w:id="24" w:name="_Toc102142415"/>
      <w:bookmarkStart w:id="25" w:name="_Toc106109644"/>
      <w:bookmarkStart w:id="26" w:name="_Toc106111959"/>
      <w:bookmarkStart w:id="27" w:name="_Toc102142416"/>
      <w:bookmarkStart w:id="28" w:name="_Toc106109645"/>
      <w:bookmarkStart w:id="29" w:name="_Toc106111960"/>
      <w:bookmarkStart w:id="30" w:name="_Toc102142417"/>
      <w:bookmarkStart w:id="31" w:name="_Toc106109646"/>
      <w:bookmarkStart w:id="32" w:name="_Toc106111961"/>
      <w:bookmarkStart w:id="33" w:name="_Toc102142418"/>
      <w:bookmarkStart w:id="34" w:name="_Toc106109647"/>
      <w:bookmarkStart w:id="35" w:name="_Toc106111962"/>
      <w:bookmarkStart w:id="36" w:name="_Toc102142419"/>
      <w:bookmarkStart w:id="37" w:name="_Toc106109648"/>
      <w:bookmarkStart w:id="38" w:name="_Toc106111963"/>
      <w:bookmarkStart w:id="39" w:name="_Toc102142447"/>
      <w:bookmarkStart w:id="40" w:name="_Toc106109676"/>
      <w:bookmarkStart w:id="41" w:name="_Toc106111991"/>
      <w:bookmarkStart w:id="42" w:name="_Toc102142448"/>
      <w:bookmarkStart w:id="43" w:name="_Toc106109677"/>
      <w:bookmarkStart w:id="44" w:name="_Toc106111992"/>
      <w:bookmarkStart w:id="45" w:name="_Toc102142449"/>
      <w:bookmarkStart w:id="46" w:name="_Toc106109678"/>
      <w:bookmarkStart w:id="47" w:name="_Toc106111993"/>
      <w:bookmarkStart w:id="48" w:name="_Toc102142450"/>
      <w:bookmarkStart w:id="49" w:name="_Toc106109679"/>
      <w:bookmarkStart w:id="50" w:name="_Toc106111994"/>
      <w:bookmarkStart w:id="51" w:name="_Toc102142451"/>
      <w:bookmarkStart w:id="52" w:name="_Toc106109680"/>
      <w:bookmarkStart w:id="53" w:name="_Toc106111995"/>
      <w:bookmarkStart w:id="54" w:name="_Toc102142452"/>
      <w:bookmarkStart w:id="55" w:name="_Toc106109681"/>
      <w:bookmarkStart w:id="56" w:name="_Toc106111996"/>
      <w:bookmarkStart w:id="57" w:name="_Toc102142453"/>
      <w:bookmarkStart w:id="58" w:name="_Toc106109682"/>
      <w:bookmarkStart w:id="59" w:name="_Toc106111997"/>
      <w:bookmarkStart w:id="60" w:name="_Toc102142454"/>
      <w:bookmarkStart w:id="61" w:name="_Toc106109683"/>
      <w:bookmarkStart w:id="62" w:name="_Toc106111998"/>
      <w:bookmarkStart w:id="63" w:name="_Toc102142455"/>
      <w:bookmarkStart w:id="64" w:name="_Toc106109684"/>
      <w:bookmarkStart w:id="65" w:name="_Toc106111999"/>
      <w:bookmarkStart w:id="66" w:name="_Toc102142456"/>
      <w:bookmarkStart w:id="67" w:name="_Toc106109685"/>
      <w:bookmarkStart w:id="68" w:name="_Toc106112000"/>
      <w:bookmarkStart w:id="69" w:name="_Toc102142457"/>
      <w:bookmarkStart w:id="70" w:name="_Toc106109686"/>
      <w:bookmarkStart w:id="71" w:name="_Toc106112001"/>
      <w:bookmarkStart w:id="72" w:name="_Toc102142458"/>
      <w:bookmarkStart w:id="73" w:name="_Toc106109687"/>
      <w:bookmarkStart w:id="74" w:name="_Toc106112002"/>
      <w:bookmarkStart w:id="75" w:name="_Toc102142459"/>
      <w:bookmarkStart w:id="76" w:name="_Toc106109688"/>
      <w:bookmarkStart w:id="77" w:name="_Toc106112003"/>
      <w:bookmarkStart w:id="78" w:name="_Toc102142460"/>
      <w:bookmarkStart w:id="79" w:name="_Toc106109689"/>
      <w:bookmarkStart w:id="80" w:name="_Toc106112004"/>
      <w:bookmarkStart w:id="81" w:name="_Toc102142461"/>
      <w:bookmarkStart w:id="82" w:name="_Toc106109690"/>
      <w:bookmarkStart w:id="83" w:name="_Toc106112005"/>
      <w:bookmarkStart w:id="84" w:name="_Toc102142462"/>
      <w:bookmarkStart w:id="85" w:name="_Toc106109691"/>
      <w:bookmarkStart w:id="86" w:name="_Toc106112006"/>
      <w:bookmarkStart w:id="87" w:name="_Toc102142463"/>
      <w:bookmarkStart w:id="88" w:name="_Toc106109692"/>
      <w:bookmarkStart w:id="89" w:name="_Toc106112007"/>
      <w:bookmarkStart w:id="90" w:name="_Toc102142464"/>
      <w:bookmarkStart w:id="91" w:name="_Toc106109693"/>
      <w:bookmarkStart w:id="92" w:name="_Toc106112008"/>
      <w:bookmarkStart w:id="93" w:name="_Toc102142465"/>
      <w:bookmarkStart w:id="94" w:name="_Toc106109694"/>
      <w:bookmarkStart w:id="95" w:name="_Toc106112009"/>
      <w:bookmarkStart w:id="96" w:name="_Toc102142466"/>
      <w:bookmarkStart w:id="97" w:name="_Toc106109695"/>
      <w:bookmarkStart w:id="98" w:name="_Toc106112010"/>
      <w:bookmarkStart w:id="99" w:name="_Toc102142467"/>
      <w:bookmarkStart w:id="100" w:name="_Toc106109696"/>
      <w:bookmarkStart w:id="101" w:name="_Toc106112011"/>
      <w:bookmarkStart w:id="102" w:name="_Toc102142468"/>
      <w:bookmarkStart w:id="103" w:name="_Toc106109697"/>
      <w:bookmarkStart w:id="104" w:name="_Toc106112012"/>
      <w:bookmarkStart w:id="105" w:name="_Toc102142469"/>
      <w:bookmarkStart w:id="106" w:name="_Toc106109698"/>
      <w:bookmarkStart w:id="107" w:name="_Toc106112013"/>
      <w:bookmarkStart w:id="108" w:name="_Toc102142470"/>
      <w:bookmarkStart w:id="109" w:name="_Toc106109699"/>
      <w:bookmarkStart w:id="110" w:name="_Toc106112014"/>
      <w:bookmarkStart w:id="111" w:name="_Toc102142471"/>
      <w:bookmarkStart w:id="112" w:name="_Toc106109700"/>
      <w:bookmarkStart w:id="113" w:name="_Toc106112015"/>
      <w:bookmarkStart w:id="114" w:name="_Toc102142472"/>
      <w:bookmarkStart w:id="115" w:name="_Toc106109701"/>
      <w:bookmarkStart w:id="116" w:name="_Toc106112016"/>
      <w:bookmarkStart w:id="117" w:name="_Toc102142473"/>
      <w:bookmarkStart w:id="118" w:name="_Toc106109702"/>
      <w:bookmarkStart w:id="119" w:name="_Toc106112017"/>
      <w:bookmarkStart w:id="120" w:name="_Toc102142474"/>
      <w:bookmarkStart w:id="121" w:name="_Toc106109703"/>
      <w:bookmarkStart w:id="122" w:name="_Toc106112018"/>
      <w:bookmarkStart w:id="123" w:name="_Toc102142475"/>
      <w:bookmarkStart w:id="124" w:name="_Toc106109704"/>
      <w:bookmarkStart w:id="125" w:name="_Toc106112019"/>
      <w:bookmarkStart w:id="126" w:name="_Toc102142476"/>
      <w:bookmarkStart w:id="127" w:name="_Toc106109705"/>
      <w:bookmarkStart w:id="128" w:name="_Toc106112020"/>
      <w:bookmarkStart w:id="129" w:name="_Toc102142477"/>
      <w:bookmarkStart w:id="130" w:name="_Toc106109706"/>
      <w:bookmarkStart w:id="131" w:name="_Toc106112021"/>
      <w:bookmarkStart w:id="132" w:name="_Toc102142478"/>
      <w:bookmarkStart w:id="133" w:name="_Toc106109707"/>
      <w:bookmarkStart w:id="134" w:name="_Toc106112022"/>
      <w:bookmarkStart w:id="135" w:name="_Toc102142479"/>
      <w:bookmarkStart w:id="136" w:name="_Toc106109708"/>
      <w:bookmarkStart w:id="137" w:name="_Toc106112023"/>
      <w:bookmarkStart w:id="138" w:name="_Toc102142480"/>
      <w:bookmarkStart w:id="139" w:name="_Toc106109709"/>
      <w:bookmarkStart w:id="140" w:name="_Toc106112024"/>
      <w:bookmarkStart w:id="141" w:name="_Toc102142481"/>
      <w:bookmarkStart w:id="142" w:name="_Toc106109710"/>
      <w:bookmarkStart w:id="143" w:name="_Toc106112025"/>
      <w:bookmarkStart w:id="144" w:name="_Toc102142482"/>
      <w:bookmarkStart w:id="145" w:name="_Toc106109711"/>
      <w:bookmarkStart w:id="146" w:name="_Toc106112026"/>
      <w:bookmarkStart w:id="147" w:name="_Toc102142483"/>
      <w:bookmarkStart w:id="148" w:name="_Toc106109712"/>
      <w:bookmarkStart w:id="149" w:name="_Toc106112027"/>
      <w:bookmarkStart w:id="150" w:name="_Toc100240579"/>
      <w:bookmarkStart w:id="151" w:name="_Toc100240648"/>
      <w:bookmarkStart w:id="152" w:name="_Toc100323718"/>
      <w:bookmarkStart w:id="153" w:name="_Toc100240581"/>
      <w:bookmarkStart w:id="154" w:name="_Toc100240650"/>
      <w:bookmarkStart w:id="155" w:name="_Toc100323720"/>
      <w:bookmarkStart w:id="156" w:name="_Toc100240582"/>
      <w:bookmarkStart w:id="157" w:name="_Toc100240651"/>
      <w:bookmarkStart w:id="158" w:name="_Toc100323721"/>
      <w:bookmarkStart w:id="159" w:name="_Toc100240583"/>
      <w:bookmarkStart w:id="160" w:name="_Toc100240652"/>
      <w:bookmarkStart w:id="161" w:name="_Toc100323722"/>
      <w:bookmarkStart w:id="162" w:name="_Toc100240584"/>
      <w:bookmarkStart w:id="163" w:name="_Toc100240653"/>
      <w:bookmarkStart w:id="164" w:name="_Toc100323723"/>
      <w:bookmarkStart w:id="165" w:name="_Toc100240585"/>
      <w:bookmarkStart w:id="166" w:name="_Toc100240654"/>
      <w:bookmarkStart w:id="167" w:name="_Toc100323724"/>
      <w:bookmarkStart w:id="168" w:name="_Toc100240586"/>
      <w:bookmarkStart w:id="169" w:name="_Toc100240655"/>
      <w:bookmarkStart w:id="170" w:name="_Toc100323725"/>
      <w:bookmarkStart w:id="171" w:name="_Toc100240587"/>
      <w:bookmarkStart w:id="172" w:name="_Toc100240656"/>
      <w:bookmarkStart w:id="173" w:name="_Toc100323726"/>
      <w:bookmarkStart w:id="174" w:name="_Toc100240588"/>
      <w:bookmarkStart w:id="175" w:name="_Toc100240657"/>
      <w:bookmarkStart w:id="176" w:name="_Toc100323727"/>
      <w:bookmarkStart w:id="177" w:name="_Toc100240589"/>
      <w:bookmarkStart w:id="178" w:name="_Toc100240658"/>
      <w:bookmarkStart w:id="179" w:name="_Toc100323728"/>
      <w:bookmarkStart w:id="180" w:name="_Toc100240590"/>
      <w:bookmarkStart w:id="181" w:name="_Toc100240659"/>
      <w:bookmarkStart w:id="182" w:name="_Toc100323729"/>
      <w:bookmarkStart w:id="183" w:name="_Toc100240591"/>
      <w:bookmarkStart w:id="184" w:name="_Toc100240660"/>
      <w:bookmarkStart w:id="185" w:name="_Toc100323730"/>
      <w:bookmarkStart w:id="186" w:name="_Toc100240592"/>
      <w:bookmarkStart w:id="187" w:name="_Toc100240661"/>
      <w:bookmarkStart w:id="188" w:name="_Toc100323731"/>
      <w:bookmarkStart w:id="189" w:name="_Toc100240593"/>
      <w:bookmarkStart w:id="190" w:name="_Toc100240662"/>
      <w:bookmarkStart w:id="191" w:name="_Toc100323732"/>
      <w:bookmarkStart w:id="192" w:name="_Toc100240594"/>
      <w:bookmarkStart w:id="193" w:name="_Toc100240663"/>
      <w:bookmarkStart w:id="194" w:name="_Toc100323733"/>
      <w:bookmarkStart w:id="195" w:name="_Toc100240595"/>
      <w:bookmarkStart w:id="196" w:name="_Toc100240664"/>
      <w:bookmarkStart w:id="197" w:name="_Toc100323734"/>
      <w:bookmarkStart w:id="198" w:name="_Toc100240596"/>
      <w:bookmarkStart w:id="199" w:name="_Toc100240665"/>
      <w:bookmarkStart w:id="200" w:name="_Toc100323735"/>
      <w:bookmarkStart w:id="201" w:name="_Toc100240597"/>
      <w:bookmarkStart w:id="202" w:name="_Toc100240666"/>
      <w:bookmarkStart w:id="203" w:name="_Toc100323736"/>
      <w:bookmarkStart w:id="204" w:name="_Toc100240598"/>
      <w:bookmarkStart w:id="205" w:name="_Toc100240667"/>
      <w:bookmarkStart w:id="206" w:name="_Toc100323737"/>
      <w:bookmarkStart w:id="207" w:name="_Toc100240599"/>
      <w:bookmarkStart w:id="208" w:name="_Toc100240668"/>
      <w:bookmarkStart w:id="209" w:name="_Toc100323738"/>
      <w:bookmarkStart w:id="210" w:name="_Toc100240600"/>
      <w:bookmarkStart w:id="211" w:name="_Toc100240669"/>
      <w:bookmarkStart w:id="212" w:name="_Toc100323739"/>
      <w:bookmarkStart w:id="213" w:name="_Toc100240601"/>
      <w:bookmarkStart w:id="214" w:name="_Toc100240670"/>
      <w:bookmarkStart w:id="215" w:name="_Toc100323740"/>
      <w:bookmarkStart w:id="216" w:name="_Toc100240602"/>
      <w:bookmarkStart w:id="217" w:name="_Toc100240671"/>
      <w:bookmarkStart w:id="218" w:name="_Toc100323741"/>
      <w:bookmarkStart w:id="219" w:name="_Toc100240603"/>
      <w:bookmarkStart w:id="220" w:name="_Toc100240672"/>
      <w:bookmarkStart w:id="221" w:name="_Toc100323742"/>
      <w:bookmarkStart w:id="222" w:name="_Toc102142484"/>
      <w:bookmarkStart w:id="223" w:name="_Toc106109713"/>
      <w:bookmarkStart w:id="224" w:name="_Toc106112028"/>
      <w:bookmarkStart w:id="225" w:name="_Toc102142485"/>
      <w:bookmarkStart w:id="226" w:name="_Toc106109714"/>
      <w:bookmarkStart w:id="227" w:name="_Toc106112029"/>
      <w:bookmarkStart w:id="228" w:name="_Toc102142486"/>
      <w:bookmarkStart w:id="229" w:name="_Toc106109715"/>
      <w:bookmarkStart w:id="230" w:name="_Toc106112030"/>
      <w:bookmarkStart w:id="231" w:name="_Toc102142487"/>
      <w:bookmarkStart w:id="232" w:name="_Toc106109716"/>
      <w:bookmarkStart w:id="233" w:name="_Toc106112031"/>
      <w:bookmarkStart w:id="234" w:name="_Toc102142488"/>
      <w:bookmarkStart w:id="235" w:name="_Toc106109717"/>
      <w:bookmarkStart w:id="236" w:name="_Toc106112032"/>
      <w:bookmarkStart w:id="237" w:name="_Toc102142489"/>
      <w:bookmarkStart w:id="238" w:name="_Toc106109718"/>
      <w:bookmarkStart w:id="239" w:name="_Toc106112033"/>
      <w:bookmarkStart w:id="240" w:name="_Toc102142490"/>
      <w:bookmarkStart w:id="241" w:name="_Toc106109719"/>
      <w:bookmarkStart w:id="242" w:name="_Toc106112034"/>
      <w:bookmarkStart w:id="243" w:name="_Toc102142491"/>
      <w:bookmarkStart w:id="244" w:name="_Toc106109720"/>
      <w:bookmarkStart w:id="245" w:name="_Toc106112035"/>
      <w:bookmarkStart w:id="246" w:name="_Toc102142492"/>
      <w:bookmarkStart w:id="247" w:name="_Toc106109721"/>
      <w:bookmarkStart w:id="248" w:name="_Toc106112036"/>
      <w:bookmarkStart w:id="249" w:name="_Toc102142493"/>
      <w:bookmarkStart w:id="250" w:name="_Toc106109722"/>
      <w:bookmarkStart w:id="251" w:name="_Toc106112037"/>
      <w:bookmarkStart w:id="252" w:name="_Toc102142494"/>
      <w:bookmarkStart w:id="253" w:name="_Toc106109723"/>
      <w:bookmarkStart w:id="254" w:name="_Toc106112038"/>
      <w:bookmarkStart w:id="255" w:name="_Toc102142495"/>
      <w:bookmarkStart w:id="256" w:name="_Toc106109724"/>
      <w:bookmarkStart w:id="257" w:name="_Toc106112039"/>
      <w:bookmarkStart w:id="258" w:name="_Toc102142496"/>
      <w:bookmarkStart w:id="259" w:name="_Toc106109725"/>
      <w:bookmarkStart w:id="260" w:name="_Toc106112040"/>
      <w:bookmarkStart w:id="261" w:name="_Toc102142497"/>
      <w:bookmarkStart w:id="262" w:name="_Toc106109726"/>
      <w:bookmarkStart w:id="263" w:name="_Toc106112041"/>
      <w:bookmarkStart w:id="264" w:name="_Toc102142498"/>
      <w:bookmarkStart w:id="265" w:name="_Toc106109727"/>
      <w:bookmarkStart w:id="266" w:name="_Toc106112042"/>
      <w:bookmarkStart w:id="267" w:name="_Toc102142499"/>
      <w:bookmarkStart w:id="268" w:name="_Toc106109728"/>
      <w:bookmarkStart w:id="269" w:name="_Toc106112043"/>
      <w:bookmarkStart w:id="270" w:name="_Toc102142500"/>
      <w:bookmarkStart w:id="271" w:name="_Toc106109729"/>
      <w:bookmarkStart w:id="272" w:name="_Toc106112044"/>
      <w:bookmarkStart w:id="273" w:name="_Toc102142501"/>
      <w:bookmarkStart w:id="274" w:name="_Toc106109730"/>
      <w:bookmarkStart w:id="275" w:name="_Toc106112045"/>
      <w:bookmarkStart w:id="276" w:name="_Toc102142502"/>
      <w:bookmarkStart w:id="277" w:name="_Toc106109731"/>
      <w:bookmarkStart w:id="278" w:name="_Toc106112046"/>
      <w:bookmarkStart w:id="279" w:name="_Toc102142503"/>
      <w:bookmarkStart w:id="280" w:name="_Toc106109732"/>
      <w:bookmarkStart w:id="281" w:name="_Toc106112047"/>
      <w:bookmarkStart w:id="282" w:name="_Toc102142504"/>
      <w:bookmarkStart w:id="283" w:name="_Toc106109733"/>
      <w:bookmarkStart w:id="284" w:name="_Toc106112048"/>
      <w:bookmarkStart w:id="285" w:name="_Toc102142505"/>
      <w:bookmarkStart w:id="286" w:name="_Toc106109734"/>
      <w:bookmarkStart w:id="287" w:name="_Toc106112049"/>
      <w:bookmarkStart w:id="288" w:name="_Toc102142506"/>
      <w:bookmarkStart w:id="289" w:name="_Toc106109735"/>
      <w:bookmarkStart w:id="290" w:name="_Toc106112050"/>
      <w:bookmarkStart w:id="291" w:name="_Toc102142507"/>
      <w:bookmarkStart w:id="292" w:name="_Toc106109736"/>
      <w:bookmarkStart w:id="293" w:name="_Toc106112051"/>
      <w:bookmarkStart w:id="294" w:name="_Toc102142508"/>
      <w:bookmarkStart w:id="295" w:name="_Toc106109737"/>
      <w:bookmarkStart w:id="296" w:name="_Toc106112052"/>
      <w:bookmarkStart w:id="297" w:name="_Toc102142509"/>
      <w:bookmarkStart w:id="298" w:name="_Toc106109738"/>
      <w:bookmarkStart w:id="299" w:name="_Toc106112053"/>
      <w:bookmarkStart w:id="300" w:name="_Toc102142510"/>
      <w:bookmarkStart w:id="301" w:name="_Toc106109739"/>
      <w:bookmarkStart w:id="302" w:name="_Toc106112054"/>
      <w:bookmarkStart w:id="303" w:name="_Toc102142511"/>
      <w:bookmarkStart w:id="304" w:name="_Toc106109740"/>
      <w:bookmarkStart w:id="305" w:name="_Toc106112055"/>
      <w:bookmarkStart w:id="306" w:name="_Toc102142512"/>
      <w:bookmarkStart w:id="307" w:name="_Toc106109741"/>
      <w:bookmarkStart w:id="308" w:name="_Toc106112056"/>
      <w:bookmarkStart w:id="309" w:name="_Toc102142513"/>
      <w:bookmarkStart w:id="310" w:name="_Toc106109742"/>
      <w:bookmarkStart w:id="311" w:name="_Toc106112057"/>
      <w:bookmarkStart w:id="312" w:name="_Toc102142514"/>
      <w:bookmarkStart w:id="313" w:name="_Toc106109743"/>
      <w:bookmarkStart w:id="314" w:name="_Toc106112058"/>
      <w:bookmarkStart w:id="315" w:name="_Toc102142515"/>
      <w:bookmarkStart w:id="316" w:name="_Toc106109744"/>
      <w:bookmarkStart w:id="317" w:name="_Toc106112059"/>
      <w:bookmarkStart w:id="318" w:name="_Toc102142516"/>
      <w:bookmarkStart w:id="319" w:name="_Toc106109745"/>
      <w:bookmarkStart w:id="320" w:name="_Toc106112060"/>
      <w:bookmarkStart w:id="321" w:name="_Toc102142517"/>
      <w:bookmarkStart w:id="322" w:name="_Toc106109746"/>
      <w:bookmarkStart w:id="323" w:name="_Toc106112061"/>
      <w:bookmarkStart w:id="324" w:name="_Toc102142518"/>
      <w:bookmarkStart w:id="325" w:name="_Toc106109747"/>
      <w:bookmarkStart w:id="326" w:name="_Toc106112062"/>
      <w:bookmarkStart w:id="327" w:name="_Toc102142519"/>
      <w:bookmarkStart w:id="328" w:name="_Toc106109748"/>
      <w:bookmarkStart w:id="329" w:name="_Toc106112063"/>
      <w:bookmarkStart w:id="330" w:name="_Toc102142520"/>
      <w:bookmarkStart w:id="331" w:name="_Toc106109749"/>
      <w:bookmarkStart w:id="332" w:name="_Toc106112064"/>
      <w:bookmarkStart w:id="333" w:name="_Toc102142521"/>
      <w:bookmarkStart w:id="334" w:name="_Toc106109750"/>
      <w:bookmarkStart w:id="335" w:name="_Toc106112065"/>
      <w:bookmarkStart w:id="336" w:name="_Toc102142522"/>
      <w:bookmarkStart w:id="337" w:name="_Toc106109751"/>
      <w:bookmarkStart w:id="338" w:name="_Toc106112066"/>
      <w:bookmarkStart w:id="339" w:name="_Toc102142523"/>
      <w:bookmarkStart w:id="340" w:name="_Toc106109752"/>
      <w:bookmarkStart w:id="341" w:name="_Toc106112067"/>
      <w:bookmarkStart w:id="342" w:name="_Toc102142524"/>
      <w:bookmarkStart w:id="343" w:name="_Toc106109753"/>
      <w:bookmarkStart w:id="344" w:name="_Toc106112068"/>
      <w:bookmarkStart w:id="345" w:name="_Toc102142525"/>
      <w:bookmarkStart w:id="346" w:name="_Toc106109754"/>
      <w:bookmarkStart w:id="347" w:name="_Toc106112069"/>
      <w:bookmarkStart w:id="348" w:name="_Toc102142526"/>
      <w:bookmarkStart w:id="349" w:name="_Toc106109755"/>
      <w:bookmarkStart w:id="350" w:name="_Toc106112070"/>
      <w:bookmarkStart w:id="351" w:name="_Toc102142527"/>
      <w:bookmarkStart w:id="352" w:name="_Toc106109756"/>
      <w:bookmarkStart w:id="353" w:name="_Toc106112071"/>
      <w:bookmarkStart w:id="354" w:name="_Toc102142528"/>
      <w:bookmarkStart w:id="355" w:name="_Toc106109757"/>
      <w:bookmarkStart w:id="356" w:name="_Toc106112072"/>
      <w:bookmarkStart w:id="357" w:name="_Toc102142529"/>
      <w:bookmarkStart w:id="358" w:name="_Toc106109758"/>
      <w:bookmarkStart w:id="359" w:name="_Toc106112073"/>
      <w:bookmarkStart w:id="360" w:name="_Toc102142530"/>
      <w:bookmarkStart w:id="361" w:name="_Toc106109759"/>
      <w:bookmarkStart w:id="362" w:name="_Toc106112074"/>
      <w:bookmarkStart w:id="363" w:name="_Toc102142531"/>
      <w:bookmarkStart w:id="364" w:name="_Toc106109760"/>
      <w:bookmarkStart w:id="365" w:name="_Toc106112075"/>
      <w:bookmarkStart w:id="366" w:name="_Toc102142532"/>
      <w:bookmarkStart w:id="367" w:name="_Toc106109761"/>
      <w:bookmarkStart w:id="368" w:name="_Toc106112076"/>
      <w:bookmarkStart w:id="369" w:name="_Toc102142533"/>
      <w:bookmarkStart w:id="370" w:name="_Toc106109762"/>
      <w:bookmarkStart w:id="371" w:name="_Toc106112077"/>
      <w:bookmarkStart w:id="372" w:name="_Toc102142534"/>
      <w:bookmarkStart w:id="373" w:name="_Toc106109763"/>
      <w:bookmarkStart w:id="374" w:name="_Toc106112078"/>
      <w:bookmarkStart w:id="375" w:name="_Toc102142535"/>
      <w:bookmarkStart w:id="376" w:name="_Toc106109764"/>
      <w:bookmarkStart w:id="377" w:name="_Toc106112079"/>
      <w:bookmarkStart w:id="378" w:name="_Toc102142536"/>
      <w:bookmarkStart w:id="379" w:name="_Toc106109765"/>
      <w:bookmarkStart w:id="380" w:name="_Toc106112080"/>
      <w:bookmarkStart w:id="381" w:name="_Toc102142537"/>
      <w:bookmarkStart w:id="382" w:name="_Toc106109766"/>
      <w:bookmarkStart w:id="383" w:name="_Toc106112081"/>
      <w:bookmarkStart w:id="384" w:name="_Toc102142538"/>
      <w:bookmarkStart w:id="385" w:name="_Toc106109767"/>
      <w:bookmarkStart w:id="386" w:name="_Toc106112082"/>
      <w:bookmarkStart w:id="387" w:name="_Toc102142539"/>
      <w:bookmarkStart w:id="388" w:name="_Toc106109768"/>
      <w:bookmarkStart w:id="389" w:name="_Toc106112083"/>
      <w:bookmarkStart w:id="390" w:name="_Toc102142540"/>
      <w:bookmarkStart w:id="391" w:name="_Toc106109769"/>
      <w:bookmarkStart w:id="392" w:name="_Toc106112084"/>
      <w:bookmarkStart w:id="393" w:name="_Toc102142541"/>
      <w:bookmarkStart w:id="394" w:name="_Toc106109770"/>
      <w:bookmarkStart w:id="395" w:name="_Toc106112085"/>
      <w:bookmarkStart w:id="396" w:name="_Toc102142542"/>
      <w:bookmarkStart w:id="397" w:name="_Toc106109771"/>
      <w:bookmarkStart w:id="398" w:name="_Toc106112086"/>
      <w:bookmarkStart w:id="399" w:name="_Toc102142543"/>
      <w:bookmarkStart w:id="400" w:name="_Toc106109772"/>
      <w:bookmarkStart w:id="401" w:name="_Toc106112087"/>
      <w:bookmarkStart w:id="402" w:name="_Toc102142544"/>
      <w:bookmarkStart w:id="403" w:name="_Toc106109773"/>
      <w:bookmarkStart w:id="404" w:name="_Toc106112088"/>
      <w:bookmarkStart w:id="405" w:name="_Toc102142545"/>
      <w:bookmarkStart w:id="406" w:name="_Toc106109774"/>
      <w:bookmarkStart w:id="407" w:name="_Toc106112089"/>
      <w:bookmarkStart w:id="408" w:name="_Toc102142546"/>
      <w:bookmarkStart w:id="409" w:name="_Toc106109775"/>
      <w:bookmarkStart w:id="410" w:name="_Toc106112090"/>
      <w:bookmarkStart w:id="411" w:name="_Toc102142547"/>
      <w:bookmarkStart w:id="412" w:name="_Toc106109776"/>
      <w:bookmarkStart w:id="413" w:name="_Toc106112091"/>
      <w:bookmarkStart w:id="414" w:name="_Toc102142548"/>
      <w:bookmarkStart w:id="415" w:name="_Toc106109777"/>
      <w:bookmarkStart w:id="416" w:name="_Toc106112092"/>
      <w:bookmarkStart w:id="417" w:name="_Toc102142549"/>
      <w:bookmarkStart w:id="418" w:name="_Toc106109778"/>
      <w:bookmarkStart w:id="419" w:name="_Toc106112093"/>
      <w:bookmarkStart w:id="420" w:name="_Toc102142550"/>
      <w:bookmarkStart w:id="421" w:name="_Toc106109779"/>
      <w:bookmarkStart w:id="422" w:name="_Toc106112094"/>
      <w:bookmarkStart w:id="423" w:name="_Toc102142551"/>
      <w:bookmarkStart w:id="424" w:name="_Toc106109780"/>
      <w:bookmarkStart w:id="425" w:name="_Toc106112095"/>
      <w:bookmarkStart w:id="426" w:name="_Toc102142552"/>
      <w:bookmarkStart w:id="427" w:name="_Toc106109781"/>
      <w:bookmarkStart w:id="428" w:name="_Toc106112096"/>
      <w:bookmarkStart w:id="429" w:name="_Toc102142553"/>
      <w:bookmarkStart w:id="430" w:name="_Toc106109782"/>
      <w:bookmarkStart w:id="431" w:name="_Toc106112097"/>
      <w:bookmarkStart w:id="432" w:name="_Toc102142554"/>
      <w:bookmarkStart w:id="433" w:name="_Toc106109783"/>
      <w:bookmarkStart w:id="434" w:name="_Toc106112098"/>
      <w:bookmarkStart w:id="435" w:name="_Toc102142555"/>
      <w:bookmarkStart w:id="436" w:name="_Toc106109784"/>
      <w:bookmarkStart w:id="437" w:name="_Toc106112099"/>
      <w:bookmarkStart w:id="438" w:name="_Toc102142556"/>
      <w:bookmarkStart w:id="439" w:name="_Toc106109785"/>
      <w:bookmarkStart w:id="440" w:name="_Toc106112100"/>
      <w:bookmarkStart w:id="441" w:name="_Toc102142557"/>
      <w:bookmarkStart w:id="442" w:name="_Toc106109786"/>
      <w:bookmarkStart w:id="443" w:name="_Toc106112101"/>
      <w:bookmarkStart w:id="444" w:name="_Toc102142558"/>
      <w:bookmarkStart w:id="445" w:name="_Toc106109787"/>
      <w:bookmarkStart w:id="446" w:name="_Toc106112102"/>
      <w:bookmarkStart w:id="447" w:name="_Toc102142559"/>
      <w:bookmarkStart w:id="448" w:name="_Toc106109788"/>
      <w:bookmarkStart w:id="449" w:name="_Toc106112103"/>
      <w:bookmarkStart w:id="450" w:name="_Toc102142560"/>
      <w:bookmarkStart w:id="451" w:name="_Toc106109789"/>
      <w:bookmarkStart w:id="452" w:name="_Toc106112104"/>
      <w:bookmarkStart w:id="453" w:name="_Toc102142561"/>
      <w:bookmarkStart w:id="454" w:name="_Toc106109790"/>
      <w:bookmarkStart w:id="455" w:name="_Toc106112105"/>
      <w:bookmarkStart w:id="456" w:name="_Toc102142562"/>
      <w:bookmarkStart w:id="457" w:name="_Toc106109791"/>
      <w:bookmarkStart w:id="458" w:name="_Toc106112106"/>
      <w:bookmarkStart w:id="459" w:name="_Toc102142563"/>
      <w:bookmarkStart w:id="460" w:name="_Toc106109792"/>
      <w:bookmarkStart w:id="461" w:name="_Toc106112107"/>
      <w:bookmarkStart w:id="462" w:name="_Toc102142564"/>
      <w:bookmarkStart w:id="463" w:name="_Toc106109793"/>
      <w:bookmarkStart w:id="464" w:name="_Toc106112108"/>
      <w:bookmarkStart w:id="465" w:name="_Toc102142565"/>
      <w:bookmarkStart w:id="466" w:name="_Toc106109794"/>
      <w:bookmarkStart w:id="467" w:name="_Toc106112109"/>
      <w:bookmarkStart w:id="468" w:name="_Toc102142575"/>
      <w:bookmarkStart w:id="469" w:name="_Toc106109804"/>
      <w:bookmarkStart w:id="470" w:name="_Toc106112119"/>
      <w:bookmarkStart w:id="471" w:name="_Toc102142576"/>
      <w:bookmarkStart w:id="472" w:name="_Toc106109805"/>
      <w:bookmarkStart w:id="473" w:name="_Toc106112120"/>
      <w:bookmarkStart w:id="474" w:name="_Toc102142577"/>
      <w:bookmarkStart w:id="475" w:name="_Toc106109806"/>
      <w:bookmarkStart w:id="476" w:name="_Toc106112121"/>
      <w:bookmarkStart w:id="477" w:name="_Toc102142578"/>
      <w:bookmarkStart w:id="478" w:name="_Toc106109807"/>
      <w:bookmarkStart w:id="479" w:name="_Toc106112122"/>
      <w:bookmarkStart w:id="480" w:name="_Toc102142579"/>
      <w:bookmarkStart w:id="481" w:name="_Toc106109808"/>
      <w:bookmarkStart w:id="482" w:name="_Toc106112123"/>
      <w:bookmarkStart w:id="483" w:name="_Toc102142580"/>
      <w:bookmarkStart w:id="484" w:name="_Toc106109809"/>
      <w:bookmarkStart w:id="485" w:name="_Toc106112124"/>
      <w:bookmarkStart w:id="486" w:name="_Toc102142624"/>
      <w:bookmarkStart w:id="487" w:name="_Toc106109853"/>
      <w:bookmarkStart w:id="488" w:name="_Toc106112168"/>
      <w:bookmarkStart w:id="489" w:name="_Toc100240605"/>
      <w:bookmarkStart w:id="490" w:name="_Toc100240674"/>
      <w:bookmarkStart w:id="491" w:name="_Toc100323744"/>
      <w:bookmarkStart w:id="492" w:name="_Toc100240606"/>
      <w:bookmarkStart w:id="493" w:name="_Toc100240675"/>
      <w:bookmarkStart w:id="494" w:name="_Toc100323745"/>
      <w:bookmarkStart w:id="495" w:name="_Toc100240607"/>
      <w:bookmarkStart w:id="496" w:name="_Toc100240676"/>
      <w:bookmarkStart w:id="497" w:name="_Toc100323746"/>
      <w:bookmarkStart w:id="498" w:name="_Toc100240608"/>
      <w:bookmarkStart w:id="499" w:name="_Toc100240677"/>
      <w:bookmarkStart w:id="500" w:name="_Toc100323747"/>
      <w:bookmarkStart w:id="501" w:name="_Toc100240609"/>
      <w:bookmarkStart w:id="502" w:name="_Toc100240678"/>
      <w:bookmarkStart w:id="503" w:name="_Toc100323748"/>
      <w:bookmarkStart w:id="504" w:name="_Toc100240610"/>
      <w:bookmarkStart w:id="505" w:name="_Toc100240679"/>
      <w:bookmarkStart w:id="506" w:name="_Toc100323749"/>
      <w:bookmarkStart w:id="507" w:name="_Toc100240611"/>
      <w:bookmarkStart w:id="508" w:name="_Toc100240680"/>
      <w:bookmarkStart w:id="509" w:name="_Toc100323750"/>
      <w:bookmarkStart w:id="510" w:name="_Toc100240612"/>
      <w:bookmarkStart w:id="511" w:name="_Toc100240681"/>
      <w:bookmarkStart w:id="512" w:name="_Toc100323751"/>
      <w:bookmarkStart w:id="513" w:name="_Toc100240613"/>
      <w:bookmarkStart w:id="514" w:name="_Toc100240682"/>
      <w:bookmarkStart w:id="515" w:name="_Toc100323752"/>
      <w:bookmarkStart w:id="516" w:name="_Toc100240614"/>
      <w:bookmarkStart w:id="517" w:name="_Toc100240683"/>
      <w:bookmarkStart w:id="518" w:name="_Toc100323753"/>
      <w:bookmarkEnd w:id="3"/>
      <w:bookmarkEnd w:id="4"/>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sidR="00C75317" w:rsidRPr="009D0A4A">
        <w:br w:type="page"/>
      </w:r>
    </w:p>
    <w:p w14:paraId="348B5108" w14:textId="7038152D" w:rsidR="00716A5F" w:rsidRPr="009D0A4A" w:rsidRDefault="0020370A" w:rsidP="00E0510C">
      <w:pPr>
        <w:pStyle w:val="Heading1"/>
      </w:pPr>
      <w:bookmarkStart w:id="519" w:name="_Toc126573202"/>
      <w:r>
        <w:lastRenderedPageBreak/>
        <w:t>Statement of the problem</w:t>
      </w:r>
      <w:bookmarkEnd w:id="519"/>
    </w:p>
    <w:p w14:paraId="3C9AB62C" w14:textId="2848D2E6" w:rsidR="00042180" w:rsidRPr="009D0A4A" w:rsidRDefault="00DA1B23" w:rsidP="003A3B2B">
      <w:pPr>
        <w:pStyle w:val="Heading2"/>
      </w:pPr>
      <w:bookmarkStart w:id="520" w:name="_Toc100240616"/>
      <w:bookmarkStart w:id="521" w:name="_Toc100240685"/>
      <w:bookmarkStart w:id="522" w:name="_Toc100240617"/>
      <w:bookmarkStart w:id="523" w:name="_Toc100240686"/>
      <w:bookmarkStart w:id="524" w:name="_Toc126573203"/>
      <w:bookmarkEnd w:id="520"/>
      <w:bookmarkEnd w:id="521"/>
      <w:bookmarkEnd w:id="522"/>
      <w:bookmarkEnd w:id="523"/>
      <w:r>
        <w:t>Defining the problem</w:t>
      </w:r>
      <w:bookmarkEnd w:id="524"/>
    </w:p>
    <w:p w14:paraId="731A49F5" w14:textId="2E7F504B" w:rsidR="00EE1E61" w:rsidRPr="009D0A4A" w:rsidRDefault="007208B2" w:rsidP="00234FEF">
      <w:pPr>
        <w:pStyle w:val="BodyText"/>
      </w:pPr>
      <w:r w:rsidRPr="009D0A4A">
        <w:t>The following problem statement has been developed following consultation with stakeholders</w:t>
      </w:r>
      <w:r w:rsidR="005B714A" w:rsidRPr="009D0A4A">
        <w:t>:</w:t>
      </w:r>
    </w:p>
    <w:p w14:paraId="6C39E689" w14:textId="3199C869" w:rsidR="00F92C55" w:rsidRPr="009D0A4A" w:rsidRDefault="00690288" w:rsidP="00825394">
      <w:pPr>
        <w:pStyle w:val="EmphasisPanelBody"/>
      </w:pPr>
      <w:r w:rsidRPr="009D0A4A">
        <w:t>Workplace exposures to RCS have led to a substantial increase in the number of cases of silicosis</w:t>
      </w:r>
      <w:r>
        <w:t xml:space="preserve"> and other silica-related diseases</w:t>
      </w:r>
      <w:r w:rsidR="00383A4C">
        <w:t xml:space="preserve"> </w:t>
      </w:r>
      <w:r w:rsidRPr="009D0A4A">
        <w:t>in Australian workers.</w:t>
      </w:r>
      <w:r w:rsidR="007643CF">
        <w:t xml:space="preserve"> </w:t>
      </w:r>
      <w:r w:rsidR="00DA605E" w:rsidDel="000B2E3D">
        <w:t>Silicosis is an irreversible and debilitating disease</w:t>
      </w:r>
      <w:r w:rsidR="00DA605E">
        <w:t xml:space="preserve"> which can be fatal</w:t>
      </w:r>
      <w:r w:rsidR="00DA605E" w:rsidDel="000B2E3D">
        <w:t xml:space="preserve">. </w:t>
      </w:r>
      <w:r w:rsidR="002A4B5A">
        <w:t>Workers exposed to RCS are also at risk of developing other serious and debilitating diseases, including lung cancer, COPD, chronic kidney disease and autoimmune diseases.</w:t>
      </w:r>
      <w:r w:rsidR="004429B2" w:rsidRPr="004429B2">
        <w:t xml:space="preserve"> </w:t>
      </w:r>
      <w:r w:rsidR="00C42342">
        <w:t xml:space="preserve">A significant proportion of the increased cases of silicosis are in engineered stone workers. However, cases have also been identified in workers outside this industry. This includes workers exposed to RCS during mining, quarrying, tunnelling, as well as those working with natural stone.  </w:t>
      </w:r>
      <w:r w:rsidR="00C42342" w:rsidRPr="009D0A4A">
        <w:t xml:space="preserve">Silicosis and other </w:t>
      </w:r>
      <w:r w:rsidR="00C42342">
        <w:t>silica-related</w:t>
      </w:r>
      <w:r w:rsidR="00C42342" w:rsidRPr="009D0A4A">
        <w:t xml:space="preserve"> diseases can be prevented by implementing effective controls to eliminate or minimise the generation of</w:t>
      </w:r>
      <w:r w:rsidR="00C42342">
        <w:t>,</w:t>
      </w:r>
      <w:r w:rsidR="00C42342" w:rsidRPr="009D0A4A">
        <w:t xml:space="preserve"> and exposure to</w:t>
      </w:r>
      <w:r w:rsidR="00C42342">
        <w:t>,</w:t>
      </w:r>
      <w:r w:rsidR="00C42342" w:rsidRPr="009D0A4A">
        <w:t xml:space="preserve"> RCS at the workplace.</w:t>
      </w:r>
      <w:r w:rsidR="00C42342" w:rsidRPr="00C42342" w:rsidDel="000B2E3D">
        <w:t xml:space="preserve"> </w:t>
      </w:r>
      <w:r w:rsidR="00825394">
        <w:br/>
      </w:r>
      <w:r w:rsidR="002D0D5E" w:rsidDel="000B2E3D">
        <w:t xml:space="preserve">The National Dust Disease Taskforce noted that “… every case of silicosis affecting a stone benchtop worker is evidence that businesses, industry and governments need to do more to recognise and control the risks of working with engineered stone" </w:t>
      </w:r>
      <w:r w:rsidR="002D0D5E" w:rsidDel="000B2E3D">
        <w:fldChar w:fldCharType="begin"/>
      </w:r>
      <w:r w:rsidR="002D0D5E" w:rsidDel="000B2E3D">
        <w:instrText xml:space="preserve"> ADDIN ZOTERO_ITEM CSL_CITATION {"citationID":"d4mw7mNC","properties":{"formattedCitation":"(Department of Health 2021)","plainCitation":"(Department of Health 2021)","noteIndex":0},"citationItems":[{"id":806,"uris":["http://zotero.org/users/6230888/items/NWNXT6NL"],"itemData":{"id":806,"type":"article-journal","language":"en","page":"80","source":"Zotero","title":"National Dust Disease Taskforce Final Report to Minister for Health and Aged Care","author":[{"literal":"Department of Health"}],"issued":{"date-parts":[["2021"]]}}}],"schema":"https://github.com/citation-style-language/schema/raw/master/csl-citation.json"} </w:instrText>
      </w:r>
      <w:r w:rsidR="002D0D5E" w:rsidDel="000B2E3D">
        <w:fldChar w:fldCharType="separate"/>
      </w:r>
      <w:r w:rsidR="002D0D5E" w:rsidRPr="6ADCFC47" w:rsidDel="000B2E3D">
        <w:rPr>
          <w:rFonts w:ascii="Calibri" w:hAnsi="Calibri" w:cs="Calibri"/>
        </w:rPr>
        <w:t>(Department of Health 2021)</w:t>
      </w:r>
      <w:r w:rsidR="002D0D5E" w:rsidDel="000B2E3D">
        <w:fldChar w:fldCharType="end"/>
      </w:r>
      <w:r w:rsidR="002D0D5E" w:rsidDel="000B2E3D">
        <w:t xml:space="preserve">. </w:t>
      </w:r>
      <w:r w:rsidR="009B1D97" w:rsidRPr="009D0A4A">
        <w:t xml:space="preserve">Evidence to support the problem statement </w:t>
      </w:r>
      <w:r w:rsidR="00B12433">
        <w:t>is</w:t>
      </w:r>
      <w:r w:rsidR="00B12433" w:rsidRPr="009D0A4A">
        <w:t xml:space="preserve"> </w:t>
      </w:r>
      <w:r w:rsidR="008072F8" w:rsidRPr="009D0A4A">
        <w:t>presented in</w:t>
      </w:r>
      <w:r w:rsidR="0047326B" w:rsidRPr="009D0A4A">
        <w:t xml:space="preserve"> Table </w:t>
      </w:r>
      <w:r w:rsidR="003F5102" w:rsidRPr="009D0A4A">
        <w:t xml:space="preserve">3 </w:t>
      </w:r>
      <w:r w:rsidR="008072F8" w:rsidRPr="009D0A4A">
        <w:t xml:space="preserve">below and </w:t>
      </w:r>
      <w:r w:rsidR="008C1669" w:rsidRPr="009D0A4A">
        <w:t>discussed further in the following sections</w:t>
      </w:r>
      <w:r w:rsidR="00CE7822" w:rsidRPr="009D0A4A">
        <w:t xml:space="preserve">. </w:t>
      </w:r>
      <w:r w:rsidR="008C1669" w:rsidRPr="009D0A4A">
        <w:t xml:space="preserve"> </w:t>
      </w:r>
    </w:p>
    <w:p w14:paraId="714371FC" w14:textId="2294A049" w:rsidR="00BE3206" w:rsidRDefault="00BE3206" w:rsidP="00BE3206">
      <w:pPr>
        <w:pStyle w:val="Caption"/>
      </w:pPr>
      <w:r>
        <w:t xml:space="preserve">Table </w:t>
      </w:r>
      <w:fldSimple w:instr=" SEQ Table \* ARABIC ">
        <w:r w:rsidR="00DF768D">
          <w:rPr>
            <w:noProof/>
          </w:rPr>
          <w:t>3</w:t>
        </w:r>
      </w:fldSimple>
      <w:r w:rsidRPr="009D0A4A">
        <w:t>: Summary of problem statement</w:t>
      </w:r>
    </w:p>
    <w:tbl>
      <w:tblPr>
        <w:tblStyle w:val="PMCDefaultTableStyle"/>
        <w:tblW w:w="5000" w:type="pct"/>
        <w:tblLook w:val="04A0" w:firstRow="1" w:lastRow="0" w:firstColumn="1" w:lastColumn="0" w:noHBand="0" w:noVBand="1"/>
      </w:tblPr>
      <w:tblGrid>
        <w:gridCol w:w="4110"/>
        <w:gridCol w:w="6094"/>
      </w:tblGrid>
      <w:tr w:rsidR="008C1669" w:rsidRPr="000C215A" w14:paraId="0E688F7E" w14:textId="77777777" w:rsidTr="41ED4117">
        <w:trPr>
          <w:cnfStyle w:val="100000000000" w:firstRow="1" w:lastRow="0" w:firstColumn="0" w:lastColumn="0" w:oddVBand="0" w:evenVBand="0" w:oddHBand="0" w:evenHBand="0" w:firstRowFirstColumn="0" w:firstRowLastColumn="0" w:lastRowFirstColumn="0" w:lastRowLastColumn="0"/>
        </w:trPr>
        <w:tc>
          <w:tcPr>
            <w:tcW w:w="2014" w:type="pct"/>
          </w:tcPr>
          <w:p w14:paraId="71CF6E06" w14:textId="4FE5AF5C" w:rsidR="008C1669" w:rsidRPr="00116D1C" w:rsidRDefault="00784DAC" w:rsidP="000C215A">
            <w:pPr>
              <w:pStyle w:val="TableHeading"/>
              <w:rPr>
                <w:b/>
                <w:bCs/>
              </w:rPr>
            </w:pPr>
            <w:r w:rsidRPr="00116D1C">
              <w:rPr>
                <w:b/>
                <w:bCs/>
              </w:rPr>
              <w:t xml:space="preserve">Problem </w:t>
            </w:r>
            <w:r w:rsidR="00470B0F" w:rsidRPr="00116D1C">
              <w:rPr>
                <w:b/>
                <w:bCs/>
              </w:rPr>
              <w:t>definition</w:t>
            </w:r>
          </w:p>
        </w:tc>
        <w:tc>
          <w:tcPr>
            <w:tcW w:w="2986" w:type="pct"/>
          </w:tcPr>
          <w:p w14:paraId="3DBCC89A" w14:textId="7DD81DF7" w:rsidR="008C1669" w:rsidRPr="00116D1C" w:rsidRDefault="00BD6251" w:rsidP="000C215A">
            <w:pPr>
              <w:pStyle w:val="TableHeading"/>
              <w:rPr>
                <w:b/>
                <w:bCs/>
              </w:rPr>
            </w:pPr>
            <w:r w:rsidRPr="00116D1C">
              <w:rPr>
                <w:b/>
                <w:bCs/>
              </w:rPr>
              <w:t>Evidence</w:t>
            </w:r>
            <w:r w:rsidR="00470B0F" w:rsidRPr="00116D1C">
              <w:rPr>
                <w:b/>
                <w:bCs/>
              </w:rPr>
              <w:t xml:space="preserve"> to support problem definition</w:t>
            </w:r>
          </w:p>
        </w:tc>
      </w:tr>
      <w:tr w:rsidR="008C1669" w:rsidRPr="009D0A4A" w14:paraId="1EDDDF7F" w14:textId="77777777" w:rsidTr="41ED4117">
        <w:trPr>
          <w:cnfStyle w:val="000000100000" w:firstRow="0" w:lastRow="0" w:firstColumn="0" w:lastColumn="0" w:oddVBand="0" w:evenVBand="0" w:oddHBand="1" w:evenHBand="0" w:firstRowFirstColumn="0" w:firstRowLastColumn="0" w:lastRowFirstColumn="0" w:lastRowLastColumn="0"/>
        </w:trPr>
        <w:tc>
          <w:tcPr>
            <w:tcW w:w="2014" w:type="pct"/>
          </w:tcPr>
          <w:p w14:paraId="5C559C8E" w14:textId="581D13BF" w:rsidR="008C1669" w:rsidRPr="009D0A4A" w:rsidRDefault="00860D7A" w:rsidP="00825394">
            <w:pPr>
              <w:pStyle w:val="TableBody"/>
            </w:pPr>
            <w:r w:rsidRPr="009D0A4A">
              <w:t xml:space="preserve">Workers in a broad range of industries are </w:t>
            </w:r>
            <w:r w:rsidR="007C4346" w:rsidRPr="009D0A4A">
              <w:t>at</w:t>
            </w:r>
            <w:r w:rsidR="00587778" w:rsidRPr="009D0A4A">
              <w:t xml:space="preserve"> </w:t>
            </w:r>
            <w:r w:rsidR="007C4346" w:rsidRPr="009D0A4A">
              <w:t>risk of silicosis and</w:t>
            </w:r>
            <w:r w:rsidR="003E695B">
              <w:t xml:space="preserve"> other</w:t>
            </w:r>
            <w:r w:rsidR="007C4346" w:rsidRPr="009D0A4A">
              <w:t xml:space="preserve"> </w:t>
            </w:r>
            <w:r w:rsidR="00DD6525">
              <w:t>silica-related</w:t>
            </w:r>
            <w:r w:rsidR="007C4346" w:rsidRPr="009D0A4A">
              <w:t xml:space="preserve"> diseases</w:t>
            </w:r>
          </w:p>
        </w:tc>
        <w:tc>
          <w:tcPr>
            <w:tcW w:w="2986" w:type="pct"/>
          </w:tcPr>
          <w:p w14:paraId="172D043D" w14:textId="6EA139AF" w:rsidR="001622CB" w:rsidRPr="009D0A4A" w:rsidRDefault="00860D7A" w:rsidP="00825394">
            <w:pPr>
              <w:pStyle w:val="TableBullet"/>
            </w:pPr>
            <w:r w:rsidRPr="009D0A4A">
              <w:t>Evidence that workers in a</w:t>
            </w:r>
            <w:r w:rsidR="007C4346" w:rsidRPr="009D0A4A">
              <w:t xml:space="preserve"> broad</w:t>
            </w:r>
            <w:r w:rsidRPr="009D0A4A">
              <w:t xml:space="preserve"> range of industries are exposed to </w:t>
            </w:r>
            <w:r w:rsidR="007C4346" w:rsidRPr="009D0A4A">
              <w:t>RCS</w:t>
            </w:r>
          </w:p>
          <w:p w14:paraId="4FF1F800" w14:textId="016B3B54" w:rsidR="00860D7A" w:rsidRPr="009D0A4A" w:rsidRDefault="007C4346" w:rsidP="00825394">
            <w:pPr>
              <w:pStyle w:val="TableBullet"/>
            </w:pPr>
            <w:r w:rsidRPr="009D0A4A">
              <w:t>The</w:t>
            </w:r>
            <w:r w:rsidR="00587778" w:rsidRPr="009D0A4A">
              <w:t xml:space="preserve"> </w:t>
            </w:r>
            <w:r w:rsidR="008C5384" w:rsidRPr="009D0A4A">
              <w:t>number of cases</w:t>
            </w:r>
            <w:r w:rsidR="00860D7A" w:rsidRPr="009D0A4A">
              <w:t xml:space="preserve"> of silicosis</w:t>
            </w:r>
            <w:r w:rsidR="00587778" w:rsidRPr="009D0A4A">
              <w:t xml:space="preserve"> </w:t>
            </w:r>
          </w:p>
          <w:p w14:paraId="5B63CDE0" w14:textId="5063EEF7" w:rsidR="008C1669" w:rsidRPr="009D0A4A" w:rsidRDefault="007C4346" w:rsidP="00116D1C">
            <w:pPr>
              <w:pStyle w:val="TableBullet"/>
            </w:pPr>
            <w:r w:rsidRPr="009D0A4A">
              <w:t>The</w:t>
            </w:r>
            <w:r w:rsidR="00587778" w:rsidRPr="009D0A4A">
              <w:t xml:space="preserve"> </w:t>
            </w:r>
            <w:r w:rsidR="008C5384" w:rsidRPr="009D0A4A">
              <w:t>number of cases of</w:t>
            </w:r>
            <w:r w:rsidRPr="009D0A4A">
              <w:t xml:space="preserve"> other </w:t>
            </w:r>
            <w:r w:rsidR="00DD6525">
              <w:t>silica-related</w:t>
            </w:r>
            <w:r w:rsidRPr="009D0A4A">
              <w:t xml:space="preserve"> diseases</w:t>
            </w:r>
          </w:p>
        </w:tc>
      </w:tr>
      <w:tr w:rsidR="008C1669" w:rsidRPr="009D0A4A" w14:paraId="285AEBE7" w14:textId="77777777" w:rsidTr="41ED4117">
        <w:trPr>
          <w:cnfStyle w:val="000000010000" w:firstRow="0" w:lastRow="0" w:firstColumn="0" w:lastColumn="0" w:oddVBand="0" w:evenVBand="0" w:oddHBand="0" w:evenHBand="1" w:firstRowFirstColumn="0" w:firstRowLastColumn="0" w:lastRowFirstColumn="0" w:lastRowLastColumn="0"/>
        </w:trPr>
        <w:tc>
          <w:tcPr>
            <w:tcW w:w="2014" w:type="pct"/>
          </w:tcPr>
          <w:p w14:paraId="40D3CBCD" w14:textId="3A2EF286" w:rsidR="008C1669" w:rsidRPr="009D0A4A" w:rsidRDefault="00F20D37" w:rsidP="00825394">
            <w:pPr>
              <w:pStyle w:val="TableBody"/>
            </w:pPr>
            <w:r w:rsidRPr="009D0A4A">
              <w:t xml:space="preserve">Worker exposure to </w:t>
            </w:r>
            <w:r w:rsidR="006F1E8E" w:rsidRPr="009D0A4A">
              <w:t>RCS</w:t>
            </w:r>
            <w:r w:rsidRPr="009D0A4A">
              <w:t xml:space="preserve"> is due to lack of understanding of the risks and the current regulatory requirements to ensure the health and safety of those working with silica-containing materials</w:t>
            </w:r>
          </w:p>
        </w:tc>
        <w:tc>
          <w:tcPr>
            <w:tcW w:w="2986" w:type="pct"/>
          </w:tcPr>
          <w:p w14:paraId="39DB4700" w14:textId="6E8B6BD6" w:rsidR="007752C5" w:rsidRPr="009D0A4A" w:rsidRDefault="007752C5" w:rsidP="00825394">
            <w:pPr>
              <w:pStyle w:val="TableBullet"/>
            </w:pPr>
            <w:r w:rsidRPr="009D0A4A">
              <w:t xml:space="preserve">Lack of awareness of </w:t>
            </w:r>
            <w:r w:rsidR="00DD6525">
              <w:t>silica-related</w:t>
            </w:r>
            <w:r w:rsidRPr="009D0A4A">
              <w:t xml:space="preserve"> risks</w:t>
            </w:r>
          </w:p>
          <w:p w14:paraId="5BFF69C0" w14:textId="6A5C785C" w:rsidR="00A959D9" w:rsidRPr="00A959D9" w:rsidRDefault="003239CA" w:rsidP="00825394">
            <w:pPr>
              <w:pStyle w:val="TableBullet"/>
            </w:pPr>
            <w:r w:rsidRPr="009D0A4A">
              <w:t xml:space="preserve">Lack of clarity around </w:t>
            </w:r>
            <w:r w:rsidR="00396A5D" w:rsidRPr="009D0A4A">
              <w:t>how to comply with the WHS laws</w:t>
            </w:r>
          </w:p>
          <w:p w14:paraId="183E47F3" w14:textId="07DBCF23" w:rsidR="008C1669" w:rsidRPr="009D0A4A" w:rsidRDefault="008C1669" w:rsidP="002116CC">
            <w:pPr>
              <w:pStyle w:val="TableBullet"/>
              <w:numPr>
                <w:ilvl w:val="0"/>
                <w:numId w:val="0"/>
              </w:numPr>
              <w:ind w:left="284"/>
            </w:pPr>
          </w:p>
        </w:tc>
      </w:tr>
      <w:tr w:rsidR="008C1669" w:rsidRPr="009D0A4A" w14:paraId="1362B7E4" w14:textId="77777777" w:rsidTr="41ED4117">
        <w:trPr>
          <w:cnfStyle w:val="000000100000" w:firstRow="0" w:lastRow="0" w:firstColumn="0" w:lastColumn="0" w:oddVBand="0" w:evenVBand="0" w:oddHBand="1" w:evenHBand="0" w:firstRowFirstColumn="0" w:firstRowLastColumn="0" w:lastRowFirstColumn="0" w:lastRowLastColumn="0"/>
        </w:trPr>
        <w:tc>
          <w:tcPr>
            <w:tcW w:w="2014" w:type="pct"/>
          </w:tcPr>
          <w:p w14:paraId="4318C05B" w14:textId="71E0EE4F" w:rsidR="008C1669" w:rsidRPr="009D0A4A" w:rsidRDefault="00F0656E" w:rsidP="00825394">
            <w:pPr>
              <w:pStyle w:val="TableBody"/>
            </w:pPr>
            <w:r>
              <w:t>There are i</w:t>
            </w:r>
            <w:r w:rsidRPr="005C00D6">
              <w:t xml:space="preserve">nadequate levels of compliance and enforcement </w:t>
            </w:r>
            <w:r>
              <w:t>with the</w:t>
            </w:r>
            <w:r w:rsidRPr="005C00D6">
              <w:t xml:space="preserve"> current </w:t>
            </w:r>
            <w:r>
              <w:t>model WHS laws</w:t>
            </w:r>
            <w:r w:rsidRPr="005C00D6">
              <w:t xml:space="preserve">. </w:t>
            </w:r>
          </w:p>
        </w:tc>
        <w:tc>
          <w:tcPr>
            <w:tcW w:w="2986" w:type="pct"/>
          </w:tcPr>
          <w:p w14:paraId="226F5787" w14:textId="77777777" w:rsidR="001832DE" w:rsidRPr="009D0A4A" w:rsidRDefault="00FD2A1D" w:rsidP="00825394">
            <w:pPr>
              <w:pStyle w:val="TableBullet"/>
            </w:pPr>
            <w:r w:rsidRPr="009D0A4A">
              <w:t>Lack of compliance with current regulatory requirements</w:t>
            </w:r>
          </w:p>
          <w:p w14:paraId="32CC297C" w14:textId="5B4A5A50" w:rsidR="006F1E8E" w:rsidRPr="009D0A4A" w:rsidRDefault="00FD2A1D" w:rsidP="00825394">
            <w:pPr>
              <w:pStyle w:val="TableBullet"/>
            </w:pPr>
            <w:r w:rsidRPr="009D0A4A">
              <w:t xml:space="preserve">Current regulations are insufficient to ensure workers are not exposed to </w:t>
            </w:r>
            <w:r w:rsidR="006F1E8E" w:rsidRPr="009D0A4A">
              <w:t xml:space="preserve">RCS </w:t>
            </w:r>
          </w:p>
          <w:p w14:paraId="279828D2" w14:textId="6AA342CD" w:rsidR="00FD2A1D" w:rsidRPr="009D0A4A" w:rsidRDefault="00D26D77" w:rsidP="00825394">
            <w:pPr>
              <w:pStyle w:val="TableBullet"/>
            </w:pPr>
            <w:r w:rsidRPr="009D0A4A">
              <w:t>WHS r</w:t>
            </w:r>
            <w:r w:rsidR="00FD2A1D" w:rsidRPr="009D0A4A">
              <w:t xml:space="preserve">egulators </w:t>
            </w:r>
            <w:r w:rsidR="00C13621" w:rsidRPr="009D0A4A">
              <w:t>may be</w:t>
            </w:r>
            <w:r w:rsidR="00FD2A1D" w:rsidRPr="009D0A4A">
              <w:t xml:space="preserve"> unable to adequately </w:t>
            </w:r>
            <w:r w:rsidR="00335972" w:rsidRPr="009D0A4A">
              <w:t xml:space="preserve">ensure compliance with </w:t>
            </w:r>
            <w:r w:rsidR="002005B0" w:rsidRPr="009D0A4A">
              <w:t>the model WHS laws</w:t>
            </w:r>
          </w:p>
        </w:tc>
      </w:tr>
    </w:tbl>
    <w:p w14:paraId="6758FC2F" w14:textId="2CE6AB5D" w:rsidR="00E34E9A" w:rsidRPr="009D0A4A" w:rsidRDefault="007C4346" w:rsidP="003A3B2B">
      <w:pPr>
        <w:pStyle w:val="Heading2"/>
      </w:pPr>
      <w:bookmarkStart w:id="525" w:name="_Toc102142627"/>
      <w:bookmarkStart w:id="526" w:name="_Toc106109856"/>
      <w:bookmarkStart w:id="527" w:name="_Toc106112171"/>
      <w:bookmarkStart w:id="528" w:name="_Toc102142628"/>
      <w:bookmarkStart w:id="529" w:name="_Toc106109857"/>
      <w:bookmarkStart w:id="530" w:name="_Toc106112172"/>
      <w:bookmarkStart w:id="531" w:name="_Toc102142629"/>
      <w:bookmarkStart w:id="532" w:name="_Toc106109858"/>
      <w:bookmarkStart w:id="533" w:name="_Toc106112173"/>
      <w:bookmarkStart w:id="534" w:name="_Toc102142630"/>
      <w:bookmarkStart w:id="535" w:name="_Toc106109859"/>
      <w:bookmarkStart w:id="536" w:name="_Toc106112174"/>
      <w:bookmarkStart w:id="537" w:name="_Toc102142631"/>
      <w:bookmarkStart w:id="538" w:name="_Toc106109860"/>
      <w:bookmarkStart w:id="539" w:name="_Toc106112175"/>
      <w:bookmarkStart w:id="540" w:name="_Toc102142632"/>
      <w:bookmarkStart w:id="541" w:name="_Toc106109861"/>
      <w:bookmarkStart w:id="542" w:name="_Toc106112176"/>
      <w:bookmarkStart w:id="543" w:name="_Toc102142633"/>
      <w:bookmarkStart w:id="544" w:name="_Toc106109862"/>
      <w:bookmarkStart w:id="545" w:name="_Toc106112177"/>
      <w:bookmarkStart w:id="546" w:name="_Toc102142634"/>
      <w:bookmarkStart w:id="547" w:name="_Toc106109863"/>
      <w:bookmarkStart w:id="548" w:name="_Toc106112178"/>
      <w:bookmarkStart w:id="549" w:name="_Toc102142635"/>
      <w:bookmarkStart w:id="550" w:name="_Toc106109864"/>
      <w:bookmarkStart w:id="551" w:name="_Toc106112179"/>
      <w:bookmarkStart w:id="552" w:name="_Ref124686819"/>
      <w:bookmarkStart w:id="553" w:name="_Toc126573204"/>
      <w:bookmarkStart w:id="554" w:name="_Toc92873042"/>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lastRenderedPageBreak/>
        <w:t xml:space="preserve">Workers in a broad range of industries are at risk of silicosis and </w:t>
      </w:r>
      <w:r w:rsidR="00DD6525">
        <w:t>silica-related</w:t>
      </w:r>
      <w:r>
        <w:t xml:space="preserve"> diseases</w:t>
      </w:r>
      <w:bookmarkEnd w:id="552"/>
      <w:bookmarkEnd w:id="553"/>
    </w:p>
    <w:p w14:paraId="7304357B" w14:textId="4B5FEC83" w:rsidR="00A51E56" w:rsidRPr="009D0A4A" w:rsidRDefault="00BC0604" w:rsidP="00B35053">
      <w:pPr>
        <w:pStyle w:val="Heading3"/>
        <w:jc w:val="both"/>
      </w:pPr>
      <w:r w:rsidRPr="009D0A4A">
        <w:t>The problem of RCS</w:t>
      </w:r>
    </w:p>
    <w:p w14:paraId="5396A93B" w14:textId="4E11C834" w:rsidR="00A51E56" w:rsidRPr="009D0A4A" w:rsidRDefault="00632BA5" w:rsidP="00234FEF">
      <w:pPr>
        <w:pStyle w:val="BodyText"/>
      </w:pPr>
      <w:r>
        <w:t>Crystalline silica (silicon dioxide)</w:t>
      </w:r>
      <w:r w:rsidR="00A51E56">
        <w:t xml:space="preserve"> is a common </w:t>
      </w:r>
      <w:r>
        <w:t>chemical</w:t>
      </w:r>
      <w:r w:rsidR="00A51E56">
        <w:t xml:space="preserve"> in earth’s crust and </w:t>
      </w:r>
      <w:r w:rsidR="00A51E56" w:rsidRPr="6ADCFC47">
        <w:rPr>
          <w:lang w:val="en-US"/>
        </w:rPr>
        <w:t xml:space="preserve">is found in many rocks and natural stones </w:t>
      </w:r>
      <w:r w:rsidR="00A51E56" w:rsidRPr="00825394">
        <w:t>like</w:t>
      </w:r>
      <w:r w:rsidR="00A51E56" w:rsidRPr="6ADCFC47">
        <w:rPr>
          <w:lang w:val="en-US"/>
        </w:rPr>
        <w:t xml:space="preserve"> granite, slate and sandstone, and is also present, often at high concentrations, in some manufactured products such as engineered stone, concrete, bricks and tiles.</w:t>
      </w:r>
      <w:r w:rsidR="001D7733" w:rsidRPr="6ADCFC47">
        <w:rPr>
          <w:lang w:val="en-US"/>
        </w:rPr>
        <w:t xml:space="preserve"> </w:t>
      </w:r>
      <w:r w:rsidR="007C398C">
        <w:t>T</w:t>
      </w:r>
      <w:r w:rsidR="00A04189">
        <w:t>he dust generated from processing these materials that has the potential to cause harm.</w:t>
      </w:r>
      <w:r w:rsidR="007A7EF0">
        <w:t xml:space="preserve"> The </w:t>
      </w:r>
      <w:r w:rsidR="00FD5982">
        <w:t xml:space="preserve">silica containing </w:t>
      </w:r>
      <w:r w:rsidR="06F3DF1E">
        <w:t xml:space="preserve">material </w:t>
      </w:r>
      <w:r w:rsidR="007A7EF0">
        <w:t>itself does not present a risk when undisturbed.</w:t>
      </w:r>
      <w:r w:rsidR="00B23EBC">
        <w:t xml:space="preserve"> </w:t>
      </w:r>
    </w:p>
    <w:p w14:paraId="55E71C0B" w14:textId="44ADA7AE" w:rsidR="00A51E56" w:rsidRPr="009D0A4A" w:rsidRDefault="00A51E56" w:rsidP="00234FEF">
      <w:pPr>
        <w:pStyle w:val="BodyText"/>
      </w:pPr>
      <w:r w:rsidRPr="009D0A4A">
        <w:t>The crystalline silica content of common materials used across industries can vary significantly, ranging up to 97</w:t>
      </w:r>
      <w:r w:rsidR="003A4B46">
        <w:t> </w:t>
      </w:r>
      <w:r w:rsidRPr="009D0A4A">
        <w:t xml:space="preserve">per cent, as outlined in </w:t>
      </w:r>
      <w:r w:rsidR="000C1B74">
        <w:fldChar w:fldCharType="begin"/>
      </w:r>
      <w:r w:rsidR="000C1B74">
        <w:instrText xml:space="preserve"> REF _Ref125288648 \h </w:instrText>
      </w:r>
      <w:r w:rsidR="000C1B74">
        <w:fldChar w:fldCharType="separate"/>
      </w:r>
      <w:r w:rsidR="000C1B74">
        <w:t xml:space="preserve">Table </w:t>
      </w:r>
      <w:r w:rsidR="000C1B74">
        <w:rPr>
          <w:noProof/>
        </w:rPr>
        <w:t>4</w:t>
      </w:r>
      <w:r w:rsidR="000C1B74">
        <w:fldChar w:fldCharType="end"/>
      </w:r>
      <w:r w:rsidRPr="009D0A4A">
        <w:t>.</w:t>
      </w:r>
    </w:p>
    <w:p w14:paraId="60C091BE" w14:textId="67E5BD21" w:rsidR="00BE3206" w:rsidRDefault="00BE3206" w:rsidP="00BE3206">
      <w:pPr>
        <w:pStyle w:val="Caption"/>
      </w:pPr>
      <w:bookmarkStart w:id="555" w:name="_Ref125288648"/>
      <w:bookmarkStart w:id="556" w:name="_Ref125288639"/>
      <w:r>
        <w:t xml:space="preserve">Table </w:t>
      </w:r>
      <w:fldSimple w:instr=" SEQ Table \* ARABIC ">
        <w:r w:rsidR="00DF768D">
          <w:rPr>
            <w:noProof/>
          </w:rPr>
          <w:t>4</w:t>
        </w:r>
      </w:fldSimple>
      <w:bookmarkEnd w:id="555"/>
      <w:r w:rsidRPr="009D0A4A">
        <w:t xml:space="preserve">: </w:t>
      </w:r>
      <w:bookmarkStart w:id="557" w:name="_Ref125288658"/>
      <w:r w:rsidRPr="009D0A4A">
        <w:t xml:space="preserve">Silica composition of common materials </w:t>
      </w:r>
      <w:r w:rsidRPr="009D0A4A">
        <w:fldChar w:fldCharType="begin"/>
      </w:r>
      <w:r>
        <w:instrText xml:space="preserve"> ADDIN ZOTERO_ITEM CSL_CITATION {"citationID":"OPx1XzVA","properties":{"formattedCitation":"(Safe Work Australia 2021a)","plainCitation":"(Safe Work Australia 2021a)","noteIndex":0},"citationItems":[{"id":815,"uris":["http://zotero.org/users/6230888/items/VLQNCP7D"],"itemData":{"id":815,"type":"report","page":"59","title":"Model Code of Practice: Managing the risks of respirable crystalline silica from engineered stone in the workplace","URL":"https://www.safeworkaustralia.gov.au/doc/model-code-practice-managing-risks-respirable-crystalline-silica-engineered-stone-workplace","author":[{"literal":"Safe Work Australia"}],"accessed":{"date-parts":[["2022",6,30]]},"issued":{"date-parts":[["2021"]]}}}],"schema":"https://github.com/citation-style-language/schema/raw/master/csl-citation.json"} </w:instrText>
      </w:r>
      <w:r w:rsidRPr="009D0A4A">
        <w:fldChar w:fldCharType="separate"/>
      </w:r>
      <w:r w:rsidRPr="009D0A4A">
        <w:rPr>
          <w:rFonts w:ascii="Century Gothic" w:hAnsi="Century Gothic"/>
        </w:rPr>
        <w:t>(Safe Work Australia 2021a)</w:t>
      </w:r>
      <w:r w:rsidRPr="009D0A4A">
        <w:fldChar w:fldCharType="end"/>
      </w:r>
      <w:bookmarkEnd w:id="556"/>
      <w:bookmarkEnd w:id="557"/>
    </w:p>
    <w:tbl>
      <w:tblPr>
        <w:tblStyle w:val="PMCDefaultTableStyle"/>
        <w:tblW w:w="5000" w:type="pct"/>
        <w:tblLook w:val="04A0" w:firstRow="1" w:lastRow="0" w:firstColumn="1" w:lastColumn="0" w:noHBand="0" w:noVBand="1"/>
      </w:tblPr>
      <w:tblGrid>
        <w:gridCol w:w="5102"/>
        <w:gridCol w:w="5102"/>
      </w:tblGrid>
      <w:tr w:rsidR="00825394" w:rsidRPr="000C215A" w14:paraId="36146F43" w14:textId="77777777" w:rsidTr="00DF7D3E">
        <w:trPr>
          <w:cnfStyle w:val="100000000000" w:firstRow="1" w:lastRow="0" w:firstColumn="0" w:lastColumn="0" w:oddVBand="0" w:evenVBand="0" w:oddHBand="0" w:evenHBand="0" w:firstRowFirstColumn="0" w:firstRowLastColumn="0" w:lastRowFirstColumn="0" w:lastRowLastColumn="0"/>
        </w:trPr>
        <w:tc>
          <w:tcPr>
            <w:tcW w:w="2500" w:type="pct"/>
          </w:tcPr>
          <w:p w14:paraId="0B1E916B" w14:textId="77777777" w:rsidR="00A51E56" w:rsidRPr="00116D1C" w:rsidRDefault="00A51E56" w:rsidP="000C215A">
            <w:pPr>
              <w:pStyle w:val="TableHeading"/>
              <w:rPr>
                <w:b/>
                <w:bCs/>
              </w:rPr>
            </w:pPr>
            <w:r w:rsidRPr="00116D1C">
              <w:rPr>
                <w:b/>
                <w:bCs/>
              </w:rPr>
              <w:t>Type</w:t>
            </w:r>
          </w:p>
        </w:tc>
        <w:tc>
          <w:tcPr>
            <w:tcW w:w="2500" w:type="pct"/>
          </w:tcPr>
          <w:p w14:paraId="2EBD7A95" w14:textId="77777777" w:rsidR="00A51E56" w:rsidRPr="00116D1C" w:rsidRDefault="00A51E56" w:rsidP="000C215A">
            <w:pPr>
              <w:pStyle w:val="TableHeading"/>
              <w:rPr>
                <w:b/>
                <w:bCs/>
              </w:rPr>
            </w:pPr>
            <w:r w:rsidRPr="00116D1C">
              <w:rPr>
                <w:b/>
                <w:bCs/>
              </w:rPr>
              <w:t>Amount of silica (per cent)</w:t>
            </w:r>
          </w:p>
        </w:tc>
      </w:tr>
      <w:tr w:rsidR="00A51E56" w:rsidRPr="009D0A4A" w14:paraId="227B9E3B" w14:textId="77777777" w:rsidTr="00DF7D3E">
        <w:trPr>
          <w:cnfStyle w:val="000000100000" w:firstRow="0" w:lastRow="0" w:firstColumn="0" w:lastColumn="0" w:oddVBand="0" w:evenVBand="0" w:oddHBand="1" w:evenHBand="0" w:firstRowFirstColumn="0" w:firstRowLastColumn="0" w:lastRowFirstColumn="0" w:lastRowLastColumn="0"/>
        </w:trPr>
        <w:tc>
          <w:tcPr>
            <w:tcW w:w="2500" w:type="pct"/>
          </w:tcPr>
          <w:p w14:paraId="48FD1B9B" w14:textId="77777777" w:rsidR="00A51E56" w:rsidRPr="009D0A4A" w:rsidRDefault="00A51E56" w:rsidP="00825394">
            <w:pPr>
              <w:pStyle w:val="TableBody"/>
              <w:rPr>
                <w:szCs w:val="18"/>
              </w:rPr>
            </w:pPr>
            <w:r w:rsidRPr="009D0A4A">
              <w:rPr>
                <w:szCs w:val="18"/>
              </w:rPr>
              <w:t>Marble</w:t>
            </w:r>
          </w:p>
        </w:tc>
        <w:tc>
          <w:tcPr>
            <w:tcW w:w="2500" w:type="pct"/>
          </w:tcPr>
          <w:p w14:paraId="3118E0FA" w14:textId="77777777" w:rsidR="00A51E56" w:rsidRPr="009D0A4A" w:rsidRDefault="00A51E56" w:rsidP="00825394">
            <w:pPr>
              <w:pStyle w:val="TableBody"/>
              <w:rPr>
                <w:szCs w:val="18"/>
              </w:rPr>
            </w:pPr>
            <w:r w:rsidRPr="009D0A4A">
              <w:rPr>
                <w:szCs w:val="18"/>
              </w:rPr>
              <w:t>2</w:t>
            </w:r>
          </w:p>
        </w:tc>
      </w:tr>
      <w:tr w:rsidR="00A51E56" w:rsidRPr="009D0A4A" w14:paraId="0091A519" w14:textId="77777777" w:rsidTr="00DF7D3E">
        <w:trPr>
          <w:cnfStyle w:val="000000010000" w:firstRow="0" w:lastRow="0" w:firstColumn="0" w:lastColumn="0" w:oddVBand="0" w:evenVBand="0" w:oddHBand="0" w:evenHBand="1" w:firstRowFirstColumn="0" w:firstRowLastColumn="0" w:lastRowFirstColumn="0" w:lastRowLastColumn="0"/>
        </w:trPr>
        <w:tc>
          <w:tcPr>
            <w:tcW w:w="2500" w:type="pct"/>
          </w:tcPr>
          <w:p w14:paraId="7B71F4E1" w14:textId="77777777" w:rsidR="00A51E56" w:rsidRPr="009D0A4A" w:rsidRDefault="00A51E56" w:rsidP="00825394">
            <w:pPr>
              <w:pStyle w:val="TableBody"/>
              <w:rPr>
                <w:szCs w:val="18"/>
              </w:rPr>
            </w:pPr>
            <w:r w:rsidRPr="009D0A4A">
              <w:rPr>
                <w:szCs w:val="18"/>
              </w:rPr>
              <w:t>Limestone</w:t>
            </w:r>
          </w:p>
        </w:tc>
        <w:tc>
          <w:tcPr>
            <w:tcW w:w="2500" w:type="pct"/>
          </w:tcPr>
          <w:p w14:paraId="5DCC4576" w14:textId="77777777" w:rsidR="00A51E56" w:rsidRPr="009D0A4A" w:rsidRDefault="00A51E56" w:rsidP="00825394">
            <w:pPr>
              <w:pStyle w:val="TableBody"/>
              <w:rPr>
                <w:szCs w:val="18"/>
              </w:rPr>
            </w:pPr>
            <w:r w:rsidRPr="009D0A4A">
              <w:rPr>
                <w:szCs w:val="18"/>
              </w:rPr>
              <w:t>2</w:t>
            </w:r>
          </w:p>
        </w:tc>
      </w:tr>
      <w:tr w:rsidR="00A51E56" w:rsidRPr="009D0A4A" w14:paraId="3A994E92" w14:textId="77777777" w:rsidTr="00DF7D3E">
        <w:trPr>
          <w:cnfStyle w:val="000000100000" w:firstRow="0" w:lastRow="0" w:firstColumn="0" w:lastColumn="0" w:oddVBand="0" w:evenVBand="0" w:oddHBand="1" w:evenHBand="0" w:firstRowFirstColumn="0" w:firstRowLastColumn="0" w:lastRowFirstColumn="0" w:lastRowLastColumn="0"/>
        </w:trPr>
        <w:tc>
          <w:tcPr>
            <w:tcW w:w="2500" w:type="pct"/>
          </w:tcPr>
          <w:p w14:paraId="6E7772C4" w14:textId="77777777" w:rsidR="00A51E56" w:rsidRPr="009D0A4A" w:rsidRDefault="00A51E56" w:rsidP="00825394">
            <w:pPr>
              <w:pStyle w:val="TableBody"/>
              <w:rPr>
                <w:szCs w:val="18"/>
              </w:rPr>
            </w:pPr>
            <w:r w:rsidRPr="009D0A4A">
              <w:rPr>
                <w:szCs w:val="18"/>
              </w:rPr>
              <w:t>Slate</w:t>
            </w:r>
          </w:p>
        </w:tc>
        <w:tc>
          <w:tcPr>
            <w:tcW w:w="2500" w:type="pct"/>
          </w:tcPr>
          <w:p w14:paraId="777ABC5E" w14:textId="017D03EC" w:rsidR="00A51E56" w:rsidRPr="009D0A4A" w:rsidRDefault="00A51E56" w:rsidP="00825394">
            <w:pPr>
              <w:pStyle w:val="TableBody"/>
              <w:rPr>
                <w:szCs w:val="18"/>
              </w:rPr>
            </w:pPr>
            <w:r w:rsidRPr="009D0A4A">
              <w:rPr>
                <w:szCs w:val="18"/>
              </w:rPr>
              <w:t>2</w:t>
            </w:r>
            <w:r w:rsidR="00FC4908" w:rsidRPr="009D0A4A">
              <w:rPr>
                <w:szCs w:val="18"/>
              </w:rPr>
              <w:t>5</w:t>
            </w:r>
            <w:r w:rsidRPr="009D0A4A">
              <w:rPr>
                <w:szCs w:val="18"/>
              </w:rPr>
              <w:t xml:space="preserve"> to 40</w:t>
            </w:r>
          </w:p>
        </w:tc>
      </w:tr>
      <w:tr w:rsidR="00A51E56" w:rsidRPr="009D0A4A" w14:paraId="1FC42BB8" w14:textId="77777777" w:rsidTr="00DF7D3E">
        <w:trPr>
          <w:cnfStyle w:val="000000010000" w:firstRow="0" w:lastRow="0" w:firstColumn="0" w:lastColumn="0" w:oddVBand="0" w:evenVBand="0" w:oddHBand="0" w:evenHBand="1" w:firstRowFirstColumn="0" w:firstRowLastColumn="0" w:lastRowFirstColumn="0" w:lastRowLastColumn="0"/>
        </w:trPr>
        <w:tc>
          <w:tcPr>
            <w:tcW w:w="2500" w:type="pct"/>
          </w:tcPr>
          <w:p w14:paraId="26680A96" w14:textId="77777777" w:rsidR="00A51E56" w:rsidRPr="009D0A4A" w:rsidRDefault="00A51E56" w:rsidP="00825394">
            <w:pPr>
              <w:pStyle w:val="TableBody"/>
              <w:rPr>
                <w:szCs w:val="18"/>
              </w:rPr>
            </w:pPr>
            <w:r w:rsidRPr="009D0A4A">
              <w:rPr>
                <w:szCs w:val="18"/>
              </w:rPr>
              <w:t>Shale</w:t>
            </w:r>
          </w:p>
        </w:tc>
        <w:tc>
          <w:tcPr>
            <w:tcW w:w="2500" w:type="pct"/>
          </w:tcPr>
          <w:p w14:paraId="006AE447" w14:textId="77777777" w:rsidR="00A51E56" w:rsidRPr="009D0A4A" w:rsidRDefault="00A51E56" w:rsidP="00825394">
            <w:pPr>
              <w:pStyle w:val="TableBody"/>
              <w:rPr>
                <w:szCs w:val="18"/>
              </w:rPr>
            </w:pPr>
            <w:r w:rsidRPr="009D0A4A">
              <w:rPr>
                <w:szCs w:val="18"/>
              </w:rPr>
              <w:t>22</w:t>
            </w:r>
          </w:p>
        </w:tc>
      </w:tr>
      <w:tr w:rsidR="00A51E56" w:rsidRPr="009D0A4A" w14:paraId="3232195A" w14:textId="77777777" w:rsidTr="00DF7D3E">
        <w:trPr>
          <w:cnfStyle w:val="000000100000" w:firstRow="0" w:lastRow="0" w:firstColumn="0" w:lastColumn="0" w:oddVBand="0" w:evenVBand="0" w:oddHBand="1" w:evenHBand="0" w:firstRowFirstColumn="0" w:firstRowLastColumn="0" w:lastRowFirstColumn="0" w:lastRowLastColumn="0"/>
        </w:trPr>
        <w:tc>
          <w:tcPr>
            <w:tcW w:w="2500" w:type="pct"/>
          </w:tcPr>
          <w:p w14:paraId="43CE06F7" w14:textId="77777777" w:rsidR="00A51E56" w:rsidRPr="009D0A4A" w:rsidRDefault="00A51E56" w:rsidP="00825394">
            <w:pPr>
              <w:pStyle w:val="TableBody"/>
              <w:rPr>
                <w:szCs w:val="18"/>
              </w:rPr>
            </w:pPr>
            <w:r w:rsidRPr="009D0A4A">
              <w:rPr>
                <w:szCs w:val="18"/>
              </w:rPr>
              <w:t>Granite</w:t>
            </w:r>
          </w:p>
        </w:tc>
        <w:tc>
          <w:tcPr>
            <w:tcW w:w="2500" w:type="pct"/>
          </w:tcPr>
          <w:p w14:paraId="51EDFDE5" w14:textId="77777777" w:rsidR="00A51E56" w:rsidRPr="009D0A4A" w:rsidRDefault="00A51E56" w:rsidP="00825394">
            <w:pPr>
              <w:pStyle w:val="TableBody"/>
              <w:rPr>
                <w:szCs w:val="18"/>
              </w:rPr>
            </w:pPr>
            <w:r w:rsidRPr="009D0A4A">
              <w:rPr>
                <w:szCs w:val="18"/>
              </w:rPr>
              <w:t>20 to 45 (typically 30)</w:t>
            </w:r>
          </w:p>
        </w:tc>
      </w:tr>
      <w:tr w:rsidR="00A51E56" w:rsidRPr="009D0A4A" w14:paraId="3D901E27" w14:textId="77777777" w:rsidTr="00DF7D3E">
        <w:trPr>
          <w:cnfStyle w:val="000000010000" w:firstRow="0" w:lastRow="0" w:firstColumn="0" w:lastColumn="0" w:oddVBand="0" w:evenVBand="0" w:oddHBand="0" w:evenHBand="1" w:firstRowFirstColumn="0" w:firstRowLastColumn="0" w:lastRowFirstColumn="0" w:lastRowLastColumn="0"/>
        </w:trPr>
        <w:tc>
          <w:tcPr>
            <w:tcW w:w="2500" w:type="pct"/>
          </w:tcPr>
          <w:p w14:paraId="47035F65" w14:textId="77777777" w:rsidR="00A51E56" w:rsidRPr="009D0A4A" w:rsidRDefault="00A51E56" w:rsidP="00825394">
            <w:pPr>
              <w:pStyle w:val="TableBody"/>
              <w:rPr>
                <w:szCs w:val="18"/>
              </w:rPr>
            </w:pPr>
            <w:r w:rsidRPr="009D0A4A">
              <w:rPr>
                <w:szCs w:val="18"/>
              </w:rPr>
              <w:t>Natural sandstone</w:t>
            </w:r>
          </w:p>
        </w:tc>
        <w:tc>
          <w:tcPr>
            <w:tcW w:w="2500" w:type="pct"/>
          </w:tcPr>
          <w:p w14:paraId="676F8D64" w14:textId="77777777" w:rsidR="00A51E56" w:rsidRPr="009D0A4A" w:rsidRDefault="00A51E56" w:rsidP="00825394">
            <w:pPr>
              <w:pStyle w:val="TableBody"/>
              <w:rPr>
                <w:szCs w:val="18"/>
              </w:rPr>
            </w:pPr>
            <w:r w:rsidRPr="009D0A4A">
              <w:rPr>
                <w:szCs w:val="18"/>
              </w:rPr>
              <w:t>70 to 95</w:t>
            </w:r>
          </w:p>
        </w:tc>
      </w:tr>
      <w:tr w:rsidR="00A51E56" w:rsidRPr="009D0A4A" w14:paraId="2DE6C7FF" w14:textId="77777777" w:rsidTr="00DF7D3E">
        <w:trPr>
          <w:cnfStyle w:val="000000100000" w:firstRow="0" w:lastRow="0" w:firstColumn="0" w:lastColumn="0" w:oddVBand="0" w:evenVBand="0" w:oddHBand="1" w:evenHBand="0" w:firstRowFirstColumn="0" w:firstRowLastColumn="0" w:lastRowFirstColumn="0" w:lastRowLastColumn="0"/>
        </w:trPr>
        <w:tc>
          <w:tcPr>
            <w:tcW w:w="2500" w:type="pct"/>
          </w:tcPr>
          <w:p w14:paraId="5CE19C6D" w14:textId="77777777" w:rsidR="00A51E56" w:rsidRPr="009D0A4A" w:rsidRDefault="00A51E56" w:rsidP="00825394">
            <w:pPr>
              <w:pStyle w:val="TableBody"/>
              <w:rPr>
                <w:szCs w:val="18"/>
              </w:rPr>
            </w:pPr>
            <w:r w:rsidRPr="009D0A4A">
              <w:rPr>
                <w:szCs w:val="18"/>
              </w:rPr>
              <w:t>Composite (engineered or manufactured) stone</w:t>
            </w:r>
          </w:p>
        </w:tc>
        <w:tc>
          <w:tcPr>
            <w:tcW w:w="2500" w:type="pct"/>
          </w:tcPr>
          <w:p w14:paraId="563AEEC4" w14:textId="77777777" w:rsidR="00A51E56" w:rsidRPr="009D0A4A" w:rsidRDefault="00A51E56" w:rsidP="00825394">
            <w:pPr>
              <w:pStyle w:val="TableBody"/>
              <w:rPr>
                <w:szCs w:val="18"/>
              </w:rPr>
            </w:pPr>
            <w:r w:rsidRPr="009D0A4A">
              <w:rPr>
                <w:szCs w:val="18"/>
              </w:rPr>
              <w:t>Up to 97</w:t>
            </w:r>
          </w:p>
        </w:tc>
      </w:tr>
      <w:tr w:rsidR="00A51E56" w:rsidRPr="009D0A4A" w14:paraId="08C49257" w14:textId="77777777" w:rsidTr="00DF7D3E">
        <w:trPr>
          <w:cnfStyle w:val="000000010000" w:firstRow="0" w:lastRow="0" w:firstColumn="0" w:lastColumn="0" w:oddVBand="0" w:evenVBand="0" w:oddHBand="0" w:evenHBand="1" w:firstRowFirstColumn="0" w:firstRowLastColumn="0" w:lastRowFirstColumn="0" w:lastRowLastColumn="0"/>
        </w:trPr>
        <w:tc>
          <w:tcPr>
            <w:tcW w:w="2500" w:type="pct"/>
          </w:tcPr>
          <w:p w14:paraId="09933F9B" w14:textId="77777777" w:rsidR="00A51E56" w:rsidRPr="009D0A4A" w:rsidRDefault="00A51E56" w:rsidP="00825394">
            <w:pPr>
              <w:pStyle w:val="TableBody"/>
              <w:rPr>
                <w:szCs w:val="18"/>
              </w:rPr>
            </w:pPr>
            <w:r w:rsidRPr="009D0A4A">
              <w:rPr>
                <w:szCs w:val="18"/>
              </w:rPr>
              <w:t>Aggregates, mortar and concrete</w:t>
            </w:r>
          </w:p>
        </w:tc>
        <w:tc>
          <w:tcPr>
            <w:tcW w:w="2500" w:type="pct"/>
          </w:tcPr>
          <w:p w14:paraId="70FBD919" w14:textId="43400675" w:rsidR="00A51E56" w:rsidRPr="009D0A4A" w:rsidRDefault="00305470" w:rsidP="00825394">
            <w:pPr>
              <w:pStyle w:val="TableBody"/>
              <w:rPr>
                <w:szCs w:val="18"/>
              </w:rPr>
            </w:pPr>
            <w:r w:rsidRPr="009D0A4A">
              <w:rPr>
                <w:szCs w:val="18"/>
              </w:rPr>
              <w:t>V</w:t>
            </w:r>
            <w:r w:rsidR="00A51E56" w:rsidRPr="009D0A4A">
              <w:rPr>
                <w:szCs w:val="18"/>
              </w:rPr>
              <w:t>arious</w:t>
            </w:r>
          </w:p>
        </w:tc>
      </w:tr>
    </w:tbl>
    <w:p w14:paraId="37CE5047" w14:textId="41E75870" w:rsidR="00712E7F" w:rsidRPr="009D0A4A" w:rsidRDefault="00037BBB" w:rsidP="00234FEF">
      <w:pPr>
        <w:pStyle w:val="BodyText"/>
      </w:pPr>
      <w:r>
        <w:br/>
      </w:r>
      <w:r w:rsidR="000F356B" w:rsidRPr="009D0A4A">
        <w:t>I</w:t>
      </w:r>
      <w:r w:rsidR="00712E7F" w:rsidRPr="009D0A4A">
        <w:t xml:space="preserve">t </w:t>
      </w:r>
      <w:r w:rsidR="00F0656E">
        <w:t>is well established that</w:t>
      </w:r>
      <w:r w:rsidR="00712E7F" w:rsidRPr="009D0A4A">
        <w:t xml:space="preserve"> the main source of RCS exposure is occupational and that the accumulation of RCS in the lungs of exposed workers can lead to silicosis and other </w:t>
      </w:r>
      <w:r w:rsidR="00DD6525">
        <w:t>silica-related</w:t>
      </w:r>
      <w:r w:rsidR="00712E7F" w:rsidRPr="009D0A4A">
        <w:t xml:space="preserve"> diseases</w:t>
      </w:r>
      <w:r w:rsidR="00317507" w:rsidRPr="009D0A4A">
        <w:t xml:space="preserve"> (</w:t>
      </w:r>
      <w:r w:rsidR="00BB5E9F" w:rsidRPr="00BB5E9F">
        <w:t>as outlined in</w:t>
      </w:r>
      <w:r w:rsidR="00BB5E9F">
        <w:t xml:space="preserve"> Section</w:t>
      </w:r>
      <w:r w:rsidR="00BB5E9F" w:rsidRPr="00BB5E9F">
        <w:t xml:space="preserve"> </w:t>
      </w:r>
      <w:r w:rsidR="00BB5E9F">
        <w:rPr>
          <w:lang w:val="en-US"/>
        </w:rPr>
        <w:fldChar w:fldCharType="begin"/>
      </w:r>
      <w:r w:rsidR="00BB5E9F">
        <w:instrText xml:space="preserve"> REF _Ref102054054 \r \h </w:instrText>
      </w:r>
      <w:r w:rsidR="00BB5E9F">
        <w:rPr>
          <w:lang w:val="en-US"/>
        </w:rPr>
      </w:r>
      <w:r w:rsidR="00BB5E9F">
        <w:rPr>
          <w:lang w:val="en-US"/>
        </w:rPr>
        <w:fldChar w:fldCharType="separate"/>
      </w:r>
      <w:r w:rsidR="00BB5E9F">
        <w:t>1.2</w:t>
      </w:r>
      <w:r w:rsidR="00BB5E9F">
        <w:rPr>
          <w:lang w:val="en-US"/>
        </w:rPr>
        <w:fldChar w:fldCharType="end"/>
      </w:r>
      <w:r w:rsidR="00317507" w:rsidRPr="009D0A4A">
        <w:rPr>
          <w:lang w:val="en-US"/>
        </w:rPr>
        <w:t>)</w:t>
      </w:r>
      <w:r w:rsidR="00712E7F" w:rsidRPr="009D0A4A">
        <w:t>.</w:t>
      </w:r>
      <w:r w:rsidR="00F0656E">
        <w:t xml:space="preserve"> </w:t>
      </w:r>
      <w:r w:rsidR="00AF23A2">
        <w:t>H</w:t>
      </w:r>
      <w:r w:rsidR="00712E7F" w:rsidRPr="009D0A4A">
        <w:t xml:space="preserve">ealth screening programs carried </w:t>
      </w:r>
      <w:r w:rsidR="00712E7F" w:rsidRPr="00825394">
        <w:t>out</w:t>
      </w:r>
      <w:r w:rsidR="00712E7F" w:rsidRPr="009D0A4A">
        <w:t xml:space="preserve"> by state and territory </w:t>
      </w:r>
      <w:r w:rsidR="008B35E0">
        <w:t xml:space="preserve">WHS </w:t>
      </w:r>
      <w:r w:rsidR="00712E7F" w:rsidRPr="009D0A4A">
        <w:t xml:space="preserve">regulators and health authorities </w:t>
      </w:r>
      <w:r w:rsidR="00AF23A2">
        <w:t xml:space="preserve">since 2018 </w:t>
      </w:r>
      <w:r w:rsidR="00712E7F" w:rsidRPr="009D0A4A">
        <w:t xml:space="preserve">have determined that of the 4,743 </w:t>
      </w:r>
      <w:r w:rsidR="00D67719">
        <w:t xml:space="preserve">stonemasons and engineered stone </w:t>
      </w:r>
      <w:r w:rsidR="00712E7F" w:rsidRPr="009D0A4A">
        <w:t>workers screened, approximately 11</w:t>
      </w:r>
      <w:r w:rsidR="007C4FA8" w:rsidRPr="009D0A4A">
        <w:t xml:space="preserve"> per cent</w:t>
      </w:r>
      <w:r w:rsidR="00712E7F" w:rsidRPr="009D0A4A">
        <w:t xml:space="preserve"> received a </w:t>
      </w:r>
      <w:r w:rsidR="00D67719">
        <w:t xml:space="preserve">probable or </w:t>
      </w:r>
      <w:r w:rsidR="007814FF">
        <w:t>confirmed</w:t>
      </w:r>
      <w:r w:rsidR="007814FF" w:rsidRPr="009D0A4A">
        <w:t xml:space="preserve"> </w:t>
      </w:r>
      <w:r w:rsidR="00712E7F" w:rsidRPr="009D0A4A">
        <w:t xml:space="preserve">diagnosis of </w:t>
      </w:r>
      <w:r w:rsidR="00725091" w:rsidRPr="009D0A4A">
        <w:t xml:space="preserve">silicosis </w:t>
      </w:r>
      <w:r w:rsidR="004E3629" w:rsidRPr="009D0A4A">
        <w:t>because of</w:t>
      </w:r>
      <w:r w:rsidR="00712E7F" w:rsidRPr="009D0A4A">
        <w:t xml:space="preserve"> workplace exposure to RCS (</w:t>
      </w:r>
      <w:r w:rsidR="007643CF" w:rsidRPr="007643CF">
        <w:t xml:space="preserve">See Section </w:t>
      </w:r>
      <w:r w:rsidR="007643CF">
        <w:fldChar w:fldCharType="begin"/>
      </w:r>
      <w:r w:rsidR="007643CF">
        <w:instrText xml:space="preserve"> REF _Ref124947962 \r \h </w:instrText>
      </w:r>
      <w:r w:rsidR="007643CF">
        <w:fldChar w:fldCharType="separate"/>
      </w:r>
      <w:r w:rsidR="007643CF">
        <w:t>2.2.3.2</w:t>
      </w:r>
      <w:r w:rsidR="007643CF">
        <w:fldChar w:fldCharType="end"/>
      </w:r>
      <w:r w:rsidR="00EB19EE" w:rsidRPr="009D0A4A">
        <w:t>)</w:t>
      </w:r>
      <w:r w:rsidR="00EB27AC">
        <w:t>.</w:t>
      </w:r>
      <w:r w:rsidR="00E12897">
        <w:t xml:space="preserve"> </w:t>
      </w:r>
    </w:p>
    <w:p w14:paraId="3D112DE8" w14:textId="28E6CBFE" w:rsidR="00A51E56" w:rsidRPr="009D0A4A" w:rsidRDefault="00A51E56" w:rsidP="00234FEF">
      <w:pPr>
        <w:pStyle w:val="BodyText"/>
      </w:pPr>
      <w:r w:rsidRPr="009D0A4A">
        <w:t xml:space="preserve">Given the wide range of </w:t>
      </w:r>
      <w:r w:rsidR="00D14CDB" w:rsidRPr="00825394">
        <w:t>materials</w:t>
      </w:r>
      <w:r w:rsidR="00D14CDB" w:rsidRPr="009D0A4A">
        <w:t xml:space="preserve"> that contain crystalline </w:t>
      </w:r>
      <w:r w:rsidRPr="009D0A4A">
        <w:t xml:space="preserve">silica, workers in many industries may be exposed to RCS </w:t>
      </w:r>
      <w:r w:rsidR="00E752D5" w:rsidRPr="009D0A4A">
        <w:t>at work</w:t>
      </w:r>
      <w:r w:rsidRPr="009D0A4A">
        <w:t>. Examples of work activities that can generate RCS include:</w:t>
      </w:r>
    </w:p>
    <w:p w14:paraId="571AE463" w14:textId="77777777" w:rsidR="00A51E56" w:rsidRPr="009D0A4A" w:rsidRDefault="00A51E56" w:rsidP="008B35E0">
      <w:pPr>
        <w:pStyle w:val="ListBullet"/>
      </w:pPr>
      <w:r w:rsidRPr="009D0A4A">
        <w:t xml:space="preserve">fabrication, cutting and installation of engineered stone countertops </w:t>
      </w:r>
    </w:p>
    <w:p w14:paraId="3DB89244" w14:textId="77777777" w:rsidR="00A51E56" w:rsidRPr="009D0A4A" w:rsidRDefault="00A51E56" w:rsidP="008B35E0">
      <w:pPr>
        <w:pStyle w:val="ListBullet"/>
      </w:pPr>
      <w:r w:rsidRPr="009D0A4A">
        <w:t>cutting and installation of natural stone countertops</w:t>
      </w:r>
    </w:p>
    <w:p w14:paraId="6CD00E8C" w14:textId="77777777" w:rsidR="00A51E56" w:rsidRPr="009D0A4A" w:rsidRDefault="00A51E56" w:rsidP="008B35E0">
      <w:pPr>
        <w:pStyle w:val="ListBullet"/>
      </w:pPr>
      <w:r w:rsidRPr="009D0A4A">
        <w:t xml:space="preserve">excavation, earth moving and drilling plant operations </w:t>
      </w:r>
    </w:p>
    <w:p w14:paraId="04CAF485" w14:textId="77777777" w:rsidR="00A51E56" w:rsidRPr="009D0A4A" w:rsidRDefault="00A51E56" w:rsidP="008B35E0">
      <w:pPr>
        <w:pStyle w:val="ListBullet"/>
      </w:pPr>
      <w:r w:rsidRPr="009D0A4A">
        <w:t xml:space="preserve">clay and stone processing machine operations </w:t>
      </w:r>
    </w:p>
    <w:p w14:paraId="7107E9D5" w14:textId="77777777" w:rsidR="00A51E56" w:rsidRPr="009D0A4A" w:rsidRDefault="00A51E56" w:rsidP="008B35E0">
      <w:pPr>
        <w:pStyle w:val="ListBullet"/>
      </w:pPr>
      <w:r w:rsidRPr="009D0A4A">
        <w:t>concrete cutting</w:t>
      </w:r>
    </w:p>
    <w:p w14:paraId="57A28797" w14:textId="77777777" w:rsidR="00A51E56" w:rsidRPr="00825394" w:rsidRDefault="00A51E56" w:rsidP="008B35E0">
      <w:pPr>
        <w:pStyle w:val="ListBullet"/>
      </w:pPr>
      <w:r w:rsidRPr="009D0A4A">
        <w:lastRenderedPageBreak/>
        <w:t xml:space="preserve">mining, </w:t>
      </w:r>
      <w:r w:rsidRPr="00825394">
        <w:t>quarrying</w:t>
      </w:r>
      <w:r w:rsidRPr="009D0A4A">
        <w:t xml:space="preserve"> and mineral ore treating processes</w:t>
      </w:r>
      <w:r w:rsidRPr="00825394">
        <w:rPr>
          <w:vertAlign w:val="superscript"/>
        </w:rPr>
        <w:footnoteReference w:id="3"/>
      </w:r>
    </w:p>
    <w:p w14:paraId="11388566" w14:textId="77777777" w:rsidR="00A51E56" w:rsidRPr="009D0A4A" w:rsidRDefault="00A51E56" w:rsidP="008B35E0">
      <w:pPr>
        <w:pStyle w:val="ListBullet"/>
      </w:pPr>
      <w:r w:rsidRPr="009D0A4A">
        <w:t xml:space="preserve">tunnelling </w:t>
      </w:r>
    </w:p>
    <w:p w14:paraId="169E4812" w14:textId="2B1E7783" w:rsidR="00A51E56" w:rsidRPr="009D0A4A" w:rsidRDefault="00A51E56" w:rsidP="008B35E0">
      <w:pPr>
        <w:pStyle w:val="ListBullet"/>
      </w:pPr>
      <w:r w:rsidRPr="009D0A4A">
        <w:t>brick, concrete or stone cutting; especially using dry methods</w:t>
      </w:r>
      <w:r w:rsidR="00D26D77" w:rsidRPr="009D0A4A">
        <w:t xml:space="preserve">, and </w:t>
      </w:r>
    </w:p>
    <w:p w14:paraId="4041672B" w14:textId="369C3267" w:rsidR="00A51E56" w:rsidRPr="009D0A4A" w:rsidRDefault="00A51E56" w:rsidP="008B35E0">
      <w:pPr>
        <w:pStyle w:val="ListBullet"/>
      </w:pPr>
      <w:r w:rsidRPr="009D0A4A">
        <w:t>angle grinding, jack hammering and chiselling of concrete or masonry</w:t>
      </w:r>
      <w:r w:rsidR="00D26D77" w:rsidRPr="009D0A4A">
        <w:t>.</w:t>
      </w:r>
    </w:p>
    <w:p w14:paraId="29636EBC" w14:textId="5C7D0D1A" w:rsidR="005D7D55" w:rsidRPr="00825394" w:rsidRDefault="00B87E41" w:rsidP="00234FEF">
      <w:pPr>
        <w:pStyle w:val="BodyText"/>
      </w:pPr>
      <w:r w:rsidRPr="00825394">
        <w:t>The first cases of silicosis in Australian engineered stone fabricators were reported in 2015</w:t>
      </w:r>
      <w:r w:rsidR="0039083F" w:rsidRPr="00825394">
        <w:t xml:space="preserve"> </w:t>
      </w:r>
      <w:r w:rsidR="0039083F" w:rsidRPr="00825394">
        <w:fldChar w:fldCharType="begin"/>
      </w:r>
      <w:r w:rsidR="004067E3" w:rsidRPr="00825394">
        <w:instrText xml:space="preserve"> ADDIN ZOTERO_ITEM CSL_CITATION {"citationID":"1PTbPH7P","properties":{"formattedCitation":"(Frankel et al. 2015)","plainCitation":"(Frankel et al. 2015)","noteIndex":0},"citationItems":[{"id":839,"uris":["http://zotero.org/users/6230888/items/Q46HV4R5"],"itemData":{"id":839,"type":"article-journal","abstract":"Regulations to control of exposure to silica have existed in Australia since the 1930s, but hazard awareness is imperfect. To highlight the dangers of exposure to respirable silica dust, we describe a case of silicosis in a 52 year man whose exposure to silica was cutting and polishing engineered stone kitchen and bathroom countertops. The man presented with breathlessness, later complicated by bilateral spontaneous pneumothoraces requiring tube thoracostomies, and now requires lung transplantation. An Australian man worked as a stone cutter for &gt;20 years. Conditions were dusty. He used a paper mask irregularly in the later years. There was no health screening and only minimal dust extraction measures. He smoked 20 cpd for 20 years. He noticed breathless and cough in 2006 and was diagnosed with emphysema; after haemoptysis he was referred for specialist advice and tuberculosis was excluded. Lung function showed severe airflow obstruction with gas trapping and a DLCO of 40% predicted. A lung biopsy confirmed silicosis. CT is shown.\n&lt;img class=\"highwire-fragment fragment-image\" alt=\"Figure\" src=\"https://erj.ersjournals.com/content/erj/46/suppl_59/PA1144/F1.medium.gif\"/&gt;Download figureOpen in new tabDownload powerpoint\nHe subsequently presented with bilateral non-contemporaneous pneumothoraces. This is the first case of silicosis associated with engineered stone described from Australia. This shows that silicosis still occurs despite occupational health &amp; safety regulations in developed countries. Such regulations are only as good as their implementation.","container-title":"European Respiratory Journal","DOI":"10.1183/13993003.congress-2015.PA1144","ISSN":"0903-1936, 1399-3003","issue":"suppl 59","language":"en","note":"publisher: European Respiratory Society\nsection: 6.2 Occupational and Environmental Health","source":"erj.ersjournals.com","title":"LATE-BREAKING ABSTRACT: Complicated silicosis in an Australian worker from cutting engineered stone countertops: An embarrassing first for Australia","title-short":"LATE-BREAKING ABSTRACT","URL":"https://erj.ersjournals.com/content/46/suppl_59/PA1144","volume":"46","author":[{"family":"Frankel","given":"Anthony"},{"family":"Blake","given":"Lucinda"},{"family":"Yates","given":"Deborah"}],"accessed":{"date-parts":[["2022",6,24]]},"issued":{"date-parts":[["2015"]]}}}],"schema":"https://github.com/citation-style-language/schema/raw/master/csl-citation.json"} </w:instrText>
      </w:r>
      <w:r w:rsidR="0039083F" w:rsidRPr="00825394">
        <w:fldChar w:fldCharType="separate"/>
      </w:r>
      <w:r w:rsidR="006B4A7D" w:rsidRPr="00825394">
        <w:t>(Frankel et al. 2015)</w:t>
      </w:r>
      <w:r w:rsidR="0039083F" w:rsidRPr="00825394">
        <w:fldChar w:fldCharType="end"/>
      </w:r>
      <w:r w:rsidRPr="00825394">
        <w:t>. Subsequent health screening of stonemasons and other engineered stone workers has revealed a high prevalence of silicosis in this cohort of workers (</w:t>
      </w:r>
      <w:r w:rsidR="00A66CA8" w:rsidRPr="00825394">
        <w:t xml:space="preserve">see </w:t>
      </w:r>
      <w:r w:rsidR="007643CF" w:rsidRPr="00825394">
        <w:t xml:space="preserve">Section </w:t>
      </w:r>
      <w:r w:rsidR="007643CF" w:rsidRPr="00825394">
        <w:fldChar w:fldCharType="begin"/>
      </w:r>
      <w:r w:rsidR="007643CF" w:rsidRPr="00825394">
        <w:instrText xml:space="preserve"> REF _Ref124947962 \r \h </w:instrText>
      </w:r>
      <w:r w:rsidR="00825394">
        <w:instrText xml:space="preserve"> \* MERGEFORMAT </w:instrText>
      </w:r>
      <w:r w:rsidR="007643CF" w:rsidRPr="00825394">
        <w:fldChar w:fldCharType="separate"/>
      </w:r>
      <w:r w:rsidR="007643CF" w:rsidRPr="00825394">
        <w:t>2.2.3.2</w:t>
      </w:r>
      <w:r w:rsidR="007643CF" w:rsidRPr="00825394">
        <w:fldChar w:fldCharType="end"/>
      </w:r>
      <w:r w:rsidRPr="00825394">
        <w:t xml:space="preserve">). Although this sector has been a focus of </w:t>
      </w:r>
      <w:r w:rsidR="00F0656E" w:rsidRPr="00825394">
        <w:t xml:space="preserve">additional regulation, compliance and enforcement, </w:t>
      </w:r>
      <w:r w:rsidRPr="00825394">
        <w:t>workers in a broad range of industries</w:t>
      </w:r>
      <w:r w:rsidR="00DC1418" w:rsidRPr="00825394">
        <w:t xml:space="preserve"> outside of the engineered stone sector</w:t>
      </w:r>
      <w:r w:rsidRPr="00825394">
        <w:t xml:space="preserve"> have </w:t>
      </w:r>
      <w:r w:rsidR="00DC1418" w:rsidRPr="00825394">
        <w:t xml:space="preserve">also </w:t>
      </w:r>
      <w:r w:rsidRPr="00825394">
        <w:t>developed silicosis</w:t>
      </w:r>
      <w:r w:rsidR="003464FA" w:rsidRPr="00825394">
        <w:t xml:space="preserve">, </w:t>
      </w:r>
      <w:r w:rsidR="00AC7E87" w:rsidRPr="00825394">
        <w:t>as described</w:t>
      </w:r>
      <w:r w:rsidR="003464FA" w:rsidRPr="00825394">
        <w:t xml:space="preserve"> in </w:t>
      </w:r>
      <w:r w:rsidR="007643CF" w:rsidRPr="00825394">
        <w:t xml:space="preserve">Section </w:t>
      </w:r>
      <w:r w:rsidR="007643CF" w:rsidRPr="00825394">
        <w:fldChar w:fldCharType="begin"/>
      </w:r>
      <w:r w:rsidR="007643CF" w:rsidRPr="00825394">
        <w:instrText xml:space="preserve"> REF _Ref124948016 \r \h </w:instrText>
      </w:r>
      <w:r w:rsidR="00825394">
        <w:instrText xml:space="preserve"> \* MERGEFORMAT </w:instrText>
      </w:r>
      <w:r w:rsidR="007643CF" w:rsidRPr="00825394">
        <w:fldChar w:fldCharType="separate"/>
      </w:r>
      <w:r w:rsidR="007643CF" w:rsidRPr="00825394">
        <w:t>2.2.3.1</w:t>
      </w:r>
      <w:r w:rsidR="007643CF" w:rsidRPr="00825394">
        <w:fldChar w:fldCharType="end"/>
      </w:r>
      <w:r w:rsidRPr="00825394">
        <w:t>.</w:t>
      </w:r>
      <w:r w:rsidR="00E17748" w:rsidRPr="00825394">
        <w:t xml:space="preserve"> </w:t>
      </w:r>
      <w:r w:rsidR="00200DFF" w:rsidRPr="00825394">
        <w:t>Since 2018, a range of additional policy measures have been implemented by both Safe Work Australia and</w:t>
      </w:r>
      <w:r w:rsidR="00200DFF" w:rsidRPr="00825394" w:rsidDel="00B23816">
        <w:t xml:space="preserve"> </w:t>
      </w:r>
      <w:r w:rsidR="00FB27D9" w:rsidRPr="00825394">
        <w:t>jurisdiction</w:t>
      </w:r>
      <w:r w:rsidR="00E30B9F" w:rsidRPr="00825394">
        <w:t>al</w:t>
      </w:r>
      <w:r w:rsidR="001307DF" w:rsidRPr="00825394">
        <w:t xml:space="preserve"> governments</w:t>
      </w:r>
      <w:r w:rsidR="00200DFF" w:rsidRPr="00825394">
        <w:t xml:space="preserve"> to address the risks of exposure to RCS in the workplace. However</w:t>
      </w:r>
      <w:r w:rsidR="001058D0" w:rsidRPr="00825394">
        <w:t>,</w:t>
      </w:r>
      <w:r w:rsidR="00200DFF" w:rsidRPr="00825394">
        <w:t xml:space="preserve"> </w:t>
      </w:r>
      <w:r w:rsidR="00E17748" w:rsidRPr="00825394">
        <w:t xml:space="preserve">due to the </w:t>
      </w:r>
      <w:r w:rsidR="001058D0" w:rsidRPr="00825394">
        <w:t xml:space="preserve">long </w:t>
      </w:r>
      <w:r w:rsidR="00E17748" w:rsidRPr="00825394">
        <w:t>latency period</w:t>
      </w:r>
      <w:r w:rsidR="001058D0" w:rsidRPr="00825394">
        <w:t xml:space="preserve"> of</w:t>
      </w:r>
      <w:r w:rsidR="00280397" w:rsidRPr="00825394">
        <w:t xml:space="preserve"> </w:t>
      </w:r>
      <w:r w:rsidR="007138DD" w:rsidRPr="00825394">
        <w:t xml:space="preserve">up to </w:t>
      </w:r>
      <w:r w:rsidR="00280397" w:rsidRPr="00825394">
        <w:t xml:space="preserve">30 years </w:t>
      </w:r>
      <w:r w:rsidR="00280397" w:rsidRPr="00825394">
        <w:rPr>
          <w:rStyle w:val="FootnoteReference"/>
          <w:vertAlign w:val="baseline"/>
        </w:rPr>
        <w:fldChar w:fldCharType="begin"/>
      </w:r>
      <w:r w:rsidR="00280397" w:rsidRPr="00825394">
        <w:instrText xml:space="preserve"> ADDIN ZOTERO_ITEM CSL_CITATION {"citationID":"CBaTR5Ng","properties":{"formattedCitation":"(Hoy &amp; Chambers 2020)","plainCitation":"(Hoy &amp; Chambers 2020)","noteIndex":0},"citationItems":[{"id":799,"uris":["http://zotero.org/users/6230888/items/AAX28WZL"],"itemData":{"id":799,"type":"article-journal","abstract":"Silicosis is an ancient and potentially fatal pneumoconiosis caused by exposure to respirable crystalline silica. Silicosis is historically a disease of miners; however, failure to recognize and control the risk associated with silica exposure in contemporary work practices such as sandblasting denim jeans and manufacturing of artificial stone benchtops has led to re-emergence of silicosis around the world. This review outlines the mineralogy, epidemiology, clinical and radiological features of the various forms of silicosis and other silica-associated diseases. Perspective is provided on the most recent studies shedding light on pathogenesis, including the central role of innate immune effector cells and subsequent inflammatory cascades in propagating pulmonary fibrosis and the extrapulmonary manifestations, which uniquely characterize this pneumoconiosis. Clinical conundrums in differential diagnosis, particularly between silicosis and sarcoidosis, are highlighted, as is the importance of obtaining a careful occupational history in the patient presenting with pulmonary infiltrates and/or fibrosis. While silicosis is a completely preventable disease, unfortunately workers around the world continue to be affected and experience progressive or even fatal disease. Although no treatments have been proven, opportunities to intervene to prevent progressive disease, founded in a thorough cellular and molecular understanding of the immunopathology of silicosis, are highlighted.","container-title":"Allergy","DOI":"10.1111/all.14202","ISSN":"1398-9995","issue":"11","language":"en","note":"_eprint: https://onlinelibrary.wiley.com/doi/pdf/10.1111/all.14202","page":"2805-2817","source":"Wiley Online Library","title":"Silica-related diseases in the modern world","volume":"75","author":[{"family":"Hoy","given":"Ryan F."},{"family":"Chambers","given":"Daniel C."}],"issued":{"date-parts":[["2020"]]}}}],"schema":"https://github.com/citation-style-language/schema/raw/master/csl-citation.json"} </w:instrText>
      </w:r>
      <w:r w:rsidR="00280397" w:rsidRPr="00825394">
        <w:rPr>
          <w:rStyle w:val="FootnoteReference"/>
          <w:vertAlign w:val="baseline"/>
        </w:rPr>
        <w:fldChar w:fldCharType="separate"/>
      </w:r>
      <w:r w:rsidR="00280397" w:rsidRPr="00825394">
        <w:t>(Hoy &amp; Chambers 2020)</w:t>
      </w:r>
      <w:r w:rsidR="00280397" w:rsidRPr="00825394">
        <w:rPr>
          <w:rStyle w:val="FootnoteReference"/>
          <w:vertAlign w:val="baseline"/>
        </w:rPr>
        <w:fldChar w:fldCharType="end"/>
      </w:r>
      <w:r w:rsidR="009A6D1A" w:rsidRPr="00825394">
        <w:t xml:space="preserve"> and lack of </w:t>
      </w:r>
      <w:r w:rsidR="00CC3CB3" w:rsidRPr="00825394">
        <w:t>comprehensive baseline data,</w:t>
      </w:r>
      <w:r w:rsidR="00280397" w:rsidRPr="00825394">
        <w:t xml:space="preserve"> </w:t>
      </w:r>
      <w:r w:rsidR="009072AD" w:rsidRPr="00825394">
        <w:t xml:space="preserve">it is not </w:t>
      </w:r>
      <w:r w:rsidR="007138DD" w:rsidRPr="00825394">
        <w:t xml:space="preserve">yet </w:t>
      </w:r>
      <w:r w:rsidR="009072AD" w:rsidRPr="00825394">
        <w:t xml:space="preserve">possible to measure </w:t>
      </w:r>
      <w:r w:rsidR="00A70135" w:rsidRPr="00825394">
        <w:t xml:space="preserve">the </w:t>
      </w:r>
      <w:r w:rsidR="009072AD" w:rsidRPr="00825394">
        <w:t>impact</w:t>
      </w:r>
      <w:r w:rsidR="00F06507" w:rsidRPr="00825394">
        <w:t xml:space="preserve"> </w:t>
      </w:r>
      <w:r w:rsidR="009072AD" w:rsidRPr="00825394">
        <w:t>these</w:t>
      </w:r>
      <w:r w:rsidR="00F24F05" w:rsidRPr="00825394">
        <w:t xml:space="preserve"> measures</w:t>
      </w:r>
      <w:r w:rsidR="009072AD" w:rsidRPr="00825394">
        <w:t xml:space="preserve"> have had </w:t>
      </w:r>
      <w:r w:rsidR="00A4010C" w:rsidRPr="00825394">
        <w:t xml:space="preserve">on worker health. </w:t>
      </w:r>
      <w:r w:rsidR="007138DD" w:rsidRPr="00825394">
        <w:t>T</w:t>
      </w:r>
      <w:r w:rsidR="00A4010C" w:rsidRPr="00825394">
        <w:t xml:space="preserve">here is evidence </w:t>
      </w:r>
      <w:r w:rsidR="00382399" w:rsidRPr="00825394">
        <w:t>of</w:t>
      </w:r>
      <w:r w:rsidR="0036208C" w:rsidRPr="00825394">
        <w:t xml:space="preserve"> increased awareness of the risks of working </w:t>
      </w:r>
      <w:r w:rsidR="00C61F34" w:rsidRPr="00825394">
        <w:t xml:space="preserve">with silica </w:t>
      </w:r>
      <w:r w:rsidR="00382399" w:rsidRPr="00825394">
        <w:t xml:space="preserve">amongst workers and PCBUs as a result of awareness </w:t>
      </w:r>
      <w:r w:rsidR="00546F71" w:rsidRPr="00825394">
        <w:t>activities in recent years</w:t>
      </w:r>
      <w:r w:rsidR="00C61F34" w:rsidRPr="00825394">
        <w:t xml:space="preserve"> </w:t>
      </w:r>
      <w:sdt>
        <w:sdtPr>
          <w:id w:val="-1652899286"/>
          <w:citation/>
        </w:sdtPr>
        <w:sdtEndPr/>
        <w:sdtContent>
          <w:r w:rsidR="003D69A3" w:rsidRPr="00825394">
            <w:fldChar w:fldCharType="begin"/>
          </w:r>
          <w:r w:rsidR="003D69A3" w:rsidRPr="00825394">
            <w:instrText xml:space="preserve"> CITATION Wor231 \l 3081 </w:instrText>
          </w:r>
          <w:r w:rsidR="003D69A3" w:rsidRPr="00825394">
            <w:fldChar w:fldCharType="separate"/>
          </w:r>
          <w:r w:rsidR="00C80572">
            <w:rPr>
              <w:noProof/>
            </w:rPr>
            <w:t>(WorkSafe ACT, 2022)</w:t>
          </w:r>
          <w:r w:rsidR="003D69A3" w:rsidRPr="00825394">
            <w:fldChar w:fldCharType="end"/>
          </w:r>
        </w:sdtContent>
      </w:sdt>
      <w:r w:rsidR="00AB2A3D" w:rsidRPr="00825394">
        <w:t xml:space="preserve">. </w:t>
      </w:r>
      <w:r w:rsidR="007B1E90" w:rsidRPr="00825394">
        <w:t xml:space="preserve"> </w:t>
      </w:r>
    </w:p>
    <w:p w14:paraId="1AD3722E" w14:textId="6AD6AF5C" w:rsidR="00A51E56" w:rsidRPr="009D0A4A" w:rsidRDefault="00462623" w:rsidP="00A51E56">
      <w:pPr>
        <w:pStyle w:val="EmphasisPanelHeading"/>
        <w:jc w:val="both"/>
      </w:pPr>
      <w:r w:rsidRPr="009D0A4A">
        <w:t>Risks associated with processing</w:t>
      </w:r>
      <w:r w:rsidR="00A51E56" w:rsidRPr="009D0A4A">
        <w:t xml:space="preserve"> engineered stone</w:t>
      </w:r>
    </w:p>
    <w:p w14:paraId="62C51056" w14:textId="161CC45B" w:rsidR="00D828D0" w:rsidRDefault="00A51E56" w:rsidP="00A51E56">
      <w:pPr>
        <w:pStyle w:val="EmphasisPanelBody"/>
        <w:jc w:val="both"/>
      </w:pPr>
      <w:r w:rsidRPr="009D0A4A">
        <w:t xml:space="preserve">Engineered stone is an artificial product that is created by combining natural stone materials that contain crystalline silica with </w:t>
      </w:r>
      <w:r w:rsidR="00D26D77" w:rsidRPr="009D0A4A">
        <w:t xml:space="preserve">other </w:t>
      </w:r>
      <w:r w:rsidRPr="009D0A4A">
        <w:t xml:space="preserve">chemical constituents (such as water, </w:t>
      </w:r>
      <w:r w:rsidR="004E3629" w:rsidRPr="009D0A4A">
        <w:t>resins,</w:t>
      </w:r>
      <w:r w:rsidRPr="009D0A4A">
        <w:t xml:space="preserve"> or pigments)</w:t>
      </w:r>
      <w:r w:rsidR="000015F5">
        <w:t>. This mixture then</w:t>
      </w:r>
      <w:r w:rsidR="006B66AD">
        <w:t xml:space="preserve"> </w:t>
      </w:r>
      <w:r w:rsidR="00EA1128">
        <w:t>undergoes a process to become hardened</w:t>
      </w:r>
      <w:r w:rsidR="000015F5">
        <w:t xml:space="preserve">, </w:t>
      </w:r>
      <w:r w:rsidR="00687129">
        <w:t xml:space="preserve">resulting </w:t>
      </w:r>
      <w:r w:rsidR="000015F5">
        <w:t xml:space="preserve">in a </w:t>
      </w:r>
      <w:r w:rsidR="00DB6197">
        <w:t>product</w:t>
      </w:r>
      <w:r w:rsidRPr="009D0A4A">
        <w:t xml:space="preserve"> </w:t>
      </w:r>
      <w:r w:rsidR="000015F5">
        <w:t xml:space="preserve">that </w:t>
      </w:r>
      <w:r w:rsidRPr="009D0A4A">
        <w:t xml:space="preserve">can be manipulated through mechanical processes to manufacture other products (such as benchtops). </w:t>
      </w:r>
      <w:r w:rsidR="00D828D0" w:rsidRPr="009D0A4A">
        <w:t xml:space="preserve">Engineered stone has been available in Australia since the late 1990s. </w:t>
      </w:r>
    </w:p>
    <w:p w14:paraId="169CB2D3" w14:textId="3542AC66" w:rsidR="00A51E56" w:rsidRPr="009D0A4A" w:rsidRDefault="00A51E56" w:rsidP="00A51E56">
      <w:pPr>
        <w:pStyle w:val="EmphasisPanelBody"/>
        <w:jc w:val="both"/>
      </w:pPr>
      <w:r w:rsidRPr="009D0A4A">
        <w:t xml:space="preserve">The crystalline silica content </w:t>
      </w:r>
      <w:r w:rsidR="00491191">
        <w:t>of</w:t>
      </w:r>
      <w:r w:rsidRPr="009D0A4A">
        <w:t xml:space="preserve"> engineered stone varies widely but can </w:t>
      </w:r>
      <w:r w:rsidR="0097263A">
        <w:t>be</w:t>
      </w:r>
      <w:r w:rsidRPr="009D0A4A">
        <w:t xml:space="preserve"> greater than 90 per cent, which is significantly more than natural stone.</w:t>
      </w:r>
      <w:r w:rsidR="00D828D0" w:rsidRPr="00D828D0">
        <w:t xml:space="preserve"> </w:t>
      </w:r>
      <w:r w:rsidR="00D828D0" w:rsidRPr="009D0A4A">
        <w:t xml:space="preserve">The uncontrolled </w:t>
      </w:r>
      <w:r w:rsidR="00E17EDD">
        <w:t xml:space="preserve">processing (i.e. </w:t>
      </w:r>
      <w:r w:rsidR="00D828D0" w:rsidRPr="009D0A4A">
        <w:t>cutting, grinding, trimming, drilling, sanding, and polishing</w:t>
      </w:r>
      <w:r w:rsidR="00E17EDD">
        <w:t>)</w:t>
      </w:r>
      <w:r w:rsidR="00D828D0" w:rsidRPr="009D0A4A">
        <w:t xml:space="preserve"> </w:t>
      </w:r>
      <w:r w:rsidR="00E17EDD">
        <w:t xml:space="preserve">of </w:t>
      </w:r>
      <w:r w:rsidR="00D828D0" w:rsidRPr="009D0A4A">
        <w:t>engineered stone products can produce high concentrations of RCS.</w:t>
      </w:r>
    </w:p>
    <w:p w14:paraId="1484F6D0" w14:textId="6825C5E4" w:rsidR="00A51E56" w:rsidRPr="009D0A4A" w:rsidRDefault="00A51E56" w:rsidP="00A51E56">
      <w:pPr>
        <w:pStyle w:val="EmphasisPanelBody"/>
        <w:jc w:val="both"/>
      </w:pPr>
      <w:r w:rsidRPr="009D0A4A">
        <w:t xml:space="preserve">Workers fabricating, processing, installing, </w:t>
      </w:r>
      <w:r w:rsidR="004E3629" w:rsidRPr="009D0A4A">
        <w:t>maintaining,</w:t>
      </w:r>
      <w:r w:rsidRPr="009D0A4A">
        <w:t xml:space="preserve"> or removing engineered stone products without appropriate control measures in place may be exposed to high levels of RCS (for example through dust or mist clouds). Workers can also be exposed to RCS from poor </w:t>
      </w:r>
      <w:r w:rsidR="00E752D5" w:rsidRPr="009D0A4A">
        <w:t>cleaning and maintenance</w:t>
      </w:r>
      <w:r w:rsidRPr="009D0A4A">
        <w:t xml:space="preserve"> methods that disturb accumulated dust, including dry sweeping, using compressed air or high-pressure water cleaners and general-purpose vacuum cleaners that are not designed for use with hazardous dusts. The risks are much greater where the engineered stone contains high levels of crystalline silica.</w:t>
      </w:r>
    </w:p>
    <w:p w14:paraId="4BFD38D8" w14:textId="6C2EB638" w:rsidR="00A51E56" w:rsidRPr="00E30B9F" w:rsidRDefault="00A51E56" w:rsidP="00A51E56">
      <w:pPr>
        <w:pStyle w:val="EmphasisPanelBullet"/>
        <w:numPr>
          <w:ilvl w:val="0"/>
          <w:numId w:val="0"/>
        </w:numPr>
        <w:ind w:left="198"/>
        <w:jc w:val="both"/>
        <w:rPr>
          <w:sz w:val="22"/>
        </w:rPr>
      </w:pPr>
      <w:r w:rsidRPr="00E30B9F">
        <w:rPr>
          <w:sz w:val="22"/>
        </w:rPr>
        <w:t xml:space="preserve">One of the most common uses for engineered stone in Australia is in benchtops. Engineered stone is the most popular material used in benchtops as it </w:t>
      </w:r>
      <w:r w:rsidR="004E3629" w:rsidRPr="00E30B9F">
        <w:rPr>
          <w:sz w:val="22"/>
        </w:rPr>
        <w:t>is</w:t>
      </w:r>
      <w:r w:rsidRPr="00E30B9F">
        <w:rPr>
          <w:sz w:val="22"/>
        </w:rPr>
        <w:t xml:space="preserve"> high quality, stylish and relatively cheap. Its popularity has been bolstered by recent booms in renovation and housing development, where its use has become common.</w:t>
      </w:r>
    </w:p>
    <w:p w14:paraId="12C8B1DA" w14:textId="51A14C0F" w:rsidR="00A51E56" w:rsidRPr="00E30B9F" w:rsidRDefault="00A51E56" w:rsidP="007012B9">
      <w:pPr>
        <w:pStyle w:val="EmphasisPanelBullet"/>
        <w:numPr>
          <w:ilvl w:val="0"/>
          <w:numId w:val="0"/>
        </w:numPr>
        <w:ind w:left="198"/>
        <w:jc w:val="both"/>
        <w:rPr>
          <w:sz w:val="22"/>
        </w:rPr>
      </w:pPr>
      <w:r w:rsidRPr="00E30B9F">
        <w:rPr>
          <w:sz w:val="22"/>
        </w:rPr>
        <w:t xml:space="preserve">The installation of engineered stone benchtops involves several steps that </w:t>
      </w:r>
      <w:r w:rsidR="00D26D77" w:rsidRPr="00E30B9F">
        <w:rPr>
          <w:sz w:val="22"/>
        </w:rPr>
        <w:t>may generate RCS</w:t>
      </w:r>
      <w:r w:rsidRPr="00E30B9F">
        <w:rPr>
          <w:sz w:val="22"/>
        </w:rPr>
        <w:t xml:space="preserve">. For example, workers are required to cut a kitchen benchtop to size, as well as create holes for positioning sinks, plumbing, </w:t>
      </w:r>
      <w:r w:rsidR="004E3629" w:rsidRPr="00E30B9F">
        <w:rPr>
          <w:sz w:val="22"/>
        </w:rPr>
        <w:t>stovetops,</w:t>
      </w:r>
      <w:r w:rsidRPr="00E30B9F">
        <w:rPr>
          <w:sz w:val="22"/>
        </w:rPr>
        <w:t xml:space="preserve"> and appliances.</w:t>
      </w:r>
      <w:r w:rsidR="00C75317" w:rsidRPr="00E30B9F">
        <w:rPr>
          <w:sz w:val="22"/>
        </w:rPr>
        <w:t xml:space="preserve"> </w:t>
      </w:r>
    </w:p>
    <w:p w14:paraId="6BD9E51D" w14:textId="75AC568D" w:rsidR="00E57F01" w:rsidRPr="00E30B9F" w:rsidRDefault="00091438" w:rsidP="00E57F01">
      <w:pPr>
        <w:pStyle w:val="EmphasisPanelBullet"/>
        <w:numPr>
          <w:ilvl w:val="0"/>
          <w:numId w:val="0"/>
        </w:numPr>
        <w:ind w:left="198"/>
        <w:jc w:val="both"/>
        <w:rPr>
          <w:sz w:val="22"/>
        </w:rPr>
      </w:pPr>
      <w:r w:rsidRPr="00E30B9F">
        <w:rPr>
          <w:sz w:val="22"/>
        </w:rPr>
        <w:lastRenderedPageBreak/>
        <w:t xml:space="preserve">As mentioned in Section </w:t>
      </w:r>
      <w:r w:rsidR="007643CF" w:rsidRPr="00E30B9F">
        <w:rPr>
          <w:sz w:val="22"/>
        </w:rPr>
        <w:fldChar w:fldCharType="begin"/>
      </w:r>
      <w:r w:rsidR="007643CF" w:rsidRPr="00E30B9F">
        <w:rPr>
          <w:sz w:val="22"/>
        </w:rPr>
        <w:instrText xml:space="preserve"> REF _Ref124947962 \r \h </w:instrText>
      </w:r>
      <w:r w:rsidR="00E30B9F">
        <w:rPr>
          <w:sz w:val="22"/>
        </w:rPr>
        <w:instrText xml:space="preserve"> \* MERGEFORMAT </w:instrText>
      </w:r>
      <w:r w:rsidR="007643CF" w:rsidRPr="00E30B9F">
        <w:rPr>
          <w:sz w:val="22"/>
        </w:rPr>
      </w:r>
      <w:r w:rsidR="007643CF" w:rsidRPr="00E30B9F">
        <w:rPr>
          <w:sz w:val="22"/>
        </w:rPr>
        <w:fldChar w:fldCharType="separate"/>
      </w:r>
      <w:r w:rsidR="007643CF" w:rsidRPr="00E30B9F">
        <w:rPr>
          <w:sz w:val="22"/>
        </w:rPr>
        <w:t>2.2.3.2</w:t>
      </w:r>
      <w:r w:rsidR="007643CF" w:rsidRPr="00E30B9F">
        <w:rPr>
          <w:sz w:val="22"/>
        </w:rPr>
        <w:fldChar w:fldCharType="end"/>
      </w:r>
      <w:r w:rsidRPr="00E30B9F">
        <w:rPr>
          <w:sz w:val="22"/>
        </w:rPr>
        <w:t xml:space="preserve">, screening programs of stonemasons and engineered stone workers </w:t>
      </w:r>
      <w:r w:rsidR="00B05C8C" w:rsidRPr="00E30B9F">
        <w:rPr>
          <w:sz w:val="22"/>
        </w:rPr>
        <w:t xml:space="preserve">have shown that this cohort of workers has a high prevalence of silicosis, indicating </w:t>
      </w:r>
      <w:r w:rsidR="00023044" w:rsidRPr="00E30B9F">
        <w:rPr>
          <w:sz w:val="22"/>
        </w:rPr>
        <w:t xml:space="preserve">that there </w:t>
      </w:r>
      <w:r w:rsidR="004E3629" w:rsidRPr="00E30B9F">
        <w:rPr>
          <w:sz w:val="22"/>
        </w:rPr>
        <w:t>have</w:t>
      </w:r>
      <w:r w:rsidR="00023044" w:rsidRPr="00E30B9F">
        <w:rPr>
          <w:sz w:val="22"/>
        </w:rPr>
        <w:t xml:space="preserve"> been widespread past exposures to RCS across the sector. </w:t>
      </w:r>
    </w:p>
    <w:p w14:paraId="61A97A3B" w14:textId="7C1C33DA" w:rsidR="006E267F" w:rsidRPr="009D0A4A" w:rsidRDefault="006E267F" w:rsidP="00234FEF">
      <w:pPr>
        <w:pStyle w:val="BodyText"/>
      </w:pPr>
      <w:r w:rsidRPr="009D0A4A">
        <w:rPr>
          <w:lang w:val="en-US"/>
        </w:rPr>
        <w:t xml:space="preserve">Silicosis and other </w:t>
      </w:r>
      <w:r w:rsidR="00DD6525">
        <w:rPr>
          <w:lang w:val="en-US"/>
        </w:rPr>
        <w:t>silica-related</w:t>
      </w:r>
      <w:r w:rsidRPr="009D0A4A">
        <w:rPr>
          <w:lang w:val="en-US"/>
        </w:rPr>
        <w:t xml:space="preserve"> diseases can be prevented by implementing effective controls to eliminate or minimise the generation of</w:t>
      </w:r>
      <w:r w:rsidR="0006362D" w:rsidRPr="009D0A4A">
        <w:rPr>
          <w:lang w:val="en-US"/>
        </w:rPr>
        <w:t>,</w:t>
      </w:r>
      <w:r w:rsidRPr="009D0A4A">
        <w:rPr>
          <w:lang w:val="en-US"/>
        </w:rPr>
        <w:t xml:space="preserve"> and exposure to</w:t>
      </w:r>
      <w:r w:rsidR="0006362D" w:rsidRPr="009D0A4A">
        <w:rPr>
          <w:lang w:val="en-US"/>
        </w:rPr>
        <w:t>,</w:t>
      </w:r>
      <w:r w:rsidRPr="009D0A4A">
        <w:rPr>
          <w:lang w:val="en-US"/>
        </w:rPr>
        <w:t xml:space="preserve"> RCS at work</w:t>
      </w:r>
      <w:r w:rsidR="00F74161">
        <w:t xml:space="preserve">. For </w:t>
      </w:r>
      <w:r w:rsidR="0036228F">
        <w:t>example,</w:t>
      </w:r>
      <w:r w:rsidRPr="009D0A4A">
        <w:t xml:space="preserve"> through:</w:t>
      </w:r>
    </w:p>
    <w:p w14:paraId="0F974002" w14:textId="77777777" w:rsidR="00D26D77" w:rsidRPr="009D0A4A" w:rsidRDefault="006E267F" w:rsidP="008B35E0">
      <w:pPr>
        <w:pStyle w:val="ListBullet"/>
      </w:pPr>
      <w:r w:rsidRPr="009D0A4A">
        <w:t>eliminating the need to process silica-containing materials</w:t>
      </w:r>
    </w:p>
    <w:p w14:paraId="3DC3273D" w14:textId="77641F28" w:rsidR="006E267F" w:rsidRPr="009D0A4A" w:rsidRDefault="006E267F" w:rsidP="008B35E0">
      <w:pPr>
        <w:pStyle w:val="ListBullet"/>
      </w:pPr>
      <w:r w:rsidRPr="009D0A4A">
        <w:t>substitution of silica-containing products</w:t>
      </w:r>
      <w:r w:rsidR="00D26D77" w:rsidRPr="009D0A4A">
        <w:t xml:space="preserve"> with alternative products that do not contain silica, or contain less silica</w:t>
      </w:r>
    </w:p>
    <w:p w14:paraId="02C52807" w14:textId="77777777" w:rsidR="006E267F" w:rsidRPr="009D0A4A" w:rsidRDefault="006E267F" w:rsidP="008B35E0">
      <w:pPr>
        <w:pStyle w:val="ListBullet"/>
      </w:pPr>
      <w:r w:rsidRPr="009D0A4A">
        <w:t>isolating people from areas where they would be exposed to RCS</w:t>
      </w:r>
    </w:p>
    <w:p w14:paraId="609D585A" w14:textId="77777777" w:rsidR="006E267F" w:rsidRPr="009D0A4A" w:rsidRDefault="006E267F" w:rsidP="008B35E0">
      <w:pPr>
        <w:pStyle w:val="ListBullet"/>
      </w:pPr>
      <w:r w:rsidRPr="009D0A4A">
        <w:t>implementing engineering controls such as on tool dust extraction, water suppression and/or local exhaust ventilation</w:t>
      </w:r>
    </w:p>
    <w:p w14:paraId="0F535D4D" w14:textId="77777777" w:rsidR="006E267F" w:rsidRPr="009D0A4A" w:rsidRDefault="006E267F" w:rsidP="008B35E0">
      <w:pPr>
        <w:pStyle w:val="ListBullet"/>
      </w:pPr>
      <w:r w:rsidRPr="009D0A4A">
        <w:t xml:space="preserve">implementing administrative controls, such as policies for housekeeping and decontamination, and </w:t>
      </w:r>
    </w:p>
    <w:p w14:paraId="0C2F0CF8" w14:textId="65572E6F" w:rsidR="006E267F" w:rsidRPr="009D0A4A" w:rsidRDefault="006E267F" w:rsidP="008B35E0">
      <w:pPr>
        <w:pStyle w:val="ListBullet"/>
      </w:pPr>
      <w:r w:rsidRPr="009D0A4A">
        <w:t>ensuring workers use appropriate RPE</w:t>
      </w:r>
      <w:r w:rsidR="00327975" w:rsidRPr="009D0A4A">
        <w:t xml:space="preserve"> </w:t>
      </w:r>
      <w:r w:rsidR="00327975" w:rsidRPr="009D0A4A">
        <w:fldChar w:fldCharType="begin"/>
      </w:r>
      <w:r w:rsidR="004067E3">
        <w:instrText xml:space="preserve"> ADDIN ZOTERO_ITEM CSL_CITATION {"citationID":"9sCWKwIw","properties":{"formattedCitation":"(Safe Work Australia 2022c)","plainCitation":"(Safe Work Australia 2022c)","noteIndex":0},"citationItems":[{"id":825,"uris":["http://zotero.org/users/6230888/items/CWP3HXBL"],"itemData":{"id":825,"type":"report","page":"40","title":"Working with silica and silica containing products","URL":"https://www.safeworkaustralia.gov.au/doc/working-silica-and-silica-containing-products","author":[{"literal":"Safe Work Australia"}],"accessed":{"date-parts":[["2022",6,30]]},"issued":{"date-parts":[["2022"]]}}}],"schema":"https://github.com/citation-style-language/schema/raw/master/csl-citation.json"} </w:instrText>
      </w:r>
      <w:r w:rsidR="00327975" w:rsidRPr="009D0A4A">
        <w:fldChar w:fldCharType="separate"/>
      </w:r>
      <w:r w:rsidR="006B4A7D" w:rsidRPr="009D0A4A">
        <w:t>(Safe Work Australia 2022c)</w:t>
      </w:r>
      <w:r w:rsidR="00327975" w:rsidRPr="009D0A4A">
        <w:fldChar w:fldCharType="end"/>
      </w:r>
      <w:r w:rsidRPr="009D0A4A">
        <w:t xml:space="preserve">. </w:t>
      </w:r>
    </w:p>
    <w:p w14:paraId="04115034" w14:textId="72BF2053" w:rsidR="006E267F" w:rsidRPr="009D0A4A" w:rsidRDefault="006E267F" w:rsidP="00234FEF">
      <w:pPr>
        <w:pStyle w:val="BodyText"/>
      </w:pPr>
      <w:r w:rsidRPr="009D0A4A">
        <w:t>Safe Work Australia’s national guide</w:t>
      </w:r>
      <w:r w:rsidRPr="009D0A4A" w:rsidDel="00D328FB">
        <w:t xml:space="preserve"> </w:t>
      </w:r>
      <w:r w:rsidRPr="009F41CC">
        <w:rPr>
          <w:i/>
          <w:szCs w:val="18"/>
        </w:rPr>
        <w:t>Working with silica and silica containing products</w:t>
      </w:r>
      <w:r w:rsidRPr="009D0A4A">
        <w:t xml:space="preserve"> </w:t>
      </w:r>
      <w:r w:rsidR="00327975" w:rsidRPr="009D0A4A">
        <w:fldChar w:fldCharType="begin"/>
      </w:r>
      <w:r w:rsidR="004067E3">
        <w:instrText xml:space="preserve"> ADDIN ZOTERO_ITEM CSL_CITATION {"citationID":"NKFhGDmB","properties":{"formattedCitation":"(Safe Work Australia 2022c)","plainCitation":"(Safe Work Australia 2022c)","noteIndex":0},"citationItems":[{"id":825,"uris":["http://zotero.org/users/6230888/items/CWP3HXBL"],"itemData":{"id":825,"type":"report","page":"40","title":"Working with silica and silica containing products","URL":"https://www.safeworkaustralia.gov.au/doc/working-silica-and-silica-containing-products","author":[{"literal":"Safe Work Australia"}],"accessed":{"date-parts":[["2022",6,30]]},"issued":{"date-parts":[["2022"]]}}}],"schema":"https://github.com/citation-style-language/schema/raw/master/csl-citation.json"} </w:instrText>
      </w:r>
      <w:r w:rsidR="00327975" w:rsidRPr="009D0A4A">
        <w:fldChar w:fldCharType="separate"/>
      </w:r>
      <w:r w:rsidR="006B4A7D" w:rsidRPr="009D0A4A">
        <w:rPr>
          <w:rFonts w:ascii="Calibri" w:hAnsi="Calibri" w:cs="Calibri"/>
        </w:rPr>
        <w:t>(Safe Work Australia 2022c)</w:t>
      </w:r>
      <w:r w:rsidR="00327975" w:rsidRPr="009D0A4A">
        <w:fldChar w:fldCharType="end"/>
      </w:r>
      <w:r w:rsidR="00BB5F3A" w:rsidRPr="009D0A4A">
        <w:t xml:space="preserve"> </w:t>
      </w:r>
      <w:r w:rsidRPr="009D0A4A">
        <w:t xml:space="preserve">and </w:t>
      </w:r>
      <w:r w:rsidRPr="009F41CC">
        <w:rPr>
          <w:rFonts w:cstheme="minorHAnsi"/>
          <w:i/>
        </w:rPr>
        <w:t>model Code of Practice</w:t>
      </w:r>
      <w:r w:rsidRPr="00037BBB">
        <w:rPr>
          <w:rFonts w:cstheme="minorHAnsi"/>
          <w:i/>
        </w:rPr>
        <w:t>: Managing the</w:t>
      </w:r>
      <w:r w:rsidRPr="009F41CC">
        <w:rPr>
          <w:rFonts w:cstheme="minorHAnsi"/>
          <w:i/>
        </w:rPr>
        <w:t xml:space="preserve"> risks of RCS from engineered stone in the workplace</w:t>
      </w:r>
      <w:r w:rsidRPr="009D0A4A">
        <w:rPr>
          <w:rFonts w:cstheme="minorHAnsi"/>
        </w:rPr>
        <w:t xml:space="preserve"> </w:t>
      </w:r>
      <w:r w:rsidR="00327975" w:rsidRPr="009D0A4A">
        <w:rPr>
          <w:rFonts w:cstheme="minorHAnsi"/>
        </w:rPr>
        <w:fldChar w:fldCharType="begin"/>
      </w:r>
      <w:r w:rsidR="004067E3">
        <w:rPr>
          <w:rFonts w:cstheme="minorHAnsi"/>
        </w:rPr>
        <w:instrText xml:space="preserve"> ADDIN ZOTERO_ITEM CSL_CITATION {"citationID":"xmzfRDfa","properties":{"formattedCitation":"(Safe Work Australia 2021a)","plainCitation":"(Safe Work Australia 2021a)","noteIndex":0},"citationItems":[{"id":815,"uris":["http://zotero.org/users/6230888/items/VLQNCP7D"],"itemData":{"id":815,"type":"report","page":"59","title":"Model Code of Practice: Managing the risks of respirable crystalline silica from engineered stone in the workplace","URL":"https://www.safeworkaustralia.gov.au/doc/model-code-practice-managing-risks-respirable-crystalline-silica-engineered-stone-workplace","author":[{"literal":"Safe Work Australia"}],"accessed":{"date-parts":[["2022",6,30]]},"issued":{"date-parts":[["2021"]]}}}],"schema":"https://github.com/citation-style-language/schema/raw/master/csl-citation.json"} </w:instrText>
      </w:r>
      <w:r w:rsidR="00327975" w:rsidRPr="009D0A4A">
        <w:rPr>
          <w:rFonts w:cstheme="minorHAnsi"/>
        </w:rPr>
        <w:fldChar w:fldCharType="separate"/>
      </w:r>
      <w:r w:rsidR="006B4A7D" w:rsidRPr="009D0A4A">
        <w:rPr>
          <w:rFonts w:ascii="Calibri" w:hAnsi="Calibri" w:cs="Calibri"/>
        </w:rPr>
        <w:t>(Safe Work Australia 2021a)</w:t>
      </w:r>
      <w:r w:rsidR="00327975" w:rsidRPr="009D0A4A">
        <w:rPr>
          <w:rFonts w:cstheme="minorHAnsi"/>
        </w:rPr>
        <w:fldChar w:fldCharType="end"/>
      </w:r>
      <w:r w:rsidR="00327975" w:rsidRPr="009D0A4A">
        <w:rPr>
          <w:rFonts w:cstheme="minorHAnsi"/>
        </w:rPr>
        <w:t xml:space="preserve"> </w:t>
      </w:r>
      <w:r w:rsidRPr="009D0A4A">
        <w:t xml:space="preserve">contain further information on available controls. </w:t>
      </w:r>
    </w:p>
    <w:p w14:paraId="435D2B75" w14:textId="35AE190F" w:rsidR="007C4346" w:rsidRPr="009D0A4A" w:rsidRDefault="007C4346" w:rsidP="00B35053">
      <w:pPr>
        <w:pStyle w:val="Heading3"/>
        <w:jc w:val="both"/>
      </w:pPr>
      <w:r w:rsidRPr="009D0A4A">
        <w:t>Workers in a broad range of industries are exposed to RCS</w:t>
      </w:r>
      <w:bookmarkEnd w:id="554"/>
    </w:p>
    <w:p w14:paraId="113E0DE1" w14:textId="704C673C" w:rsidR="007C4346" w:rsidRPr="009D0A4A" w:rsidRDefault="009A3A78" w:rsidP="00234FEF">
      <w:pPr>
        <w:pStyle w:val="BodyText"/>
      </w:pPr>
      <w:r>
        <w:t>Exposure to h</w:t>
      </w:r>
      <w:r w:rsidR="007C4346" w:rsidRPr="009D0A4A">
        <w:t xml:space="preserve">azardous levels of RCS </w:t>
      </w:r>
      <w:r w:rsidR="004E3629" w:rsidRPr="009D0A4A">
        <w:t>occur</w:t>
      </w:r>
      <w:r>
        <w:t>s</w:t>
      </w:r>
      <w:r w:rsidR="007C4346" w:rsidRPr="009D0A4A">
        <w:t xml:space="preserve"> in a broad range of in Australian workplaces. Workers in industries such as manufacturing, stonemasonry, construction, tunnelling, demolition, mining and quarrying are at an increased risk of exposure to RCS. </w:t>
      </w:r>
      <w:r w:rsidR="00E47E9C" w:rsidRPr="009D0A4A">
        <w:t>O</w:t>
      </w:r>
      <w:r w:rsidR="007C4346" w:rsidRPr="009D0A4A">
        <w:t>ne study estimated</w:t>
      </w:r>
      <w:r w:rsidR="00E609A3">
        <w:t xml:space="preserve"> that in </w:t>
      </w:r>
      <w:r w:rsidR="00D26D77" w:rsidRPr="009D0A4A">
        <w:t>2011</w:t>
      </w:r>
      <w:r w:rsidR="00E47E9C" w:rsidRPr="009D0A4A">
        <w:t>,</w:t>
      </w:r>
      <w:r w:rsidR="00D26D77" w:rsidRPr="009D0A4A">
        <w:t xml:space="preserve"> </w:t>
      </w:r>
      <w:r w:rsidR="007C4346" w:rsidRPr="009D0A4A">
        <w:t>approximately 6.6 per cent of Australian workers were exposed</w:t>
      </w:r>
      <w:r w:rsidR="00E609A3">
        <w:t xml:space="preserve"> to RCS</w:t>
      </w:r>
      <w:r w:rsidR="003000E2" w:rsidRPr="009D0A4A">
        <w:t>,</w:t>
      </w:r>
      <w:r w:rsidR="007C4346" w:rsidRPr="009D0A4A">
        <w:t xml:space="preserve"> </w:t>
      </w:r>
      <w:r w:rsidR="00E609A3">
        <w:t xml:space="preserve">including </w:t>
      </w:r>
      <w:r w:rsidR="007C4346" w:rsidRPr="009D0A4A">
        <w:t xml:space="preserve">3.7 per cent of workers </w:t>
      </w:r>
      <w:r w:rsidR="00E609A3">
        <w:t xml:space="preserve">who </w:t>
      </w:r>
      <w:r w:rsidR="007C4346" w:rsidRPr="009D0A4A">
        <w:t>were heavily exposed</w:t>
      </w:r>
      <w:r w:rsidR="00E609A3">
        <w:t xml:space="preserve"> </w:t>
      </w:r>
      <w:r w:rsidR="00327975" w:rsidRPr="009D0A4A">
        <w:fldChar w:fldCharType="begin"/>
      </w:r>
      <w:r w:rsidR="004067E3">
        <w:instrText xml:space="preserve"> ADDIN ZOTERO_ITEM CSL_CITATION {"citationID":"Koyjcew6","properties":{"formattedCitation":"(Si et al. 2016)","plainCitation":"(Si et al. 2016)","noteIndex":0},"citationItems":[{"id":841,"uris":["http://zotero.org/users/6230888/items/YJWVJK3N"],"itemData":{"id":841,"type":"article-journal","abstract":"BACKGROUND: Respirable crystalline silica (RCS) is a biologically active dust that can accumulate in the lung and induce silicosis and lung cancer. Despite occupational exposure being the predominant source, no study has described current occupational RCS exposure on a national scale in Australia. The aim of this study is to estimate the characteristics of those exposed and the circumstances of RCS exposure in Australian workplaces.\nMETHODS: A cross-sectional survey of the Australian working population (18-65 years old) was conducted. Information about the respondents' current job and their demographic characteristics was collected in a telephone interview. Occupational exposure to RCS was determined based on preprogrammed decision rules regarding potential levels of exposure associated with self-reported tasks.\nRESULTS: Overall, 6.4% of respondents were deemed exposed to RCS at work in 2012 (3.3% were exposed at a high level). The exposure varied with sex, state of residence, and socioeconomic status. Miners and construction workers were most likely to be highly exposed to RCS when performing tasks with concrete or cement or working near crushers that create RCS-containing dusts. When extrapolated to the entire Australian working population, 6.6% of Australian workers were exposed to RCS and 3.7% were highly exposed when carrying out tasks at work.\nCONCLUSION: This is the first study investigating occupational RCS exposure in an entire national working population. The information about occupational tasks that lead to high level RCS exposure provided by this study will inform the direction of occupational interventions and policies.","container-title":"The Annals of Occupational Hygiene","DOI":"10.1093/annhyg/mew007","ISSN":"1475-3162","issue":"5","journalAbbreviation":"Ann Occup Hyg","language":"eng","note":"PMID: 26888888","page":"631-637","source":"PubMed","title":"The Australian Work Exposures Study: Prevalence of Occupational Exposure to Respirable Crystalline Silica","title-short":"The Australian Work Exposures Study","volume":"60","author":[{"family":"Si","given":"Si"},{"family":"Carey","given":"Renee N."},{"family":"Reid","given":"Alison"},{"family":"Driscoll","given":"Timothy"},{"family":"Glass","given":"Deborah C."},{"family":"Peters","given":"Susan"},{"family":"Benke","given":"Geza"},{"family":"Darcey","given":"Ellie"},{"family":"Fritschi","given":"Lin"}],"issued":{"date-parts":[["2016",6]]}}}],"schema":"https://github.com/citation-style-language/schema/raw/master/csl-citation.json"} </w:instrText>
      </w:r>
      <w:r w:rsidR="00327975" w:rsidRPr="009D0A4A">
        <w:fldChar w:fldCharType="separate"/>
      </w:r>
      <w:r w:rsidR="006B4A7D" w:rsidRPr="009D0A4A">
        <w:rPr>
          <w:rFonts w:ascii="Calibri" w:hAnsi="Calibri" w:cs="Calibri"/>
        </w:rPr>
        <w:t>(Si et al. 2016)</w:t>
      </w:r>
      <w:r w:rsidR="00327975" w:rsidRPr="009D0A4A">
        <w:fldChar w:fldCharType="end"/>
      </w:r>
      <w:r w:rsidR="007C4346" w:rsidRPr="009D0A4A">
        <w:t xml:space="preserve">.  However, </w:t>
      </w:r>
      <w:r w:rsidR="005E697E">
        <w:t>this estimate</w:t>
      </w:r>
      <w:r w:rsidR="005E697E" w:rsidRPr="009D0A4A">
        <w:t xml:space="preserve"> </w:t>
      </w:r>
      <w:r w:rsidR="009E23FE" w:rsidRPr="009D0A4A">
        <w:t xml:space="preserve">of workforce exposure </w:t>
      </w:r>
      <w:r w:rsidR="007C4346" w:rsidRPr="009D0A4A">
        <w:t xml:space="preserve">was based on interviews of workers and </w:t>
      </w:r>
      <w:r w:rsidR="009E23FE">
        <w:t>not</w:t>
      </w:r>
      <w:r w:rsidR="00E57F01" w:rsidRPr="009D0A4A">
        <w:t xml:space="preserve"> personal air monitoring</w:t>
      </w:r>
      <w:r w:rsidR="000C2C40">
        <w:t xml:space="preserve"> data</w:t>
      </w:r>
      <w:r w:rsidR="007C4346" w:rsidRPr="009D0A4A">
        <w:t xml:space="preserve">, so may not be an accurate estimate of the extent of workforce exposure. </w:t>
      </w:r>
      <w:r w:rsidR="001F3951" w:rsidRPr="009D0A4A">
        <w:t>Using information in the Australian Bureau of Statistics Labour Force data for August 2021, it is estimated that up to 1.45 million workers are employed in industries where there may be exposures to RCS in the workplace (</w:t>
      </w:r>
      <w:fldSimple w:instr=" REF _Ref125288762 ">
        <w:r w:rsidR="00F12830">
          <w:t xml:space="preserve">Table </w:t>
        </w:r>
        <w:r w:rsidR="00F12830">
          <w:rPr>
            <w:noProof/>
          </w:rPr>
          <w:t>5</w:t>
        </w:r>
      </w:fldSimple>
      <w:r w:rsidR="001F3951" w:rsidRPr="009D0A4A">
        <w:t>).</w:t>
      </w:r>
    </w:p>
    <w:p w14:paraId="7089DD04" w14:textId="0D7882D3" w:rsidR="00F12830" w:rsidRDefault="00F12830" w:rsidP="00F12830">
      <w:pPr>
        <w:pStyle w:val="Caption"/>
      </w:pPr>
      <w:bookmarkStart w:id="558" w:name="_Ref125288762"/>
      <w:r>
        <w:t xml:space="preserve">Table </w:t>
      </w:r>
      <w:fldSimple w:instr=" SEQ Table \* ARABIC ">
        <w:r w:rsidR="00DF768D">
          <w:rPr>
            <w:noProof/>
          </w:rPr>
          <w:t>5</w:t>
        </w:r>
      </w:fldSimple>
      <w:bookmarkEnd w:id="558"/>
      <w:r w:rsidRPr="009D0A4A">
        <w:t xml:space="preserve">: Australian Bureau of Statistics Labour Force data for selected industries </w:t>
      </w:r>
      <w:r w:rsidRPr="009D0A4A">
        <w:fldChar w:fldCharType="begin"/>
      </w:r>
      <w:r>
        <w:instrText xml:space="preserve"> ADDIN ZOTERO_ITEM CSL_CITATION {"citationID":"89Drrvqy","properties":{"formattedCitation":"(Australian Bureau of Statistics 2021a)","plainCitation":"(Australian Bureau of Statistics 2021a)","noteIndex":0},"citationItems":[{"id":844,"uris":["http://zotero.org/users/6230888/items/WP9PIJRM"],"itemData":{"id":844,"type":"webpage","abstract":"Detailed monthly and quarterly Labour Force Survey data, including hours, regions, families, job search, job duration, casual, industry and occupation","language":"en","title":"Labour Force, Australia, Detailed, August 2021","URL":"https://www.abs.gov.au/statistics/labour/employment-and-unemployment/labour-force-australia-detailed/aug-2021","author":[{"literal":"Australian Bureau of Statistics"}],"accessed":{"date-parts":[["2022",6,30]]},"issued":{"date-parts":[["2021"]]}}}],"schema":"https://github.com/citation-style-language/schema/raw/master/csl-citation.json"} </w:instrText>
      </w:r>
      <w:r w:rsidRPr="009D0A4A">
        <w:fldChar w:fldCharType="separate"/>
      </w:r>
      <w:r w:rsidRPr="009D0A4A">
        <w:rPr>
          <w:rFonts w:ascii="Century Gothic" w:hAnsi="Century Gothic"/>
        </w:rPr>
        <w:t>(Australian Bureau of Statistics 2021a)</w:t>
      </w:r>
      <w:r w:rsidRPr="009D0A4A">
        <w:fldChar w:fldCharType="end"/>
      </w:r>
    </w:p>
    <w:tbl>
      <w:tblPr>
        <w:tblStyle w:val="PMCDefaultTableStyle"/>
        <w:tblW w:w="5000" w:type="pct"/>
        <w:tblLook w:val="04A0" w:firstRow="1" w:lastRow="0" w:firstColumn="1" w:lastColumn="0" w:noHBand="0" w:noVBand="1"/>
      </w:tblPr>
      <w:tblGrid>
        <w:gridCol w:w="2978"/>
        <w:gridCol w:w="4875"/>
        <w:gridCol w:w="2351"/>
      </w:tblGrid>
      <w:tr w:rsidR="007C4346" w:rsidRPr="00D11E6E" w14:paraId="052F6788" w14:textId="77777777" w:rsidTr="00B35053">
        <w:trPr>
          <w:cnfStyle w:val="100000000000" w:firstRow="1" w:lastRow="0" w:firstColumn="0" w:lastColumn="0" w:oddVBand="0" w:evenVBand="0" w:oddHBand="0" w:evenHBand="0" w:firstRowFirstColumn="0" w:firstRowLastColumn="0" w:lastRowFirstColumn="0" w:lastRowLastColumn="0"/>
        </w:trPr>
        <w:tc>
          <w:tcPr>
            <w:tcW w:w="1459" w:type="pct"/>
          </w:tcPr>
          <w:p w14:paraId="25074CAE" w14:textId="77777777" w:rsidR="007C4346" w:rsidRPr="00D11E6E" w:rsidRDefault="007C4346" w:rsidP="000C215A">
            <w:pPr>
              <w:pStyle w:val="TableHeading"/>
              <w:rPr>
                <w:b/>
                <w:bCs/>
              </w:rPr>
            </w:pPr>
            <w:r w:rsidRPr="00D11E6E">
              <w:rPr>
                <w:b/>
                <w:bCs/>
              </w:rPr>
              <w:t>Division</w:t>
            </w:r>
          </w:p>
        </w:tc>
        <w:tc>
          <w:tcPr>
            <w:tcW w:w="2389" w:type="pct"/>
          </w:tcPr>
          <w:p w14:paraId="24157B0A" w14:textId="77777777" w:rsidR="007C4346" w:rsidRPr="00D11E6E" w:rsidRDefault="007C4346" w:rsidP="000C215A">
            <w:pPr>
              <w:pStyle w:val="TableHeading"/>
              <w:rPr>
                <w:b/>
                <w:bCs/>
              </w:rPr>
            </w:pPr>
            <w:r w:rsidRPr="00D11E6E">
              <w:rPr>
                <w:b/>
                <w:bCs/>
              </w:rPr>
              <w:t>Subdivision</w:t>
            </w:r>
          </w:p>
        </w:tc>
        <w:tc>
          <w:tcPr>
            <w:tcW w:w="1152" w:type="pct"/>
          </w:tcPr>
          <w:p w14:paraId="671E0194" w14:textId="77777777" w:rsidR="007C4346" w:rsidRPr="00D11E6E" w:rsidRDefault="007C4346" w:rsidP="000C215A">
            <w:pPr>
              <w:pStyle w:val="TableHeading"/>
              <w:rPr>
                <w:b/>
                <w:bCs/>
              </w:rPr>
            </w:pPr>
            <w:r w:rsidRPr="00D11E6E">
              <w:rPr>
                <w:b/>
                <w:bCs/>
              </w:rPr>
              <w:t>Employed total (‘000)</w:t>
            </w:r>
          </w:p>
        </w:tc>
      </w:tr>
      <w:tr w:rsidR="007C4346" w:rsidRPr="009D0A4A" w14:paraId="58E09DA1" w14:textId="77777777" w:rsidTr="00B35053">
        <w:trPr>
          <w:cnfStyle w:val="000000100000" w:firstRow="0" w:lastRow="0" w:firstColumn="0" w:lastColumn="0" w:oddVBand="0" w:evenVBand="0" w:oddHBand="1" w:evenHBand="0" w:firstRowFirstColumn="0" w:firstRowLastColumn="0" w:lastRowFirstColumn="0" w:lastRowLastColumn="0"/>
        </w:trPr>
        <w:tc>
          <w:tcPr>
            <w:tcW w:w="1459" w:type="pct"/>
            <w:vMerge w:val="restart"/>
            <w:vAlign w:val="center"/>
          </w:tcPr>
          <w:p w14:paraId="06A37AF1" w14:textId="77777777" w:rsidR="007C4346" w:rsidRPr="009D0A4A" w:rsidRDefault="007C4346" w:rsidP="00037BBB">
            <w:pPr>
              <w:pStyle w:val="TableBody"/>
            </w:pPr>
            <w:r w:rsidRPr="009D0A4A">
              <w:t>B Mining</w:t>
            </w:r>
          </w:p>
        </w:tc>
        <w:tc>
          <w:tcPr>
            <w:tcW w:w="2389" w:type="pct"/>
          </w:tcPr>
          <w:p w14:paraId="48B01B4F" w14:textId="77777777" w:rsidR="007C4346" w:rsidRPr="009D0A4A" w:rsidRDefault="007C4346" w:rsidP="00037BBB">
            <w:pPr>
              <w:pStyle w:val="TableBody"/>
            </w:pPr>
            <w:r w:rsidRPr="009D0A4A">
              <w:t>06 Coal Mining</w:t>
            </w:r>
          </w:p>
        </w:tc>
        <w:tc>
          <w:tcPr>
            <w:tcW w:w="1152" w:type="pct"/>
          </w:tcPr>
          <w:p w14:paraId="2714828A" w14:textId="77777777" w:rsidR="007C4346" w:rsidRPr="009D0A4A" w:rsidRDefault="007C4346" w:rsidP="00037BBB">
            <w:pPr>
              <w:pStyle w:val="TableBody"/>
            </w:pPr>
            <w:r w:rsidRPr="009D0A4A">
              <w:t>41.7</w:t>
            </w:r>
          </w:p>
        </w:tc>
      </w:tr>
      <w:tr w:rsidR="007C4346" w:rsidRPr="009D0A4A" w14:paraId="22C5D406" w14:textId="77777777" w:rsidTr="00B35053">
        <w:trPr>
          <w:cnfStyle w:val="000000010000" w:firstRow="0" w:lastRow="0" w:firstColumn="0" w:lastColumn="0" w:oddVBand="0" w:evenVBand="0" w:oddHBand="0" w:evenHBand="1" w:firstRowFirstColumn="0" w:firstRowLastColumn="0" w:lastRowFirstColumn="0" w:lastRowLastColumn="0"/>
        </w:trPr>
        <w:tc>
          <w:tcPr>
            <w:tcW w:w="1459" w:type="pct"/>
            <w:vMerge/>
          </w:tcPr>
          <w:p w14:paraId="3C0C1DDA" w14:textId="77777777" w:rsidR="007C4346" w:rsidRPr="009D0A4A" w:rsidRDefault="007C4346" w:rsidP="00037BBB">
            <w:pPr>
              <w:pStyle w:val="TableBody"/>
            </w:pPr>
          </w:p>
        </w:tc>
        <w:tc>
          <w:tcPr>
            <w:tcW w:w="2389" w:type="pct"/>
          </w:tcPr>
          <w:p w14:paraId="37E21168" w14:textId="77777777" w:rsidR="007C4346" w:rsidRPr="009D0A4A" w:rsidRDefault="007C4346" w:rsidP="00037BBB">
            <w:pPr>
              <w:pStyle w:val="TableBody"/>
            </w:pPr>
            <w:r w:rsidRPr="009D0A4A">
              <w:t>07 Oil and Gas Extraction</w:t>
            </w:r>
          </w:p>
        </w:tc>
        <w:tc>
          <w:tcPr>
            <w:tcW w:w="1152" w:type="pct"/>
          </w:tcPr>
          <w:p w14:paraId="76C29B1E" w14:textId="77777777" w:rsidR="007C4346" w:rsidRPr="009D0A4A" w:rsidRDefault="007C4346" w:rsidP="00037BBB">
            <w:pPr>
              <w:pStyle w:val="TableBody"/>
            </w:pPr>
            <w:r w:rsidRPr="009D0A4A">
              <w:t>22.9</w:t>
            </w:r>
          </w:p>
        </w:tc>
      </w:tr>
      <w:tr w:rsidR="007C4346" w:rsidRPr="009D0A4A" w14:paraId="6C391E8E" w14:textId="77777777" w:rsidTr="00B35053">
        <w:trPr>
          <w:cnfStyle w:val="000000100000" w:firstRow="0" w:lastRow="0" w:firstColumn="0" w:lastColumn="0" w:oddVBand="0" w:evenVBand="0" w:oddHBand="1" w:evenHBand="0" w:firstRowFirstColumn="0" w:firstRowLastColumn="0" w:lastRowFirstColumn="0" w:lastRowLastColumn="0"/>
        </w:trPr>
        <w:tc>
          <w:tcPr>
            <w:tcW w:w="1459" w:type="pct"/>
            <w:vMerge/>
          </w:tcPr>
          <w:p w14:paraId="1A63A30E" w14:textId="77777777" w:rsidR="007C4346" w:rsidRPr="009D0A4A" w:rsidRDefault="007C4346" w:rsidP="00037BBB">
            <w:pPr>
              <w:pStyle w:val="TableBody"/>
            </w:pPr>
          </w:p>
        </w:tc>
        <w:tc>
          <w:tcPr>
            <w:tcW w:w="2389" w:type="pct"/>
          </w:tcPr>
          <w:p w14:paraId="7B72FE63" w14:textId="77777777" w:rsidR="007C4346" w:rsidRPr="009D0A4A" w:rsidRDefault="007C4346" w:rsidP="00037BBB">
            <w:pPr>
              <w:pStyle w:val="TableBody"/>
            </w:pPr>
            <w:r w:rsidRPr="009D0A4A">
              <w:t>08 Metal Ore Mining</w:t>
            </w:r>
          </w:p>
        </w:tc>
        <w:tc>
          <w:tcPr>
            <w:tcW w:w="1152" w:type="pct"/>
          </w:tcPr>
          <w:p w14:paraId="059625E9" w14:textId="77777777" w:rsidR="007C4346" w:rsidRPr="009D0A4A" w:rsidRDefault="007C4346" w:rsidP="00037BBB">
            <w:pPr>
              <w:pStyle w:val="TableBody"/>
            </w:pPr>
            <w:r w:rsidRPr="009D0A4A">
              <w:t>112.8</w:t>
            </w:r>
          </w:p>
        </w:tc>
      </w:tr>
      <w:tr w:rsidR="007C4346" w:rsidRPr="009D0A4A" w14:paraId="20CC6E06" w14:textId="77777777" w:rsidTr="00B35053">
        <w:trPr>
          <w:cnfStyle w:val="000000010000" w:firstRow="0" w:lastRow="0" w:firstColumn="0" w:lastColumn="0" w:oddVBand="0" w:evenVBand="0" w:oddHBand="0" w:evenHBand="1" w:firstRowFirstColumn="0" w:firstRowLastColumn="0" w:lastRowFirstColumn="0" w:lastRowLastColumn="0"/>
        </w:trPr>
        <w:tc>
          <w:tcPr>
            <w:tcW w:w="1459" w:type="pct"/>
            <w:vMerge/>
          </w:tcPr>
          <w:p w14:paraId="66560F4A" w14:textId="77777777" w:rsidR="007C4346" w:rsidRPr="009D0A4A" w:rsidRDefault="007C4346" w:rsidP="00037BBB">
            <w:pPr>
              <w:pStyle w:val="TableBody"/>
            </w:pPr>
          </w:p>
        </w:tc>
        <w:tc>
          <w:tcPr>
            <w:tcW w:w="2389" w:type="pct"/>
          </w:tcPr>
          <w:p w14:paraId="0E9584B2" w14:textId="77777777" w:rsidR="007C4346" w:rsidRPr="009D0A4A" w:rsidRDefault="007C4346" w:rsidP="00037BBB">
            <w:pPr>
              <w:pStyle w:val="TableBody"/>
            </w:pPr>
            <w:r w:rsidRPr="009D0A4A">
              <w:t>09 Non-Metallic Mineral Mining and Quarrying</w:t>
            </w:r>
          </w:p>
        </w:tc>
        <w:tc>
          <w:tcPr>
            <w:tcW w:w="1152" w:type="pct"/>
          </w:tcPr>
          <w:p w14:paraId="191048FA" w14:textId="77777777" w:rsidR="007C4346" w:rsidRPr="009D0A4A" w:rsidRDefault="007C4346" w:rsidP="00037BBB">
            <w:pPr>
              <w:pStyle w:val="TableBody"/>
            </w:pPr>
            <w:r w:rsidRPr="009D0A4A">
              <w:t>14.9</w:t>
            </w:r>
          </w:p>
        </w:tc>
      </w:tr>
      <w:tr w:rsidR="007C4346" w:rsidRPr="009D0A4A" w14:paraId="40375946" w14:textId="77777777" w:rsidTr="00B35053">
        <w:trPr>
          <w:cnfStyle w:val="000000100000" w:firstRow="0" w:lastRow="0" w:firstColumn="0" w:lastColumn="0" w:oddVBand="0" w:evenVBand="0" w:oddHBand="1" w:evenHBand="0" w:firstRowFirstColumn="0" w:firstRowLastColumn="0" w:lastRowFirstColumn="0" w:lastRowLastColumn="0"/>
        </w:trPr>
        <w:tc>
          <w:tcPr>
            <w:tcW w:w="1459" w:type="pct"/>
            <w:vMerge/>
          </w:tcPr>
          <w:p w14:paraId="5DA58F6E" w14:textId="77777777" w:rsidR="007C4346" w:rsidRPr="009D0A4A" w:rsidRDefault="007C4346" w:rsidP="00037BBB">
            <w:pPr>
              <w:pStyle w:val="TableBody"/>
            </w:pPr>
          </w:p>
        </w:tc>
        <w:tc>
          <w:tcPr>
            <w:tcW w:w="2389" w:type="pct"/>
          </w:tcPr>
          <w:p w14:paraId="337C5218" w14:textId="77777777" w:rsidR="007C4346" w:rsidRPr="009D0A4A" w:rsidRDefault="007C4346" w:rsidP="00037BBB">
            <w:pPr>
              <w:pStyle w:val="TableBody"/>
            </w:pPr>
            <w:r w:rsidRPr="009D0A4A">
              <w:t>10 Exploration and Other Mining Support Services</w:t>
            </w:r>
          </w:p>
        </w:tc>
        <w:tc>
          <w:tcPr>
            <w:tcW w:w="1152" w:type="pct"/>
          </w:tcPr>
          <w:p w14:paraId="4366221C" w14:textId="77777777" w:rsidR="007C4346" w:rsidRPr="009D0A4A" w:rsidRDefault="007C4346" w:rsidP="00037BBB">
            <w:pPr>
              <w:pStyle w:val="TableBody"/>
            </w:pPr>
            <w:r w:rsidRPr="009D0A4A">
              <w:t>76.7</w:t>
            </w:r>
          </w:p>
        </w:tc>
      </w:tr>
      <w:tr w:rsidR="007C4346" w:rsidRPr="009D0A4A" w14:paraId="7AAAC76A" w14:textId="77777777" w:rsidTr="00B35053">
        <w:trPr>
          <w:cnfStyle w:val="000000010000" w:firstRow="0" w:lastRow="0" w:firstColumn="0" w:lastColumn="0" w:oddVBand="0" w:evenVBand="0" w:oddHBand="0" w:evenHBand="1" w:firstRowFirstColumn="0" w:firstRowLastColumn="0" w:lastRowFirstColumn="0" w:lastRowLastColumn="0"/>
        </w:trPr>
        <w:tc>
          <w:tcPr>
            <w:tcW w:w="1459" w:type="pct"/>
          </w:tcPr>
          <w:p w14:paraId="2668A8C0" w14:textId="77777777" w:rsidR="007C4346" w:rsidRPr="009D0A4A" w:rsidRDefault="007C4346" w:rsidP="00037BBB">
            <w:pPr>
              <w:pStyle w:val="TableBody"/>
            </w:pPr>
            <w:r w:rsidRPr="009D0A4A">
              <w:t>C Manufacturing</w:t>
            </w:r>
          </w:p>
        </w:tc>
        <w:tc>
          <w:tcPr>
            <w:tcW w:w="2389" w:type="pct"/>
          </w:tcPr>
          <w:p w14:paraId="181E8AD2" w14:textId="77777777" w:rsidR="007C4346" w:rsidRPr="009D0A4A" w:rsidRDefault="007C4346" w:rsidP="00037BBB">
            <w:pPr>
              <w:pStyle w:val="TableBody"/>
            </w:pPr>
            <w:r w:rsidRPr="009D0A4A">
              <w:t>20 Non-Metallic Mineral Product Manufacturing</w:t>
            </w:r>
          </w:p>
        </w:tc>
        <w:tc>
          <w:tcPr>
            <w:tcW w:w="1152" w:type="pct"/>
          </w:tcPr>
          <w:p w14:paraId="66C04F30" w14:textId="77777777" w:rsidR="007C4346" w:rsidRPr="009D0A4A" w:rsidRDefault="007C4346" w:rsidP="00037BBB">
            <w:pPr>
              <w:pStyle w:val="TableBody"/>
            </w:pPr>
            <w:r w:rsidRPr="009D0A4A">
              <w:t>38.9</w:t>
            </w:r>
          </w:p>
        </w:tc>
      </w:tr>
      <w:tr w:rsidR="007C4346" w:rsidRPr="009D0A4A" w14:paraId="354EDAAE" w14:textId="77777777" w:rsidTr="00B35053">
        <w:trPr>
          <w:cnfStyle w:val="000000100000" w:firstRow="0" w:lastRow="0" w:firstColumn="0" w:lastColumn="0" w:oddVBand="0" w:evenVBand="0" w:oddHBand="1" w:evenHBand="0" w:firstRowFirstColumn="0" w:firstRowLastColumn="0" w:lastRowFirstColumn="0" w:lastRowLastColumn="0"/>
        </w:trPr>
        <w:tc>
          <w:tcPr>
            <w:tcW w:w="1459" w:type="pct"/>
            <w:vMerge w:val="restart"/>
            <w:vAlign w:val="center"/>
          </w:tcPr>
          <w:p w14:paraId="04B12BB1" w14:textId="77777777" w:rsidR="007C4346" w:rsidRPr="009D0A4A" w:rsidRDefault="007C4346" w:rsidP="00037BBB">
            <w:pPr>
              <w:pStyle w:val="TableBody"/>
            </w:pPr>
            <w:r w:rsidRPr="009D0A4A">
              <w:t>E Construction</w:t>
            </w:r>
          </w:p>
        </w:tc>
        <w:tc>
          <w:tcPr>
            <w:tcW w:w="2389" w:type="pct"/>
          </w:tcPr>
          <w:p w14:paraId="1BE5D449" w14:textId="77777777" w:rsidR="007C4346" w:rsidRPr="009D0A4A" w:rsidRDefault="007C4346" w:rsidP="00037BBB">
            <w:pPr>
              <w:pStyle w:val="TableBody"/>
            </w:pPr>
            <w:r w:rsidRPr="009D0A4A">
              <w:t>30 Building Construction</w:t>
            </w:r>
          </w:p>
        </w:tc>
        <w:tc>
          <w:tcPr>
            <w:tcW w:w="1152" w:type="pct"/>
          </w:tcPr>
          <w:p w14:paraId="5B0DA3B9" w14:textId="77777777" w:rsidR="007C4346" w:rsidRPr="009D0A4A" w:rsidRDefault="007C4346" w:rsidP="00037BBB">
            <w:pPr>
              <w:pStyle w:val="TableBody"/>
            </w:pPr>
            <w:r w:rsidRPr="009D0A4A">
              <w:t>283.6</w:t>
            </w:r>
          </w:p>
        </w:tc>
      </w:tr>
      <w:tr w:rsidR="007C4346" w:rsidRPr="009D0A4A" w14:paraId="7FECDA8F" w14:textId="77777777" w:rsidTr="00B35053">
        <w:trPr>
          <w:cnfStyle w:val="000000010000" w:firstRow="0" w:lastRow="0" w:firstColumn="0" w:lastColumn="0" w:oddVBand="0" w:evenVBand="0" w:oddHBand="0" w:evenHBand="1" w:firstRowFirstColumn="0" w:firstRowLastColumn="0" w:lastRowFirstColumn="0" w:lastRowLastColumn="0"/>
        </w:trPr>
        <w:tc>
          <w:tcPr>
            <w:tcW w:w="1459" w:type="pct"/>
            <w:vMerge/>
          </w:tcPr>
          <w:p w14:paraId="2D282353" w14:textId="77777777" w:rsidR="007C4346" w:rsidRPr="009D0A4A" w:rsidRDefault="007C4346" w:rsidP="00037BBB">
            <w:pPr>
              <w:pStyle w:val="TableBody"/>
            </w:pPr>
          </w:p>
        </w:tc>
        <w:tc>
          <w:tcPr>
            <w:tcW w:w="2389" w:type="pct"/>
          </w:tcPr>
          <w:p w14:paraId="77DFE005" w14:textId="77777777" w:rsidR="007C4346" w:rsidRPr="009D0A4A" w:rsidRDefault="007C4346" w:rsidP="00037BBB">
            <w:pPr>
              <w:pStyle w:val="TableBody"/>
            </w:pPr>
            <w:r w:rsidRPr="009D0A4A">
              <w:t>31 Heavy and Civil Engineering Construction</w:t>
            </w:r>
          </w:p>
        </w:tc>
        <w:tc>
          <w:tcPr>
            <w:tcW w:w="1152" w:type="pct"/>
          </w:tcPr>
          <w:p w14:paraId="62A21AD9" w14:textId="77777777" w:rsidR="007C4346" w:rsidRPr="009D0A4A" w:rsidRDefault="007C4346" w:rsidP="00037BBB">
            <w:pPr>
              <w:pStyle w:val="TableBody"/>
            </w:pPr>
            <w:r w:rsidRPr="009D0A4A">
              <w:t>116.9</w:t>
            </w:r>
          </w:p>
        </w:tc>
      </w:tr>
      <w:tr w:rsidR="007C4346" w:rsidRPr="009D0A4A" w14:paraId="2B9BBF9C" w14:textId="77777777" w:rsidTr="00B35053">
        <w:trPr>
          <w:cnfStyle w:val="000000100000" w:firstRow="0" w:lastRow="0" w:firstColumn="0" w:lastColumn="0" w:oddVBand="0" w:evenVBand="0" w:oddHBand="1" w:evenHBand="0" w:firstRowFirstColumn="0" w:firstRowLastColumn="0" w:lastRowFirstColumn="0" w:lastRowLastColumn="0"/>
        </w:trPr>
        <w:tc>
          <w:tcPr>
            <w:tcW w:w="1459" w:type="pct"/>
            <w:vMerge/>
          </w:tcPr>
          <w:p w14:paraId="3C899716" w14:textId="77777777" w:rsidR="007C4346" w:rsidRPr="009D0A4A" w:rsidRDefault="007C4346" w:rsidP="00037BBB">
            <w:pPr>
              <w:pStyle w:val="TableBody"/>
            </w:pPr>
          </w:p>
        </w:tc>
        <w:tc>
          <w:tcPr>
            <w:tcW w:w="2389" w:type="pct"/>
          </w:tcPr>
          <w:p w14:paraId="0575F9A4" w14:textId="77777777" w:rsidR="007C4346" w:rsidRPr="009D0A4A" w:rsidRDefault="007C4346" w:rsidP="00037BBB">
            <w:pPr>
              <w:pStyle w:val="TableBody"/>
            </w:pPr>
            <w:r w:rsidRPr="009D0A4A">
              <w:t>32 Construction Services</w:t>
            </w:r>
          </w:p>
        </w:tc>
        <w:tc>
          <w:tcPr>
            <w:tcW w:w="1152" w:type="pct"/>
          </w:tcPr>
          <w:p w14:paraId="19F6C978" w14:textId="77777777" w:rsidR="007C4346" w:rsidRPr="009D0A4A" w:rsidRDefault="007C4346" w:rsidP="00037BBB">
            <w:pPr>
              <w:pStyle w:val="TableBody"/>
            </w:pPr>
            <w:r w:rsidRPr="009D0A4A">
              <w:t>744.8</w:t>
            </w:r>
          </w:p>
        </w:tc>
      </w:tr>
      <w:tr w:rsidR="007C4346" w:rsidRPr="009D0A4A" w14:paraId="17E71E39" w14:textId="77777777" w:rsidTr="00B35053">
        <w:trPr>
          <w:cnfStyle w:val="000000010000" w:firstRow="0" w:lastRow="0" w:firstColumn="0" w:lastColumn="0" w:oddVBand="0" w:evenVBand="0" w:oddHBand="0" w:evenHBand="1" w:firstRowFirstColumn="0" w:firstRowLastColumn="0" w:lastRowFirstColumn="0" w:lastRowLastColumn="0"/>
        </w:trPr>
        <w:tc>
          <w:tcPr>
            <w:tcW w:w="1459" w:type="pct"/>
          </w:tcPr>
          <w:p w14:paraId="1112944C" w14:textId="77777777" w:rsidR="007C4346" w:rsidRPr="009D0A4A" w:rsidRDefault="007C4346" w:rsidP="00037BBB">
            <w:pPr>
              <w:pStyle w:val="TableBody"/>
            </w:pPr>
          </w:p>
        </w:tc>
        <w:tc>
          <w:tcPr>
            <w:tcW w:w="2389" w:type="pct"/>
          </w:tcPr>
          <w:p w14:paraId="10CFEC2C" w14:textId="77777777" w:rsidR="007C4346" w:rsidRPr="009D0A4A" w:rsidRDefault="007C4346" w:rsidP="00037BBB">
            <w:pPr>
              <w:pStyle w:val="TableBody"/>
              <w:rPr>
                <w:b/>
                <w:bCs/>
              </w:rPr>
            </w:pPr>
            <w:r w:rsidRPr="009D0A4A">
              <w:rPr>
                <w:b/>
                <w:bCs/>
              </w:rPr>
              <w:t>Total</w:t>
            </w:r>
          </w:p>
        </w:tc>
        <w:tc>
          <w:tcPr>
            <w:tcW w:w="1152" w:type="pct"/>
          </w:tcPr>
          <w:p w14:paraId="13A40F2E" w14:textId="77777777" w:rsidR="007C4346" w:rsidRPr="009D0A4A" w:rsidRDefault="007C4346" w:rsidP="00037BBB">
            <w:pPr>
              <w:pStyle w:val="TableBody"/>
            </w:pPr>
            <w:r w:rsidRPr="009D0A4A">
              <w:t>1,453.2</w:t>
            </w:r>
          </w:p>
        </w:tc>
      </w:tr>
    </w:tbl>
    <w:p w14:paraId="4848E196" w14:textId="77777777" w:rsidR="007C4346" w:rsidRPr="009D0A4A" w:rsidRDefault="007C4346" w:rsidP="00234FEF">
      <w:pPr>
        <w:pStyle w:val="BodyText"/>
      </w:pPr>
    </w:p>
    <w:p w14:paraId="0BC8C15B" w14:textId="4305765F" w:rsidR="000028ED" w:rsidRPr="009D0A4A" w:rsidRDefault="001B266B" w:rsidP="00234FEF">
      <w:pPr>
        <w:pStyle w:val="BodyText"/>
      </w:pPr>
      <w:r w:rsidRPr="009D0A4A">
        <w:t xml:space="preserve">The Australian Institute of Occupational Hygienists (AIOH) has confirmed that common tasks in the manufacturing, demolition, construction, tunnelling and quarrying industries can result in exposure to RCS in excess of the </w:t>
      </w:r>
      <w:r w:rsidR="00722B43" w:rsidRPr="009D0A4A">
        <w:t>WES</w:t>
      </w:r>
      <w:r w:rsidR="00534523" w:rsidRPr="009D0A4A">
        <w:t xml:space="preserve"> </w:t>
      </w:r>
      <w:r w:rsidR="00534523" w:rsidRPr="009D0A4A">
        <w:fldChar w:fldCharType="begin"/>
      </w:r>
      <w:r w:rsidR="004067E3">
        <w:instrText xml:space="preserve"> ADDIN ZOTERO_ITEM CSL_CITATION {"citationID":"1hPouU8P","properties":{"formattedCitation":"(AIOH 2021)","plainCitation":"(AIOH 2021)","noteIndex":0},"citationItems":[{"id":846,"uris":["http://zotero.org/users/6230888/items/5PX8HGNY"],"itemData":{"id":846,"type":"report","language":"en-AU","page":"14","title":"AIOH Submission to the 2021 NSW Dust Diseases Scheme","URL":"https://www.aioh.org.au/media/2014/06/AIOH_SUB_NSWDustDiseasesReview_2021.pdf","author":[{"literal":"AIOH"}],"accessed":{"date-parts":[["2022",6,30]]},"issued":{"date-parts":[["2021"]]}}}],"schema":"https://github.com/citation-style-language/schema/raw/master/csl-citation.json"} </w:instrText>
      </w:r>
      <w:r w:rsidR="00534523" w:rsidRPr="009D0A4A">
        <w:fldChar w:fldCharType="separate"/>
      </w:r>
      <w:r w:rsidR="006B4A7D" w:rsidRPr="009D0A4A">
        <w:rPr>
          <w:rFonts w:ascii="Calibri" w:hAnsi="Calibri" w:cs="Calibri"/>
        </w:rPr>
        <w:t>(AIOH 2021)</w:t>
      </w:r>
      <w:r w:rsidR="00534523" w:rsidRPr="009D0A4A">
        <w:fldChar w:fldCharType="end"/>
      </w:r>
      <w:r w:rsidRPr="009D0A4A">
        <w:t>. This is supported by historical data supplied to the Queensland inquiry into occupational respirable dust issues in 2017 showing exceedances of the WES</w:t>
      </w:r>
      <w:r w:rsidR="005F1A0D">
        <w:t xml:space="preserve"> in place at the time</w:t>
      </w:r>
      <w:r w:rsidRPr="009D0A4A">
        <w:t xml:space="preserve"> (0.1 mg/m</w:t>
      </w:r>
      <w:r w:rsidRPr="009D0A4A">
        <w:rPr>
          <w:vertAlign w:val="superscript"/>
        </w:rPr>
        <w:t>3</w:t>
      </w:r>
      <w:r w:rsidRPr="009D0A4A">
        <w:t xml:space="preserve"> 8-hour TWA) across a range of construction operations. This report also recorded WES exceedances in the tunnelling and ferrous foundry industries</w:t>
      </w:r>
      <w:r w:rsidR="00534523" w:rsidRPr="009D0A4A">
        <w:t xml:space="preserve"> </w:t>
      </w:r>
      <w:r w:rsidR="00534523" w:rsidRPr="009D0A4A">
        <w:fldChar w:fldCharType="begin"/>
      </w:r>
      <w:r w:rsidR="004067E3">
        <w:instrText xml:space="preserve"> ADDIN ZOTERO_ITEM CSL_CITATION {"citationID":"xxS12URg","properties":{"formattedCitation":"(Queensland Parliament Coal Workers\\uc0\\u8217{} Pneumoconiosis Select Committee 2017)","plainCitation":"(Queensland Parliament Coal Workers’ Pneumoconiosis Select Committee 2017)","noteIndex":0},"citationItems":[{"id":849,"uris":["http://zotero.org/users/6230888/items/J2Q9KXVJ"],"itemData":{"id":849,"type":"report","page":"109","title":"Inquiry into occupational  respirable dust issues","URL":"https://cabinet.qld.gov.au/documents/2018/Feb/RespCWP4/Attachments/Report.PDF","author":[{"literal":"Queensland Parliament Coal Workers’ Pneumoconiosis Select Committee"}],"accessed":{"date-parts":[["2022",6,30]]},"issued":{"date-parts":[["2017"]]}}}],"schema":"https://github.com/citation-style-language/schema/raw/master/csl-citation.json"} </w:instrText>
      </w:r>
      <w:r w:rsidR="00534523" w:rsidRPr="009D0A4A">
        <w:fldChar w:fldCharType="separate"/>
      </w:r>
      <w:r w:rsidR="006B4A7D" w:rsidRPr="009D0A4A">
        <w:rPr>
          <w:rFonts w:ascii="Calibri" w:hAnsi="Calibri" w:cs="Calibri"/>
          <w:szCs w:val="24"/>
        </w:rPr>
        <w:t>(Queensland Parliament Coal Workers’ Pneumoconiosis Select Committee 2017)</w:t>
      </w:r>
      <w:r w:rsidR="00534523" w:rsidRPr="009D0A4A">
        <w:fldChar w:fldCharType="end"/>
      </w:r>
      <w:r w:rsidRPr="009D0A4A">
        <w:t>. Personal air monitoring has also revealed that common tasks involved in engineered stone manufacturing</w:t>
      </w:r>
      <w:r w:rsidR="00882508" w:rsidRPr="009D0A4A">
        <w:rPr>
          <w:rStyle w:val="FootnoteReference"/>
        </w:rPr>
        <w:t xml:space="preserve"> </w:t>
      </w:r>
      <w:r w:rsidR="00882508" w:rsidRPr="009D0A4A">
        <w:fldChar w:fldCharType="begin"/>
      </w:r>
      <w:r w:rsidR="004067E3">
        <w:instrText xml:space="preserve"> ADDIN ZOTERO_ITEM CSL_CITATION {"citationID":"XV47qVQV","properties":{"formattedCitation":"(Gaskin et al. 2018)","plainCitation":"(Gaskin et al. 2018)","noteIndex":0},"citationItems":[{"id":851,"uris":["http://zotero.org/users/6230888/items/5B3ZVCZC"],"itemData":{"id":851,"type":"article-journal","language":"en","page":"24","source":"Zotero","title":"Respirable Crystalline Silica Exposures in Engineered Stone Benchtop Fabrication","author":[{"family":"Gaskin","given":"Sharyn"},{"family":"Gun","given":"Richard"},{"family":"Jersmann","given":"Hubertus"},{"family":"Pisaniello","given":"Dino"}],"issued":{"date-parts":[["2018"]]}}}],"schema":"https://github.com/citation-style-language/schema/raw/master/csl-citation.json"} </w:instrText>
      </w:r>
      <w:r w:rsidR="00882508" w:rsidRPr="009D0A4A">
        <w:fldChar w:fldCharType="separate"/>
      </w:r>
      <w:r w:rsidR="006B4A7D" w:rsidRPr="009D0A4A">
        <w:rPr>
          <w:rFonts w:ascii="Calibri" w:hAnsi="Calibri" w:cs="Calibri"/>
        </w:rPr>
        <w:t>(Gaskin et al. 2018)</w:t>
      </w:r>
      <w:r w:rsidR="00882508" w:rsidRPr="009D0A4A">
        <w:fldChar w:fldCharType="end"/>
      </w:r>
      <w:r w:rsidRPr="009D0A4A">
        <w:t xml:space="preserve"> and stonemasonry</w:t>
      </w:r>
      <w:r w:rsidR="00882508" w:rsidRPr="009D0A4A">
        <w:rPr>
          <w:rStyle w:val="FootnoteReference"/>
        </w:rPr>
        <w:t xml:space="preserve"> </w:t>
      </w:r>
      <w:r w:rsidR="00882508" w:rsidRPr="009D0A4A">
        <w:fldChar w:fldCharType="begin"/>
      </w:r>
      <w:r w:rsidR="004067E3">
        <w:instrText xml:space="preserve"> ADDIN ZOTERO_ITEM CSL_CITATION {"citationID":"KyxgZO3G","properties":{"formattedCitation":"(Alamango et al. 2015)","plainCitation":"(Alamango et al. 2015)","noteIndex":0},"citationItems":[{"id":852,"uris":["http://zotero.org/users/6230888/items/NNNA6JVM"],"itemData":{"id":852,"type":"paper-conference","container-title":"Proceedings of the Australian Institute of Occupational Hygienists Annual Conference and Exhibition 2015","page":"10-16","title":"Have you got your head in the sand? Respirable crystalline exposures of restorative stonemasons","title-short":"Have you got your head in the sand?","URL":"https://ro.uow.edu.au/sspapers/2121","author":[{"family":"Alamango","given":"Kerrin"},{"family":"Whitelaw","given":"Jane"},{"family":"Apthorpe","given":"Linda"}],"issued":{"date-parts":[["2015"]]}}}],"schema":"https://github.com/citation-style-language/schema/raw/master/csl-citation.json"} </w:instrText>
      </w:r>
      <w:r w:rsidR="00882508" w:rsidRPr="009D0A4A">
        <w:fldChar w:fldCharType="separate"/>
      </w:r>
      <w:r w:rsidR="006B4A7D" w:rsidRPr="009D0A4A">
        <w:rPr>
          <w:rFonts w:ascii="Calibri" w:hAnsi="Calibri" w:cs="Calibri"/>
        </w:rPr>
        <w:t>(Alamango et al. 2015)</w:t>
      </w:r>
      <w:r w:rsidR="00882508" w:rsidRPr="009D0A4A">
        <w:fldChar w:fldCharType="end"/>
      </w:r>
      <w:r w:rsidRPr="009D0A4A">
        <w:t xml:space="preserve"> can expose workers to RCS at levels above the current WES </w:t>
      </w:r>
      <w:r w:rsidR="008010D9">
        <w:t xml:space="preserve">(0.05 </w:t>
      </w:r>
      <w:r w:rsidR="008010D9" w:rsidRPr="008010D9">
        <w:t>mg</w:t>
      </w:r>
      <w:r w:rsidR="008010D9">
        <w:t>/m</w:t>
      </w:r>
      <w:r w:rsidR="008010D9" w:rsidRPr="008010D9">
        <w:rPr>
          <w:vertAlign w:val="superscript"/>
        </w:rPr>
        <w:t>3</w:t>
      </w:r>
      <w:r w:rsidR="008010D9">
        <w:t xml:space="preserve"> 8-hour TWA) </w:t>
      </w:r>
      <w:r w:rsidRPr="008010D9">
        <w:t>if</w:t>
      </w:r>
      <w:r w:rsidRPr="009D0A4A">
        <w:t xml:space="preserve"> effective engineering controls (e.g., water suppression and local exhaust ventilation) are not in place. Similarly, a study of 47 individual stone and quarry workers not using adequate engineering controls revealed that one in four workers were exposed to levels of RCS above the then WES (0.1mg/m</w:t>
      </w:r>
      <w:r w:rsidRPr="009D0A4A">
        <w:rPr>
          <w:vertAlign w:val="superscript"/>
        </w:rPr>
        <w:t>3</w:t>
      </w:r>
      <w:r w:rsidRPr="009D0A4A">
        <w:t xml:space="preserve"> 8-hour TWA), and more than one in ten were exposed to concentrations double that of the WES</w:t>
      </w:r>
      <w:r w:rsidR="00847491" w:rsidRPr="009D0A4A">
        <w:t xml:space="preserve"> </w:t>
      </w:r>
      <w:r w:rsidR="00847491" w:rsidRPr="009D0A4A">
        <w:fldChar w:fldCharType="begin"/>
      </w:r>
      <w:r w:rsidR="004067E3">
        <w:instrText xml:space="preserve"> ADDIN ZOTERO_ITEM CSL_CITATION {"citationID":"oobY1q3K","properties":{"formattedCitation":"(Hedges 2016)","plainCitation":"(Hedges 2016)","noteIndex":0},"citationItems":[{"id":854,"uris":["http://zotero.org/users/6230888/items/6IIMQG22"],"itemData":{"id":854,"type":"thesis","language":"en","publisher":"Western Sydney University","source":"researchdirect.westernsydney.edu.au","title":"Assessment and control of respirable crystalline silica in quarries and dimension stone mines","URL":"https://researchdirect.westernsydney.edu.au/islandora/object/uws%3A36593/","author":[{"family":"Hedges","given":"Kevin"}],"accessed":{"date-parts":[["2022",6,24]]},"issued":{"date-parts":[["2016"]]}}}],"schema":"https://github.com/citation-style-language/schema/raw/master/csl-citation.json"} </w:instrText>
      </w:r>
      <w:r w:rsidR="00847491" w:rsidRPr="009D0A4A">
        <w:fldChar w:fldCharType="separate"/>
      </w:r>
      <w:r w:rsidR="006B4A7D" w:rsidRPr="009D0A4A">
        <w:rPr>
          <w:rFonts w:ascii="Calibri" w:hAnsi="Calibri" w:cs="Calibri"/>
        </w:rPr>
        <w:t>(Hedges 2016)</w:t>
      </w:r>
      <w:r w:rsidR="00847491" w:rsidRPr="009D0A4A">
        <w:fldChar w:fldCharType="end"/>
      </w:r>
      <w:r w:rsidRPr="009D0A4A">
        <w:t>. A study of workers in the demolition sector also revealed exposures in some groups of workers were in excess of the then WES (0.1 mg/m</w:t>
      </w:r>
      <w:r w:rsidRPr="009D0A4A">
        <w:rPr>
          <w:vertAlign w:val="superscript"/>
        </w:rPr>
        <w:t>3</w:t>
      </w:r>
      <w:r w:rsidRPr="009D0A4A">
        <w:t xml:space="preserve"> 8-hour TWA), prior to the introduction of additional control measures including misting dust suppression, dust extraction, and greater management of respirator fit testing</w:t>
      </w:r>
      <w:r w:rsidR="00847491" w:rsidRPr="009D0A4A">
        <w:t xml:space="preserve"> </w:t>
      </w:r>
      <w:r w:rsidR="00847491" w:rsidRPr="009D0A4A">
        <w:fldChar w:fldCharType="begin"/>
      </w:r>
      <w:r w:rsidR="004067E3">
        <w:instrText xml:space="preserve"> ADDIN ZOTERO_ITEM CSL_CITATION {"citationID":"k3YO3JE5","properties":{"formattedCitation":"(Cole &amp; Fisher 2019)","plainCitation":"(Cole &amp; Fisher 2019)","noteIndex":0},"citationItems":[{"id":857,"uris":["http://zotero.org/users/6230888/items/XGEGEJX3"],"itemData":{"id":857,"type":"paper-conference","container-title":"Proceedings of the Australian Institute of Occupational Hygienists Annual Conference and Exhibition 2019","title":"Controlling exposure to respirable crystalline silica in Sydney demolition workers: A Client-led intervention,","author":[{"family":"Cole","given":"K"},{"family":"Fisher","given":"M"}],"issued":{"date-parts":[["2019"]]}}}],"schema":"https://github.com/citation-style-language/schema/raw/master/csl-citation.json"} </w:instrText>
      </w:r>
      <w:r w:rsidR="00847491" w:rsidRPr="009D0A4A">
        <w:fldChar w:fldCharType="separate"/>
      </w:r>
      <w:r w:rsidR="006B4A7D" w:rsidRPr="009D0A4A">
        <w:rPr>
          <w:rFonts w:ascii="Calibri" w:hAnsi="Calibri" w:cs="Calibri"/>
        </w:rPr>
        <w:t>(Cole &amp; Fisher 2019)</w:t>
      </w:r>
      <w:r w:rsidR="00847491" w:rsidRPr="009D0A4A">
        <w:fldChar w:fldCharType="end"/>
      </w:r>
      <w:r w:rsidRPr="009D0A4A">
        <w:t xml:space="preserve">. Although there are few published studies </w:t>
      </w:r>
      <w:r w:rsidR="00722B43" w:rsidRPr="009D0A4A">
        <w:t>about</w:t>
      </w:r>
      <w:r w:rsidRPr="009D0A4A">
        <w:t xml:space="preserve"> the Australian construction industry, uncontrolled cutting of concrete is relatively common. In one study, it was shown that six minutes of uncontrolled concrete cutting would greatly exceed the current WES even if it was the worker’s only exposure to RCS in the workday</w:t>
      </w:r>
      <w:r w:rsidR="00847491" w:rsidRPr="009D0A4A">
        <w:t xml:space="preserve"> </w:t>
      </w:r>
      <w:r w:rsidR="00847491" w:rsidRPr="009D0A4A">
        <w:fldChar w:fldCharType="begin"/>
      </w:r>
      <w:r w:rsidR="004067E3">
        <w:instrText xml:space="preserve"> ADDIN ZOTERO_ITEM CSL_CITATION {"citationID":"22RwoGzm","properties":{"formattedCitation":"(Brooks &amp; Rae 2021)","plainCitation":"(Brooks &amp; Rae 2021)","noteIndex":0},"citationItems":[{"id":858,"uris":["http://zotero.org/users/6230888/items/3YPCBAFZ"],"itemData":{"id":858,"type":"paper-conference","container-title":"Proceedings of the Australian Institute of Occupational Hygienists Annual Conference and Exhibition 2021.","title":"Change the way we communicate dry cutting risks","author":[{"family":"Brooks","given":"M"},{"family":"Rae","given":"H"}],"issued":{"date-parts":[["2021"]]}}}],"schema":"https://github.com/citation-style-language/schema/raw/master/csl-citation.json"} </w:instrText>
      </w:r>
      <w:r w:rsidR="00847491" w:rsidRPr="009D0A4A">
        <w:fldChar w:fldCharType="separate"/>
      </w:r>
      <w:r w:rsidR="006B4A7D" w:rsidRPr="009D0A4A">
        <w:rPr>
          <w:rFonts w:ascii="Calibri" w:hAnsi="Calibri" w:cs="Calibri"/>
        </w:rPr>
        <w:t>(Brooks &amp; Rae 2021)</w:t>
      </w:r>
      <w:r w:rsidR="00847491" w:rsidRPr="009D0A4A">
        <w:fldChar w:fldCharType="end"/>
      </w:r>
      <w:r w:rsidRPr="009D0A4A">
        <w:t>.</w:t>
      </w:r>
      <w:r w:rsidR="00847491" w:rsidRPr="009D0A4A">
        <w:t xml:space="preserve"> </w:t>
      </w:r>
      <w:r w:rsidR="007C4346" w:rsidRPr="009D0A4A">
        <w:t>W</w:t>
      </w:r>
      <w:r w:rsidR="00B9717F" w:rsidRPr="009D0A4A">
        <w:t xml:space="preserve">orkers who are not directly involved with tasks that produce </w:t>
      </w:r>
      <w:r w:rsidR="006F1E8E" w:rsidRPr="009D0A4A">
        <w:t xml:space="preserve">RCS </w:t>
      </w:r>
      <w:r w:rsidR="00B9717F" w:rsidRPr="009D0A4A">
        <w:t xml:space="preserve">may </w:t>
      </w:r>
      <w:r w:rsidR="00E80EC2" w:rsidRPr="009D0A4A">
        <w:t xml:space="preserve">still </w:t>
      </w:r>
      <w:r w:rsidR="00B9717F" w:rsidRPr="009D0A4A">
        <w:t xml:space="preserve">be exposed. This includes administrative staff, cleaning staff and other support staff who are located near sites where </w:t>
      </w:r>
      <w:r w:rsidR="006F1E8E" w:rsidRPr="009D0A4A">
        <w:t xml:space="preserve">RCS </w:t>
      </w:r>
      <w:r w:rsidR="00B9717F" w:rsidRPr="009D0A4A">
        <w:t xml:space="preserve">is produced. Data taken from an engineered stone </w:t>
      </w:r>
      <w:r w:rsidR="00746BD3" w:rsidRPr="009D0A4A">
        <w:t>fabrication workshop</w:t>
      </w:r>
      <w:r w:rsidR="00B9717F" w:rsidRPr="009D0A4A">
        <w:t xml:space="preserve"> show</w:t>
      </w:r>
      <w:r w:rsidR="00746BD3" w:rsidRPr="009D0A4A">
        <w:t>ed</w:t>
      </w:r>
      <w:r w:rsidR="00B9717F" w:rsidRPr="009D0A4A">
        <w:t xml:space="preserve"> that all areas of the </w:t>
      </w:r>
      <w:r w:rsidR="006F1E8E" w:rsidRPr="009D0A4A">
        <w:t>premises</w:t>
      </w:r>
      <w:r w:rsidR="00B9717F" w:rsidRPr="009D0A4A">
        <w:t xml:space="preserve">, including areas that were not used for processing of engineered stone, had airborne concentration levels of RCS </w:t>
      </w:r>
      <w:r w:rsidR="00531466">
        <w:t xml:space="preserve">well in excess </w:t>
      </w:r>
      <w:r w:rsidR="00B9717F" w:rsidRPr="009D0A4A">
        <w:t xml:space="preserve">of the </w:t>
      </w:r>
      <w:r w:rsidR="001166A5" w:rsidRPr="009D0A4A">
        <w:t>current WES</w:t>
      </w:r>
      <w:r w:rsidR="00B9717F" w:rsidRPr="009D0A4A">
        <w:t xml:space="preserve">. This indicates that any persons working </w:t>
      </w:r>
      <w:r w:rsidR="006F1E8E" w:rsidRPr="009D0A4A">
        <w:t xml:space="preserve">near areas where engineered stone is processed </w:t>
      </w:r>
      <w:r w:rsidR="00B9717F" w:rsidRPr="009D0A4A">
        <w:t xml:space="preserve">may be exposed to </w:t>
      </w:r>
      <w:r w:rsidR="001166A5" w:rsidRPr="009D0A4A">
        <w:t>hazardous</w:t>
      </w:r>
      <w:r w:rsidR="00B9717F" w:rsidRPr="009D0A4A">
        <w:t xml:space="preserve"> levels </w:t>
      </w:r>
      <w:r w:rsidR="006F1E8E" w:rsidRPr="009D0A4A">
        <w:t>of RCS</w:t>
      </w:r>
      <w:r w:rsidR="00B9717F" w:rsidRPr="009D0A4A">
        <w:t>, regardless of their role</w:t>
      </w:r>
      <w:r w:rsidR="00EA1E20" w:rsidRPr="009D0A4A">
        <w:t xml:space="preserve"> </w:t>
      </w:r>
      <w:r w:rsidR="00EA1E20" w:rsidRPr="009D0A4A">
        <w:fldChar w:fldCharType="begin"/>
      </w:r>
      <w:r w:rsidR="004067E3">
        <w:instrText xml:space="preserve"> ADDIN ZOTERO_ITEM CSL_CITATION {"citationID":"HnK4VY7s","properties":{"formattedCitation":"(Jennings 2021)","plainCitation":"(Jennings 2021)","noteIndex":0},"citationItems":[{"id":860,"uris":["http://zotero.org/users/6230888/items/HRRG8Q4D"],"itemData":{"id":860,"type":"report","page":"22","title":"Submission Number 8 Inquiry into 2021 Review of the Dust Diseases Scheme","URL":"https://www.parliament.nsw.gov.au/lcdocs/submissions/76639/0008%20Mr%20Martin%20Jennings.pdf","author":[{"family":"Jennings","given":"M"}],"accessed":{"date-parts":[["2022",6,30]]},"issued":{"date-parts":[["2021"]]}}}],"schema":"https://github.com/citation-style-language/schema/raw/master/csl-citation.json"} </w:instrText>
      </w:r>
      <w:r w:rsidR="00EA1E20" w:rsidRPr="009D0A4A">
        <w:fldChar w:fldCharType="separate"/>
      </w:r>
      <w:r w:rsidR="006B4A7D" w:rsidRPr="009D0A4A">
        <w:rPr>
          <w:rFonts w:ascii="Calibri" w:hAnsi="Calibri" w:cs="Calibri"/>
        </w:rPr>
        <w:t>(Jennings 2021)</w:t>
      </w:r>
      <w:r w:rsidR="00EA1E20" w:rsidRPr="009D0A4A">
        <w:fldChar w:fldCharType="end"/>
      </w:r>
      <w:r w:rsidR="00B9717F" w:rsidRPr="009D0A4A">
        <w:t>.</w:t>
      </w:r>
    </w:p>
    <w:p w14:paraId="310199D9" w14:textId="7544970A" w:rsidR="00402264" w:rsidRPr="009D0A4A" w:rsidRDefault="008C5384" w:rsidP="00402264">
      <w:pPr>
        <w:pStyle w:val="Heading3"/>
      </w:pPr>
      <w:bookmarkStart w:id="559" w:name="_Toc92873043"/>
      <w:r w:rsidRPr="009D0A4A">
        <w:t>Number of cases of silicosis</w:t>
      </w:r>
    </w:p>
    <w:p w14:paraId="15566F3E" w14:textId="70F86C0D" w:rsidR="004C0756" w:rsidRDefault="00402264" w:rsidP="00234FEF">
      <w:pPr>
        <w:pStyle w:val="BodyText"/>
      </w:pPr>
      <w:r w:rsidRPr="009D0A4A">
        <w:t xml:space="preserve">The number </w:t>
      </w:r>
      <w:r w:rsidRPr="009D0A4A" w:rsidDel="009248B5">
        <w:t xml:space="preserve">of </w:t>
      </w:r>
      <w:r w:rsidR="009248B5">
        <w:t xml:space="preserve">current </w:t>
      </w:r>
      <w:r w:rsidRPr="009D0A4A">
        <w:t>silicosis</w:t>
      </w:r>
      <w:r w:rsidR="009248B5">
        <w:t xml:space="preserve"> cases</w:t>
      </w:r>
      <w:r w:rsidRPr="009D0A4A" w:rsidDel="009248B5">
        <w:t xml:space="preserve"> </w:t>
      </w:r>
      <w:r w:rsidRPr="009D0A4A">
        <w:t xml:space="preserve">in Australia has been estimated from results of state and territory health screening programs, data registries, and accepted workers’ compensation claims. It is likely that this estimate is conservative, and the true number of cases may be higher. This is primarily a result of the time-lag between worker exposure to RCS and diagnosis of silicosis. This also presents significant challenges to estimating the future number of cases of silicosis. </w:t>
      </w:r>
    </w:p>
    <w:p w14:paraId="7402A81C" w14:textId="4CDC6834" w:rsidR="00402264" w:rsidRPr="003D290D" w:rsidRDefault="00402264" w:rsidP="00234FEF">
      <w:pPr>
        <w:pStyle w:val="Heading4"/>
      </w:pPr>
      <w:bookmarkStart w:id="560" w:name="_Number_of_accepted"/>
      <w:bookmarkStart w:id="561" w:name="_Ref124948016"/>
      <w:bookmarkEnd w:id="560"/>
      <w:r w:rsidRPr="003D290D">
        <w:lastRenderedPageBreak/>
        <w:t xml:space="preserve">Number of accepted workers’ </w:t>
      </w:r>
      <w:r w:rsidRPr="00F77334">
        <w:t>compensation</w:t>
      </w:r>
      <w:r w:rsidRPr="003D290D">
        <w:t xml:space="preserve"> claims for silicosis</w:t>
      </w:r>
      <w:bookmarkEnd w:id="561"/>
    </w:p>
    <w:p w14:paraId="20BACA87" w14:textId="1C5923BB" w:rsidR="00402264" w:rsidRPr="009D0A4A" w:rsidRDefault="004D5BE7" w:rsidP="00402264">
      <w:pPr>
        <w:jc w:val="both"/>
      </w:pPr>
      <w:r>
        <w:rPr>
          <w:noProof/>
          <w:lang w:eastAsia="en-AU"/>
        </w:rPr>
        <w:drawing>
          <wp:anchor distT="0" distB="0" distL="114300" distR="114300" simplePos="0" relativeHeight="251658242" behindDoc="0" locked="0" layoutInCell="1" allowOverlap="1" wp14:anchorId="1C7A5247" wp14:editId="0DF569B0">
            <wp:simplePos x="0" y="0"/>
            <wp:positionH relativeFrom="margin">
              <wp:posOffset>608330</wp:posOffset>
            </wp:positionH>
            <wp:positionV relativeFrom="paragraph">
              <wp:posOffset>654050</wp:posOffset>
            </wp:positionV>
            <wp:extent cx="5262880" cy="3179445"/>
            <wp:effectExtent l="0" t="0" r="0" b="1905"/>
            <wp:wrapTopAndBottom/>
            <wp:docPr id="22" name="Picture 22" descr="Figure 1 shows a column graph of the total number of accepted silicosis workers' compensation claims in jurisdictions subject to the model WHS laws by year between 2010-11 and 2020-21. The graph shows a significant increase in accepted silicosis workers' compensation claims from 2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Figure 1 shows a column graph of the total number of accepted silicosis workers' compensation claims in jurisdictions subject to the model WHS laws by year between 2010-11 and 2020-21. The graph shows a significant increase in accepted silicosis workers' compensation claims from 2018-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2880" cy="3179445"/>
                    </a:xfrm>
                    <a:prstGeom prst="rect">
                      <a:avLst/>
                    </a:prstGeom>
                    <a:noFill/>
                  </pic:spPr>
                </pic:pic>
              </a:graphicData>
            </a:graphic>
          </wp:anchor>
        </w:drawing>
      </w:r>
      <w:r w:rsidR="00402264" w:rsidRPr="009D0A4A">
        <w:t>Between 2010-11 and 20</w:t>
      </w:r>
      <w:r w:rsidR="00A52BB6">
        <w:t>20</w:t>
      </w:r>
      <w:r w:rsidR="00402264" w:rsidRPr="009D0A4A">
        <w:t>-2</w:t>
      </w:r>
      <w:r w:rsidR="00A52BB6">
        <w:t>1p</w:t>
      </w:r>
      <w:r w:rsidR="00402264" w:rsidRPr="009D0A4A">
        <w:t xml:space="preserve"> there were 4</w:t>
      </w:r>
      <w:r w:rsidR="00A52BB6">
        <w:t>88</w:t>
      </w:r>
      <w:r w:rsidR="00402264" w:rsidRPr="009D0A4A">
        <w:t xml:space="preserve"> accepted workers’ compensation claims for silicosis in the jurisdictions covered by the model WHS laws (Figure 1). Approximately 7</w:t>
      </w:r>
      <w:r w:rsidR="00A52BB6">
        <w:t>9</w:t>
      </w:r>
      <w:r w:rsidR="00402264" w:rsidRPr="009D0A4A">
        <w:t xml:space="preserve"> per cent of the accepted claims were in the manufacturing, mining and construction sectors (</w:t>
      </w:r>
      <w:fldSimple w:instr=" REF _Ref125288838 ">
        <w:r w:rsidR="0023528B">
          <w:t xml:space="preserve">Table </w:t>
        </w:r>
        <w:r w:rsidR="0023528B">
          <w:rPr>
            <w:noProof/>
          </w:rPr>
          <w:t>6</w:t>
        </w:r>
      </w:fldSimple>
      <w:r w:rsidR="00402264" w:rsidRPr="009D0A4A">
        <w:t>).</w:t>
      </w:r>
    </w:p>
    <w:p w14:paraId="1B3E9CCE" w14:textId="50BF3F6F" w:rsidR="00402264" w:rsidRPr="009D0A4A" w:rsidRDefault="00402264" w:rsidP="0040654F">
      <w:pPr>
        <w:spacing w:after="0" w:line="240" w:lineRule="auto"/>
        <w:jc w:val="center"/>
        <w:rPr>
          <w:rFonts w:ascii="Calibri" w:eastAsia="Times New Roman" w:hAnsi="Calibri" w:cs="Calibri"/>
          <w:color w:val="000000"/>
          <w:sz w:val="18"/>
          <w:szCs w:val="18"/>
          <w:lang w:eastAsia="en-AU"/>
        </w:rPr>
      </w:pPr>
      <w:r w:rsidRPr="009D0A4A">
        <w:rPr>
          <w:rFonts w:ascii="Calibri" w:eastAsia="Times New Roman" w:hAnsi="Calibri" w:cs="Calibri"/>
          <w:color w:val="000000"/>
          <w:sz w:val="18"/>
          <w:szCs w:val="18"/>
          <w:lang w:eastAsia="en-AU"/>
        </w:rPr>
        <w:t>Sources: Safe Work Australia's National Data Set for Compensation-based Statistics and i</w:t>
      </w:r>
      <w:r w:rsidR="00287C59" w:rsidRPr="009D0A4A">
        <w:rPr>
          <w:rFonts w:ascii="Calibri" w:eastAsia="Times New Roman" w:hAnsi="Calibri" w:cs="Calibri"/>
          <w:color w:val="000000"/>
          <w:sz w:val="18"/>
          <w:szCs w:val="18"/>
          <w:lang w:eastAsia="en-AU"/>
        </w:rPr>
        <w:t>c</w:t>
      </w:r>
      <w:r w:rsidRPr="009D0A4A">
        <w:rPr>
          <w:rFonts w:ascii="Calibri" w:eastAsia="Times New Roman" w:hAnsi="Calibri" w:cs="Calibri"/>
          <w:color w:val="000000"/>
          <w:sz w:val="18"/>
          <w:szCs w:val="18"/>
          <w:lang w:eastAsia="en-AU"/>
        </w:rPr>
        <w:t>are.</w:t>
      </w:r>
    </w:p>
    <w:p w14:paraId="28207207" w14:textId="0F3F7AA6" w:rsidR="00402264" w:rsidRPr="009D0A4A" w:rsidRDefault="00402264" w:rsidP="00F77334">
      <w:pPr>
        <w:pStyle w:val="Caption"/>
        <w:rPr>
          <w:b w:val="0"/>
        </w:rPr>
      </w:pPr>
      <w:r w:rsidRPr="009D0A4A">
        <w:t xml:space="preserve">Figure 1: Total number of accepted silicosis workers' compensation claims in </w:t>
      </w:r>
      <w:r w:rsidR="00C35E30" w:rsidRPr="009D0A4A">
        <w:t>jurisdictions subject to the model WHS laws</w:t>
      </w:r>
      <w:r w:rsidRPr="009D0A4A">
        <w:t>, 2010-11 to 20</w:t>
      </w:r>
      <w:r w:rsidR="006E3897">
        <w:t>20</w:t>
      </w:r>
      <w:r w:rsidRPr="009D0A4A">
        <w:t>-2</w:t>
      </w:r>
      <w:r w:rsidR="006E3897">
        <w:t>1</w:t>
      </w:r>
      <w:r w:rsidR="005C3069" w:rsidRPr="00F77334">
        <w:rPr>
          <w:rStyle w:val="FootnoteReference"/>
        </w:rPr>
        <w:footnoteReference w:customMarkFollows="1" w:id="4"/>
        <w:t>p</w:t>
      </w:r>
    </w:p>
    <w:p w14:paraId="38F86AE3" w14:textId="4A695EAC" w:rsidR="00402264" w:rsidRPr="009D0A4A" w:rsidRDefault="00402264" w:rsidP="00402264">
      <w:pPr>
        <w:jc w:val="both"/>
      </w:pPr>
      <w:r w:rsidRPr="009D0A4A">
        <w:t xml:space="preserve">Approximately </w:t>
      </w:r>
      <w:r w:rsidR="00FA4EAE" w:rsidRPr="009D0A4A" w:rsidDel="00CE2B8C">
        <w:t>7</w:t>
      </w:r>
      <w:r w:rsidR="00FA4EAE">
        <w:t>6</w:t>
      </w:r>
      <w:r w:rsidR="00FA4EAE" w:rsidRPr="009D0A4A">
        <w:t xml:space="preserve"> </w:t>
      </w:r>
      <w:r w:rsidRPr="009D0A4A">
        <w:t xml:space="preserve">per cent of the claims were accepted after mid-2018, following the implementation of awareness and health screening programs for stonemasons and engineered stone workers. </w:t>
      </w:r>
    </w:p>
    <w:p w14:paraId="2D29467E" w14:textId="129ACEE6" w:rsidR="00402264" w:rsidRPr="009D0A4A" w:rsidRDefault="00402264" w:rsidP="00234FEF">
      <w:pPr>
        <w:pStyle w:val="BodyText"/>
      </w:pPr>
      <w:r w:rsidRPr="009D0A4A">
        <w:t xml:space="preserve">Whilst many accepted cases have been in the engineered stone sector, workers in other industries have also developed silicosis. </w:t>
      </w:r>
      <w:r w:rsidR="00437E34">
        <w:t xml:space="preserve">For example, </w:t>
      </w:r>
      <w:r w:rsidR="00EB320A">
        <w:t>of</w:t>
      </w:r>
      <w:r w:rsidR="00FA4EAE">
        <w:t xml:space="preserve"> </w:t>
      </w:r>
      <w:r w:rsidRPr="009D0A4A">
        <w:t>284 pre-employment medical examinations for tunnelling workers undertaken between December 2019 and December</w:t>
      </w:r>
      <w:r w:rsidR="00436DC7">
        <w:t> </w:t>
      </w:r>
      <w:r w:rsidRPr="009D0A4A">
        <w:t>2020</w:t>
      </w:r>
      <w:r w:rsidR="00EB320A">
        <w:t xml:space="preserve">, </w:t>
      </w:r>
      <w:r w:rsidR="008875CC">
        <w:t xml:space="preserve">silicosis was </w:t>
      </w:r>
      <w:r w:rsidRPr="009D0A4A">
        <w:t xml:space="preserve">identified </w:t>
      </w:r>
      <w:r w:rsidR="008875CC">
        <w:t xml:space="preserve">in </w:t>
      </w:r>
      <w:r w:rsidRPr="009D0A4A">
        <w:t>11 workers (3.87</w:t>
      </w:r>
      <w:r w:rsidR="007C4FA8" w:rsidRPr="009D0A4A">
        <w:t xml:space="preserve"> per cent</w:t>
      </w:r>
      <w:r w:rsidRPr="009D0A4A">
        <w:t xml:space="preserve"> of the total cohort). This suggests that there may be a larger cohort of tunnelling workers who have yet to be diagnosed with silicosis </w:t>
      </w:r>
      <w:r w:rsidRPr="009D0A4A">
        <w:fldChar w:fldCharType="begin"/>
      </w:r>
      <w:r w:rsidR="004067E3">
        <w:instrText xml:space="preserve"> ADDIN ZOTERO_ITEM CSL_CITATION {"citationID":"njnQz2wi","properties":{"formattedCitation":"(Seevnarain et al. 2021)","plainCitation":"(Seevnarain et al. 2021)","noteIndex":0},"citationItems":[{"id":862,"uris":["http://zotero.org/users/6230888/items/UP328JTX"],"itemData":{"id":862,"type":"article-journal","abstract":"Within Australia, chronic silicosis has been long thought of as being a well-controlled occupational lung disease. While recent cases of acute silicosis in artificial stone benchtop cutters have emerged, chronic silicosis within the general workforce population has not been recorded. Our case series describes the re-emergence of chronic silicosis amongst workers within the tunnelling industry representing the potential for a more widespread insidious occupational lung disease. While undertaking pre-employment medicals, eight tunnellers have been diagnosed with chronic silicosis. These eight tunnellers had a minimum of 10 years of cumulative dust exposure prior to diagnosis. Diagnosis was made by radiological evaluation of chest X-rays and computerized tomography scans by International Labour Organization B Readers. The re-emergence of chronic pneumoconiosis as illustrated by this case series suggests the presence of undiagnosed occupational lung disease with far reaching implications for workers, employers, compensation systems, and the public healthcare sectors.","container-title":"Respirology Case Reports","DOI":"10.1002/rcr2.756","ISSN":"2051-3380","issue":"6","language":"en","note":"_eprint: https://onlinelibrary.wiley.com/doi/pdf/10.1002/rcr2.756","page":"e00756","source":"Wiley Online Library","title":"Case series analysis of eight underground tunnellers with chronic silicosis in Queensland","volume":"9","author":[{"family":"Seevnarain","given":"Kalesh"},{"family":"Burke","given":"Nicholas"},{"family":"Newbigin","given":"Katrina"}],"issued":{"date-parts":[["2021"]]}}}],"schema":"https://github.com/citation-style-language/schema/raw/master/csl-citation.json"} </w:instrText>
      </w:r>
      <w:r w:rsidRPr="009D0A4A">
        <w:fldChar w:fldCharType="end"/>
      </w:r>
      <w:r w:rsidRPr="009D0A4A">
        <w:t xml:space="preserve">. </w:t>
      </w:r>
    </w:p>
    <w:p w14:paraId="0D09E792" w14:textId="183E1AF0" w:rsidR="0023528B" w:rsidRDefault="0023528B" w:rsidP="0023528B">
      <w:pPr>
        <w:pStyle w:val="Caption"/>
      </w:pPr>
      <w:bookmarkStart w:id="562" w:name="_Ref125288838"/>
      <w:r>
        <w:t xml:space="preserve">Table </w:t>
      </w:r>
      <w:fldSimple w:instr=" SEQ Table \* ARABIC ">
        <w:r w:rsidR="00DF768D">
          <w:rPr>
            <w:noProof/>
          </w:rPr>
          <w:t>6</w:t>
        </w:r>
      </w:fldSimple>
      <w:bookmarkEnd w:id="562"/>
      <w:r w:rsidRPr="009D0A4A">
        <w:t>: Number of accepted workers' compensation claims for silicosis by industry in jurisdictions subject to the model WHS laws, 2010-11 to 20</w:t>
      </w:r>
      <w:r>
        <w:t>20</w:t>
      </w:r>
      <w:r w:rsidRPr="009D0A4A">
        <w:t>-2</w:t>
      </w:r>
      <w:r>
        <w:t>1</w:t>
      </w:r>
      <w:r w:rsidRPr="009D0A4A">
        <w:t>p</w:t>
      </w:r>
    </w:p>
    <w:tbl>
      <w:tblPr>
        <w:tblStyle w:val="PMCDefaultTableStyle"/>
        <w:tblW w:w="8340" w:type="dxa"/>
        <w:jc w:val="center"/>
        <w:tblLook w:val="04A0" w:firstRow="1" w:lastRow="0" w:firstColumn="1" w:lastColumn="0" w:noHBand="0" w:noVBand="1"/>
      </w:tblPr>
      <w:tblGrid>
        <w:gridCol w:w="6010"/>
        <w:gridCol w:w="690"/>
        <w:gridCol w:w="822"/>
        <w:gridCol w:w="818"/>
      </w:tblGrid>
      <w:tr w:rsidR="003C0FF6" w:rsidRPr="000C215A" w14:paraId="0A5B3EBA" w14:textId="77777777" w:rsidTr="00DF7D3E">
        <w:trPr>
          <w:cnfStyle w:val="100000000000" w:firstRow="1" w:lastRow="0" w:firstColumn="0" w:lastColumn="0" w:oddVBand="0" w:evenVBand="0" w:oddHBand="0" w:evenHBand="0" w:firstRowFirstColumn="0" w:firstRowLastColumn="0" w:lastRowFirstColumn="0" w:lastRowLastColumn="0"/>
          <w:trHeight w:val="315"/>
          <w:jc w:val="center"/>
        </w:trPr>
        <w:tc>
          <w:tcPr>
            <w:tcW w:w="6010" w:type="dxa"/>
            <w:noWrap/>
            <w:hideMark/>
          </w:tcPr>
          <w:p w14:paraId="6987070D" w14:textId="77777777" w:rsidR="003C0FF6" w:rsidRPr="00D11E6E" w:rsidRDefault="003C0FF6" w:rsidP="000C215A">
            <w:pPr>
              <w:pStyle w:val="TableHeading"/>
              <w:rPr>
                <w:b/>
                <w:bCs/>
              </w:rPr>
            </w:pPr>
            <w:bookmarkStart w:id="563" w:name="_Results_of_health"/>
            <w:bookmarkEnd w:id="559"/>
            <w:bookmarkEnd w:id="563"/>
            <w:r w:rsidRPr="00D11E6E">
              <w:rPr>
                <w:b/>
                <w:bCs/>
              </w:rPr>
              <w:t>Industry</w:t>
            </w:r>
          </w:p>
        </w:tc>
        <w:tc>
          <w:tcPr>
            <w:tcW w:w="690" w:type="dxa"/>
            <w:noWrap/>
            <w:hideMark/>
          </w:tcPr>
          <w:p w14:paraId="7C266E43" w14:textId="77777777" w:rsidR="003C0FF6" w:rsidRPr="00D11E6E" w:rsidRDefault="003C0FF6" w:rsidP="000C215A">
            <w:pPr>
              <w:pStyle w:val="TableHeading"/>
              <w:rPr>
                <w:b/>
                <w:bCs/>
              </w:rPr>
            </w:pPr>
            <w:r w:rsidRPr="00D11E6E">
              <w:rPr>
                <w:b/>
                <w:bCs/>
              </w:rPr>
              <w:t>NDS</w:t>
            </w:r>
          </w:p>
        </w:tc>
        <w:tc>
          <w:tcPr>
            <w:tcW w:w="822" w:type="dxa"/>
            <w:noWrap/>
            <w:hideMark/>
          </w:tcPr>
          <w:p w14:paraId="6960F9CC" w14:textId="77777777" w:rsidR="003C0FF6" w:rsidRPr="00D11E6E" w:rsidRDefault="003C0FF6" w:rsidP="000C215A">
            <w:pPr>
              <w:pStyle w:val="TableHeading"/>
              <w:rPr>
                <w:b/>
                <w:bCs/>
              </w:rPr>
            </w:pPr>
            <w:r w:rsidRPr="00D11E6E">
              <w:rPr>
                <w:b/>
                <w:bCs/>
              </w:rPr>
              <w:t>icare</w:t>
            </w:r>
          </w:p>
        </w:tc>
        <w:tc>
          <w:tcPr>
            <w:tcW w:w="818" w:type="dxa"/>
            <w:noWrap/>
            <w:hideMark/>
          </w:tcPr>
          <w:p w14:paraId="485BF1E2" w14:textId="77777777" w:rsidR="003C0FF6" w:rsidRPr="00D11E6E" w:rsidRDefault="003C0FF6" w:rsidP="000C215A">
            <w:pPr>
              <w:pStyle w:val="TableHeading"/>
              <w:rPr>
                <w:b/>
                <w:bCs/>
              </w:rPr>
            </w:pPr>
            <w:r w:rsidRPr="00D11E6E">
              <w:rPr>
                <w:b/>
                <w:bCs/>
              </w:rPr>
              <w:t>Total</w:t>
            </w:r>
          </w:p>
        </w:tc>
      </w:tr>
      <w:tr w:rsidR="003C0FF6" w:rsidRPr="009D0A4A" w14:paraId="0E2212E3" w14:textId="77777777" w:rsidTr="00DF7D3E">
        <w:trPr>
          <w:cnfStyle w:val="000000100000" w:firstRow="0" w:lastRow="0" w:firstColumn="0" w:lastColumn="0" w:oddVBand="0" w:evenVBand="0" w:oddHBand="1" w:evenHBand="0" w:firstRowFirstColumn="0" w:firstRowLastColumn="0" w:lastRowFirstColumn="0" w:lastRowLastColumn="0"/>
          <w:trHeight w:val="300"/>
          <w:jc w:val="center"/>
        </w:trPr>
        <w:tc>
          <w:tcPr>
            <w:tcW w:w="6010" w:type="dxa"/>
            <w:noWrap/>
            <w:hideMark/>
          </w:tcPr>
          <w:p w14:paraId="69820DF4" w14:textId="77777777" w:rsidR="003C0FF6" w:rsidRPr="009D0A4A" w:rsidRDefault="003C0FF6" w:rsidP="00F77334">
            <w:pPr>
              <w:pStyle w:val="TableBody"/>
              <w:rPr>
                <w:lang w:eastAsia="en-AU"/>
              </w:rPr>
            </w:pPr>
            <w:r w:rsidRPr="009D0A4A">
              <w:rPr>
                <w:lang w:eastAsia="en-AU"/>
              </w:rPr>
              <w:t>Manufacturing</w:t>
            </w:r>
          </w:p>
        </w:tc>
        <w:tc>
          <w:tcPr>
            <w:tcW w:w="690" w:type="dxa"/>
            <w:noWrap/>
            <w:hideMark/>
          </w:tcPr>
          <w:p w14:paraId="3D5E462C" w14:textId="1BD574D5" w:rsidR="003C0FF6" w:rsidRPr="009D0A4A" w:rsidRDefault="009F4E9F" w:rsidP="00F77334">
            <w:pPr>
              <w:pStyle w:val="TableBody"/>
              <w:rPr>
                <w:lang w:eastAsia="en-AU"/>
              </w:rPr>
            </w:pPr>
            <w:r>
              <w:rPr>
                <w:lang w:eastAsia="en-AU"/>
              </w:rPr>
              <w:t>180</w:t>
            </w:r>
          </w:p>
        </w:tc>
        <w:tc>
          <w:tcPr>
            <w:tcW w:w="822" w:type="dxa"/>
            <w:noWrap/>
            <w:hideMark/>
          </w:tcPr>
          <w:p w14:paraId="64B6DB7A" w14:textId="66EFD8BB" w:rsidR="003C0FF6" w:rsidRPr="009D0A4A" w:rsidRDefault="009F4E9F" w:rsidP="00F77334">
            <w:pPr>
              <w:pStyle w:val="TableBody"/>
              <w:rPr>
                <w:lang w:eastAsia="en-AU"/>
              </w:rPr>
            </w:pPr>
            <w:r>
              <w:rPr>
                <w:lang w:eastAsia="en-AU"/>
              </w:rPr>
              <w:t>82</w:t>
            </w:r>
          </w:p>
        </w:tc>
        <w:tc>
          <w:tcPr>
            <w:tcW w:w="818" w:type="dxa"/>
            <w:noWrap/>
            <w:hideMark/>
          </w:tcPr>
          <w:p w14:paraId="560EBAD3" w14:textId="1A5A7778" w:rsidR="003C0FF6" w:rsidRPr="009D0A4A" w:rsidRDefault="003C0FF6" w:rsidP="00F77334">
            <w:pPr>
              <w:pStyle w:val="TableBody"/>
              <w:rPr>
                <w:b/>
                <w:bCs/>
                <w:lang w:eastAsia="en-AU"/>
              </w:rPr>
            </w:pPr>
            <w:r w:rsidRPr="009D0A4A">
              <w:rPr>
                <w:b/>
                <w:bCs/>
                <w:lang w:eastAsia="en-AU"/>
              </w:rPr>
              <w:t>2</w:t>
            </w:r>
            <w:r w:rsidR="009F4E9F">
              <w:rPr>
                <w:b/>
                <w:bCs/>
                <w:lang w:eastAsia="en-AU"/>
              </w:rPr>
              <w:t>62</w:t>
            </w:r>
          </w:p>
        </w:tc>
      </w:tr>
      <w:tr w:rsidR="003C0FF6" w:rsidRPr="009D0A4A" w14:paraId="3EF5792D" w14:textId="77777777" w:rsidTr="00DF7D3E">
        <w:trPr>
          <w:cnfStyle w:val="000000010000" w:firstRow="0" w:lastRow="0" w:firstColumn="0" w:lastColumn="0" w:oddVBand="0" w:evenVBand="0" w:oddHBand="0" w:evenHBand="1" w:firstRowFirstColumn="0" w:firstRowLastColumn="0" w:lastRowFirstColumn="0" w:lastRowLastColumn="0"/>
          <w:trHeight w:val="300"/>
          <w:jc w:val="center"/>
        </w:trPr>
        <w:tc>
          <w:tcPr>
            <w:tcW w:w="6010" w:type="dxa"/>
            <w:noWrap/>
            <w:hideMark/>
          </w:tcPr>
          <w:p w14:paraId="4C3B46F6" w14:textId="77777777" w:rsidR="003C0FF6" w:rsidRPr="009D0A4A" w:rsidRDefault="003C0FF6" w:rsidP="00F77334">
            <w:pPr>
              <w:pStyle w:val="TableBody"/>
              <w:rPr>
                <w:lang w:eastAsia="en-AU"/>
              </w:rPr>
            </w:pPr>
            <w:r w:rsidRPr="009D0A4A">
              <w:rPr>
                <w:lang w:eastAsia="en-AU"/>
              </w:rPr>
              <w:t>Construction</w:t>
            </w:r>
          </w:p>
        </w:tc>
        <w:tc>
          <w:tcPr>
            <w:tcW w:w="690" w:type="dxa"/>
            <w:noWrap/>
            <w:hideMark/>
          </w:tcPr>
          <w:p w14:paraId="191E238F" w14:textId="1BA601E6" w:rsidR="003C0FF6" w:rsidRPr="009D0A4A" w:rsidRDefault="005718E1" w:rsidP="00F77334">
            <w:pPr>
              <w:pStyle w:val="TableBody"/>
              <w:rPr>
                <w:lang w:eastAsia="en-AU"/>
              </w:rPr>
            </w:pPr>
            <w:r>
              <w:rPr>
                <w:lang w:eastAsia="en-AU"/>
              </w:rPr>
              <w:t>19</w:t>
            </w:r>
          </w:p>
        </w:tc>
        <w:tc>
          <w:tcPr>
            <w:tcW w:w="822" w:type="dxa"/>
            <w:noWrap/>
            <w:hideMark/>
          </w:tcPr>
          <w:p w14:paraId="3446F6C6" w14:textId="4AA39D16" w:rsidR="003C0FF6" w:rsidRPr="009D0A4A" w:rsidRDefault="005718E1" w:rsidP="00F77334">
            <w:pPr>
              <w:pStyle w:val="TableBody"/>
              <w:rPr>
                <w:lang w:eastAsia="en-AU"/>
              </w:rPr>
            </w:pPr>
            <w:r>
              <w:rPr>
                <w:lang w:eastAsia="en-AU"/>
              </w:rPr>
              <w:t>60</w:t>
            </w:r>
          </w:p>
        </w:tc>
        <w:tc>
          <w:tcPr>
            <w:tcW w:w="818" w:type="dxa"/>
            <w:noWrap/>
            <w:hideMark/>
          </w:tcPr>
          <w:p w14:paraId="2175CAE5" w14:textId="01CE283E" w:rsidR="003C0FF6" w:rsidRPr="009D0A4A" w:rsidRDefault="003C0FF6" w:rsidP="00F77334">
            <w:pPr>
              <w:pStyle w:val="TableBody"/>
              <w:rPr>
                <w:b/>
                <w:bCs/>
                <w:lang w:eastAsia="en-AU"/>
              </w:rPr>
            </w:pPr>
            <w:r w:rsidRPr="009D0A4A">
              <w:rPr>
                <w:b/>
                <w:bCs/>
                <w:lang w:eastAsia="en-AU"/>
              </w:rPr>
              <w:t>7</w:t>
            </w:r>
            <w:r w:rsidR="005718E1">
              <w:rPr>
                <w:b/>
                <w:bCs/>
                <w:lang w:eastAsia="en-AU"/>
              </w:rPr>
              <w:t>9</w:t>
            </w:r>
          </w:p>
        </w:tc>
      </w:tr>
      <w:tr w:rsidR="003C0FF6" w:rsidRPr="009D0A4A" w14:paraId="6BD62334" w14:textId="77777777" w:rsidTr="00DF7D3E">
        <w:trPr>
          <w:cnfStyle w:val="000000100000" w:firstRow="0" w:lastRow="0" w:firstColumn="0" w:lastColumn="0" w:oddVBand="0" w:evenVBand="0" w:oddHBand="1" w:evenHBand="0" w:firstRowFirstColumn="0" w:firstRowLastColumn="0" w:lastRowFirstColumn="0" w:lastRowLastColumn="0"/>
          <w:trHeight w:val="300"/>
          <w:jc w:val="center"/>
        </w:trPr>
        <w:tc>
          <w:tcPr>
            <w:tcW w:w="6010" w:type="dxa"/>
            <w:noWrap/>
            <w:hideMark/>
          </w:tcPr>
          <w:p w14:paraId="6A367FD9" w14:textId="77777777" w:rsidR="003C0FF6" w:rsidRPr="009D0A4A" w:rsidRDefault="003C0FF6" w:rsidP="00F77334">
            <w:pPr>
              <w:pStyle w:val="TableBody"/>
              <w:rPr>
                <w:lang w:eastAsia="en-AU"/>
              </w:rPr>
            </w:pPr>
            <w:r w:rsidRPr="009D0A4A">
              <w:rPr>
                <w:lang w:eastAsia="en-AU"/>
              </w:rPr>
              <w:t>Mining</w:t>
            </w:r>
          </w:p>
        </w:tc>
        <w:tc>
          <w:tcPr>
            <w:tcW w:w="690" w:type="dxa"/>
            <w:noWrap/>
            <w:hideMark/>
          </w:tcPr>
          <w:p w14:paraId="47D39321" w14:textId="5CEA7E6E" w:rsidR="003C0FF6" w:rsidRPr="009D0A4A" w:rsidRDefault="005718E1" w:rsidP="00F77334">
            <w:pPr>
              <w:pStyle w:val="TableBody"/>
              <w:rPr>
                <w:lang w:eastAsia="en-AU"/>
              </w:rPr>
            </w:pPr>
            <w:r>
              <w:rPr>
                <w:lang w:eastAsia="en-AU"/>
              </w:rPr>
              <w:t>31</w:t>
            </w:r>
          </w:p>
        </w:tc>
        <w:tc>
          <w:tcPr>
            <w:tcW w:w="822" w:type="dxa"/>
            <w:noWrap/>
            <w:hideMark/>
          </w:tcPr>
          <w:p w14:paraId="1AC03707" w14:textId="2B012CBD" w:rsidR="003C0FF6" w:rsidRPr="009D0A4A" w:rsidRDefault="003C0FF6" w:rsidP="00F77334">
            <w:pPr>
              <w:pStyle w:val="TableBody"/>
              <w:rPr>
                <w:lang w:eastAsia="en-AU"/>
              </w:rPr>
            </w:pPr>
            <w:r w:rsidRPr="009D0A4A">
              <w:rPr>
                <w:lang w:eastAsia="en-AU"/>
              </w:rPr>
              <w:t>1</w:t>
            </w:r>
            <w:r w:rsidR="005718E1">
              <w:rPr>
                <w:lang w:eastAsia="en-AU"/>
              </w:rPr>
              <w:t>5</w:t>
            </w:r>
          </w:p>
        </w:tc>
        <w:tc>
          <w:tcPr>
            <w:tcW w:w="818" w:type="dxa"/>
            <w:noWrap/>
            <w:hideMark/>
          </w:tcPr>
          <w:p w14:paraId="5B0BB972" w14:textId="671E12EB" w:rsidR="003C0FF6" w:rsidRPr="009D0A4A" w:rsidRDefault="005718E1" w:rsidP="00F77334">
            <w:pPr>
              <w:pStyle w:val="TableBody"/>
              <w:rPr>
                <w:b/>
                <w:bCs/>
                <w:lang w:eastAsia="en-AU"/>
              </w:rPr>
            </w:pPr>
            <w:r>
              <w:rPr>
                <w:b/>
                <w:bCs/>
                <w:lang w:eastAsia="en-AU"/>
              </w:rPr>
              <w:t>46</w:t>
            </w:r>
          </w:p>
        </w:tc>
      </w:tr>
      <w:tr w:rsidR="003C0FF6" w:rsidRPr="009D0A4A" w14:paraId="24D19891" w14:textId="77777777" w:rsidTr="00DF7D3E">
        <w:trPr>
          <w:cnfStyle w:val="000000010000" w:firstRow="0" w:lastRow="0" w:firstColumn="0" w:lastColumn="0" w:oddVBand="0" w:evenVBand="0" w:oddHBand="0" w:evenHBand="1" w:firstRowFirstColumn="0" w:firstRowLastColumn="0" w:lastRowFirstColumn="0" w:lastRowLastColumn="0"/>
          <w:trHeight w:val="300"/>
          <w:jc w:val="center"/>
        </w:trPr>
        <w:tc>
          <w:tcPr>
            <w:tcW w:w="6010" w:type="dxa"/>
            <w:noWrap/>
            <w:hideMark/>
          </w:tcPr>
          <w:p w14:paraId="11116519" w14:textId="77777777" w:rsidR="003C0FF6" w:rsidRPr="009D0A4A" w:rsidRDefault="003C0FF6" w:rsidP="00F77334">
            <w:pPr>
              <w:pStyle w:val="TableBody"/>
              <w:rPr>
                <w:lang w:eastAsia="en-AU"/>
              </w:rPr>
            </w:pPr>
            <w:r w:rsidRPr="009D0A4A">
              <w:rPr>
                <w:lang w:eastAsia="en-AU"/>
              </w:rPr>
              <w:t>Electricity, gas, water and waste services</w:t>
            </w:r>
          </w:p>
        </w:tc>
        <w:tc>
          <w:tcPr>
            <w:tcW w:w="690" w:type="dxa"/>
            <w:noWrap/>
            <w:hideMark/>
          </w:tcPr>
          <w:p w14:paraId="63603670" w14:textId="77777777" w:rsidR="003C0FF6" w:rsidRPr="009D0A4A" w:rsidRDefault="003C0FF6" w:rsidP="00F77334">
            <w:pPr>
              <w:pStyle w:val="TableBody"/>
              <w:rPr>
                <w:lang w:eastAsia="en-AU"/>
              </w:rPr>
            </w:pPr>
            <w:r w:rsidRPr="009D0A4A">
              <w:rPr>
                <w:lang w:eastAsia="en-AU"/>
              </w:rPr>
              <w:t>np</w:t>
            </w:r>
          </w:p>
        </w:tc>
        <w:tc>
          <w:tcPr>
            <w:tcW w:w="822" w:type="dxa"/>
            <w:noWrap/>
            <w:hideMark/>
          </w:tcPr>
          <w:p w14:paraId="7D155607" w14:textId="07C8AD6C" w:rsidR="003C0FF6" w:rsidRPr="009D0A4A" w:rsidRDefault="00D013D9" w:rsidP="00F77334">
            <w:pPr>
              <w:pStyle w:val="TableBody"/>
              <w:rPr>
                <w:lang w:eastAsia="en-AU"/>
              </w:rPr>
            </w:pPr>
            <w:r>
              <w:rPr>
                <w:lang w:eastAsia="en-AU"/>
              </w:rPr>
              <w:t>7</w:t>
            </w:r>
          </w:p>
        </w:tc>
        <w:tc>
          <w:tcPr>
            <w:tcW w:w="818" w:type="dxa"/>
            <w:noWrap/>
            <w:hideMark/>
          </w:tcPr>
          <w:p w14:paraId="36924799" w14:textId="38B1B8DD" w:rsidR="003C0FF6" w:rsidRPr="009D0A4A" w:rsidRDefault="00D013D9" w:rsidP="00F77334">
            <w:pPr>
              <w:pStyle w:val="TableBody"/>
              <w:rPr>
                <w:b/>
                <w:bCs/>
                <w:lang w:eastAsia="en-AU"/>
              </w:rPr>
            </w:pPr>
            <w:r>
              <w:rPr>
                <w:b/>
                <w:bCs/>
                <w:lang w:eastAsia="en-AU"/>
              </w:rPr>
              <w:t>10</w:t>
            </w:r>
          </w:p>
        </w:tc>
      </w:tr>
      <w:tr w:rsidR="003C0FF6" w:rsidRPr="009D0A4A" w14:paraId="7D114150" w14:textId="77777777" w:rsidTr="00DF7D3E">
        <w:trPr>
          <w:cnfStyle w:val="000000100000" w:firstRow="0" w:lastRow="0" w:firstColumn="0" w:lastColumn="0" w:oddVBand="0" w:evenVBand="0" w:oddHBand="1" w:evenHBand="0" w:firstRowFirstColumn="0" w:firstRowLastColumn="0" w:lastRowFirstColumn="0" w:lastRowLastColumn="0"/>
          <w:trHeight w:val="300"/>
          <w:jc w:val="center"/>
        </w:trPr>
        <w:tc>
          <w:tcPr>
            <w:tcW w:w="6010" w:type="dxa"/>
            <w:noWrap/>
            <w:hideMark/>
          </w:tcPr>
          <w:p w14:paraId="17D6C04E" w14:textId="77777777" w:rsidR="003C0FF6" w:rsidRPr="009D0A4A" w:rsidRDefault="003C0FF6" w:rsidP="00F77334">
            <w:pPr>
              <w:pStyle w:val="TableBody"/>
              <w:rPr>
                <w:lang w:eastAsia="en-AU"/>
              </w:rPr>
            </w:pPr>
            <w:r w:rsidRPr="009D0A4A">
              <w:rPr>
                <w:lang w:eastAsia="en-AU"/>
              </w:rPr>
              <w:t>Wholesale trade</w:t>
            </w:r>
          </w:p>
        </w:tc>
        <w:tc>
          <w:tcPr>
            <w:tcW w:w="690" w:type="dxa"/>
            <w:noWrap/>
            <w:hideMark/>
          </w:tcPr>
          <w:p w14:paraId="249C2AB5" w14:textId="150DCBB5" w:rsidR="003C0FF6" w:rsidRPr="009D0A4A" w:rsidRDefault="00D013D9" w:rsidP="00F77334">
            <w:pPr>
              <w:pStyle w:val="TableBody"/>
              <w:rPr>
                <w:lang w:eastAsia="en-AU"/>
              </w:rPr>
            </w:pPr>
            <w:r>
              <w:rPr>
                <w:lang w:eastAsia="en-AU"/>
              </w:rPr>
              <w:t>9</w:t>
            </w:r>
          </w:p>
        </w:tc>
        <w:tc>
          <w:tcPr>
            <w:tcW w:w="822" w:type="dxa"/>
            <w:noWrap/>
            <w:hideMark/>
          </w:tcPr>
          <w:p w14:paraId="161F2857" w14:textId="4D6F2C1F" w:rsidR="003C0FF6" w:rsidRPr="009D0A4A" w:rsidRDefault="003C0FF6" w:rsidP="00F77334">
            <w:pPr>
              <w:pStyle w:val="TableBody"/>
              <w:rPr>
                <w:lang w:eastAsia="en-AU"/>
              </w:rPr>
            </w:pPr>
            <w:r w:rsidRPr="009D0A4A">
              <w:rPr>
                <w:lang w:eastAsia="en-AU"/>
              </w:rPr>
              <w:t>0</w:t>
            </w:r>
          </w:p>
        </w:tc>
        <w:tc>
          <w:tcPr>
            <w:tcW w:w="818" w:type="dxa"/>
            <w:noWrap/>
            <w:hideMark/>
          </w:tcPr>
          <w:p w14:paraId="445B4921" w14:textId="4D4C94ED" w:rsidR="003C0FF6" w:rsidRPr="009D0A4A" w:rsidRDefault="00D013D9" w:rsidP="00F77334">
            <w:pPr>
              <w:pStyle w:val="TableBody"/>
              <w:rPr>
                <w:b/>
                <w:bCs/>
                <w:lang w:eastAsia="en-AU"/>
              </w:rPr>
            </w:pPr>
            <w:r>
              <w:rPr>
                <w:b/>
                <w:bCs/>
                <w:lang w:eastAsia="en-AU"/>
              </w:rPr>
              <w:t>9</w:t>
            </w:r>
          </w:p>
        </w:tc>
      </w:tr>
      <w:tr w:rsidR="003C0FF6" w:rsidRPr="009D0A4A" w14:paraId="1A73AFD8" w14:textId="77777777" w:rsidTr="00DF7D3E">
        <w:trPr>
          <w:cnfStyle w:val="000000010000" w:firstRow="0" w:lastRow="0" w:firstColumn="0" w:lastColumn="0" w:oddVBand="0" w:evenVBand="0" w:oddHBand="0" w:evenHBand="1" w:firstRowFirstColumn="0" w:firstRowLastColumn="0" w:lastRowFirstColumn="0" w:lastRowLastColumn="0"/>
          <w:trHeight w:val="300"/>
          <w:jc w:val="center"/>
        </w:trPr>
        <w:tc>
          <w:tcPr>
            <w:tcW w:w="6010" w:type="dxa"/>
            <w:noWrap/>
            <w:hideMark/>
          </w:tcPr>
          <w:p w14:paraId="1A03A176" w14:textId="77777777" w:rsidR="003C0FF6" w:rsidRPr="009D0A4A" w:rsidRDefault="003C0FF6" w:rsidP="00F77334">
            <w:pPr>
              <w:pStyle w:val="TableBody"/>
              <w:rPr>
                <w:lang w:eastAsia="en-AU"/>
              </w:rPr>
            </w:pPr>
            <w:r w:rsidRPr="009D0A4A">
              <w:rPr>
                <w:lang w:eastAsia="en-AU"/>
              </w:rPr>
              <w:lastRenderedPageBreak/>
              <w:t>Administrative and support services</w:t>
            </w:r>
          </w:p>
        </w:tc>
        <w:tc>
          <w:tcPr>
            <w:tcW w:w="690" w:type="dxa"/>
            <w:noWrap/>
            <w:hideMark/>
          </w:tcPr>
          <w:p w14:paraId="1855E80A" w14:textId="0DFA2E74" w:rsidR="003C0FF6" w:rsidRPr="009D0A4A" w:rsidRDefault="00C701EC" w:rsidP="00F77334">
            <w:pPr>
              <w:pStyle w:val="TableBody"/>
              <w:rPr>
                <w:lang w:eastAsia="en-AU"/>
              </w:rPr>
            </w:pPr>
            <w:r>
              <w:rPr>
                <w:lang w:eastAsia="en-AU"/>
              </w:rPr>
              <w:t>6</w:t>
            </w:r>
          </w:p>
        </w:tc>
        <w:tc>
          <w:tcPr>
            <w:tcW w:w="822" w:type="dxa"/>
            <w:noWrap/>
            <w:hideMark/>
          </w:tcPr>
          <w:p w14:paraId="32B375A4" w14:textId="77777777" w:rsidR="003C0FF6" w:rsidRPr="009D0A4A" w:rsidRDefault="003C0FF6" w:rsidP="00F77334">
            <w:pPr>
              <w:pStyle w:val="TableBody"/>
              <w:rPr>
                <w:lang w:eastAsia="en-AU"/>
              </w:rPr>
            </w:pPr>
            <w:r w:rsidRPr="009D0A4A">
              <w:rPr>
                <w:lang w:eastAsia="en-AU"/>
              </w:rPr>
              <w:t>0</w:t>
            </w:r>
          </w:p>
        </w:tc>
        <w:tc>
          <w:tcPr>
            <w:tcW w:w="818" w:type="dxa"/>
            <w:noWrap/>
            <w:hideMark/>
          </w:tcPr>
          <w:p w14:paraId="29B4DC49" w14:textId="51D4D043" w:rsidR="003C0FF6" w:rsidRPr="009D0A4A" w:rsidRDefault="00C701EC" w:rsidP="00F77334">
            <w:pPr>
              <w:pStyle w:val="TableBody"/>
              <w:rPr>
                <w:b/>
                <w:bCs/>
                <w:lang w:eastAsia="en-AU"/>
              </w:rPr>
            </w:pPr>
            <w:r>
              <w:rPr>
                <w:b/>
                <w:bCs/>
                <w:lang w:eastAsia="en-AU"/>
              </w:rPr>
              <w:t>6</w:t>
            </w:r>
          </w:p>
        </w:tc>
      </w:tr>
      <w:tr w:rsidR="003C0FF6" w:rsidRPr="009D0A4A" w14:paraId="082E9B52" w14:textId="77777777" w:rsidTr="00DF7D3E">
        <w:trPr>
          <w:cnfStyle w:val="000000100000" w:firstRow="0" w:lastRow="0" w:firstColumn="0" w:lastColumn="0" w:oddVBand="0" w:evenVBand="0" w:oddHBand="1" w:evenHBand="0" w:firstRowFirstColumn="0" w:firstRowLastColumn="0" w:lastRowFirstColumn="0" w:lastRowLastColumn="0"/>
          <w:trHeight w:val="300"/>
          <w:jc w:val="center"/>
        </w:trPr>
        <w:tc>
          <w:tcPr>
            <w:tcW w:w="6010" w:type="dxa"/>
            <w:noWrap/>
            <w:hideMark/>
          </w:tcPr>
          <w:p w14:paraId="632DA458" w14:textId="77777777" w:rsidR="003C0FF6" w:rsidRPr="009D0A4A" w:rsidRDefault="003C0FF6" w:rsidP="00F77334">
            <w:pPr>
              <w:pStyle w:val="TableBody"/>
              <w:rPr>
                <w:lang w:eastAsia="en-AU"/>
              </w:rPr>
            </w:pPr>
            <w:r w:rsidRPr="009D0A4A">
              <w:rPr>
                <w:lang w:eastAsia="en-AU"/>
              </w:rPr>
              <w:t>Transport, postal and warehousing</w:t>
            </w:r>
          </w:p>
        </w:tc>
        <w:tc>
          <w:tcPr>
            <w:tcW w:w="690" w:type="dxa"/>
            <w:noWrap/>
            <w:hideMark/>
          </w:tcPr>
          <w:p w14:paraId="6906AA9E" w14:textId="77777777" w:rsidR="003C0FF6" w:rsidRPr="009D0A4A" w:rsidRDefault="003C0FF6" w:rsidP="00F77334">
            <w:pPr>
              <w:pStyle w:val="TableBody"/>
              <w:rPr>
                <w:lang w:eastAsia="en-AU"/>
              </w:rPr>
            </w:pPr>
            <w:r w:rsidRPr="009D0A4A">
              <w:rPr>
                <w:lang w:eastAsia="en-AU"/>
              </w:rPr>
              <w:t>np</w:t>
            </w:r>
          </w:p>
        </w:tc>
        <w:tc>
          <w:tcPr>
            <w:tcW w:w="822" w:type="dxa"/>
            <w:noWrap/>
            <w:hideMark/>
          </w:tcPr>
          <w:p w14:paraId="3FCC69C2" w14:textId="77777777" w:rsidR="003C0FF6" w:rsidRPr="009D0A4A" w:rsidRDefault="003C0FF6" w:rsidP="00F77334">
            <w:pPr>
              <w:pStyle w:val="TableBody"/>
              <w:rPr>
                <w:lang w:eastAsia="en-AU"/>
              </w:rPr>
            </w:pPr>
            <w:r w:rsidRPr="009D0A4A">
              <w:rPr>
                <w:lang w:eastAsia="en-AU"/>
              </w:rPr>
              <w:t>np</w:t>
            </w:r>
          </w:p>
        </w:tc>
        <w:tc>
          <w:tcPr>
            <w:tcW w:w="818" w:type="dxa"/>
            <w:noWrap/>
            <w:hideMark/>
          </w:tcPr>
          <w:p w14:paraId="200202B5" w14:textId="03BE4D82" w:rsidR="003C0FF6" w:rsidRPr="009D0A4A" w:rsidRDefault="00305470" w:rsidP="00F77334">
            <w:pPr>
              <w:pStyle w:val="TableBody"/>
              <w:rPr>
                <w:b/>
                <w:bCs/>
                <w:lang w:eastAsia="en-AU"/>
              </w:rPr>
            </w:pPr>
            <w:r w:rsidRPr="009D0A4A">
              <w:rPr>
                <w:b/>
                <w:bCs/>
                <w:lang w:eastAsia="en-AU"/>
              </w:rPr>
              <w:t>N</w:t>
            </w:r>
            <w:r w:rsidR="003C0FF6" w:rsidRPr="009D0A4A">
              <w:rPr>
                <w:b/>
                <w:bCs/>
                <w:lang w:eastAsia="en-AU"/>
              </w:rPr>
              <w:t>p</w:t>
            </w:r>
          </w:p>
        </w:tc>
      </w:tr>
      <w:tr w:rsidR="003C0FF6" w:rsidRPr="009D0A4A" w14:paraId="32A594EE" w14:textId="77777777" w:rsidTr="00DF7D3E">
        <w:trPr>
          <w:cnfStyle w:val="000000010000" w:firstRow="0" w:lastRow="0" w:firstColumn="0" w:lastColumn="0" w:oddVBand="0" w:evenVBand="0" w:oddHBand="0" w:evenHBand="1" w:firstRowFirstColumn="0" w:firstRowLastColumn="0" w:lastRowFirstColumn="0" w:lastRowLastColumn="0"/>
          <w:trHeight w:val="300"/>
          <w:jc w:val="center"/>
        </w:trPr>
        <w:tc>
          <w:tcPr>
            <w:tcW w:w="6010" w:type="dxa"/>
            <w:noWrap/>
            <w:hideMark/>
          </w:tcPr>
          <w:p w14:paraId="7F0949CA" w14:textId="77777777" w:rsidR="003C0FF6" w:rsidRPr="009D0A4A" w:rsidRDefault="003C0FF6" w:rsidP="00F77334">
            <w:pPr>
              <w:pStyle w:val="TableBody"/>
              <w:rPr>
                <w:lang w:eastAsia="en-AU"/>
              </w:rPr>
            </w:pPr>
            <w:r w:rsidRPr="009D0A4A">
              <w:rPr>
                <w:lang w:eastAsia="en-AU"/>
              </w:rPr>
              <w:t>Retail trade</w:t>
            </w:r>
          </w:p>
        </w:tc>
        <w:tc>
          <w:tcPr>
            <w:tcW w:w="690" w:type="dxa"/>
            <w:noWrap/>
            <w:hideMark/>
          </w:tcPr>
          <w:p w14:paraId="2260C2A5" w14:textId="77777777" w:rsidR="003C0FF6" w:rsidRPr="009D0A4A" w:rsidRDefault="003C0FF6" w:rsidP="00F77334">
            <w:pPr>
              <w:pStyle w:val="TableBody"/>
              <w:rPr>
                <w:lang w:eastAsia="en-AU"/>
              </w:rPr>
            </w:pPr>
            <w:r w:rsidRPr="009D0A4A">
              <w:rPr>
                <w:lang w:eastAsia="en-AU"/>
              </w:rPr>
              <w:t>np</w:t>
            </w:r>
          </w:p>
        </w:tc>
        <w:tc>
          <w:tcPr>
            <w:tcW w:w="822" w:type="dxa"/>
            <w:noWrap/>
            <w:hideMark/>
          </w:tcPr>
          <w:p w14:paraId="7517FBF2" w14:textId="77777777" w:rsidR="003C0FF6" w:rsidRPr="009D0A4A" w:rsidRDefault="003C0FF6" w:rsidP="00F77334">
            <w:pPr>
              <w:pStyle w:val="TableBody"/>
              <w:rPr>
                <w:lang w:eastAsia="en-AU"/>
              </w:rPr>
            </w:pPr>
            <w:r w:rsidRPr="009D0A4A">
              <w:rPr>
                <w:lang w:eastAsia="en-AU"/>
              </w:rPr>
              <w:t>0</w:t>
            </w:r>
          </w:p>
        </w:tc>
        <w:tc>
          <w:tcPr>
            <w:tcW w:w="818" w:type="dxa"/>
            <w:noWrap/>
            <w:hideMark/>
          </w:tcPr>
          <w:p w14:paraId="3429621C" w14:textId="1C5AD3CF" w:rsidR="003C0FF6" w:rsidRPr="009D0A4A" w:rsidRDefault="00305470" w:rsidP="00F77334">
            <w:pPr>
              <w:pStyle w:val="TableBody"/>
              <w:rPr>
                <w:b/>
                <w:bCs/>
                <w:lang w:eastAsia="en-AU"/>
              </w:rPr>
            </w:pPr>
            <w:r w:rsidRPr="009D0A4A">
              <w:rPr>
                <w:b/>
                <w:bCs/>
                <w:lang w:eastAsia="en-AU"/>
              </w:rPr>
              <w:t>N</w:t>
            </w:r>
            <w:r w:rsidR="003C0FF6" w:rsidRPr="009D0A4A">
              <w:rPr>
                <w:b/>
                <w:bCs/>
                <w:lang w:eastAsia="en-AU"/>
              </w:rPr>
              <w:t>p</w:t>
            </w:r>
          </w:p>
        </w:tc>
      </w:tr>
      <w:tr w:rsidR="003C0FF6" w:rsidRPr="009D0A4A" w14:paraId="0497431E" w14:textId="77777777" w:rsidTr="00DF7D3E">
        <w:trPr>
          <w:cnfStyle w:val="000000100000" w:firstRow="0" w:lastRow="0" w:firstColumn="0" w:lastColumn="0" w:oddVBand="0" w:evenVBand="0" w:oddHBand="1" w:evenHBand="0" w:firstRowFirstColumn="0" w:firstRowLastColumn="0" w:lastRowFirstColumn="0" w:lastRowLastColumn="0"/>
          <w:trHeight w:val="300"/>
          <w:jc w:val="center"/>
        </w:trPr>
        <w:tc>
          <w:tcPr>
            <w:tcW w:w="6010" w:type="dxa"/>
            <w:noWrap/>
            <w:hideMark/>
          </w:tcPr>
          <w:p w14:paraId="154F3040" w14:textId="77777777" w:rsidR="003C0FF6" w:rsidRPr="009D0A4A" w:rsidRDefault="003C0FF6" w:rsidP="00F77334">
            <w:pPr>
              <w:pStyle w:val="TableBody"/>
              <w:rPr>
                <w:lang w:eastAsia="en-AU"/>
              </w:rPr>
            </w:pPr>
            <w:r w:rsidRPr="009D0A4A">
              <w:rPr>
                <w:lang w:eastAsia="en-AU"/>
              </w:rPr>
              <w:t>Education and training</w:t>
            </w:r>
          </w:p>
        </w:tc>
        <w:tc>
          <w:tcPr>
            <w:tcW w:w="690" w:type="dxa"/>
            <w:noWrap/>
            <w:hideMark/>
          </w:tcPr>
          <w:p w14:paraId="19FACD29" w14:textId="77777777" w:rsidR="003C0FF6" w:rsidRPr="009D0A4A" w:rsidRDefault="003C0FF6" w:rsidP="00F77334">
            <w:pPr>
              <w:pStyle w:val="TableBody"/>
              <w:rPr>
                <w:lang w:eastAsia="en-AU"/>
              </w:rPr>
            </w:pPr>
            <w:r w:rsidRPr="009D0A4A">
              <w:rPr>
                <w:lang w:eastAsia="en-AU"/>
              </w:rPr>
              <w:t>np</w:t>
            </w:r>
          </w:p>
        </w:tc>
        <w:tc>
          <w:tcPr>
            <w:tcW w:w="822" w:type="dxa"/>
            <w:noWrap/>
            <w:hideMark/>
          </w:tcPr>
          <w:p w14:paraId="459D636E" w14:textId="77777777" w:rsidR="003C0FF6" w:rsidRPr="009D0A4A" w:rsidRDefault="003C0FF6" w:rsidP="00F77334">
            <w:pPr>
              <w:pStyle w:val="TableBody"/>
              <w:rPr>
                <w:lang w:eastAsia="en-AU"/>
              </w:rPr>
            </w:pPr>
            <w:r w:rsidRPr="009D0A4A">
              <w:rPr>
                <w:lang w:eastAsia="en-AU"/>
              </w:rPr>
              <w:t>0</w:t>
            </w:r>
          </w:p>
        </w:tc>
        <w:tc>
          <w:tcPr>
            <w:tcW w:w="818" w:type="dxa"/>
            <w:noWrap/>
            <w:hideMark/>
          </w:tcPr>
          <w:p w14:paraId="41FC3C04" w14:textId="396E937B" w:rsidR="003C0FF6" w:rsidRPr="009D0A4A" w:rsidRDefault="00305470" w:rsidP="00F77334">
            <w:pPr>
              <w:pStyle w:val="TableBody"/>
              <w:rPr>
                <w:b/>
                <w:bCs/>
                <w:lang w:eastAsia="en-AU"/>
              </w:rPr>
            </w:pPr>
            <w:r w:rsidRPr="009D0A4A">
              <w:rPr>
                <w:b/>
                <w:bCs/>
                <w:lang w:eastAsia="en-AU"/>
              </w:rPr>
              <w:t>N</w:t>
            </w:r>
            <w:r w:rsidR="003C0FF6" w:rsidRPr="009D0A4A">
              <w:rPr>
                <w:b/>
                <w:bCs/>
                <w:lang w:eastAsia="en-AU"/>
              </w:rPr>
              <w:t>p</w:t>
            </w:r>
          </w:p>
        </w:tc>
      </w:tr>
      <w:tr w:rsidR="003C0FF6" w:rsidRPr="009D0A4A" w14:paraId="2C35F5D1" w14:textId="77777777" w:rsidTr="00DF7D3E">
        <w:trPr>
          <w:cnfStyle w:val="000000010000" w:firstRow="0" w:lastRow="0" w:firstColumn="0" w:lastColumn="0" w:oddVBand="0" w:evenVBand="0" w:oddHBand="0" w:evenHBand="1" w:firstRowFirstColumn="0" w:firstRowLastColumn="0" w:lastRowFirstColumn="0" w:lastRowLastColumn="0"/>
          <w:trHeight w:val="300"/>
          <w:jc w:val="center"/>
        </w:trPr>
        <w:tc>
          <w:tcPr>
            <w:tcW w:w="6010" w:type="dxa"/>
            <w:noWrap/>
            <w:hideMark/>
          </w:tcPr>
          <w:p w14:paraId="39F68B53" w14:textId="77777777" w:rsidR="003C0FF6" w:rsidRPr="009D0A4A" w:rsidRDefault="003C0FF6" w:rsidP="00F77334">
            <w:pPr>
              <w:pStyle w:val="TableBody"/>
              <w:rPr>
                <w:lang w:eastAsia="en-AU"/>
              </w:rPr>
            </w:pPr>
            <w:r w:rsidRPr="009D0A4A">
              <w:rPr>
                <w:lang w:eastAsia="en-AU"/>
              </w:rPr>
              <w:t>Health care and social assistance</w:t>
            </w:r>
          </w:p>
        </w:tc>
        <w:tc>
          <w:tcPr>
            <w:tcW w:w="690" w:type="dxa"/>
            <w:noWrap/>
            <w:hideMark/>
          </w:tcPr>
          <w:p w14:paraId="424BB62F" w14:textId="77777777" w:rsidR="003C0FF6" w:rsidRPr="009D0A4A" w:rsidRDefault="003C0FF6" w:rsidP="00F77334">
            <w:pPr>
              <w:pStyle w:val="TableBody"/>
              <w:rPr>
                <w:lang w:eastAsia="en-AU"/>
              </w:rPr>
            </w:pPr>
            <w:r w:rsidRPr="009D0A4A">
              <w:rPr>
                <w:lang w:eastAsia="en-AU"/>
              </w:rPr>
              <w:t>np</w:t>
            </w:r>
          </w:p>
        </w:tc>
        <w:tc>
          <w:tcPr>
            <w:tcW w:w="822" w:type="dxa"/>
            <w:noWrap/>
            <w:hideMark/>
          </w:tcPr>
          <w:p w14:paraId="6D990A67" w14:textId="77777777" w:rsidR="003C0FF6" w:rsidRPr="009D0A4A" w:rsidRDefault="003C0FF6" w:rsidP="00F77334">
            <w:pPr>
              <w:pStyle w:val="TableBody"/>
              <w:rPr>
                <w:lang w:eastAsia="en-AU"/>
              </w:rPr>
            </w:pPr>
            <w:r w:rsidRPr="009D0A4A">
              <w:rPr>
                <w:lang w:eastAsia="en-AU"/>
              </w:rPr>
              <w:t>0</w:t>
            </w:r>
          </w:p>
        </w:tc>
        <w:tc>
          <w:tcPr>
            <w:tcW w:w="818" w:type="dxa"/>
            <w:noWrap/>
            <w:hideMark/>
          </w:tcPr>
          <w:p w14:paraId="23310FC0" w14:textId="0010CA2B" w:rsidR="003C0FF6" w:rsidRPr="009D0A4A" w:rsidRDefault="00305470" w:rsidP="00F77334">
            <w:pPr>
              <w:pStyle w:val="TableBody"/>
              <w:rPr>
                <w:b/>
                <w:bCs/>
                <w:lang w:eastAsia="en-AU"/>
              </w:rPr>
            </w:pPr>
            <w:r w:rsidRPr="009D0A4A">
              <w:rPr>
                <w:b/>
                <w:bCs/>
                <w:lang w:eastAsia="en-AU"/>
              </w:rPr>
              <w:t>N</w:t>
            </w:r>
            <w:r w:rsidR="003C0FF6" w:rsidRPr="009D0A4A">
              <w:rPr>
                <w:b/>
                <w:bCs/>
                <w:lang w:eastAsia="en-AU"/>
              </w:rPr>
              <w:t>p</w:t>
            </w:r>
          </w:p>
        </w:tc>
      </w:tr>
      <w:tr w:rsidR="003C0FF6" w:rsidRPr="009D0A4A" w14:paraId="614FB2B9" w14:textId="77777777" w:rsidTr="00DF7D3E">
        <w:trPr>
          <w:cnfStyle w:val="000000100000" w:firstRow="0" w:lastRow="0" w:firstColumn="0" w:lastColumn="0" w:oddVBand="0" w:evenVBand="0" w:oddHBand="1" w:evenHBand="0" w:firstRowFirstColumn="0" w:firstRowLastColumn="0" w:lastRowFirstColumn="0" w:lastRowLastColumn="0"/>
          <w:trHeight w:val="300"/>
          <w:jc w:val="center"/>
        </w:trPr>
        <w:tc>
          <w:tcPr>
            <w:tcW w:w="6010" w:type="dxa"/>
            <w:noWrap/>
            <w:hideMark/>
          </w:tcPr>
          <w:p w14:paraId="2D242E31" w14:textId="77777777" w:rsidR="003C0FF6" w:rsidRPr="009D0A4A" w:rsidRDefault="003C0FF6" w:rsidP="00F77334">
            <w:pPr>
              <w:pStyle w:val="TableBody"/>
              <w:rPr>
                <w:lang w:eastAsia="en-AU"/>
              </w:rPr>
            </w:pPr>
            <w:r w:rsidRPr="009D0A4A">
              <w:rPr>
                <w:lang w:eastAsia="en-AU"/>
              </w:rPr>
              <w:t>Other services</w:t>
            </w:r>
          </w:p>
        </w:tc>
        <w:tc>
          <w:tcPr>
            <w:tcW w:w="690" w:type="dxa"/>
            <w:noWrap/>
            <w:vAlign w:val="center"/>
            <w:hideMark/>
          </w:tcPr>
          <w:p w14:paraId="600CCA6B" w14:textId="544EF2AB" w:rsidR="003C0FF6" w:rsidRPr="009D0A4A" w:rsidRDefault="00A66CE6" w:rsidP="00F77334">
            <w:pPr>
              <w:pStyle w:val="TableBody"/>
              <w:rPr>
                <w:lang w:eastAsia="en-AU"/>
              </w:rPr>
            </w:pPr>
            <w:r>
              <w:rPr>
                <w:lang w:eastAsia="en-AU"/>
              </w:rPr>
              <w:t>np</w:t>
            </w:r>
          </w:p>
        </w:tc>
        <w:tc>
          <w:tcPr>
            <w:tcW w:w="822" w:type="dxa"/>
            <w:noWrap/>
            <w:hideMark/>
          </w:tcPr>
          <w:p w14:paraId="65BE42AF" w14:textId="27358E12" w:rsidR="003C0FF6" w:rsidRPr="009D0A4A" w:rsidRDefault="00A66CE6" w:rsidP="00F77334">
            <w:pPr>
              <w:pStyle w:val="TableBody"/>
              <w:rPr>
                <w:lang w:eastAsia="en-AU"/>
              </w:rPr>
            </w:pPr>
            <w:r>
              <w:rPr>
                <w:lang w:eastAsia="en-AU"/>
              </w:rPr>
              <w:t>0</w:t>
            </w:r>
          </w:p>
        </w:tc>
        <w:tc>
          <w:tcPr>
            <w:tcW w:w="818" w:type="dxa"/>
            <w:noWrap/>
            <w:hideMark/>
          </w:tcPr>
          <w:p w14:paraId="4F112F48" w14:textId="708E9EDB" w:rsidR="003C0FF6" w:rsidRPr="009D0A4A" w:rsidRDefault="00305470" w:rsidP="00F77334">
            <w:pPr>
              <w:pStyle w:val="TableBody"/>
              <w:rPr>
                <w:b/>
                <w:bCs/>
                <w:lang w:eastAsia="en-AU"/>
              </w:rPr>
            </w:pPr>
            <w:r w:rsidRPr="009D0A4A">
              <w:rPr>
                <w:b/>
                <w:bCs/>
                <w:lang w:eastAsia="en-AU"/>
              </w:rPr>
              <w:t>N</w:t>
            </w:r>
            <w:r w:rsidR="003C0FF6" w:rsidRPr="009D0A4A">
              <w:rPr>
                <w:b/>
                <w:bCs/>
                <w:lang w:eastAsia="en-AU"/>
              </w:rPr>
              <w:t>p</w:t>
            </w:r>
          </w:p>
        </w:tc>
      </w:tr>
      <w:tr w:rsidR="003C0FF6" w:rsidRPr="009D0A4A" w14:paraId="0018BD6A" w14:textId="77777777" w:rsidTr="00DF7D3E">
        <w:trPr>
          <w:cnfStyle w:val="000000010000" w:firstRow="0" w:lastRow="0" w:firstColumn="0" w:lastColumn="0" w:oddVBand="0" w:evenVBand="0" w:oddHBand="0" w:evenHBand="1" w:firstRowFirstColumn="0" w:firstRowLastColumn="0" w:lastRowFirstColumn="0" w:lastRowLastColumn="0"/>
          <w:trHeight w:val="315"/>
          <w:jc w:val="center"/>
        </w:trPr>
        <w:tc>
          <w:tcPr>
            <w:tcW w:w="6010" w:type="dxa"/>
            <w:tcBorders>
              <w:bottom w:val="single" w:sz="4" w:space="0" w:color="D1D1D1" w:themeColor="background2"/>
            </w:tcBorders>
            <w:noWrap/>
            <w:hideMark/>
          </w:tcPr>
          <w:p w14:paraId="49884DAE" w14:textId="77777777" w:rsidR="003C0FF6" w:rsidRPr="009D0A4A" w:rsidRDefault="003C0FF6" w:rsidP="00F77334">
            <w:pPr>
              <w:pStyle w:val="TableBody"/>
              <w:rPr>
                <w:lang w:eastAsia="en-AU"/>
              </w:rPr>
            </w:pPr>
            <w:r w:rsidRPr="009D0A4A">
              <w:rPr>
                <w:lang w:eastAsia="en-AU"/>
              </w:rPr>
              <w:t>Not stated/Unknown</w:t>
            </w:r>
          </w:p>
        </w:tc>
        <w:tc>
          <w:tcPr>
            <w:tcW w:w="690" w:type="dxa"/>
            <w:tcBorders>
              <w:bottom w:val="single" w:sz="4" w:space="0" w:color="D1D1D1" w:themeColor="background2"/>
            </w:tcBorders>
            <w:noWrap/>
            <w:hideMark/>
          </w:tcPr>
          <w:p w14:paraId="0D18EA53" w14:textId="446D9AF1" w:rsidR="003C0FF6" w:rsidRPr="009D0A4A" w:rsidRDefault="00A66CE6" w:rsidP="00F77334">
            <w:pPr>
              <w:pStyle w:val="TableBody"/>
              <w:rPr>
                <w:lang w:eastAsia="en-AU"/>
              </w:rPr>
            </w:pPr>
            <w:r>
              <w:rPr>
                <w:lang w:eastAsia="en-AU"/>
              </w:rPr>
              <w:t>np</w:t>
            </w:r>
          </w:p>
        </w:tc>
        <w:tc>
          <w:tcPr>
            <w:tcW w:w="822" w:type="dxa"/>
            <w:tcBorders>
              <w:bottom w:val="single" w:sz="4" w:space="0" w:color="D1D1D1" w:themeColor="background2"/>
            </w:tcBorders>
            <w:noWrap/>
            <w:hideMark/>
          </w:tcPr>
          <w:p w14:paraId="0FE22B07" w14:textId="3BDDE365" w:rsidR="003C0FF6" w:rsidRPr="009D0A4A" w:rsidRDefault="003C0FF6" w:rsidP="00F77334">
            <w:pPr>
              <w:pStyle w:val="TableBody"/>
              <w:rPr>
                <w:lang w:eastAsia="en-AU"/>
              </w:rPr>
            </w:pPr>
            <w:r w:rsidRPr="009D0A4A">
              <w:rPr>
                <w:lang w:eastAsia="en-AU"/>
              </w:rPr>
              <w:t>6</w:t>
            </w:r>
            <w:r w:rsidR="00503BD8">
              <w:rPr>
                <w:lang w:eastAsia="en-AU"/>
              </w:rPr>
              <w:t>2</w:t>
            </w:r>
          </w:p>
        </w:tc>
        <w:tc>
          <w:tcPr>
            <w:tcW w:w="818" w:type="dxa"/>
            <w:tcBorders>
              <w:bottom w:val="single" w:sz="4" w:space="0" w:color="D1D1D1" w:themeColor="background2"/>
            </w:tcBorders>
            <w:noWrap/>
            <w:hideMark/>
          </w:tcPr>
          <w:p w14:paraId="729959D9" w14:textId="4A697D59" w:rsidR="003C0FF6" w:rsidRPr="009D0A4A" w:rsidRDefault="003C0FF6" w:rsidP="00F77334">
            <w:pPr>
              <w:pStyle w:val="TableBody"/>
              <w:rPr>
                <w:b/>
                <w:bCs/>
                <w:lang w:eastAsia="en-AU"/>
              </w:rPr>
            </w:pPr>
            <w:r w:rsidRPr="009D0A4A">
              <w:rPr>
                <w:b/>
                <w:bCs/>
                <w:lang w:eastAsia="en-AU"/>
              </w:rPr>
              <w:t>6</w:t>
            </w:r>
            <w:r w:rsidR="00503BD8">
              <w:rPr>
                <w:b/>
                <w:bCs/>
                <w:lang w:eastAsia="en-AU"/>
              </w:rPr>
              <w:t>7</w:t>
            </w:r>
          </w:p>
        </w:tc>
      </w:tr>
      <w:tr w:rsidR="003C0FF6" w:rsidRPr="009D0A4A" w14:paraId="13B2B48D" w14:textId="77777777" w:rsidTr="00DF7D3E">
        <w:trPr>
          <w:cnfStyle w:val="000000100000" w:firstRow="0" w:lastRow="0" w:firstColumn="0" w:lastColumn="0" w:oddVBand="0" w:evenVBand="0" w:oddHBand="1" w:evenHBand="0" w:firstRowFirstColumn="0" w:firstRowLastColumn="0" w:lastRowFirstColumn="0" w:lastRowLastColumn="0"/>
          <w:trHeight w:val="300"/>
          <w:jc w:val="center"/>
        </w:trPr>
        <w:tc>
          <w:tcPr>
            <w:tcW w:w="6010" w:type="dxa"/>
            <w:tcBorders>
              <w:top w:val="single" w:sz="4" w:space="0" w:color="D1D1D1" w:themeColor="background2"/>
              <w:bottom w:val="single" w:sz="4" w:space="0" w:color="auto"/>
            </w:tcBorders>
            <w:noWrap/>
            <w:hideMark/>
          </w:tcPr>
          <w:p w14:paraId="50274E6B" w14:textId="77777777" w:rsidR="003C0FF6" w:rsidRPr="00F77334" w:rsidRDefault="003C0FF6" w:rsidP="00F77334">
            <w:pPr>
              <w:pStyle w:val="TableBody"/>
              <w:rPr>
                <w:b/>
                <w:bCs/>
                <w:lang w:eastAsia="en-AU"/>
              </w:rPr>
            </w:pPr>
            <w:r w:rsidRPr="00F77334">
              <w:rPr>
                <w:b/>
                <w:bCs/>
                <w:lang w:eastAsia="en-AU"/>
              </w:rPr>
              <w:t>Total</w:t>
            </w:r>
          </w:p>
        </w:tc>
        <w:tc>
          <w:tcPr>
            <w:tcW w:w="690" w:type="dxa"/>
            <w:tcBorders>
              <w:top w:val="single" w:sz="4" w:space="0" w:color="D1D1D1" w:themeColor="background2"/>
              <w:bottom w:val="single" w:sz="4" w:space="0" w:color="auto"/>
            </w:tcBorders>
            <w:noWrap/>
            <w:hideMark/>
          </w:tcPr>
          <w:p w14:paraId="0EF84095" w14:textId="4BFA8923" w:rsidR="003C0FF6" w:rsidRPr="00F77334" w:rsidRDefault="003C0FF6" w:rsidP="00F77334">
            <w:pPr>
              <w:pStyle w:val="TableBody"/>
              <w:rPr>
                <w:b/>
                <w:bCs/>
                <w:lang w:eastAsia="en-AU"/>
              </w:rPr>
            </w:pPr>
            <w:r w:rsidRPr="00F77334">
              <w:rPr>
                <w:b/>
                <w:bCs/>
                <w:lang w:eastAsia="en-AU"/>
              </w:rPr>
              <w:t>2</w:t>
            </w:r>
            <w:r w:rsidR="00503BD8" w:rsidRPr="00F77334">
              <w:rPr>
                <w:b/>
                <w:bCs/>
                <w:lang w:eastAsia="en-AU"/>
              </w:rPr>
              <w:t>56</w:t>
            </w:r>
          </w:p>
        </w:tc>
        <w:tc>
          <w:tcPr>
            <w:tcW w:w="822" w:type="dxa"/>
            <w:tcBorders>
              <w:top w:val="single" w:sz="4" w:space="0" w:color="D1D1D1" w:themeColor="background2"/>
              <w:bottom w:val="single" w:sz="4" w:space="0" w:color="auto"/>
            </w:tcBorders>
            <w:noWrap/>
            <w:hideMark/>
          </w:tcPr>
          <w:p w14:paraId="64D24FD8" w14:textId="656BDA54" w:rsidR="003C0FF6" w:rsidRPr="00F77334" w:rsidRDefault="00503BD8" w:rsidP="00F77334">
            <w:pPr>
              <w:pStyle w:val="TableBody"/>
              <w:rPr>
                <w:b/>
                <w:bCs/>
                <w:lang w:eastAsia="en-AU"/>
              </w:rPr>
            </w:pPr>
            <w:r w:rsidRPr="00F77334">
              <w:rPr>
                <w:b/>
                <w:bCs/>
                <w:lang w:eastAsia="en-AU"/>
              </w:rPr>
              <w:t>232</w:t>
            </w:r>
          </w:p>
        </w:tc>
        <w:tc>
          <w:tcPr>
            <w:tcW w:w="818" w:type="dxa"/>
            <w:tcBorders>
              <w:top w:val="single" w:sz="4" w:space="0" w:color="D1D1D1" w:themeColor="background2"/>
              <w:bottom w:val="single" w:sz="4" w:space="0" w:color="auto"/>
            </w:tcBorders>
            <w:noWrap/>
            <w:hideMark/>
          </w:tcPr>
          <w:p w14:paraId="734E08C0" w14:textId="75A3C7D1" w:rsidR="003C0FF6" w:rsidRPr="00F77334" w:rsidRDefault="003C0FF6" w:rsidP="00F77334">
            <w:pPr>
              <w:pStyle w:val="TableBody"/>
              <w:rPr>
                <w:b/>
                <w:bCs/>
                <w:lang w:eastAsia="en-AU"/>
              </w:rPr>
            </w:pPr>
            <w:r w:rsidRPr="00F77334">
              <w:rPr>
                <w:b/>
                <w:bCs/>
                <w:lang w:eastAsia="en-AU"/>
              </w:rPr>
              <w:t>4</w:t>
            </w:r>
            <w:r w:rsidR="00503BD8" w:rsidRPr="00F77334">
              <w:rPr>
                <w:b/>
                <w:bCs/>
                <w:lang w:eastAsia="en-AU"/>
              </w:rPr>
              <w:t>88</w:t>
            </w:r>
          </w:p>
        </w:tc>
      </w:tr>
      <w:tr w:rsidR="00D40323" w:rsidRPr="009D0A4A" w14:paraId="7C47D792" w14:textId="77777777" w:rsidTr="00EC04FF">
        <w:trPr>
          <w:cnfStyle w:val="000000010000" w:firstRow="0" w:lastRow="0" w:firstColumn="0" w:lastColumn="0" w:oddVBand="0" w:evenVBand="0" w:oddHBand="0" w:evenHBand="1" w:firstRowFirstColumn="0" w:firstRowLastColumn="0" w:lastRowFirstColumn="0" w:lastRowLastColumn="0"/>
          <w:trHeight w:val="300"/>
          <w:jc w:val="center"/>
        </w:trPr>
        <w:tc>
          <w:tcPr>
            <w:tcW w:w="8340" w:type="dxa"/>
            <w:gridSpan w:val="4"/>
            <w:tcBorders>
              <w:top w:val="single" w:sz="4" w:space="0" w:color="auto"/>
              <w:bottom w:val="nil"/>
            </w:tcBorders>
            <w:noWrap/>
            <w:hideMark/>
          </w:tcPr>
          <w:p w14:paraId="312F3D1A" w14:textId="1A23F3EC" w:rsidR="00D40323" w:rsidRPr="009D0A4A" w:rsidRDefault="00D40323" w:rsidP="00DF7D3E">
            <w:pPr>
              <w:spacing w:after="0" w:line="240" w:lineRule="auto"/>
              <w:rPr>
                <w:rFonts w:ascii="Times New Roman" w:eastAsia="Times New Roman" w:hAnsi="Times New Roman" w:cs="Times New Roman"/>
                <w:lang w:eastAsia="en-AU"/>
              </w:rPr>
            </w:pPr>
            <w:r w:rsidRPr="00F77334">
              <w:rPr>
                <w:rFonts w:ascii="Calibri" w:eastAsia="Times New Roman" w:hAnsi="Calibri" w:cs="Calibri"/>
                <w:color w:val="000000"/>
                <w:sz w:val="20"/>
                <w:szCs w:val="20"/>
                <w:lang w:eastAsia="en-AU"/>
              </w:rPr>
              <w:t>'np' data is suppressed where there are fewer than 5 serious claims.</w:t>
            </w:r>
          </w:p>
        </w:tc>
      </w:tr>
      <w:tr w:rsidR="00D40323" w:rsidRPr="009D0A4A" w14:paraId="334BFFC6" w14:textId="77777777" w:rsidTr="00875C89">
        <w:trPr>
          <w:cnfStyle w:val="000000100000" w:firstRow="0" w:lastRow="0" w:firstColumn="0" w:lastColumn="0" w:oddVBand="0" w:evenVBand="0" w:oddHBand="1" w:evenHBand="0" w:firstRowFirstColumn="0" w:firstRowLastColumn="0" w:lastRowFirstColumn="0" w:lastRowLastColumn="0"/>
          <w:trHeight w:val="300"/>
          <w:jc w:val="center"/>
        </w:trPr>
        <w:tc>
          <w:tcPr>
            <w:tcW w:w="8340" w:type="dxa"/>
            <w:gridSpan w:val="4"/>
            <w:tcBorders>
              <w:top w:val="nil"/>
              <w:bottom w:val="nil"/>
            </w:tcBorders>
            <w:noWrap/>
            <w:hideMark/>
          </w:tcPr>
          <w:p w14:paraId="71C1CFC0" w14:textId="7499D480" w:rsidR="00D40323" w:rsidRPr="009D0A4A" w:rsidRDefault="00D40323" w:rsidP="00DF7D3E">
            <w:pPr>
              <w:spacing w:after="0" w:line="240" w:lineRule="auto"/>
              <w:rPr>
                <w:rFonts w:ascii="Times New Roman" w:eastAsia="Times New Roman" w:hAnsi="Times New Roman" w:cs="Times New Roman"/>
                <w:lang w:eastAsia="en-AU"/>
              </w:rPr>
            </w:pPr>
            <w:r w:rsidRPr="00F77334">
              <w:rPr>
                <w:rFonts w:ascii="Calibri" w:eastAsia="Times New Roman" w:hAnsi="Calibri" w:cs="Calibri"/>
                <w:color w:val="000000"/>
                <w:sz w:val="20"/>
                <w:szCs w:val="20"/>
                <w:lang w:eastAsia="en-AU"/>
              </w:rPr>
              <w:t>Note 1: All accepted workers' compensation claims excluding journey claims.</w:t>
            </w:r>
          </w:p>
        </w:tc>
      </w:tr>
      <w:tr w:rsidR="003C0FF6" w:rsidRPr="009D0A4A" w14:paraId="68608C3E" w14:textId="77777777" w:rsidTr="00DF7D3E">
        <w:trPr>
          <w:cnfStyle w:val="000000010000" w:firstRow="0" w:lastRow="0" w:firstColumn="0" w:lastColumn="0" w:oddVBand="0" w:evenVBand="0" w:oddHBand="0" w:evenHBand="1" w:firstRowFirstColumn="0" w:firstRowLastColumn="0" w:lastRowFirstColumn="0" w:lastRowLastColumn="0"/>
          <w:trHeight w:val="495"/>
          <w:jc w:val="center"/>
        </w:trPr>
        <w:tc>
          <w:tcPr>
            <w:tcW w:w="8340" w:type="dxa"/>
            <w:gridSpan w:val="4"/>
            <w:tcBorders>
              <w:top w:val="nil"/>
              <w:bottom w:val="nil"/>
            </w:tcBorders>
            <w:hideMark/>
          </w:tcPr>
          <w:p w14:paraId="05A00EB3" w14:textId="41E68AF4" w:rsidR="003C0FF6" w:rsidRPr="00F77334" w:rsidRDefault="003C0FF6" w:rsidP="00DF7D3E">
            <w:pPr>
              <w:spacing w:after="0" w:line="240" w:lineRule="auto"/>
              <w:rPr>
                <w:rFonts w:ascii="Calibri" w:eastAsia="Times New Roman" w:hAnsi="Calibri" w:cs="Calibri"/>
                <w:color w:val="000000"/>
                <w:sz w:val="20"/>
                <w:szCs w:val="20"/>
                <w:lang w:eastAsia="en-AU"/>
              </w:rPr>
            </w:pPr>
            <w:r w:rsidRPr="00F77334">
              <w:rPr>
                <w:rFonts w:ascii="Calibri" w:eastAsia="Times New Roman" w:hAnsi="Calibri" w:cs="Calibri"/>
                <w:color w:val="000000"/>
                <w:sz w:val="20"/>
                <w:szCs w:val="20"/>
                <w:lang w:eastAsia="en-AU"/>
              </w:rPr>
              <w:t>Note 2: The 20</w:t>
            </w:r>
            <w:r w:rsidR="003E214D" w:rsidRPr="00F77334">
              <w:rPr>
                <w:rFonts w:ascii="Calibri" w:eastAsia="Times New Roman" w:hAnsi="Calibri" w:cs="Calibri"/>
                <w:color w:val="000000"/>
                <w:sz w:val="20"/>
                <w:szCs w:val="20"/>
                <w:lang w:eastAsia="en-AU"/>
              </w:rPr>
              <w:t>20</w:t>
            </w:r>
            <w:r w:rsidRPr="00F77334">
              <w:rPr>
                <w:rFonts w:ascii="Calibri" w:eastAsia="Times New Roman" w:hAnsi="Calibri" w:cs="Calibri"/>
                <w:color w:val="000000"/>
                <w:sz w:val="20"/>
                <w:szCs w:val="20"/>
                <w:lang w:eastAsia="en-AU"/>
              </w:rPr>
              <w:t>-2</w:t>
            </w:r>
            <w:r w:rsidR="003E214D" w:rsidRPr="00F77334">
              <w:rPr>
                <w:rFonts w:ascii="Calibri" w:eastAsia="Times New Roman" w:hAnsi="Calibri" w:cs="Calibri"/>
                <w:color w:val="000000"/>
                <w:sz w:val="20"/>
                <w:szCs w:val="20"/>
                <w:lang w:eastAsia="en-AU"/>
              </w:rPr>
              <w:t>1</w:t>
            </w:r>
            <w:r w:rsidRPr="00F77334">
              <w:rPr>
                <w:rFonts w:ascii="Calibri" w:eastAsia="Times New Roman" w:hAnsi="Calibri" w:cs="Calibri"/>
                <w:color w:val="000000"/>
                <w:sz w:val="20"/>
                <w:szCs w:val="20"/>
                <w:lang w:eastAsia="en-AU"/>
              </w:rPr>
              <w:t xml:space="preserve"> data are preliminary (denoted by 'p'). They are likely to rise as revisions occur in future years.</w:t>
            </w:r>
            <w:r w:rsidR="00362735" w:rsidRPr="00F77334">
              <w:rPr>
                <w:rFonts w:ascii="Calibri" w:eastAsia="Times New Roman" w:hAnsi="Calibri" w:cs="Calibri"/>
                <w:color w:val="000000"/>
                <w:sz w:val="20"/>
                <w:szCs w:val="20"/>
                <w:lang w:eastAsia="en-AU"/>
              </w:rPr>
              <w:t xml:space="preserve"> </w:t>
            </w:r>
          </w:p>
        </w:tc>
      </w:tr>
      <w:tr w:rsidR="003C0FF6" w:rsidRPr="009D0A4A" w14:paraId="6CC9E8E2" w14:textId="77777777" w:rsidTr="00DF7D3E">
        <w:trPr>
          <w:cnfStyle w:val="000000100000" w:firstRow="0" w:lastRow="0" w:firstColumn="0" w:lastColumn="0" w:oddVBand="0" w:evenVBand="0" w:oddHBand="1" w:evenHBand="0" w:firstRowFirstColumn="0" w:firstRowLastColumn="0" w:lastRowFirstColumn="0" w:lastRowLastColumn="0"/>
          <w:trHeight w:val="300"/>
          <w:jc w:val="center"/>
        </w:trPr>
        <w:tc>
          <w:tcPr>
            <w:tcW w:w="8340" w:type="dxa"/>
            <w:gridSpan w:val="4"/>
            <w:tcBorders>
              <w:top w:val="nil"/>
              <w:bottom w:val="nil"/>
            </w:tcBorders>
            <w:noWrap/>
            <w:hideMark/>
          </w:tcPr>
          <w:p w14:paraId="5AF10E99" w14:textId="77777777" w:rsidR="003C0FF6" w:rsidRPr="00F77334" w:rsidRDefault="003C0FF6" w:rsidP="00DF7D3E">
            <w:pPr>
              <w:spacing w:after="0" w:line="240" w:lineRule="auto"/>
              <w:rPr>
                <w:rFonts w:ascii="Calibri" w:eastAsia="Times New Roman" w:hAnsi="Calibri" w:cs="Calibri"/>
                <w:color w:val="000000"/>
                <w:sz w:val="20"/>
                <w:szCs w:val="20"/>
                <w:lang w:eastAsia="en-AU"/>
              </w:rPr>
            </w:pPr>
            <w:r w:rsidRPr="00F77334">
              <w:rPr>
                <w:rFonts w:ascii="Calibri" w:eastAsia="Times New Roman" w:hAnsi="Calibri" w:cs="Calibri"/>
                <w:color w:val="000000"/>
                <w:sz w:val="20"/>
                <w:szCs w:val="20"/>
                <w:lang w:eastAsia="en-AU"/>
              </w:rPr>
              <w:t>Sources: Safe Work Australia's National Data Set for Compensation-based Statistics (NDS) and iCare.</w:t>
            </w:r>
          </w:p>
        </w:tc>
      </w:tr>
      <w:tr w:rsidR="00901281" w:rsidRPr="009D0A4A" w14:paraId="5B472D2E" w14:textId="77777777" w:rsidTr="00DF7D3E">
        <w:trPr>
          <w:cnfStyle w:val="000000010000" w:firstRow="0" w:lastRow="0" w:firstColumn="0" w:lastColumn="0" w:oddVBand="0" w:evenVBand="0" w:oddHBand="0" w:evenHBand="1" w:firstRowFirstColumn="0" w:firstRowLastColumn="0" w:lastRowFirstColumn="0" w:lastRowLastColumn="0"/>
          <w:trHeight w:val="300"/>
          <w:jc w:val="center"/>
        </w:trPr>
        <w:tc>
          <w:tcPr>
            <w:tcW w:w="8340" w:type="dxa"/>
            <w:gridSpan w:val="4"/>
            <w:tcBorders>
              <w:top w:val="nil"/>
              <w:bottom w:val="nil"/>
            </w:tcBorders>
            <w:noWrap/>
          </w:tcPr>
          <w:p w14:paraId="25C6EB8C" w14:textId="77777777" w:rsidR="00901281" w:rsidRPr="009D0A4A" w:rsidRDefault="00901281" w:rsidP="00DF7D3E">
            <w:pPr>
              <w:spacing w:after="0" w:line="240" w:lineRule="auto"/>
              <w:rPr>
                <w:rFonts w:ascii="Calibri" w:eastAsia="Times New Roman" w:hAnsi="Calibri" w:cs="Calibri"/>
                <w:color w:val="000000"/>
                <w:szCs w:val="18"/>
                <w:lang w:eastAsia="en-AU"/>
              </w:rPr>
            </w:pPr>
          </w:p>
        </w:tc>
      </w:tr>
    </w:tbl>
    <w:p w14:paraId="7C6EC183" w14:textId="1600A0F7" w:rsidR="00836FD9" w:rsidRPr="009D0A4A" w:rsidRDefault="005B0556" w:rsidP="00234FEF">
      <w:pPr>
        <w:pStyle w:val="Heading4"/>
      </w:pPr>
      <w:bookmarkStart w:id="564" w:name="_Ref124947962"/>
      <w:r>
        <w:t xml:space="preserve">Number of </w:t>
      </w:r>
      <w:r w:rsidR="00D9003A">
        <w:t xml:space="preserve">silicosis </w:t>
      </w:r>
      <w:r>
        <w:t>cases</w:t>
      </w:r>
      <w:r w:rsidR="00EF0815">
        <w:t xml:space="preserve"> </w:t>
      </w:r>
      <w:r w:rsidR="00936B02">
        <w:t>identified</w:t>
      </w:r>
      <w:r w:rsidR="00600AEF">
        <w:t xml:space="preserve"> through health screening programs or </w:t>
      </w:r>
      <w:r w:rsidR="00EF0815">
        <w:t>reported to</w:t>
      </w:r>
      <w:r w:rsidR="00E10570">
        <w:t xml:space="preserve"> dust disease regist</w:t>
      </w:r>
      <w:r w:rsidR="00EF0815">
        <w:t>ers</w:t>
      </w:r>
      <w:bookmarkEnd w:id="564"/>
    </w:p>
    <w:p w14:paraId="37FA9BF6" w14:textId="5CB6C9A2" w:rsidR="000921AF" w:rsidRPr="009D0A4A" w:rsidRDefault="231E39A7" w:rsidP="00234FEF">
      <w:pPr>
        <w:pStyle w:val="BodyText"/>
      </w:pPr>
      <w:r w:rsidRPr="009D0A4A">
        <w:t xml:space="preserve">Health screening refers to programs undertaken by </w:t>
      </w:r>
      <w:r w:rsidR="63A6AC10" w:rsidRPr="009D0A4A">
        <w:t>s</w:t>
      </w:r>
      <w:r w:rsidRPr="009D0A4A">
        <w:t>tate</w:t>
      </w:r>
      <w:r w:rsidR="63A6AC10" w:rsidRPr="009D0A4A">
        <w:t xml:space="preserve"> and t</w:t>
      </w:r>
      <w:r w:rsidRPr="009D0A4A">
        <w:t xml:space="preserve">erritory </w:t>
      </w:r>
      <w:r w:rsidR="008B35E0">
        <w:t xml:space="preserve">WHS </w:t>
      </w:r>
      <w:r w:rsidRPr="009D0A4A">
        <w:t>regulators and</w:t>
      </w:r>
      <w:r w:rsidR="63A6AC10" w:rsidRPr="009D0A4A">
        <w:t xml:space="preserve"> </w:t>
      </w:r>
      <w:r w:rsidRPr="009D0A4A">
        <w:t xml:space="preserve">health authorities to detect previously undetected cases of silicosis in workers. This is distinct from </w:t>
      </w:r>
      <w:r w:rsidR="004E4650">
        <w:t xml:space="preserve">the </w:t>
      </w:r>
      <w:r w:rsidR="00814BE1">
        <w:t>requirement</w:t>
      </w:r>
      <w:r w:rsidR="00092BCE">
        <w:t>s</w:t>
      </w:r>
      <w:r w:rsidR="00814BE1">
        <w:t xml:space="preserve"> </w:t>
      </w:r>
      <w:r w:rsidR="00F32C6D">
        <w:t xml:space="preserve">under the model WHS </w:t>
      </w:r>
      <w:r w:rsidR="00611EF4">
        <w:t xml:space="preserve">laws </w:t>
      </w:r>
      <w:r w:rsidR="00814BE1">
        <w:t xml:space="preserve">for </w:t>
      </w:r>
      <w:r w:rsidRPr="009D0A4A">
        <w:t>PCBUs</w:t>
      </w:r>
      <w:r w:rsidR="3DD95C86" w:rsidRPr="009D0A4A">
        <w:t xml:space="preserve"> </w:t>
      </w:r>
      <w:r w:rsidR="003B6A2B">
        <w:t xml:space="preserve">to </w:t>
      </w:r>
      <w:r w:rsidR="004F44B6">
        <w:t>provide health monitoring</w:t>
      </w:r>
      <w:r w:rsidR="006433E0">
        <w:t xml:space="preserve"> </w:t>
      </w:r>
      <w:r w:rsidR="00F32C6D">
        <w:t xml:space="preserve">to </w:t>
      </w:r>
      <w:r w:rsidR="006433E0">
        <w:t>workers</w:t>
      </w:r>
      <w:r w:rsidR="0054660E">
        <w:t xml:space="preserve"> </w:t>
      </w:r>
      <w:r w:rsidR="004F44B6">
        <w:t xml:space="preserve">when </w:t>
      </w:r>
      <w:r w:rsidR="00F32C6D">
        <w:t>there</w:t>
      </w:r>
      <w:r w:rsidR="00C83108" w:rsidRPr="00C83108">
        <w:t xml:space="preserve"> </w:t>
      </w:r>
      <w:r w:rsidR="00C83108">
        <w:t>is a significant risk to the workers</w:t>
      </w:r>
      <w:r w:rsidR="00272A74">
        <w:t>’</w:t>
      </w:r>
      <w:r w:rsidR="00C83108">
        <w:t xml:space="preserve"> health because of exposure to </w:t>
      </w:r>
      <w:r w:rsidR="00F32C6D">
        <w:t xml:space="preserve">RCS. </w:t>
      </w:r>
    </w:p>
    <w:p w14:paraId="7695617D" w14:textId="5B2A861A" w:rsidR="00ED07E0" w:rsidRPr="009D0A4A" w:rsidRDefault="231E39A7" w:rsidP="00234FEF">
      <w:pPr>
        <w:pStyle w:val="BodyText"/>
      </w:pPr>
      <w:r w:rsidRPr="009D0A4A">
        <w:t>The</w:t>
      </w:r>
      <w:r w:rsidR="009C6A16" w:rsidRPr="009D0A4A" w:rsidDel="003F04F7">
        <w:t xml:space="preserve"> </w:t>
      </w:r>
      <w:r w:rsidR="003F04F7">
        <w:t>number</w:t>
      </w:r>
      <w:r w:rsidR="003F04F7" w:rsidRPr="009D0A4A">
        <w:t xml:space="preserve"> </w:t>
      </w:r>
      <w:r w:rsidRPr="009D0A4A">
        <w:t>of cases detected through health screening suggests that health monitoring</w:t>
      </w:r>
      <w:r w:rsidR="003F04F7">
        <w:t xml:space="preserve">, </w:t>
      </w:r>
      <w:r w:rsidR="00A20E12" w:rsidRPr="009D0A4A">
        <w:t xml:space="preserve">as required </w:t>
      </w:r>
      <w:r w:rsidR="003F04F7">
        <w:t>under</w:t>
      </w:r>
      <w:r w:rsidR="003F04F7" w:rsidRPr="009D0A4A">
        <w:t xml:space="preserve"> </w:t>
      </w:r>
      <w:r w:rsidR="00A20E12" w:rsidRPr="009D0A4A">
        <w:t>the model WHS laws</w:t>
      </w:r>
      <w:r w:rsidR="003F04F7">
        <w:t>,</w:t>
      </w:r>
      <w:r w:rsidR="003F04F7" w:rsidRPr="009D0A4A">
        <w:t xml:space="preserve"> </w:t>
      </w:r>
      <w:r w:rsidRPr="009D0A4A">
        <w:t xml:space="preserve">is not occurring at the rates that </w:t>
      </w:r>
      <w:r w:rsidR="007D4DBC" w:rsidRPr="009D0A4A">
        <w:t xml:space="preserve">it </w:t>
      </w:r>
      <w:r w:rsidRPr="009D0A4A">
        <w:t>should be.</w:t>
      </w:r>
      <w:r w:rsidR="29FD8E37" w:rsidRPr="009D0A4A">
        <w:t xml:space="preserve"> </w:t>
      </w:r>
      <w:fldSimple w:instr=" REF _Ref125288888 ">
        <w:r w:rsidR="0087174F">
          <w:t xml:space="preserve">Table </w:t>
        </w:r>
        <w:r w:rsidR="0087174F">
          <w:rPr>
            <w:noProof/>
          </w:rPr>
          <w:t>7</w:t>
        </w:r>
      </w:fldSimple>
      <w:r w:rsidR="00F6435E" w:rsidRPr="009D0A4A">
        <w:t xml:space="preserve"> </w:t>
      </w:r>
      <w:r w:rsidR="03172D11" w:rsidRPr="009D0A4A">
        <w:t>below sets out the outcomes of state and territory silicosis health screening programs</w:t>
      </w:r>
      <w:r w:rsidR="00F61D4B" w:rsidRPr="009D0A4A">
        <w:t xml:space="preserve"> </w:t>
      </w:r>
      <w:r w:rsidR="00A20E12" w:rsidRPr="009D0A4A">
        <w:t>for</w:t>
      </w:r>
      <w:r w:rsidR="00F61D4B" w:rsidRPr="009D0A4A">
        <w:t xml:space="preserve"> stonemasons and engineered stone worker</w:t>
      </w:r>
      <w:r w:rsidR="000B768B" w:rsidRPr="009D0A4A">
        <w:t>s</w:t>
      </w:r>
      <w:r w:rsidR="001D6C05" w:rsidRPr="009D0A4A">
        <w:t xml:space="preserve">, where </w:t>
      </w:r>
      <w:r w:rsidR="00DA75E3" w:rsidRPr="009D0A4A">
        <w:t>436 workers have been referred for further assessment or diagnosed with silicosis since 2017.</w:t>
      </w:r>
    </w:p>
    <w:p w14:paraId="5539839F" w14:textId="412884A5" w:rsidR="0023528B" w:rsidRDefault="0023528B" w:rsidP="0023528B">
      <w:pPr>
        <w:pStyle w:val="Caption"/>
      </w:pPr>
      <w:bookmarkStart w:id="565" w:name="_Ref125288888"/>
      <w:r>
        <w:t xml:space="preserve">Table </w:t>
      </w:r>
      <w:fldSimple w:instr=" SEQ Table \* ARABIC ">
        <w:r w:rsidR="00DF768D">
          <w:rPr>
            <w:noProof/>
          </w:rPr>
          <w:t>7</w:t>
        </w:r>
      </w:fldSimple>
      <w:bookmarkEnd w:id="565"/>
      <w:r w:rsidR="00465388">
        <w:rPr>
          <w:noProof/>
        </w:rPr>
        <w:t>:</w:t>
      </w:r>
      <w:r w:rsidRPr="0023528B">
        <w:t xml:space="preserve"> </w:t>
      </w:r>
      <w:r w:rsidRPr="009D0A4A">
        <w:t>Outcomes of state and territory silicosis health screening programs</w:t>
      </w:r>
    </w:p>
    <w:tbl>
      <w:tblPr>
        <w:tblStyle w:val="PMCDefaultTableStyle"/>
        <w:tblW w:w="4654" w:type="pct"/>
        <w:jc w:val="center"/>
        <w:tblLook w:val="04A0" w:firstRow="1" w:lastRow="0" w:firstColumn="1" w:lastColumn="0" w:noHBand="0" w:noVBand="1"/>
      </w:tblPr>
      <w:tblGrid>
        <w:gridCol w:w="1773"/>
        <w:gridCol w:w="2198"/>
        <w:gridCol w:w="1814"/>
        <w:gridCol w:w="2017"/>
        <w:gridCol w:w="1696"/>
      </w:tblGrid>
      <w:tr w:rsidR="002B0A06" w:rsidRPr="000C215A" w14:paraId="5912C501" w14:textId="561A0547" w:rsidTr="0023528B">
        <w:trPr>
          <w:cnfStyle w:val="100000000000" w:firstRow="1" w:lastRow="0" w:firstColumn="0" w:lastColumn="0" w:oddVBand="0" w:evenVBand="0" w:oddHBand="0" w:evenHBand="0" w:firstRowFirstColumn="0" w:firstRowLastColumn="0" w:lastRowFirstColumn="0" w:lastRowLastColumn="0"/>
          <w:cantSplit/>
          <w:jc w:val="center"/>
        </w:trPr>
        <w:tc>
          <w:tcPr>
            <w:tcW w:w="933" w:type="pct"/>
          </w:tcPr>
          <w:p w14:paraId="66E91AE2" w14:textId="3D481C62" w:rsidR="002B0A06" w:rsidRPr="00D11E6E" w:rsidRDefault="002B0A06" w:rsidP="000C215A">
            <w:pPr>
              <w:pStyle w:val="TableHeading"/>
              <w:rPr>
                <w:b/>
                <w:bCs/>
              </w:rPr>
            </w:pPr>
            <w:r w:rsidRPr="00D11E6E">
              <w:rPr>
                <w:b/>
                <w:bCs/>
              </w:rPr>
              <w:t>Jurisdiction</w:t>
            </w:r>
          </w:p>
        </w:tc>
        <w:tc>
          <w:tcPr>
            <w:tcW w:w="1157" w:type="pct"/>
          </w:tcPr>
          <w:p w14:paraId="1601A7FF" w14:textId="4A88E9D9" w:rsidR="002B0A06" w:rsidRPr="00D11E6E" w:rsidRDefault="002B0A06" w:rsidP="000C215A">
            <w:pPr>
              <w:pStyle w:val="TableHeading"/>
              <w:rPr>
                <w:b/>
                <w:bCs/>
              </w:rPr>
            </w:pPr>
            <w:r w:rsidRPr="00D11E6E">
              <w:rPr>
                <w:b/>
                <w:bCs/>
              </w:rPr>
              <w:t>Source</w:t>
            </w:r>
          </w:p>
        </w:tc>
        <w:tc>
          <w:tcPr>
            <w:tcW w:w="955" w:type="pct"/>
          </w:tcPr>
          <w:p w14:paraId="0DC1AFB5" w14:textId="573F9FA1" w:rsidR="002B0A06" w:rsidRPr="00D11E6E" w:rsidRDefault="002B0A06" w:rsidP="000C215A">
            <w:pPr>
              <w:pStyle w:val="TableHeading"/>
              <w:rPr>
                <w:b/>
                <w:bCs/>
              </w:rPr>
            </w:pPr>
            <w:r w:rsidRPr="00D11E6E">
              <w:rPr>
                <w:b/>
                <w:bCs/>
              </w:rPr>
              <w:t>Period</w:t>
            </w:r>
          </w:p>
        </w:tc>
        <w:tc>
          <w:tcPr>
            <w:tcW w:w="1062" w:type="pct"/>
          </w:tcPr>
          <w:p w14:paraId="049A3BB2" w14:textId="582AECEA" w:rsidR="002B0A06" w:rsidRPr="00D11E6E" w:rsidRDefault="002B0A06" w:rsidP="000C215A">
            <w:pPr>
              <w:pStyle w:val="TableHeading"/>
              <w:rPr>
                <w:b/>
                <w:bCs/>
              </w:rPr>
            </w:pPr>
            <w:r w:rsidRPr="00D11E6E">
              <w:rPr>
                <w:b/>
                <w:bCs/>
              </w:rPr>
              <w:t>Number of workers participating in screening programs</w:t>
            </w:r>
          </w:p>
        </w:tc>
        <w:tc>
          <w:tcPr>
            <w:tcW w:w="893" w:type="pct"/>
          </w:tcPr>
          <w:p w14:paraId="3714A281" w14:textId="6EB21EE5" w:rsidR="002B0A06" w:rsidRPr="00D11E6E" w:rsidRDefault="002B0A06" w:rsidP="000C215A">
            <w:pPr>
              <w:pStyle w:val="TableHeading"/>
              <w:rPr>
                <w:b/>
                <w:bCs/>
              </w:rPr>
            </w:pPr>
            <w:r w:rsidRPr="00D11E6E">
              <w:rPr>
                <w:b/>
                <w:bCs/>
              </w:rPr>
              <w:t xml:space="preserve">Number of people with </w:t>
            </w:r>
            <w:r w:rsidR="0098575D" w:rsidRPr="00D11E6E">
              <w:rPr>
                <w:b/>
                <w:bCs/>
              </w:rPr>
              <w:t>probable or confirmed</w:t>
            </w:r>
            <w:r w:rsidRPr="00D11E6E">
              <w:rPr>
                <w:b/>
                <w:bCs/>
              </w:rPr>
              <w:t xml:space="preserve"> silicosis</w:t>
            </w:r>
          </w:p>
        </w:tc>
      </w:tr>
      <w:tr w:rsidR="002B0A06" w:rsidRPr="009D0A4A" w14:paraId="02F7E388" w14:textId="38F7B46F" w:rsidTr="0023528B">
        <w:trPr>
          <w:cnfStyle w:val="000000100000" w:firstRow="0" w:lastRow="0" w:firstColumn="0" w:lastColumn="0" w:oddVBand="0" w:evenVBand="0" w:oddHBand="1" w:evenHBand="0" w:firstRowFirstColumn="0" w:firstRowLastColumn="0" w:lastRowFirstColumn="0" w:lastRowLastColumn="0"/>
          <w:cantSplit/>
          <w:jc w:val="center"/>
        </w:trPr>
        <w:tc>
          <w:tcPr>
            <w:tcW w:w="933" w:type="pct"/>
          </w:tcPr>
          <w:p w14:paraId="401C934D" w14:textId="7FA35F96" w:rsidR="002B0A06" w:rsidRPr="009D0A4A" w:rsidRDefault="002B0A06" w:rsidP="00F77334">
            <w:pPr>
              <w:pStyle w:val="TableBody"/>
            </w:pPr>
            <w:r w:rsidRPr="009D0A4A">
              <w:t>QLD</w:t>
            </w:r>
            <w:r w:rsidR="00DB12DF" w:rsidRPr="009D0A4A">
              <w:rPr>
                <w:rStyle w:val="FootnoteReference"/>
              </w:rPr>
              <w:t xml:space="preserve"> </w:t>
            </w:r>
            <w:r w:rsidR="00DB12DF" w:rsidRPr="009D0A4A">
              <w:fldChar w:fldCharType="begin"/>
            </w:r>
            <w:r w:rsidR="004067E3">
              <w:instrText xml:space="preserve"> ADDIN ZOTERO_ITEM CSL_CITATION {"citationID":"BahyL4m2","properties":{"formattedCitation":"(Queensland Government 2020)","plainCitation":"(Queensland Government 2020)","noteIndex":0},"citationItems":[{"id":865,"uris":["http://zotero.org/users/6230888/items/L9VQ74YU"],"itemData":{"id":865,"type":"webpage","abstract":"Silicosis is a lung disease that can affect workers who’ve been exposed to silica.","genre":"Text","note":"Last Modified: 2021-05-27 10:24:47\npublisher: WorkCover Queensland","title":"WorkCover Screening Outcomes","URL":"https://www.worksafe.qld.gov.au/claims-and-insurance/work-related-injuries/types-of-injury-or-illness/work-related-respiratory-diseases/silicosis","author":[{"literal":"Queensland Government"}],"accessed":{"date-parts":[["2022",6,30]]},"issued":{"date-parts":[["2020",9,11]]}}}],"schema":"https://github.com/citation-style-language/schema/raw/master/csl-citation.json"} </w:instrText>
            </w:r>
            <w:r w:rsidR="00DB12DF" w:rsidRPr="009D0A4A">
              <w:fldChar w:fldCharType="separate"/>
            </w:r>
            <w:r w:rsidR="006B4A7D" w:rsidRPr="009D0A4A">
              <w:rPr>
                <w:rFonts w:ascii="Calibri" w:hAnsi="Calibri" w:cs="Calibri"/>
              </w:rPr>
              <w:t>(Queensland Government 2020)</w:t>
            </w:r>
            <w:r w:rsidR="00DB12DF" w:rsidRPr="009D0A4A">
              <w:fldChar w:fldCharType="end"/>
            </w:r>
          </w:p>
        </w:tc>
        <w:tc>
          <w:tcPr>
            <w:tcW w:w="1157" w:type="pct"/>
          </w:tcPr>
          <w:p w14:paraId="1E36E7E1" w14:textId="6FE85AC9" w:rsidR="002B0A06" w:rsidRPr="009D0A4A" w:rsidRDefault="002B0A06" w:rsidP="00F77334">
            <w:pPr>
              <w:pStyle w:val="TableBody"/>
            </w:pPr>
            <w:r w:rsidRPr="009D0A4A">
              <w:t>Regulator health screening program</w:t>
            </w:r>
            <w:r w:rsidR="002E1BD8">
              <w:t xml:space="preserve"> for stonemasons working with engineered stone</w:t>
            </w:r>
          </w:p>
        </w:tc>
        <w:tc>
          <w:tcPr>
            <w:tcW w:w="955" w:type="pct"/>
          </w:tcPr>
          <w:p w14:paraId="75633336" w14:textId="3E84EFD0" w:rsidR="002B0A06" w:rsidRPr="009D0A4A" w:rsidRDefault="009E3E02" w:rsidP="00F77334">
            <w:pPr>
              <w:pStyle w:val="TableBody"/>
            </w:pPr>
            <w:r w:rsidRPr="009D0A4A">
              <w:t>September 2018 -</w:t>
            </w:r>
            <w:r w:rsidR="002B0A06" w:rsidRPr="009D0A4A">
              <w:t xml:space="preserve"> 30 November 2021</w:t>
            </w:r>
          </w:p>
        </w:tc>
        <w:tc>
          <w:tcPr>
            <w:tcW w:w="1062" w:type="pct"/>
          </w:tcPr>
          <w:p w14:paraId="5D7BE19B" w14:textId="1848ED19" w:rsidR="002B0A06" w:rsidRPr="009D0A4A" w:rsidRDefault="002B0A06" w:rsidP="00F77334">
            <w:pPr>
              <w:pStyle w:val="TableBody"/>
            </w:pPr>
            <w:r w:rsidRPr="009D0A4A">
              <w:t>1,053</w:t>
            </w:r>
          </w:p>
        </w:tc>
        <w:tc>
          <w:tcPr>
            <w:tcW w:w="893" w:type="pct"/>
          </w:tcPr>
          <w:p w14:paraId="2CF587A4" w14:textId="15809F53" w:rsidR="002B0A06" w:rsidRPr="009D0A4A" w:rsidRDefault="002B0A06" w:rsidP="00F77334">
            <w:pPr>
              <w:pStyle w:val="TableBody"/>
            </w:pPr>
            <w:r w:rsidRPr="009D0A4A">
              <w:t>238</w:t>
            </w:r>
            <w:r w:rsidRPr="009D0A4A">
              <w:rPr>
                <w:rStyle w:val="FootnoteReference"/>
              </w:rPr>
              <w:footnoteReference w:id="5"/>
            </w:r>
          </w:p>
        </w:tc>
      </w:tr>
      <w:tr w:rsidR="002B0A06" w:rsidRPr="009D0A4A" w14:paraId="6783CF33" w14:textId="5DB91C37" w:rsidTr="0023528B">
        <w:trPr>
          <w:cnfStyle w:val="000000010000" w:firstRow="0" w:lastRow="0" w:firstColumn="0" w:lastColumn="0" w:oddVBand="0" w:evenVBand="0" w:oddHBand="0" w:evenHBand="1" w:firstRowFirstColumn="0" w:firstRowLastColumn="0" w:lastRowFirstColumn="0" w:lastRowLastColumn="0"/>
          <w:cantSplit/>
          <w:jc w:val="center"/>
        </w:trPr>
        <w:tc>
          <w:tcPr>
            <w:tcW w:w="933" w:type="pct"/>
          </w:tcPr>
          <w:p w14:paraId="7AE07AA5" w14:textId="4E6D305E" w:rsidR="002B0A06" w:rsidRPr="009D0A4A" w:rsidRDefault="002B0A06" w:rsidP="00F77334">
            <w:pPr>
              <w:pStyle w:val="TableBody"/>
            </w:pPr>
            <w:r w:rsidRPr="009D0A4A">
              <w:t>NSW (2017 – 2020)</w:t>
            </w:r>
            <w:r w:rsidR="00DB12DF" w:rsidRPr="009D0A4A">
              <w:t xml:space="preserve"> </w:t>
            </w:r>
            <w:r w:rsidR="00DB12DF" w:rsidRPr="009D0A4A">
              <w:fldChar w:fldCharType="begin"/>
            </w:r>
            <w:r w:rsidR="004067E3">
              <w:instrText xml:space="preserve"> ADDIN ZOTERO_ITEM CSL_CITATION {"citationID":"q6obj955","properties":{"formattedCitation":"(Golder Associates Pty Ltd 2021)","plainCitation":"(Golder Associates Pty Ltd 2021)","noteIndex":0},"citationItems":[{"id":868,"uris":["http://zotero.org/users/6230888/items/ZNZEJXCF"],"itemData":{"id":868,"type":"article-journal","language":"en","page":"59","source":"Zotero","title":"Case Finding Study - Respirable crystalline silica exposure in the NSW manufactured stone industry","author":[{"literal":"Golder Associates Pty Ltd"}],"issued":{"date-parts":[["2021"]]}}}],"schema":"https://github.com/citation-style-language/schema/raw/master/csl-citation.json"} </w:instrText>
            </w:r>
            <w:r w:rsidR="00DB12DF" w:rsidRPr="009D0A4A">
              <w:fldChar w:fldCharType="separate"/>
            </w:r>
            <w:r w:rsidR="006B4A7D" w:rsidRPr="009D0A4A">
              <w:rPr>
                <w:rFonts w:ascii="Calibri" w:hAnsi="Calibri" w:cs="Calibri"/>
              </w:rPr>
              <w:t>(Golder Associates Pty Ltd 2021)</w:t>
            </w:r>
            <w:r w:rsidR="00DB12DF" w:rsidRPr="009D0A4A">
              <w:fldChar w:fldCharType="end"/>
            </w:r>
          </w:p>
        </w:tc>
        <w:tc>
          <w:tcPr>
            <w:tcW w:w="1157" w:type="pct"/>
          </w:tcPr>
          <w:p w14:paraId="00606EDD" w14:textId="29DD82C0" w:rsidR="002B0A06" w:rsidRPr="009D0A4A" w:rsidRDefault="002B0A06" w:rsidP="00F77334">
            <w:pPr>
              <w:pStyle w:val="TableBody"/>
            </w:pPr>
            <w:r w:rsidRPr="009D0A4A">
              <w:t>icare NSW screening</w:t>
            </w:r>
            <w:r w:rsidR="002E1BD8">
              <w:t xml:space="preserve"> </w:t>
            </w:r>
            <w:r w:rsidR="00750CDA">
              <w:t xml:space="preserve">of stonemasons working with engineered stone </w:t>
            </w:r>
          </w:p>
        </w:tc>
        <w:tc>
          <w:tcPr>
            <w:tcW w:w="955" w:type="pct"/>
          </w:tcPr>
          <w:p w14:paraId="488CE985" w14:textId="5BA3E3DF" w:rsidR="002B0A06" w:rsidRPr="009D0A4A" w:rsidRDefault="002B0A06" w:rsidP="00F77334">
            <w:pPr>
              <w:pStyle w:val="TableBody"/>
            </w:pPr>
            <w:r w:rsidRPr="009D0A4A">
              <w:t>Financial years 2017-18, 2018-19 and 2019-20</w:t>
            </w:r>
          </w:p>
        </w:tc>
        <w:tc>
          <w:tcPr>
            <w:tcW w:w="1062" w:type="pct"/>
          </w:tcPr>
          <w:p w14:paraId="092155EC" w14:textId="1F64D18B" w:rsidR="002B0A06" w:rsidRPr="009D0A4A" w:rsidRDefault="002B0A06" w:rsidP="00F77334">
            <w:pPr>
              <w:pStyle w:val="TableBody"/>
            </w:pPr>
            <w:r w:rsidRPr="009D0A4A">
              <w:t>3,030</w:t>
            </w:r>
          </w:p>
        </w:tc>
        <w:tc>
          <w:tcPr>
            <w:tcW w:w="893" w:type="pct"/>
          </w:tcPr>
          <w:p w14:paraId="4BC32F8B" w14:textId="4D47506E" w:rsidR="002B0A06" w:rsidRPr="009D0A4A" w:rsidRDefault="002B0A06" w:rsidP="00F77334">
            <w:pPr>
              <w:pStyle w:val="TableBody"/>
            </w:pPr>
            <w:r w:rsidRPr="009D0A4A">
              <w:t>156</w:t>
            </w:r>
          </w:p>
        </w:tc>
      </w:tr>
      <w:tr w:rsidR="002B0A06" w:rsidRPr="009D0A4A" w14:paraId="31D999FF" w14:textId="77777777" w:rsidTr="0023528B">
        <w:trPr>
          <w:cnfStyle w:val="000000100000" w:firstRow="0" w:lastRow="0" w:firstColumn="0" w:lastColumn="0" w:oddVBand="0" w:evenVBand="0" w:oddHBand="1" w:evenHBand="0" w:firstRowFirstColumn="0" w:firstRowLastColumn="0" w:lastRowFirstColumn="0" w:lastRowLastColumn="0"/>
          <w:cantSplit/>
          <w:jc w:val="center"/>
        </w:trPr>
        <w:tc>
          <w:tcPr>
            <w:tcW w:w="933" w:type="pct"/>
          </w:tcPr>
          <w:p w14:paraId="30C5BB27" w14:textId="3B91A2B3" w:rsidR="002B0A06" w:rsidRPr="009D0A4A" w:rsidRDefault="002B0A06" w:rsidP="00F77334">
            <w:pPr>
              <w:pStyle w:val="TableBody"/>
            </w:pPr>
            <w:r w:rsidRPr="009D0A4A">
              <w:lastRenderedPageBreak/>
              <w:t>SA</w:t>
            </w:r>
            <w:r w:rsidR="00EA11B0" w:rsidRPr="009D0A4A">
              <w:t xml:space="preserve"> </w:t>
            </w:r>
            <w:r w:rsidR="00EA11B0" w:rsidRPr="009D0A4A">
              <w:fldChar w:fldCharType="begin"/>
            </w:r>
            <w:r w:rsidR="004067E3">
              <w:instrText xml:space="preserve"> ADDIN ZOTERO_ITEM CSL_CITATION {"citationID":"0pTBF1j4","properties":{"formattedCitation":"(Wellbeing SA 2020)","plainCitation":"(Wellbeing SA 2020)","noteIndex":0},"citationItems":[{"id":870,"uris":["http://zotero.org/users/6230888/items/QSF8UJ79"],"itemData":{"id":870,"type":"report","page":"40","title":"Silicosis Health Screening Program Baseline findings – September 2020","URL":"https://www.safework.sa.gov.au/workplaces/chemicals-substances-and-explosives/documents/Silicosis-Health-Screening-Program-Baseline-Findings.pdf","author":[{"literal":"Wellbeing SA"}],"accessed":{"date-parts":[["2022",6,30]]},"issued":{"date-parts":[["2020"]]}}}],"schema":"https://github.com/citation-style-language/schema/raw/master/csl-citation.json"} </w:instrText>
            </w:r>
            <w:r w:rsidR="00EA11B0" w:rsidRPr="009D0A4A">
              <w:fldChar w:fldCharType="separate"/>
            </w:r>
            <w:r w:rsidR="006B4A7D" w:rsidRPr="009D0A4A">
              <w:rPr>
                <w:rFonts w:ascii="Calibri" w:hAnsi="Calibri" w:cs="Calibri"/>
              </w:rPr>
              <w:t>(</w:t>
            </w:r>
            <w:r w:rsidR="00C03D42" w:rsidRPr="00823D8F">
              <w:t xml:space="preserve"> Mining and Quarrying Occupational Health and Safety Committee</w:t>
            </w:r>
            <w:r w:rsidR="006B4A7D" w:rsidRPr="009D0A4A">
              <w:rPr>
                <w:rFonts w:ascii="Calibri" w:hAnsi="Calibri" w:cs="Calibri"/>
              </w:rPr>
              <w:t xml:space="preserve"> 2020)</w:t>
            </w:r>
            <w:r w:rsidR="00EA11B0" w:rsidRPr="009D0A4A">
              <w:fldChar w:fldCharType="end"/>
            </w:r>
          </w:p>
        </w:tc>
        <w:tc>
          <w:tcPr>
            <w:tcW w:w="1157" w:type="pct"/>
          </w:tcPr>
          <w:p w14:paraId="59AE684B" w14:textId="3E7ACC87" w:rsidR="002B0A06" w:rsidRPr="009D0A4A" w:rsidRDefault="002B0A06" w:rsidP="00F77334">
            <w:pPr>
              <w:pStyle w:val="TableBody"/>
            </w:pPr>
            <w:r w:rsidRPr="009D0A4A">
              <w:t>Health screening program</w:t>
            </w:r>
            <w:r w:rsidR="009D41C5">
              <w:t xml:space="preserve"> for stonemasons and construction workers</w:t>
            </w:r>
          </w:p>
        </w:tc>
        <w:tc>
          <w:tcPr>
            <w:tcW w:w="955" w:type="pct"/>
          </w:tcPr>
          <w:p w14:paraId="2CA9A056" w14:textId="335A6B37" w:rsidR="002B0A06" w:rsidRPr="009D0A4A" w:rsidRDefault="002B0A06" w:rsidP="00F77334">
            <w:pPr>
              <w:pStyle w:val="TableBody"/>
            </w:pPr>
            <w:r w:rsidRPr="009D0A4A">
              <w:t>1 March to 16 August 2019</w:t>
            </w:r>
          </w:p>
        </w:tc>
        <w:tc>
          <w:tcPr>
            <w:tcW w:w="1062" w:type="pct"/>
          </w:tcPr>
          <w:p w14:paraId="590FAD37" w14:textId="785D1265" w:rsidR="002B0A06" w:rsidRPr="009D0A4A" w:rsidRDefault="002B0A06" w:rsidP="00F77334">
            <w:pPr>
              <w:pStyle w:val="TableBody"/>
            </w:pPr>
            <w:r w:rsidRPr="009D0A4A">
              <w:t>295</w:t>
            </w:r>
          </w:p>
        </w:tc>
        <w:tc>
          <w:tcPr>
            <w:tcW w:w="893" w:type="pct"/>
          </w:tcPr>
          <w:p w14:paraId="6CE6B86D" w14:textId="026CEE46" w:rsidR="002B0A06" w:rsidRPr="009D0A4A" w:rsidRDefault="002B0A06" w:rsidP="00F77334">
            <w:pPr>
              <w:pStyle w:val="TableBody"/>
            </w:pPr>
            <w:r w:rsidRPr="009D0A4A">
              <w:t>18</w:t>
            </w:r>
            <w:r w:rsidRPr="009D0A4A">
              <w:rPr>
                <w:rStyle w:val="FootnoteReference"/>
              </w:rPr>
              <w:footnoteReference w:id="6"/>
            </w:r>
          </w:p>
        </w:tc>
      </w:tr>
      <w:tr w:rsidR="002B0A06" w:rsidRPr="009D0A4A" w14:paraId="24AABE61" w14:textId="44C7261B" w:rsidTr="0023528B">
        <w:trPr>
          <w:cnfStyle w:val="000000010000" w:firstRow="0" w:lastRow="0" w:firstColumn="0" w:lastColumn="0" w:oddVBand="0" w:evenVBand="0" w:oddHBand="0" w:evenHBand="1" w:firstRowFirstColumn="0" w:firstRowLastColumn="0" w:lastRowFirstColumn="0" w:lastRowLastColumn="0"/>
          <w:cantSplit/>
          <w:jc w:val="center"/>
        </w:trPr>
        <w:tc>
          <w:tcPr>
            <w:tcW w:w="933" w:type="pct"/>
          </w:tcPr>
          <w:p w14:paraId="5D9B5070" w14:textId="77777777" w:rsidR="002B0A06" w:rsidRPr="009D0A4A" w:rsidRDefault="002B0A06" w:rsidP="00F77334">
            <w:pPr>
              <w:pStyle w:val="TableBody"/>
            </w:pPr>
            <w:r w:rsidRPr="009D0A4A">
              <w:t>WA</w:t>
            </w:r>
            <w:r w:rsidR="00EA11B0" w:rsidRPr="009D0A4A">
              <w:t xml:space="preserve"> </w:t>
            </w:r>
            <w:r w:rsidR="00EA11B0" w:rsidRPr="009D0A4A">
              <w:fldChar w:fldCharType="begin"/>
            </w:r>
            <w:r w:rsidR="004067E3">
              <w:instrText xml:space="preserve"> ADDIN ZOTERO_ITEM CSL_CITATION {"citationID":"9d9TCO1d","properties":{"formattedCitation":"(WorkSafe Western Australia 2021)","plainCitation":"(WorkSafe Western Australia 2021)","noteIndex":0},"citationItems":[{"id":871,"uris":["http://zotero.org/users/6230888/items/TA8RQVKK"],"itemData":{"id":871,"type":"report","abstract":"Between July 2018 and May 2021, WorkSafe WA undertook a proactive compliance project into engineered stone benchtop fabrication and installation to investigate respirable crystalline silica (RCS) e","language":"en","page":"8","title":"WorkSafe Western Australia silica compliance project - report","URL":"https://www.commerce.wa.gov.au/sites/default/files/atoms/files/silica_compliance_report.pdf","author":[{"literal":"WorkSafe Western Australia"}],"accessed":{"date-parts":[["2022",6,30]]},"issued":{"date-parts":[["2021",7,14]]}}}],"schema":"https://github.com/citation-style-language/schema/raw/master/csl-citation.json"} </w:instrText>
            </w:r>
            <w:r w:rsidR="00EA11B0" w:rsidRPr="009D0A4A">
              <w:fldChar w:fldCharType="separate"/>
            </w:r>
            <w:r w:rsidR="006B4A7D" w:rsidRPr="009D0A4A">
              <w:rPr>
                <w:rFonts w:ascii="Calibri" w:hAnsi="Calibri" w:cs="Calibri"/>
              </w:rPr>
              <w:t>(WorkSafe Western Australia 2021)</w:t>
            </w:r>
            <w:r w:rsidR="00EA11B0" w:rsidRPr="009D0A4A">
              <w:fldChar w:fldCharType="end"/>
            </w:r>
          </w:p>
        </w:tc>
        <w:tc>
          <w:tcPr>
            <w:tcW w:w="1157" w:type="pct"/>
          </w:tcPr>
          <w:p w14:paraId="0A3591C1" w14:textId="5E260EB9" w:rsidR="002B0A06" w:rsidRPr="009D0A4A" w:rsidRDefault="002B0A06" w:rsidP="00F77334">
            <w:pPr>
              <w:pStyle w:val="TableBody"/>
            </w:pPr>
            <w:r w:rsidRPr="009D0A4A">
              <w:t>Regulator health screening program</w:t>
            </w:r>
            <w:r w:rsidR="009D41C5">
              <w:t xml:space="preserve"> for </w:t>
            </w:r>
            <w:r w:rsidR="00623CDF">
              <w:t>engineered stone fabrication workers and installers</w:t>
            </w:r>
          </w:p>
        </w:tc>
        <w:tc>
          <w:tcPr>
            <w:tcW w:w="955" w:type="pct"/>
          </w:tcPr>
          <w:p w14:paraId="40429D61" w14:textId="7F8CA1A1" w:rsidR="002B0A06" w:rsidRPr="009D0A4A" w:rsidRDefault="002B0A06" w:rsidP="00F77334">
            <w:pPr>
              <w:pStyle w:val="TableBody"/>
            </w:pPr>
            <w:r w:rsidRPr="009D0A4A">
              <w:t>July 2018 to May 2021</w:t>
            </w:r>
          </w:p>
        </w:tc>
        <w:tc>
          <w:tcPr>
            <w:tcW w:w="1062" w:type="pct"/>
          </w:tcPr>
          <w:p w14:paraId="473C92CB" w14:textId="46F31D63" w:rsidR="002B0A06" w:rsidRPr="009D0A4A" w:rsidRDefault="002B0A06" w:rsidP="00F77334">
            <w:pPr>
              <w:pStyle w:val="TableBody"/>
            </w:pPr>
            <w:r w:rsidRPr="009D0A4A">
              <w:t>365</w:t>
            </w:r>
          </w:p>
        </w:tc>
        <w:tc>
          <w:tcPr>
            <w:tcW w:w="893" w:type="pct"/>
          </w:tcPr>
          <w:p w14:paraId="36D2959C" w14:textId="3D61E6A9" w:rsidR="002B0A06" w:rsidRPr="009D0A4A" w:rsidRDefault="002B0A06" w:rsidP="00F77334">
            <w:pPr>
              <w:pStyle w:val="TableBody"/>
            </w:pPr>
            <w:r w:rsidRPr="009D0A4A">
              <w:t>24</w:t>
            </w:r>
          </w:p>
        </w:tc>
      </w:tr>
    </w:tbl>
    <w:p w14:paraId="537F89E5" w14:textId="77777777" w:rsidR="007A3E04" w:rsidRDefault="007A3E04" w:rsidP="00234FEF">
      <w:pPr>
        <w:pStyle w:val="BodyText"/>
      </w:pPr>
      <w:bookmarkStart w:id="566" w:name="_Toc92873044"/>
      <w:bookmarkStart w:id="567" w:name="_Toc92873124"/>
    </w:p>
    <w:p w14:paraId="5553940B" w14:textId="1C62F749" w:rsidR="002C29D8" w:rsidRDefault="001156A4" w:rsidP="00234FEF">
      <w:pPr>
        <w:pStyle w:val="BodyText"/>
      </w:pPr>
      <w:r>
        <w:t>Two states</w:t>
      </w:r>
      <w:r w:rsidR="00971142">
        <w:t xml:space="preserve"> (NSW</w:t>
      </w:r>
      <w:r w:rsidR="00A36EE8" w:rsidRPr="00A36EE8">
        <w:t xml:space="preserve"> </w:t>
      </w:r>
      <w:r w:rsidR="00A36EE8">
        <w:t>and</w:t>
      </w:r>
      <w:r w:rsidR="00A36EE8" w:rsidRPr="00A36EE8">
        <w:t xml:space="preserve"> </w:t>
      </w:r>
      <w:r w:rsidR="00A36EE8">
        <w:t>Queensland</w:t>
      </w:r>
      <w:r w:rsidR="00971142">
        <w:t>)</w:t>
      </w:r>
      <w:r>
        <w:t xml:space="preserve"> have recently introduced </w:t>
      </w:r>
      <w:r w:rsidR="00971142">
        <w:t>dust d</w:t>
      </w:r>
      <w:r w:rsidR="007912AF">
        <w:t>isease registers</w:t>
      </w:r>
      <w:r w:rsidR="000F099E">
        <w:t xml:space="preserve"> to</w:t>
      </w:r>
      <w:r w:rsidR="00C64309">
        <w:t xml:space="preserve"> </w:t>
      </w:r>
      <w:r w:rsidR="00CA64AC">
        <w:t>capture and share data on the incidence of occupational</w:t>
      </w:r>
      <w:r w:rsidR="002E13DA">
        <w:t xml:space="preserve"> lung</w:t>
      </w:r>
      <w:r w:rsidR="00CA64AC">
        <w:t xml:space="preserve"> diseases (</w:t>
      </w:r>
      <w:r w:rsidR="002379B1">
        <w:t>e.g.,</w:t>
      </w:r>
      <w:r w:rsidR="00CA64AC">
        <w:t xml:space="preserve"> silicosis), causative </w:t>
      </w:r>
      <w:r w:rsidR="006F7195" w:rsidRPr="006F7195">
        <w:t>exposures and respiratory health data.</w:t>
      </w:r>
      <w:r w:rsidR="002379B1">
        <w:t xml:space="preserve"> </w:t>
      </w:r>
      <w:r w:rsidR="00971142">
        <w:t>Both</w:t>
      </w:r>
      <w:r w:rsidR="00202A42">
        <w:t xml:space="preserve"> registers </w:t>
      </w:r>
      <w:r w:rsidR="00D27332">
        <w:t>mandate the</w:t>
      </w:r>
      <w:r w:rsidR="00202A42">
        <w:t xml:space="preserve"> reporting of </w:t>
      </w:r>
      <w:r w:rsidR="00DF682F">
        <w:t xml:space="preserve">specified dust diseases, including silicosis. </w:t>
      </w:r>
      <w:r w:rsidR="00971142">
        <w:t xml:space="preserve">The </w:t>
      </w:r>
      <w:r w:rsidR="00F4569E">
        <w:t>Commonwealth</w:t>
      </w:r>
      <w:r w:rsidR="00971142">
        <w:t xml:space="preserve"> is </w:t>
      </w:r>
      <w:r w:rsidR="00C13843">
        <w:t xml:space="preserve">also </w:t>
      </w:r>
      <w:r w:rsidR="00971142">
        <w:t>currently undertaking work to establish a National Occupational Respirat</w:t>
      </w:r>
      <w:r w:rsidR="00AD19D3">
        <w:t>ory</w:t>
      </w:r>
      <w:r w:rsidR="00F4569E">
        <w:t xml:space="preserve"> </w:t>
      </w:r>
      <w:r w:rsidR="00AD19D3">
        <w:t>Disease Regist</w:t>
      </w:r>
      <w:r w:rsidR="009944CD">
        <w:t>ry</w:t>
      </w:r>
      <w:r w:rsidR="00C75BD7">
        <w:t xml:space="preserve"> (NORDR)</w:t>
      </w:r>
      <w:r w:rsidR="009944CD">
        <w:t>.</w:t>
      </w:r>
      <w:r w:rsidR="00046462">
        <w:t xml:space="preserve"> As an interim measure</w:t>
      </w:r>
      <w:r w:rsidR="00C75BD7">
        <w:t xml:space="preserve"> to the implementation to the NORDR, South Australia</w:t>
      </w:r>
      <w:r w:rsidR="00897B33">
        <w:t xml:space="preserve"> implemented the South Australian Silicosis Registry</w:t>
      </w:r>
      <w:r w:rsidR="00F00910">
        <w:t xml:space="preserve"> in 2022 in four public hospitals. To date, no silicosis</w:t>
      </w:r>
      <w:r w:rsidR="00847900">
        <w:t xml:space="preserve"> cases have been added to the registry.</w:t>
      </w:r>
    </w:p>
    <w:p w14:paraId="715FDD89" w14:textId="344C565B" w:rsidR="004750A7" w:rsidRDefault="00243884" w:rsidP="00234FEF">
      <w:pPr>
        <w:pStyle w:val="BodyText"/>
      </w:pPr>
      <w:r>
        <w:t>Silicosis cases reported to</w:t>
      </w:r>
      <w:r w:rsidR="0097549F">
        <w:t xml:space="preserve"> the </w:t>
      </w:r>
      <w:r w:rsidR="00847900">
        <w:t>NSW</w:t>
      </w:r>
      <w:r w:rsidR="0097549F">
        <w:t xml:space="preserve"> </w:t>
      </w:r>
      <w:r w:rsidR="00A36EE8">
        <w:t xml:space="preserve">and Queensland </w:t>
      </w:r>
      <w:r w:rsidR="00794172">
        <w:t xml:space="preserve">dust disease </w:t>
      </w:r>
      <w:r w:rsidR="0097549F">
        <w:t xml:space="preserve">registries </w:t>
      </w:r>
      <w:r>
        <w:t>are presented in</w:t>
      </w:r>
      <w:r w:rsidR="0097549F" w:rsidDel="009D6D05">
        <w:t xml:space="preserve"> </w:t>
      </w:r>
      <w:fldSimple w:instr=" REF _Ref125288930 ">
        <w:r w:rsidR="0087174F" w:rsidRPr="0087174F">
          <w:t xml:space="preserve">Table </w:t>
        </w:r>
        <w:r w:rsidR="0087174F" w:rsidRPr="0087174F">
          <w:rPr>
            <w:noProof/>
          </w:rPr>
          <w:t>8</w:t>
        </w:r>
      </w:fldSimple>
      <w:r w:rsidR="0097549F">
        <w:t>. In NSW</w:t>
      </w:r>
      <w:r w:rsidR="0032065D">
        <w:t xml:space="preserve"> a total of 277 cases </w:t>
      </w:r>
      <w:r w:rsidR="000D0FEC">
        <w:t xml:space="preserve">have been reported to </w:t>
      </w:r>
      <w:r w:rsidR="0032065D">
        <w:t xml:space="preserve">the registry, </w:t>
      </w:r>
      <w:r w:rsidR="00876CE8">
        <w:t xml:space="preserve">with </w:t>
      </w:r>
      <w:r w:rsidR="00BF7021">
        <w:t xml:space="preserve">57 </w:t>
      </w:r>
      <w:r w:rsidR="0032065D">
        <w:t>of these</w:t>
      </w:r>
      <w:r w:rsidR="00BF7021">
        <w:t xml:space="preserve"> reported </w:t>
      </w:r>
      <w:r w:rsidR="00007DA0">
        <w:t>in 2021-22</w:t>
      </w:r>
      <w:r w:rsidR="0097549F">
        <w:t xml:space="preserve">. </w:t>
      </w:r>
      <w:r w:rsidR="009C29B4">
        <w:t>Twenty</w:t>
      </w:r>
      <w:r w:rsidR="000D0FEC">
        <w:t>-</w:t>
      </w:r>
      <w:r w:rsidR="009C29B4">
        <w:t>two</w:t>
      </w:r>
      <w:r w:rsidR="00825104">
        <w:t xml:space="preserve"> </w:t>
      </w:r>
      <w:r w:rsidR="00CF3AA6">
        <w:t>per</w:t>
      </w:r>
      <w:r w:rsidR="00606FCF">
        <w:t xml:space="preserve"> </w:t>
      </w:r>
      <w:r w:rsidR="00CF3AA6">
        <w:t>cent</w:t>
      </w:r>
      <w:r w:rsidR="00825104">
        <w:t xml:space="preserve"> of reported cases </w:t>
      </w:r>
      <w:r w:rsidR="00C614D2">
        <w:t xml:space="preserve">in </w:t>
      </w:r>
      <w:r w:rsidR="00494882">
        <w:t xml:space="preserve">NSW in </w:t>
      </w:r>
      <w:r w:rsidR="00C614D2">
        <w:t>2021</w:t>
      </w:r>
      <w:r w:rsidR="00F6000E">
        <w:t xml:space="preserve">-22 </w:t>
      </w:r>
      <w:r w:rsidR="00825104">
        <w:t xml:space="preserve">were from </w:t>
      </w:r>
      <w:r w:rsidR="000F3043">
        <w:t xml:space="preserve">workers </w:t>
      </w:r>
      <w:r w:rsidR="00C76FAB">
        <w:t>last</w:t>
      </w:r>
      <w:r w:rsidR="000F3043">
        <w:t xml:space="preserve"> exposed in an industry other than engineered stone</w:t>
      </w:r>
      <w:sdt>
        <w:sdtPr>
          <w:id w:val="925222266"/>
          <w:lock w:val="contentLocked"/>
          <w:citation/>
        </w:sdtPr>
        <w:sdtEndPr/>
        <w:sdtContent>
          <w:r w:rsidR="00593B9D">
            <w:fldChar w:fldCharType="begin"/>
          </w:r>
          <w:r w:rsidR="00593B9D">
            <w:instrText xml:space="preserve"> CITATION Saf22 \l 3081 </w:instrText>
          </w:r>
          <w:r w:rsidR="00593B9D">
            <w:fldChar w:fldCharType="separate"/>
          </w:r>
          <w:r w:rsidR="00BF4902">
            <w:rPr>
              <w:noProof/>
            </w:rPr>
            <w:t xml:space="preserve"> (</w:t>
          </w:r>
          <w:r w:rsidR="00CF6594">
            <w:rPr>
              <w:noProof/>
            </w:rPr>
            <w:t>SafeWork NSW, 2022)</w:t>
          </w:r>
          <w:r w:rsidR="00593B9D">
            <w:fldChar w:fldCharType="end"/>
          </w:r>
        </w:sdtContent>
      </w:sdt>
      <w:r w:rsidR="00825104">
        <w:t>. In Queensland</w:t>
      </w:r>
      <w:r w:rsidR="00B057B8">
        <w:t xml:space="preserve"> a total of 368 cases </w:t>
      </w:r>
      <w:r w:rsidR="00494882">
        <w:t>have been rep</w:t>
      </w:r>
      <w:r w:rsidR="000D0FEC">
        <w:t>orted</w:t>
      </w:r>
      <w:r w:rsidR="00B057B8">
        <w:t xml:space="preserve"> </w:t>
      </w:r>
      <w:r w:rsidR="000D0FEC">
        <w:t>to</w:t>
      </w:r>
      <w:r w:rsidR="00B057B8">
        <w:t xml:space="preserve"> the registry, with 40 of these reported in </w:t>
      </w:r>
      <w:r w:rsidR="00494882">
        <w:t>2021-22.</w:t>
      </w:r>
      <w:r w:rsidR="00825104">
        <w:t xml:space="preserve"> </w:t>
      </w:r>
      <w:r w:rsidR="00494882">
        <w:t>Forty</w:t>
      </w:r>
      <w:r w:rsidR="00825104">
        <w:t xml:space="preserve"> per</w:t>
      </w:r>
      <w:r w:rsidR="00606FCF">
        <w:t xml:space="preserve"> </w:t>
      </w:r>
      <w:r w:rsidR="00825104">
        <w:t xml:space="preserve">cent of </w:t>
      </w:r>
      <w:r w:rsidR="00CF5571">
        <w:t>new</w:t>
      </w:r>
      <w:r w:rsidR="00825104">
        <w:t xml:space="preserve"> </w:t>
      </w:r>
      <w:r w:rsidR="00695F26">
        <w:t xml:space="preserve">silicosis </w:t>
      </w:r>
      <w:r w:rsidR="00825104">
        <w:t xml:space="preserve">cases reported in </w:t>
      </w:r>
      <w:r w:rsidR="00494882">
        <w:t xml:space="preserve">Queensland in </w:t>
      </w:r>
      <w:r w:rsidR="00825104">
        <w:t xml:space="preserve">2021-22 </w:t>
      </w:r>
      <w:r w:rsidR="00D45CF5">
        <w:t xml:space="preserve">were from </w:t>
      </w:r>
      <w:r w:rsidR="00C30D65">
        <w:t>manufacturing</w:t>
      </w:r>
      <w:r w:rsidR="00D45CF5">
        <w:t xml:space="preserve"> </w:t>
      </w:r>
      <w:r w:rsidR="00732872">
        <w:t xml:space="preserve">(including </w:t>
      </w:r>
      <w:r w:rsidR="00D45CF5">
        <w:t>engineered stone</w:t>
      </w:r>
      <w:r w:rsidR="00732872">
        <w:t>)</w:t>
      </w:r>
      <w:r w:rsidR="00D45CF5">
        <w:t xml:space="preserve"> workers; </w:t>
      </w:r>
      <w:r w:rsidR="00C52223">
        <w:t>33</w:t>
      </w:r>
      <w:r w:rsidR="00BE5AF6">
        <w:t xml:space="preserve"> per</w:t>
      </w:r>
      <w:r w:rsidR="00606FCF">
        <w:t xml:space="preserve"> </w:t>
      </w:r>
      <w:r w:rsidR="00BE5AF6">
        <w:t>cent</w:t>
      </w:r>
      <w:r w:rsidR="00C52223">
        <w:t xml:space="preserve"> </w:t>
      </w:r>
      <w:r w:rsidR="00D45CF5">
        <w:t xml:space="preserve">from workers in the </w:t>
      </w:r>
      <w:r w:rsidR="006A10C4">
        <w:t xml:space="preserve">mining, resources and quarrying </w:t>
      </w:r>
      <w:r w:rsidR="00D45CF5">
        <w:t xml:space="preserve">industry </w:t>
      </w:r>
      <w:r w:rsidR="006A10C4">
        <w:t>and a further 22</w:t>
      </w:r>
      <w:r w:rsidR="00BE5AF6">
        <w:t xml:space="preserve"> per</w:t>
      </w:r>
      <w:r w:rsidR="00FE0C0B">
        <w:t xml:space="preserve"> </w:t>
      </w:r>
      <w:r w:rsidR="00BE5AF6">
        <w:t>cent</w:t>
      </w:r>
      <w:r w:rsidR="006A10C4">
        <w:t xml:space="preserve"> were </w:t>
      </w:r>
      <w:r w:rsidR="00083B63">
        <w:t xml:space="preserve">reported in </w:t>
      </w:r>
      <w:r w:rsidR="000F3043">
        <w:t xml:space="preserve">the </w:t>
      </w:r>
      <w:r w:rsidR="00083B63">
        <w:t>construction</w:t>
      </w:r>
      <w:r w:rsidR="000F3043">
        <w:t xml:space="preserve"> industry</w:t>
      </w:r>
      <w:r w:rsidR="00BE5AF6">
        <w:t xml:space="preserve"> </w:t>
      </w:r>
      <w:sdt>
        <w:sdtPr>
          <w:id w:val="-561554481"/>
          <w:lock w:val="contentLocked"/>
          <w:citation/>
        </w:sdtPr>
        <w:sdtEndPr/>
        <w:sdtContent>
          <w:r w:rsidR="002308B0">
            <w:fldChar w:fldCharType="begin"/>
          </w:r>
          <w:r w:rsidR="002308B0">
            <w:instrText xml:space="preserve"> CITATION Sta22 \l 3081 </w:instrText>
          </w:r>
          <w:r w:rsidR="002308B0">
            <w:fldChar w:fldCharType="separate"/>
          </w:r>
          <w:r w:rsidR="00CF6594">
            <w:rPr>
              <w:noProof/>
            </w:rPr>
            <w:t>(State of Queensland (Queensland Health), 2022)</w:t>
          </w:r>
          <w:r w:rsidR="002308B0">
            <w:fldChar w:fldCharType="end"/>
          </w:r>
        </w:sdtContent>
      </w:sdt>
      <w:r w:rsidR="00083B63">
        <w:t xml:space="preserve">. </w:t>
      </w:r>
      <w:r w:rsidR="00D45CF5">
        <w:t>T</w:t>
      </w:r>
      <w:r w:rsidR="007D4480">
        <w:t>h</w:t>
      </w:r>
      <w:r w:rsidR="008248AE">
        <w:t>is highlights that th</w:t>
      </w:r>
      <w:r w:rsidR="79661F89">
        <w:t>e</w:t>
      </w:r>
      <w:r w:rsidR="007D4480">
        <w:t xml:space="preserve"> risk to workers of developing </w:t>
      </w:r>
      <w:r w:rsidR="008F110D">
        <w:t>silicosis</w:t>
      </w:r>
      <w:r w:rsidR="007D4480">
        <w:t xml:space="preserve"> is </w:t>
      </w:r>
      <w:r w:rsidR="000F3043">
        <w:t>broader than</w:t>
      </w:r>
      <w:r w:rsidR="007D4480">
        <w:t xml:space="preserve"> the engineered stone </w:t>
      </w:r>
      <w:r w:rsidR="001568EF">
        <w:t>industry</w:t>
      </w:r>
      <w:r w:rsidR="009327B2">
        <w:t>.</w:t>
      </w:r>
    </w:p>
    <w:p w14:paraId="16FE553E" w14:textId="45FA45CB" w:rsidR="0087174F" w:rsidRDefault="0087174F" w:rsidP="0087174F">
      <w:pPr>
        <w:pStyle w:val="Caption"/>
      </w:pPr>
      <w:bookmarkStart w:id="568" w:name="_Ref125288930"/>
      <w:r w:rsidRPr="0087174F">
        <w:t xml:space="preserve">Table </w:t>
      </w:r>
      <w:fldSimple w:instr=" SEQ Table \* ARABIC ">
        <w:r w:rsidR="00DF768D">
          <w:rPr>
            <w:noProof/>
          </w:rPr>
          <w:t>8</w:t>
        </w:r>
      </w:fldSimple>
      <w:bookmarkEnd w:id="568"/>
      <w:r w:rsidRPr="0087174F">
        <w:t>: Total</w:t>
      </w:r>
      <w:r w:rsidRPr="00791278">
        <w:t xml:space="preserve"> number of silicosis cases reported to state dust disease registers</w:t>
      </w:r>
    </w:p>
    <w:tbl>
      <w:tblPr>
        <w:tblStyle w:val="PMCDefaultTableStyle"/>
        <w:tblW w:w="10201" w:type="dxa"/>
        <w:jc w:val="center"/>
        <w:tblLook w:val="04A0" w:firstRow="1" w:lastRow="0" w:firstColumn="1" w:lastColumn="0" w:noHBand="0" w:noVBand="1"/>
      </w:tblPr>
      <w:tblGrid>
        <w:gridCol w:w="1451"/>
        <w:gridCol w:w="2605"/>
        <w:gridCol w:w="1388"/>
        <w:gridCol w:w="1314"/>
        <w:gridCol w:w="1314"/>
        <w:gridCol w:w="1138"/>
        <w:gridCol w:w="991"/>
      </w:tblGrid>
      <w:tr w:rsidR="00272CD9" w:rsidRPr="000C215A" w14:paraId="01D5055B" w14:textId="77777777" w:rsidTr="00791278">
        <w:trPr>
          <w:cnfStyle w:val="100000000000" w:firstRow="1" w:lastRow="0" w:firstColumn="0" w:lastColumn="0" w:oddVBand="0" w:evenVBand="0" w:oddHBand="0" w:evenHBand="0" w:firstRowFirstColumn="0" w:firstRowLastColumn="0" w:lastRowFirstColumn="0" w:lastRowLastColumn="0"/>
          <w:cantSplit/>
          <w:trHeight w:val="300"/>
          <w:jc w:val="center"/>
        </w:trPr>
        <w:tc>
          <w:tcPr>
            <w:tcW w:w="1451" w:type="dxa"/>
          </w:tcPr>
          <w:p w14:paraId="641B79C7" w14:textId="77777777" w:rsidR="00121D10" w:rsidRPr="00D11E6E" w:rsidRDefault="00121D10" w:rsidP="000C215A">
            <w:pPr>
              <w:pStyle w:val="TableHeading"/>
              <w:rPr>
                <w:b/>
                <w:bCs/>
              </w:rPr>
            </w:pPr>
            <w:r w:rsidRPr="00D11E6E">
              <w:rPr>
                <w:b/>
                <w:bCs/>
              </w:rPr>
              <w:t>Jurisdiction</w:t>
            </w:r>
          </w:p>
        </w:tc>
        <w:tc>
          <w:tcPr>
            <w:tcW w:w="2605" w:type="dxa"/>
          </w:tcPr>
          <w:p w14:paraId="0D1BC002" w14:textId="77777777" w:rsidR="00121D10" w:rsidRPr="00D11E6E" w:rsidRDefault="00121D10" w:rsidP="000C215A">
            <w:pPr>
              <w:pStyle w:val="TableHeading"/>
              <w:rPr>
                <w:b/>
                <w:bCs/>
              </w:rPr>
            </w:pPr>
            <w:r w:rsidRPr="00D11E6E">
              <w:rPr>
                <w:b/>
                <w:bCs/>
              </w:rPr>
              <w:t>Source</w:t>
            </w:r>
          </w:p>
        </w:tc>
        <w:tc>
          <w:tcPr>
            <w:tcW w:w="1388" w:type="dxa"/>
          </w:tcPr>
          <w:p w14:paraId="13A0F8A1" w14:textId="7ABC7D33" w:rsidR="080EDC72" w:rsidRPr="00D11E6E" w:rsidRDefault="080EDC72" w:rsidP="000C215A">
            <w:pPr>
              <w:pStyle w:val="TableHeading"/>
              <w:rPr>
                <w:b/>
                <w:bCs/>
              </w:rPr>
            </w:pPr>
            <w:r w:rsidRPr="00D11E6E">
              <w:rPr>
                <w:b/>
                <w:bCs/>
              </w:rPr>
              <w:t xml:space="preserve">Prior </w:t>
            </w:r>
            <w:r w:rsidR="3EBFF006" w:rsidRPr="00D11E6E">
              <w:rPr>
                <w:b/>
                <w:bCs/>
              </w:rPr>
              <w:t>to</w:t>
            </w:r>
            <w:r w:rsidR="00F861E6" w:rsidRPr="00D11E6E">
              <w:rPr>
                <w:b/>
                <w:bCs/>
              </w:rPr>
              <w:t xml:space="preserve"> </w:t>
            </w:r>
            <w:r w:rsidRPr="00D11E6E">
              <w:rPr>
                <w:b/>
                <w:bCs/>
              </w:rPr>
              <w:t>2019</w:t>
            </w:r>
          </w:p>
        </w:tc>
        <w:tc>
          <w:tcPr>
            <w:tcW w:w="1314" w:type="dxa"/>
          </w:tcPr>
          <w:p w14:paraId="6DE6B622" w14:textId="42F52BF9" w:rsidR="7EDC293F" w:rsidRPr="00D11E6E" w:rsidRDefault="7EDC293F" w:rsidP="000C215A">
            <w:pPr>
              <w:pStyle w:val="TableHeading"/>
              <w:rPr>
                <w:b/>
                <w:bCs/>
              </w:rPr>
            </w:pPr>
            <w:r w:rsidRPr="00D11E6E">
              <w:rPr>
                <w:b/>
                <w:bCs/>
              </w:rPr>
              <w:t>2019-20</w:t>
            </w:r>
          </w:p>
        </w:tc>
        <w:tc>
          <w:tcPr>
            <w:tcW w:w="1314" w:type="dxa"/>
          </w:tcPr>
          <w:p w14:paraId="7CA1B1BD" w14:textId="0502B9C0" w:rsidR="00121D10" w:rsidRPr="00D11E6E" w:rsidRDefault="00E173A0" w:rsidP="000C215A">
            <w:pPr>
              <w:pStyle w:val="TableHeading"/>
              <w:rPr>
                <w:b/>
                <w:bCs/>
              </w:rPr>
            </w:pPr>
            <w:r w:rsidRPr="00D11E6E">
              <w:rPr>
                <w:b/>
                <w:bCs/>
              </w:rPr>
              <w:t>2020-21</w:t>
            </w:r>
          </w:p>
        </w:tc>
        <w:tc>
          <w:tcPr>
            <w:tcW w:w="1138" w:type="dxa"/>
          </w:tcPr>
          <w:p w14:paraId="622C9585" w14:textId="15A5643A" w:rsidR="00121D10" w:rsidRPr="00D11E6E" w:rsidRDefault="00E173A0" w:rsidP="000C215A">
            <w:pPr>
              <w:pStyle w:val="TableHeading"/>
              <w:rPr>
                <w:b/>
                <w:bCs/>
              </w:rPr>
            </w:pPr>
            <w:r w:rsidRPr="00D11E6E">
              <w:rPr>
                <w:b/>
                <w:bCs/>
              </w:rPr>
              <w:t>2021-22</w:t>
            </w:r>
          </w:p>
        </w:tc>
        <w:tc>
          <w:tcPr>
            <w:tcW w:w="991" w:type="dxa"/>
          </w:tcPr>
          <w:p w14:paraId="637104E1" w14:textId="1785B2DE" w:rsidR="00121D10" w:rsidRPr="00D11E6E" w:rsidRDefault="00E173A0" w:rsidP="000C215A">
            <w:pPr>
              <w:pStyle w:val="TableHeading"/>
              <w:rPr>
                <w:b/>
                <w:bCs/>
              </w:rPr>
            </w:pPr>
            <w:r w:rsidRPr="00D11E6E">
              <w:rPr>
                <w:b/>
                <w:bCs/>
              </w:rPr>
              <w:t>Total</w:t>
            </w:r>
          </w:p>
        </w:tc>
      </w:tr>
      <w:tr w:rsidR="00272CD9" w:rsidRPr="009D0A4A" w14:paraId="0D1C9DCB" w14:textId="77777777" w:rsidTr="00791278">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451" w:type="dxa"/>
          </w:tcPr>
          <w:p w14:paraId="081D3812" w14:textId="77777777" w:rsidR="000B6774" w:rsidRPr="009D0A4A" w:rsidRDefault="000B6774" w:rsidP="00791278">
            <w:pPr>
              <w:pStyle w:val="TableBody"/>
            </w:pPr>
            <w:r w:rsidRPr="009D0A4A">
              <w:t xml:space="preserve">NSW </w:t>
            </w:r>
          </w:p>
        </w:tc>
        <w:tc>
          <w:tcPr>
            <w:tcW w:w="2605" w:type="dxa"/>
          </w:tcPr>
          <w:p w14:paraId="63FCB53F" w14:textId="56841771" w:rsidR="000B6774" w:rsidRPr="009D0A4A" w:rsidRDefault="000B6774" w:rsidP="00791278">
            <w:pPr>
              <w:pStyle w:val="TableBody"/>
            </w:pPr>
            <w:r>
              <w:t>NSW Dust Disease Register Annual Report 2021-22</w:t>
            </w:r>
            <w:sdt>
              <w:sdtPr>
                <w:id w:val="-1244328103"/>
                <w:citation/>
              </w:sdtPr>
              <w:sdtEndPr/>
              <w:sdtContent>
                <w:r>
                  <w:fldChar w:fldCharType="begin"/>
                </w:r>
                <w:r>
                  <w:instrText xml:space="preserve"> CITATION Saf22 \l 3081 </w:instrText>
                </w:r>
                <w:r>
                  <w:fldChar w:fldCharType="separate"/>
                </w:r>
                <w:r w:rsidR="00C80572">
                  <w:rPr>
                    <w:noProof/>
                  </w:rPr>
                  <w:t xml:space="preserve"> (SafeWork NSW, 2022)</w:t>
                </w:r>
                <w:r>
                  <w:fldChar w:fldCharType="end"/>
                </w:r>
              </w:sdtContent>
            </w:sdt>
          </w:p>
        </w:tc>
        <w:tc>
          <w:tcPr>
            <w:tcW w:w="1388" w:type="dxa"/>
          </w:tcPr>
          <w:p w14:paraId="24241B05" w14:textId="5C44A946" w:rsidR="5F877355" w:rsidRDefault="5F877355" w:rsidP="00791278">
            <w:pPr>
              <w:pStyle w:val="TableBody"/>
            </w:pPr>
            <w:r>
              <w:t>49</w:t>
            </w:r>
            <w:r w:rsidR="00D450A9">
              <w:rPr>
                <w:rStyle w:val="FootnoteReference"/>
              </w:rPr>
              <w:footnoteReference w:id="7"/>
            </w:r>
          </w:p>
        </w:tc>
        <w:tc>
          <w:tcPr>
            <w:tcW w:w="1314" w:type="dxa"/>
          </w:tcPr>
          <w:p w14:paraId="5F95D851" w14:textId="6D6BF444" w:rsidR="463EE672" w:rsidRDefault="5781F0E0" w:rsidP="00791278">
            <w:pPr>
              <w:pStyle w:val="TableBody"/>
            </w:pPr>
            <w:r>
              <w:t>107</w:t>
            </w:r>
          </w:p>
        </w:tc>
        <w:tc>
          <w:tcPr>
            <w:tcW w:w="1314" w:type="dxa"/>
          </w:tcPr>
          <w:p w14:paraId="70C22041" w14:textId="215DCDE4" w:rsidR="000B6774" w:rsidRPr="009D0A4A" w:rsidRDefault="003F08F0" w:rsidP="00791278">
            <w:pPr>
              <w:pStyle w:val="TableBody"/>
            </w:pPr>
            <w:r>
              <w:t>64</w:t>
            </w:r>
          </w:p>
        </w:tc>
        <w:tc>
          <w:tcPr>
            <w:tcW w:w="1138" w:type="dxa"/>
          </w:tcPr>
          <w:p w14:paraId="625C4CCE" w14:textId="6AF43486" w:rsidR="000B6774" w:rsidRPr="009D0A4A" w:rsidRDefault="006A043E" w:rsidP="00791278">
            <w:pPr>
              <w:pStyle w:val="TableBody"/>
            </w:pPr>
            <w:r>
              <w:t>57</w:t>
            </w:r>
          </w:p>
        </w:tc>
        <w:tc>
          <w:tcPr>
            <w:tcW w:w="991" w:type="dxa"/>
          </w:tcPr>
          <w:p w14:paraId="09FB69F5" w14:textId="2C791905" w:rsidR="000B6774" w:rsidRPr="009D0A4A" w:rsidRDefault="708E0D06" w:rsidP="00791278">
            <w:pPr>
              <w:pStyle w:val="TableBody"/>
            </w:pPr>
            <w:r>
              <w:t>2</w:t>
            </w:r>
            <w:r w:rsidR="006A043E">
              <w:t>77</w:t>
            </w:r>
          </w:p>
        </w:tc>
      </w:tr>
      <w:tr w:rsidR="00272CD9" w:rsidRPr="009D0A4A" w14:paraId="4752C17C" w14:textId="77777777" w:rsidTr="00791278">
        <w:trPr>
          <w:cnfStyle w:val="000000010000" w:firstRow="0" w:lastRow="0" w:firstColumn="0" w:lastColumn="0" w:oddVBand="0" w:evenVBand="0" w:oddHBand="0" w:evenHBand="1" w:firstRowFirstColumn="0" w:firstRowLastColumn="0" w:lastRowFirstColumn="0" w:lastRowLastColumn="0"/>
          <w:cantSplit/>
          <w:trHeight w:val="300"/>
          <w:jc w:val="center"/>
        </w:trPr>
        <w:tc>
          <w:tcPr>
            <w:tcW w:w="1451" w:type="dxa"/>
          </w:tcPr>
          <w:p w14:paraId="643B30D3" w14:textId="071C1178" w:rsidR="00121D10" w:rsidRPr="009D0A4A" w:rsidRDefault="00121D10" w:rsidP="00791278">
            <w:pPr>
              <w:pStyle w:val="TableBody"/>
            </w:pPr>
            <w:r w:rsidRPr="009D0A4A">
              <w:t>QLD</w:t>
            </w:r>
            <w:r w:rsidRPr="009D0A4A">
              <w:rPr>
                <w:rStyle w:val="FootnoteReference"/>
              </w:rPr>
              <w:t xml:space="preserve"> </w:t>
            </w:r>
            <w:r w:rsidRPr="009D0A4A">
              <w:fldChar w:fldCharType="begin"/>
            </w:r>
            <w:r>
              <w:instrText xml:space="preserve"> ADDIN ZOTERO_ITEM CSL_CITATION {"citationID":"BahyL4m2","properties":{"formattedCitation":"(Queensland Government 2020)","plainCitation":"(Queensland Government 2020)","noteIndex":0},"citationItems":[{"id":865,"uris":["http://zotero.org/users/6230888/items/L9VQ74YU"],"itemData":{"id":865,"type":"webpage","abstract":"Silicosis is a lung disease that can affect workers who’ve been exposed to silica.","genre":"Text","note":"Last Modified: 2021-05-27 10:24:47\npublisher: WorkCover Queensland","title":"WorkCover Screening Outcomes","URL":"https://www.worksafe.qld.gov.au/claims-and-insurance/work-related-injuries/types-of-injury-or-illness/work-related-respiratory-diseases/silicosis","author":[{"literal":"Queensland Government"}],"accessed":{"date-parts":[["2022",6,30]]},"issued":{"date-parts":[["2020",9,11]]}}}],"schema":"https://github.com/citation-style-language/schema/raw/master/csl-citation.json"} </w:instrText>
            </w:r>
            <w:r w:rsidRPr="009D0A4A">
              <w:fldChar w:fldCharType="separate"/>
            </w:r>
            <w:r w:rsidRPr="009D0A4A">
              <w:rPr>
                <w:rFonts w:ascii="Calibri" w:hAnsi="Calibri" w:cs="Calibri"/>
              </w:rPr>
              <w:t xml:space="preserve"> </w:t>
            </w:r>
            <w:r w:rsidRPr="009D0A4A">
              <w:fldChar w:fldCharType="end"/>
            </w:r>
          </w:p>
        </w:tc>
        <w:tc>
          <w:tcPr>
            <w:tcW w:w="2605" w:type="dxa"/>
          </w:tcPr>
          <w:p w14:paraId="4DCCF468" w14:textId="155DCB24" w:rsidR="00121D10" w:rsidRPr="009D0A4A" w:rsidRDefault="00CC7CA0" w:rsidP="00791278">
            <w:pPr>
              <w:pStyle w:val="TableBody"/>
            </w:pPr>
            <w:r w:rsidRPr="00CC7CA0">
              <w:t>Notifiable Dust Lung Disease Register</w:t>
            </w:r>
            <w:r w:rsidR="00EE5D2F">
              <w:t xml:space="preserve"> annual report 2021-2022</w:t>
            </w:r>
            <w:r w:rsidR="00224DDC">
              <w:t xml:space="preserve"> </w:t>
            </w:r>
            <w:sdt>
              <w:sdtPr>
                <w:id w:val="1244063464"/>
                <w:citation/>
              </w:sdtPr>
              <w:sdtEndPr/>
              <w:sdtContent>
                <w:r w:rsidR="00224DDC">
                  <w:fldChar w:fldCharType="begin"/>
                </w:r>
                <w:r w:rsidR="00224DDC">
                  <w:instrText xml:space="preserve"> CITATION Sta22 \l 3081 </w:instrText>
                </w:r>
                <w:r w:rsidR="00224DDC">
                  <w:fldChar w:fldCharType="separate"/>
                </w:r>
                <w:r w:rsidR="00C80572">
                  <w:rPr>
                    <w:noProof/>
                  </w:rPr>
                  <w:t>(State of Queensland (Queensland Health), 2022)</w:t>
                </w:r>
                <w:r w:rsidR="00224DDC">
                  <w:fldChar w:fldCharType="end"/>
                </w:r>
              </w:sdtContent>
            </w:sdt>
          </w:p>
        </w:tc>
        <w:tc>
          <w:tcPr>
            <w:tcW w:w="1388" w:type="dxa"/>
          </w:tcPr>
          <w:p w14:paraId="1F9C9B5C" w14:textId="4AC5E0A7" w:rsidR="7FA5C3C7" w:rsidRDefault="7FA5C3C7" w:rsidP="00791278">
            <w:pPr>
              <w:pStyle w:val="TableBody"/>
            </w:pPr>
            <w:r>
              <w:t>192</w:t>
            </w:r>
            <w:r w:rsidR="00D54831">
              <w:rPr>
                <w:rStyle w:val="FootnoteReference"/>
              </w:rPr>
              <w:footnoteReference w:id="8"/>
            </w:r>
          </w:p>
        </w:tc>
        <w:tc>
          <w:tcPr>
            <w:tcW w:w="1314" w:type="dxa"/>
          </w:tcPr>
          <w:p w14:paraId="5776806D" w14:textId="77992CF4" w:rsidR="463EE672" w:rsidRDefault="359E7207" w:rsidP="00791278">
            <w:pPr>
              <w:pStyle w:val="TableBody"/>
            </w:pPr>
            <w:r>
              <w:t>68</w:t>
            </w:r>
          </w:p>
        </w:tc>
        <w:tc>
          <w:tcPr>
            <w:tcW w:w="1314" w:type="dxa"/>
          </w:tcPr>
          <w:p w14:paraId="4AC91DE3" w14:textId="444F530F" w:rsidR="00121D10" w:rsidRPr="009D0A4A" w:rsidRDefault="00F162E2" w:rsidP="00791278">
            <w:pPr>
              <w:pStyle w:val="TableBody"/>
            </w:pPr>
            <w:r>
              <w:t>68</w:t>
            </w:r>
          </w:p>
        </w:tc>
        <w:tc>
          <w:tcPr>
            <w:tcW w:w="1138" w:type="dxa"/>
          </w:tcPr>
          <w:p w14:paraId="208C5AB8" w14:textId="3EAEC4BF" w:rsidR="00121D10" w:rsidRPr="009D0A4A" w:rsidRDefault="00F162E2" w:rsidP="00791278">
            <w:pPr>
              <w:pStyle w:val="TableBody"/>
            </w:pPr>
            <w:r>
              <w:t>40</w:t>
            </w:r>
            <w:r w:rsidR="003C2E7A">
              <w:rPr>
                <w:rStyle w:val="FootnoteReference"/>
              </w:rPr>
              <w:footnoteReference w:id="9"/>
            </w:r>
          </w:p>
        </w:tc>
        <w:tc>
          <w:tcPr>
            <w:tcW w:w="991" w:type="dxa"/>
          </w:tcPr>
          <w:p w14:paraId="438102BC" w14:textId="1A96B1BE" w:rsidR="00121D10" w:rsidRPr="009D0A4A" w:rsidRDefault="134EC6A6" w:rsidP="00791278">
            <w:pPr>
              <w:pStyle w:val="TableBody"/>
            </w:pPr>
            <w:r>
              <w:t>368</w:t>
            </w:r>
          </w:p>
        </w:tc>
      </w:tr>
    </w:tbl>
    <w:p w14:paraId="299EAF65" w14:textId="70C06275" w:rsidR="00AF0266" w:rsidRPr="009D0A4A" w:rsidRDefault="00CF6325" w:rsidP="00234FEF">
      <w:pPr>
        <w:pStyle w:val="Heading4"/>
      </w:pPr>
      <w:sdt>
        <w:sdtPr>
          <w:rPr>
            <w:rFonts w:asciiTheme="minorHAnsi" w:hAnsiTheme="minorHAnsi"/>
            <w:color w:val="auto"/>
            <w:szCs w:val="22"/>
          </w:rPr>
          <w:id w:val="-147063511"/>
          <w:citation/>
        </w:sdtPr>
        <w:sdtEndPr/>
        <w:sdtContent>
          <w:r w:rsidR="008C5384" w:rsidRPr="009D0A4A">
            <w:t>N</w:t>
          </w:r>
        </w:sdtContent>
      </w:sdt>
      <w:r w:rsidR="008C5384" w:rsidRPr="009D0A4A">
        <w:t>umber of cases</w:t>
      </w:r>
      <w:r w:rsidR="004F152B" w:rsidRPr="009D0A4A">
        <w:t xml:space="preserve"> </w:t>
      </w:r>
      <w:r w:rsidR="00AF0266" w:rsidRPr="009D0A4A">
        <w:t xml:space="preserve">of other </w:t>
      </w:r>
      <w:r w:rsidR="00DD6525" w:rsidRPr="009D0A4A">
        <w:t>silica</w:t>
      </w:r>
      <w:r w:rsidR="00DD6525">
        <w:t>-</w:t>
      </w:r>
      <w:r w:rsidR="00880680" w:rsidRPr="009D0A4A">
        <w:t>related</w:t>
      </w:r>
      <w:r w:rsidR="00AF0266" w:rsidRPr="009D0A4A">
        <w:t xml:space="preserve"> diseases</w:t>
      </w:r>
    </w:p>
    <w:p w14:paraId="6ECE4164" w14:textId="64E5EC6E" w:rsidR="003F7E71" w:rsidRDefault="00DE5A55" w:rsidP="00234FEF">
      <w:pPr>
        <w:pStyle w:val="BodyText"/>
      </w:pPr>
      <w:r>
        <w:t>E</w:t>
      </w:r>
      <w:r w:rsidR="007B7A05" w:rsidRPr="009D0A4A">
        <w:t xml:space="preserve">xposure to </w:t>
      </w:r>
      <w:r w:rsidR="006F1E8E" w:rsidRPr="009D0A4A">
        <w:t>RCS</w:t>
      </w:r>
      <w:r w:rsidR="007B7A05" w:rsidRPr="009D0A4A">
        <w:t xml:space="preserve"> </w:t>
      </w:r>
      <w:r w:rsidR="009C47E9">
        <w:t>put</w:t>
      </w:r>
      <w:r w:rsidR="11985916">
        <w:t>s</w:t>
      </w:r>
      <w:r w:rsidR="009C47E9">
        <w:t xml:space="preserve"> workers at risk of developing other serious diseases</w:t>
      </w:r>
      <w:r w:rsidR="00A20E12" w:rsidRPr="009D0A4A">
        <w:t xml:space="preserve">, including </w:t>
      </w:r>
      <w:r w:rsidR="009C47E9">
        <w:t xml:space="preserve">lung cancer, </w:t>
      </w:r>
      <w:r w:rsidR="000D33C8">
        <w:t xml:space="preserve">COPD, </w:t>
      </w:r>
      <w:r w:rsidR="007B7A05" w:rsidRPr="009D0A4A">
        <w:t xml:space="preserve">chronic kidney disease </w:t>
      </w:r>
      <w:r w:rsidR="000D33C8">
        <w:t xml:space="preserve">and </w:t>
      </w:r>
      <w:r w:rsidR="007B7A05" w:rsidRPr="009D0A4A">
        <w:t xml:space="preserve">autoimmune </w:t>
      </w:r>
      <w:r w:rsidR="00E27E4C">
        <w:t>diseases</w:t>
      </w:r>
      <w:r w:rsidR="007B7A05" w:rsidRPr="009D0A4A">
        <w:t>.</w:t>
      </w:r>
      <w:r w:rsidR="004F152B" w:rsidRPr="009D0A4A">
        <w:t xml:space="preserve"> </w:t>
      </w:r>
      <w:r w:rsidR="00DA59DB" w:rsidRPr="009D0A4A">
        <w:t>T</w:t>
      </w:r>
      <w:r w:rsidR="00BD001E" w:rsidRPr="009D0A4A">
        <w:t xml:space="preserve">he Cancer Council of Australia has estimated that </w:t>
      </w:r>
      <w:r w:rsidR="00101D7A" w:rsidRPr="009D0A4A">
        <w:t>over 5</w:t>
      </w:r>
      <w:r w:rsidR="000B0FD4" w:rsidRPr="009D0A4A">
        <w:t>,</w:t>
      </w:r>
      <w:r w:rsidR="00101D7A" w:rsidRPr="009D0A4A">
        <w:t xml:space="preserve">700 </w:t>
      </w:r>
      <w:r w:rsidR="00DA59DB" w:rsidRPr="009D0A4A">
        <w:t xml:space="preserve">of the </w:t>
      </w:r>
      <w:r w:rsidR="00082A64" w:rsidRPr="009D0A4A">
        <w:t>587,000</w:t>
      </w:r>
      <w:r w:rsidR="00DA59DB" w:rsidRPr="009D0A4A">
        <w:t xml:space="preserve"> Australian workers exposed to RCS in 2011 would develop </w:t>
      </w:r>
      <w:r w:rsidR="00B61508" w:rsidRPr="009D0A4A">
        <w:t xml:space="preserve">lung </w:t>
      </w:r>
      <w:r w:rsidR="00DA59DB" w:rsidRPr="009D0A4A">
        <w:t>cancer</w:t>
      </w:r>
      <w:r w:rsidR="00A37612" w:rsidRPr="009D0A4A">
        <w:rPr>
          <w:rStyle w:val="FootnoteReference"/>
        </w:rPr>
        <w:t xml:space="preserve"> </w:t>
      </w:r>
      <w:r w:rsidR="00A37612" w:rsidRPr="009D0A4A">
        <w:fldChar w:fldCharType="begin"/>
      </w:r>
      <w:r w:rsidR="004067E3">
        <w:instrText xml:space="preserve"> ADDIN ZOTERO_ITEM CSL_CITATION {"citationID":"wuYihoBc","properties":{"formattedCitation":"(Cancer Council 2021)","plainCitation":"(Cancer Council 2021)","noteIndex":0},"citationItems":[{"id":873,"uris":["http://zotero.org/users/6230888/items/BDYMRVYF"],"itemData":{"id":873,"type":"report","page":"3","title":"Occupational Cancer Risk Series Silica Dust","URL":"https://www.cancer.org.au/assets/pdf/occupational-cancer-risk-series-silica-dust","author":[{"family":"Cancer Council","given":""}],"accessed":{"date-parts":[["2022",6,30]]},"issued":{"date-parts":[["2021"]]}}}],"schema":"https://github.com/citation-style-language/schema/raw/master/csl-citation.json"} </w:instrText>
      </w:r>
      <w:r w:rsidR="00A37612" w:rsidRPr="009D0A4A">
        <w:fldChar w:fldCharType="separate"/>
      </w:r>
      <w:r w:rsidR="006B4A7D" w:rsidRPr="009D0A4A">
        <w:rPr>
          <w:rFonts w:ascii="Calibri" w:hAnsi="Calibri" w:cs="Calibri"/>
        </w:rPr>
        <w:t>(Cancer Council 2021)</w:t>
      </w:r>
      <w:r w:rsidR="00A37612" w:rsidRPr="009D0A4A">
        <w:fldChar w:fldCharType="end"/>
      </w:r>
      <w:r w:rsidR="00271C9C" w:rsidRPr="009D0A4A">
        <w:t xml:space="preserve">. However, </w:t>
      </w:r>
      <w:r w:rsidR="00DD04E7" w:rsidRPr="009D0A4A">
        <w:t>Safe Work Australia is</w:t>
      </w:r>
      <w:r w:rsidR="00DA59DB" w:rsidRPr="009D0A4A">
        <w:t xml:space="preserve"> n</w:t>
      </w:r>
      <w:r w:rsidR="00082A64" w:rsidRPr="009D0A4A">
        <w:t xml:space="preserve">ot aware of </w:t>
      </w:r>
      <w:r w:rsidR="00DD04E7" w:rsidRPr="009D0A4A">
        <w:t xml:space="preserve">other estimates of the </w:t>
      </w:r>
      <w:r w:rsidR="000B0FD4" w:rsidRPr="009D0A4A">
        <w:t xml:space="preserve">number of cases of the </w:t>
      </w:r>
      <w:r w:rsidR="00DC481B" w:rsidRPr="009D0A4A">
        <w:t xml:space="preserve">other </w:t>
      </w:r>
      <w:r w:rsidR="000B0FD4" w:rsidRPr="009D0A4A" w:rsidDel="00DD6525">
        <w:t>silica</w:t>
      </w:r>
      <w:r w:rsidR="00DD6525">
        <w:t>-related</w:t>
      </w:r>
      <w:r w:rsidR="000B0FD4" w:rsidRPr="009D0A4A">
        <w:t xml:space="preserve"> </w:t>
      </w:r>
      <w:r w:rsidR="00294ADA" w:rsidRPr="009D0A4A">
        <w:t>diseases</w:t>
      </w:r>
      <w:r w:rsidR="0008697A" w:rsidRPr="009D0A4A">
        <w:t xml:space="preserve"> </w:t>
      </w:r>
      <w:r w:rsidR="007B1584" w:rsidRPr="009D0A4A">
        <w:t xml:space="preserve">that could be </w:t>
      </w:r>
      <w:r w:rsidR="0008697A" w:rsidRPr="009D0A4A">
        <w:t>attributed to exposure to RCS</w:t>
      </w:r>
      <w:r w:rsidR="00294ADA" w:rsidRPr="009D0A4A">
        <w:t xml:space="preserve">. </w:t>
      </w:r>
      <w:r w:rsidR="007B1584" w:rsidRPr="009D0A4A">
        <w:t xml:space="preserve">These numbers </w:t>
      </w:r>
      <w:r w:rsidR="00294ADA" w:rsidRPr="009D0A4A">
        <w:t>cannot be estimated directly</w:t>
      </w:r>
      <w:r w:rsidR="004F152B" w:rsidRPr="009D0A4A">
        <w:t xml:space="preserve"> from existing data</w:t>
      </w:r>
      <w:r w:rsidR="008504D4">
        <w:t xml:space="preserve"> sets</w:t>
      </w:r>
      <w:r w:rsidR="004F152B" w:rsidRPr="009D0A4A">
        <w:t xml:space="preserve">, as these </w:t>
      </w:r>
      <w:r w:rsidR="00BB16D7">
        <w:t>diseases</w:t>
      </w:r>
      <w:r w:rsidR="00BB16D7" w:rsidRPr="009D0A4A">
        <w:t xml:space="preserve"> </w:t>
      </w:r>
      <w:r w:rsidR="007752C5" w:rsidRPr="009D0A4A">
        <w:t xml:space="preserve">can </w:t>
      </w:r>
      <w:r w:rsidR="00E6190B" w:rsidRPr="009D0A4A">
        <w:t xml:space="preserve">also </w:t>
      </w:r>
      <w:r w:rsidR="007752C5" w:rsidRPr="009D0A4A">
        <w:t xml:space="preserve">have long latency periods and </w:t>
      </w:r>
      <w:r w:rsidR="004F152B" w:rsidRPr="009D0A4A">
        <w:t xml:space="preserve">may have </w:t>
      </w:r>
      <w:r w:rsidR="00A900FC" w:rsidRPr="009D0A4A">
        <w:t>other</w:t>
      </w:r>
      <w:r w:rsidR="004F152B" w:rsidRPr="009D0A4A">
        <w:t xml:space="preserve"> causes</w:t>
      </w:r>
      <w:r w:rsidR="00681F6D" w:rsidRPr="009D0A4A">
        <w:t>.</w:t>
      </w:r>
      <w:r w:rsidR="004F152B" w:rsidRPr="009D0A4A">
        <w:t xml:space="preserve"> </w:t>
      </w:r>
      <w:r w:rsidR="008D4F75" w:rsidRPr="009D0A4A">
        <w:t xml:space="preserve">It is important to note that many </w:t>
      </w:r>
      <w:r w:rsidR="00A900FC" w:rsidRPr="009D0A4A">
        <w:t xml:space="preserve">people suffering from </w:t>
      </w:r>
      <w:r w:rsidR="00B415B1">
        <w:t xml:space="preserve">other </w:t>
      </w:r>
      <w:r w:rsidR="00BB16D7">
        <w:t>silica-related diseases</w:t>
      </w:r>
      <w:r w:rsidR="00B415B1">
        <w:t xml:space="preserve"> </w:t>
      </w:r>
      <w:r w:rsidR="00A900FC" w:rsidRPr="009D0A4A">
        <w:t>will also have silicosis</w:t>
      </w:r>
      <w:r w:rsidR="00A37612" w:rsidRPr="009D0A4A">
        <w:t xml:space="preserve"> </w:t>
      </w:r>
      <w:r w:rsidR="00A37612" w:rsidRPr="009D0A4A">
        <w:fldChar w:fldCharType="begin"/>
      </w:r>
      <w:r w:rsidR="004067E3">
        <w:instrText xml:space="preserve"> ADDIN ZOTERO_ITEM CSL_CITATION {"citationID":"4a2YW05v","properties":{"formattedCitation":"(Alif et al. 2020)","plainCitation":"(Alif et al. 2020)","noteIndex":0},"citationItems":[{"id":874,"uris":["http://zotero.org/users/6230888/items/ZJC45EMY"],"itemData":{"id":874,"type":"report","page":"83","title":"Occupational lung diseases in Australia 2006 – 2019","URL":"https://www.safeworkaustralia.gov.au/doc/occupational-lung-diseases-australia-2006-2019","author":[{"family":"Alif","given":"SM"},{"family":"Glass","given":"DC"},{"family":"Abramson","given":"M"},{"family":"Hoy","given":"R"},{"family":"Sim","given":"MR"}],"accessed":{"date-parts":[["2022",6,30]]},"issued":{"date-parts":[["2020"]]}}}],"schema":"https://github.com/citation-style-language/schema/raw/master/csl-citation.json"} </w:instrText>
      </w:r>
      <w:r w:rsidR="00A37612" w:rsidRPr="009D0A4A">
        <w:fldChar w:fldCharType="separate"/>
      </w:r>
      <w:r w:rsidR="006B4A7D" w:rsidRPr="009D0A4A">
        <w:rPr>
          <w:rFonts w:ascii="Calibri" w:hAnsi="Calibri" w:cs="Calibri"/>
        </w:rPr>
        <w:t>(Alif et al. 2020)</w:t>
      </w:r>
      <w:r w:rsidR="00A37612" w:rsidRPr="009D0A4A">
        <w:fldChar w:fldCharType="end"/>
      </w:r>
      <w:r w:rsidR="00A900FC" w:rsidRPr="009D0A4A">
        <w:t>.</w:t>
      </w:r>
    </w:p>
    <w:p w14:paraId="4BE86214" w14:textId="4A7579EB" w:rsidR="007B7A05" w:rsidRPr="009D0A4A" w:rsidRDefault="00BA5B72" w:rsidP="00234FEF">
      <w:pPr>
        <w:pStyle w:val="Heading4"/>
      </w:pPr>
      <w:r>
        <w:t xml:space="preserve">Predicted </w:t>
      </w:r>
      <w:r w:rsidR="002B097F">
        <w:t xml:space="preserve">future cases of </w:t>
      </w:r>
      <w:r w:rsidR="0042162E">
        <w:t>silicosis</w:t>
      </w:r>
    </w:p>
    <w:p w14:paraId="129268D4" w14:textId="7010A4FE" w:rsidR="003F7E71" w:rsidRPr="009D0A4A" w:rsidRDefault="003F7E71" w:rsidP="00234FEF">
      <w:pPr>
        <w:pStyle w:val="BodyText"/>
      </w:pPr>
      <w:r>
        <w:t xml:space="preserve">A recent study by Curtin University predicted 10,390 future cases of lung cancer and between 83,090 and 103,860 future cases of silicosis resulting from occupational exposure to RCS in 2016 </w:t>
      </w:r>
      <w:sdt>
        <w:sdtPr>
          <w:id w:val="631673899"/>
          <w:citation/>
        </w:sdtPr>
        <w:sdtEndPr/>
        <w:sdtContent>
          <w:r>
            <w:fldChar w:fldCharType="begin"/>
          </w:r>
          <w:r>
            <w:instrText xml:space="preserve">CITATION Car22 \l 3081 </w:instrText>
          </w:r>
          <w:r>
            <w:fldChar w:fldCharType="separate"/>
          </w:r>
          <w:r w:rsidR="00C80572">
            <w:rPr>
              <w:noProof/>
            </w:rPr>
            <w:t>(Carey &amp; Fritschi, 2022)</w:t>
          </w:r>
          <w:r>
            <w:fldChar w:fldCharType="end"/>
          </w:r>
        </w:sdtContent>
      </w:sdt>
      <w:r>
        <w:t xml:space="preserve">. This study </w:t>
      </w:r>
      <w:r w:rsidRPr="003206C0">
        <w:t xml:space="preserve">used a novel future excess fraction (FEF) method to estimate the number of lung cancer cases </w:t>
      </w:r>
      <w:r>
        <w:t>and then applied a</w:t>
      </w:r>
      <w:r w:rsidRPr="0072440A">
        <w:t xml:space="preserve"> ratio of lung cancer to silicosis cases from past studies to extrapolate the number of future silicosis cases developed over a lifetime in </w:t>
      </w:r>
      <w:r w:rsidR="00F00B18">
        <w:t>workers</w:t>
      </w:r>
      <w:r w:rsidR="00F00B18" w:rsidRPr="0072440A">
        <w:t xml:space="preserve"> </w:t>
      </w:r>
      <w:r w:rsidR="00490F83">
        <w:t xml:space="preserve">who were </w:t>
      </w:r>
      <w:r w:rsidRPr="0072440A">
        <w:t>exposed to RCS in 2016.</w:t>
      </w:r>
      <w:r>
        <w:t xml:space="preserve"> This is the only known modelling performed to predict the future burden on lung cancer and silicosis due to occupational exposure to RCS in Australia.  </w:t>
      </w:r>
    </w:p>
    <w:p w14:paraId="5E405D77" w14:textId="6D5DCF13" w:rsidR="00AB23BE" w:rsidRPr="009D0A4A" w:rsidRDefault="00235F21" w:rsidP="003A3B2B">
      <w:pPr>
        <w:pStyle w:val="Heading2"/>
      </w:pPr>
      <w:bookmarkStart w:id="569" w:name="_Toc100240621"/>
      <w:bookmarkStart w:id="570" w:name="_Toc100240690"/>
      <w:bookmarkStart w:id="571" w:name="_Toc100323758"/>
      <w:bookmarkStart w:id="572" w:name="_Ref102137377"/>
      <w:bookmarkStart w:id="573" w:name="_Toc126573205"/>
      <w:bookmarkEnd w:id="566"/>
      <w:bookmarkEnd w:id="567"/>
      <w:bookmarkEnd w:id="569"/>
      <w:bookmarkEnd w:id="570"/>
      <w:bookmarkEnd w:id="571"/>
      <w:r>
        <w:t xml:space="preserve">Understanding of </w:t>
      </w:r>
      <w:r w:rsidR="00DD6525">
        <w:t>silica-related</w:t>
      </w:r>
      <w:r w:rsidR="00692118">
        <w:t xml:space="preserve"> </w:t>
      </w:r>
      <w:r>
        <w:t>risks and current regulatory requirements</w:t>
      </w:r>
      <w:bookmarkEnd w:id="572"/>
      <w:bookmarkEnd w:id="573"/>
    </w:p>
    <w:p w14:paraId="7B47FA52" w14:textId="194FED6C" w:rsidR="005E1D74" w:rsidRPr="009D0A4A" w:rsidRDefault="00F00B18" w:rsidP="00234FEF">
      <w:pPr>
        <w:pStyle w:val="BodyText"/>
      </w:pPr>
      <w:r>
        <w:t>During consultations</w:t>
      </w:r>
      <w:r w:rsidR="002D3EA6" w:rsidRPr="009D0A4A">
        <w:t xml:space="preserve"> for this </w:t>
      </w:r>
      <w:r w:rsidR="0054756F">
        <w:t>DRIS</w:t>
      </w:r>
      <w:r w:rsidR="002D3EA6" w:rsidRPr="009D0A4A">
        <w:t xml:space="preserve">, </w:t>
      </w:r>
      <w:r w:rsidR="00342779" w:rsidRPr="009D0A4A">
        <w:t xml:space="preserve">stakeholders </w:t>
      </w:r>
      <w:r w:rsidR="0087517E" w:rsidRPr="009D0A4A">
        <w:t xml:space="preserve">identified that </w:t>
      </w:r>
      <w:r w:rsidR="00396A5D" w:rsidRPr="009D0A4A">
        <w:t>a l</w:t>
      </w:r>
      <w:r w:rsidR="002E45C1" w:rsidRPr="009D0A4A">
        <w:t xml:space="preserve">ack of awareness of </w:t>
      </w:r>
      <w:r w:rsidR="0087517E" w:rsidRPr="009D0A4A">
        <w:t xml:space="preserve">the </w:t>
      </w:r>
      <w:r w:rsidR="002E45C1" w:rsidRPr="009D0A4A">
        <w:t>risks</w:t>
      </w:r>
      <w:r w:rsidR="0087517E" w:rsidRPr="009D0A4A">
        <w:t xml:space="preserve"> associated with RCS</w:t>
      </w:r>
      <w:r w:rsidR="003F3970" w:rsidRPr="009D0A4A">
        <w:t xml:space="preserve"> and</w:t>
      </w:r>
      <w:r w:rsidR="0087517E" w:rsidRPr="009D0A4A">
        <w:t xml:space="preserve"> </w:t>
      </w:r>
      <w:r w:rsidR="00396A5D" w:rsidRPr="009D0A4A">
        <w:t xml:space="preserve">a lack </w:t>
      </w:r>
      <w:r w:rsidR="005E1D74" w:rsidRPr="009D0A4A">
        <w:t xml:space="preserve">of clarity </w:t>
      </w:r>
      <w:r w:rsidR="00396A5D" w:rsidRPr="009D0A4A">
        <w:t>on how to comply with the model WHS laws</w:t>
      </w:r>
      <w:r w:rsidR="0087517E" w:rsidRPr="009D0A4A">
        <w:t xml:space="preserve"> contribute to the </w:t>
      </w:r>
      <w:r w:rsidR="00397CB8" w:rsidRPr="009D0A4A">
        <w:t>number of cases</w:t>
      </w:r>
      <w:r w:rsidR="0087517E" w:rsidRPr="009D0A4A">
        <w:t xml:space="preserve"> of silicosis and </w:t>
      </w:r>
      <w:r w:rsidR="00DD6525">
        <w:t>silica-related</w:t>
      </w:r>
      <w:r w:rsidR="0087517E" w:rsidRPr="009D0A4A">
        <w:t xml:space="preserve"> diseases. </w:t>
      </w:r>
    </w:p>
    <w:p w14:paraId="3650F246" w14:textId="7C9B5375" w:rsidR="00AC23BD" w:rsidRPr="009D0A4A" w:rsidRDefault="0087797E" w:rsidP="00234FEF">
      <w:pPr>
        <w:pStyle w:val="BodyText"/>
      </w:pPr>
      <w:r w:rsidRPr="009D0A4A">
        <w:t xml:space="preserve">These issues </w:t>
      </w:r>
      <w:r w:rsidR="00AC23BD" w:rsidRPr="009D0A4A">
        <w:t>may</w:t>
      </w:r>
      <w:r w:rsidR="00B07E50" w:rsidRPr="009D0A4A">
        <w:t xml:space="preserve"> be exacerbated by the structure of </w:t>
      </w:r>
      <w:r w:rsidR="006411BA" w:rsidRPr="009D0A4A">
        <w:t xml:space="preserve">some </w:t>
      </w:r>
      <w:r w:rsidR="00B07E50" w:rsidRPr="009D0A4A">
        <w:t xml:space="preserve">industries, particularly the engineered stone </w:t>
      </w:r>
      <w:r w:rsidR="006411BA" w:rsidRPr="009D0A4A">
        <w:t>sector</w:t>
      </w:r>
      <w:r w:rsidR="008D1FE8" w:rsidRPr="009D0A4A">
        <w:t>,</w:t>
      </w:r>
      <w:r w:rsidR="00B07E50" w:rsidRPr="009D0A4A">
        <w:t xml:space="preserve"> which is characterised by small</w:t>
      </w:r>
      <w:r w:rsidR="00045390" w:rsidRPr="009D0A4A">
        <w:t>-</w:t>
      </w:r>
      <w:r w:rsidR="00B07E50" w:rsidRPr="009D0A4A">
        <w:t xml:space="preserve"> and micro</w:t>
      </w:r>
      <w:r w:rsidR="00045390" w:rsidRPr="009D0A4A">
        <w:t>-</w:t>
      </w:r>
      <w:r w:rsidR="00B07E50" w:rsidRPr="009D0A4A">
        <w:t>businesses</w:t>
      </w:r>
      <w:r w:rsidR="00175285">
        <w:t>.</w:t>
      </w:r>
      <w:r w:rsidR="00EC5B0D" w:rsidRPr="009D0A4A">
        <w:t xml:space="preserve"> </w:t>
      </w:r>
      <w:r w:rsidR="002E45C1" w:rsidRPr="009D0A4A">
        <w:t>M</w:t>
      </w:r>
      <w:r w:rsidR="00A3454C" w:rsidRPr="009D0A4A">
        <w:t xml:space="preserve">arket research commissioned by the </w:t>
      </w:r>
      <w:r w:rsidR="00A20E12" w:rsidRPr="009D0A4A">
        <w:t xml:space="preserve">Australian Government </w:t>
      </w:r>
      <w:r w:rsidR="00A3454C" w:rsidRPr="009D0A4A">
        <w:t>Department of Health</w:t>
      </w:r>
      <w:r w:rsidR="007752C5" w:rsidRPr="009D0A4A">
        <w:t xml:space="preserve"> in 2021</w:t>
      </w:r>
      <w:r w:rsidR="00A3454C" w:rsidRPr="009D0A4A">
        <w:t xml:space="preserve"> </w:t>
      </w:r>
      <w:r w:rsidR="00A3454C" w:rsidRPr="00A91173">
        <w:t>showed</w:t>
      </w:r>
      <w:r w:rsidR="00A3454C" w:rsidRPr="009D0A4A">
        <w:t xml:space="preserve"> that</w:t>
      </w:r>
      <w:r w:rsidR="004D2F6D" w:rsidRPr="009D0A4A">
        <w:t xml:space="preserve"> </w:t>
      </w:r>
      <w:r w:rsidR="00BF11F4" w:rsidRPr="009D0A4A">
        <w:t>44</w:t>
      </w:r>
      <w:r w:rsidRPr="009D0A4A">
        <w:t xml:space="preserve"> per cent of businesses operating as stonemasons </w:t>
      </w:r>
      <w:r w:rsidR="00BF11F4" w:rsidRPr="009D0A4A">
        <w:t xml:space="preserve">were sole traders and a further </w:t>
      </w:r>
      <w:r w:rsidR="001A7170" w:rsidRPr="009D0A4A">
        <w:t xml:space="preserve">24 per cent </w:t>
      </w:r>
      <w:r w:rsidR="003F3970" w:rsidRPr="009D0A4A">
        <w:t>had</w:t>
      </w:r>
      <w:r w:rsidRPr="009D0A4A">
        <w:t xml:space="preserve"> five employees or less, and </w:t>
      </w:r>
      <w:r w:rsidR="00272749" w:rsidRPr="009D0A4A">
        <w:t>42</w:t>
      </w:r>
      <w:r w:rsidR="008F574C" w:rsidRPr="009D0A4A">
        <w:t xml:space="preserve"> per cent </w:t>
      </w:r>
      <w:r w:rsidRPr="009D0A4A">
        <w:t xml:space="preserve">of </w:t>
      </w:r>
      <w:r w:rsidR="00681F6D" w:rsidRPr="009D0A4A">
        <w:t xml:space="preserve">other </w:t>
      </w:r>
      <w:r w:rsidRPr="009D0A4A">
        <w:t>trades employ</w:t>
      </w:r>
      <w:r w:rsidR="003F3970" w:rsidRPr="009D0A4A">
        <w:t>ed</w:t>
      </w:r>
      <w:r w:rsidRPr="009D0A4A">
        <w:t xml:space="preserve"> 20 employees or less</w:t>
      </w:r>
      <w:r w:rsidR="00237A1C" w:rsidRPr="009D0A4A">
        <w:t xml:space="preserve"> </w:t>
      </w:r>
      <w:r w:rsidR="00237A1C" w:rsidRPr="009D0A4A">
        <w:fldChar w:fldCharType="begin"/>
      </w:r>
      <w:r w:rsidR="004067E3">
        <w:instrText xml:space="preserve"> ADDIN ZOTERO_ITEM CSL_CITATION {"citationID":"bGW37YRJ","properties":{"formattedCitation":"(Quantum Market Research 2021)","plainCitation":"(Quantum Market Research 2021)","noteIndex":0},"citationItems":[{"id":877,"uris":["http://zotero.org/users/6230888/items/DFNH6KWI"],"itemData":{"id":877,"type":"article-journal","language":"en","page":"92","source":"Zotero","title":"Dust Disease Research Update","author":[{"literal":"Quantum Market Research"}],"issued":{"date-parts":[["2021"]]}}}],"schema":"https://github.com/citation-style-language/schema/raw/master/csl-citation.json"} </w:instrText>
      </w:r>
      <w:r w:rsidR="00237A1C" w:rsidRPr="009D0A4A">
        <w:fldChar w:fldCharType="separate"/>
      </w:r>
      <w:r w:rsidR="006B4A7D" w:rsidRPr="009D0A4A">
        <w:rPr>
          <w:rFonts w:ascii="Calibri" w:hAnsi="Calibri" w:cs="Calibri"/>
        </w:rPr>
        <w:t>(Quantum Market Research 2021)</w:t>
      </w:r>
      <w:r w:rsidR="00237A1C" w:rsidRPr="009D0A4A">
        <w:fldChar w:fldCharType="end"/>
      </w:r>
      <w:r w:rsidRPr="009D0A4A">
        <w:t>.</w:t>
      </w:r>
      <w:r w:rsidR="003D53F4">
        <w:t xml:space="preserve"> This sector is also known to have a </w:t>
      </w:r>
      <w:r w:rsidR="003D53F4" w:rsidRPr="009D0A4A">
        <w:t>culturally and linguistically diverse work</w:t>
      </w:r>
      <w:r w:rsidR="003D53F4">
        <w:t>force</w:t>
      </w:r>
      <w:r w:rsidR="003D53F4" w:rsidRPr="009D0A4A">
        <w:t xml:space="preserve">. </w:t>
      </w:r>
    </w:p>
    <w:p w14:paraId="0D4259E4" w14:textId="31AD7791" w:rsidR="00302AB7" w:rsidRPr="009D0A4A" w:rsidRDefault="00A900FC" w:rsidP="000F019A">
      <w:pPr>
        <w:pStyle w:val="Heading3"/>
        <w:jc w:val="both"/>
      </w:pPr>
      <w:bookmarkStart w:id="574" w:name="_Toc92873045"/>
      <w:r w:rsidRPr="009D0A4A">
        <w:t>Lack of a</w:t>
      </w:r>
      <w:r w:rsidR="002E45C1" w:rsidRPr="009D0A4A">
        <w:t xml:space="preserve">wareness of </w:t>
      </w:r>
      <w:r w:rsidR="00DD6525">
        <w:t>silica-related</w:t>
      </w:r>
      <w:r w:rsidR="002E45C1" w:rsidRPr="009D0A4A">
        <w:t xml:space="preserve"> risks</w:t>
      </w:r>
    </w:p>
    <w:p w14:paraId="72C6FA07" w14:textId="18BA6404" w:rsidR="00A900FC" w:rsidRPr="009D0A4A" w:rsidRDefault="0087517E" w:rsidP="00234FEF">
      <w:pPr>
        <w:pStyle w:val="BodyText"/>
      </w:pPr>
      <w:r w:rsidRPr="009D0A4A">
        <w:t xml:space="preserve">Despite several awareness campaigns being undertaken since 2018 at the national and state and territory levels, awareness of </w:t>
      </w:r>
      <w:r w:rsidR="00DD6525">
        <w:t>silica-related</w:t>
      </w:r>
      <w:r w:rsidRPr="009D0A4A">
        <w:t xml:space="preserve"> risks remains sub-optimal</w:t>
      </w:r>
      <w:r w:rsidR="000A173A">
        <w:t xml:space="preserve"> </w:t>
      </w:r>
      <w:r w:rsidR="00100EC2">
        <w:t xml:space="preserve">in </w:t>
      </w:r>
      <w:r w:rsidR="000A173A">
        <w:t>workers in some sectors</w:t>
      </w:r>
      <w:r w:rsidRPr="009D0A4A">
        <w:t xml:space="preserve">. </w:t>
      </w:r>
      <w:r w:rsidR="003F3970" w:rsidRPr="009D0A4A">
        <w:t>M</w:t>
      </w:r>
      <w:r w:rsidR="007752C5" w:rsidRPr="009D0A4A">
        <w:t xml:space="preserve">arket research </w:t>
      </w:r>
      <w:r w:rsidR="003F3970" w:rsidRPr="009D0A4A">
        <w:t>in 2021</w:t>
      </w:r>
      <w:r w:rsidR="002E45C1" w:rsidRPr="009D0A4A">
        <w:t xml:space="preserve"> revealed that 94 per cent of stonemasons and 73 per cent of tradespeople interviewed had heard of silica dust</w:t>
      </w:r>
      <w:r w:rsidR="00237A1C" w:rsidRPr="009D0A4A">
        <w:t xml:space="preserve"> </w:t>
      </w:r>
      <w:r w:rsidR="00237A1C" w:rsidRPr="009D0A4A">
        <w:fldChar w:fldCharType="begin"/>
      </w:r>
      <w:r w:rsidR="004067E3">
        <w:instrText xml:space="preserve"> ADDIN ZOTERO_ITEM CSL_CITATION {"citationID":"1W4RxRxe","properties":{"formattedCitation":"(Quantum Market Research 2021)","plainCitation":"(Quantum Market Research 2021)","noteIndex":0},"citationItems":[{"id":877,"uris":["http://zotero.org/users/6230888/items/DFNH6KWI"],"itemData":{"id":877,"type":"article-journal","language":"en","page":"92","source":"Zotero","title":"Dust Disease Research Update","author":[{"literal":"Quantum Market Research"}],"issued":{"date-parts":[["2021"]]}}}],"schema":"https://github.com/citation-style-language/schema/raw/master/csl-citation.json"} </w:instrText>
      </w:r>
      <w:r w:rsidR="00237A1C" w:rsidRPr="009D0A4A">
        <w:fldChar w:fldCharType="separate"/>
      </w:r>
      <w:r w:rsidR="006B4A7D" w:rsidRPr="009D0A4A">
        <w:rPr>
          <w:rFonts w:ascii="Calibri" w:hAnsi="Calibri" w:cs="Calibri"/>
        </w:rPr>
        <w:t>(Quantum Market Research 2021)</w:t>
      </w:r>
      <w:r w:rsidR="00237A1C" w:rsidRPr="009D0A4A">
        <w:fldChar w:fldCharType="end"/>
      </w:r>
      <w:r w:rsidR="002E45C1" w:rsidRPr="009D0A4A">
        <w:t>.</w:t>
      </w:r>
      <w:r w:rsidR="007752C5" w:rsidRPr="009D0A4A">
        <w:t xml:space="preserve"> </w:t>
      </w:r>
      <w:r w:rsidR="002E45C1" w:rsidRPr="009D0A4A">
        <w:t xml:space="preserve">Stonemasons </w:t>
      </w:r>
      <w:r w:rsidR="003F3970" w:rsidRPr="009D0A4A">
        <w:t xml:space="preserve">reported that they </w:t>
      </w:r>
      <w:r w:rsidR="002E45C1" w:rsidRPr="009D0A4A">
        <w:t>were very familiar with the risks of silica dust (73 per cent)</w:t>
      </w:r>
      <w:r w:rsidR="007F561C" w:rsidRPr="009D0A4A">
        <w:t>, with</w:t>
      </w:r>
      <w:r w:rsidR="002E45C1" w:rsidRPr="009D0A4A">
        <w:t xml:space="preserve"> 94 per cent </w:t>
      </w:r>
      <w:r w:rsidR="007F561C" w:rsidRPr="009D0A4A">
        <w:t xml:space="preserve">agreeing </w:t>
      </w:r>
      <w:r w:rsidR="002E45C1" w:rsidRPr="009D0A4A">
        <w:t>that exposure to silica dust should be avoided. However, only 24 per cent of other tradespeople employed in construction industry interviewed agreed they were ‘very familiar’ with the risks of silica dust and 76 per cent agreed that exposure to silica dust should be avoided</w:t>
      </w:r>
      <w:r w:rsidR="00237A1C" w:rsidRPr="009D0A4A">
        <w:t xml:space="preserve"> </w:t>
      </w:r>
      <w:r w:rsidR="00237A1C" w:rsidRPr="009D0A4A">
        <w:fldChar w:fldCharType="begin"/>
      </w:r>
      <w:r w:rsidR="004067E3">
        <w:instrText xml:space="preserve"> ADDIN ZOTERO_ITEM CSL_CITATION {"citationID":"t7zi12Ua","properties":{"formattedCitation":"(Quantum Market Research 2021)","plainCitation":"(Quantum Market Research 2021)","noteIndex":0},"citationItems":[{"id":877,"uris":["http://zotero.org/users/6230888/items/DFNH6KWI"],"itemData":{"id":877,"type":"article-journal","language":"en","page":"92","source":"Zotero","title":"Dust Disease Research Update","author":[{"literal":"Quantum Market Research"}],"issued":{"date-parts":[["2021"]]}}}],"schema":"https://github.com/citation-style-language/schema/raw/master/csl-citation.json"} </w:instrText>
      </w:r>
      <w:r w:rsidR="00237A1C" w:rsidRPr="009D0A4A">
        <w:fldChar w:fldCharType="separate"/>
      </w:r>
      <w:r w:rsidR="006B4A7D" w:rsidRPr="009D0A4A">
        <w:rPr>
          <w:rFonts w:ascii="Calibri" w:hAnsi="Calibri" w:cs="Calibri"/>
        </w:rPr>
        <w:t>(Quantum Market Research 2021)</w:t>
      </w:r>
      <w:r w:rsidR="00237A1C" w:rsidRPr="009D0A4A">
        <w:fldChar w:fldCharType="end"/>
      </w:r>
      <w:r w:rsidR="002E45C1" w:rsidRPr="009D0A4A">
        <w:t>.</w:t>
      </w:r>
    </w:p>
    <w:p w14:paraId="2400E046" w14:textId="77777777" w:rsidR="00237A1C" w:rsidRPr="009D0A4A" w:rsidRDefault="002E45C1" w:rsidP="00234FEF">
      <w:pPr>
        <w:pStyle w:val="BodyText"/>
      </w:pPr>
      <w:r w:rsidRPr="009D0A4A">
        <w:t xml:space="preserve">It is likely that </w:t>
      </w:r>
      <w:r w:rsidR="00A900FC" w:rsidRPr="009D0A4A">
        <w:t>th</w:t>
      </w:r>
      <w:r w:rsidR="00457681" w:rsidRPr="009D0A4A">
        <w:t>e</w:t>
      </w:r>
      <w:r w:rsidR="00A900FC" w:rsidRPr="009D0A4A">
        <w:t xml:space="preserve"> </w:t>
      </w:r>
      <w:r w:rsidR="00457681" w:rsidRPr="009D0A4A">
        <w:t xml:space="preserve">different levels of awareness </w:t>
      </w:r>
      <w:r w:rsidRPr="009D0A4A">
        <w:t xml:space="preserve">reflect the awareness campaigns </w:t>
      </w:r>
      <w:r w:rsidR="007752C5" w:rsidRPr="009D0A4A">
        <w:t>and media attention that occurred</w:t>
      </w:r>
      <w:r w:rsidRPr="009D0A4A">
        <w:t xml:space="preserve"> </w:t>
      </w:r>
      <w:r w:rsidR="007752C5" w:rsidRPr="009D0A4A">
        <w:t xml:space="preserve">in </w:t>
      </w:r>
      <w:r w:rsidRPr="009D0A4A">
        <w:t xml:space="preserve">response to the emergence of </w:t>
      </w:r>
      <w:r w:rsidRPr="00A91173">
        <w:t>silicosis</w:t>
      </w:r>
      <w:r w:rsidRPr="009D0A4A">
        <w:t xml:space="preserve"> in the engineered stone sector</w:t>
      </w:r>
      <w:r w:rsidR="007752C5" w:rsidRPr="009D0A4A">
        <w:t>. T</w:t>
      </w:r>
      <w:r w:rsidRPr="009D0A4A">
        <w:t xml:space="preserve">he lower level of awareness of </w:t>
      </w:r>
      <w:r w:rsidRPr="009D0A4A">
        <w:lastRenderedPageBreak/>
        <w:t xml:space="preserve">the risks of silica amongst tradespeople </w:t>
      </w:r>
      <w:r w:rsidR="007752C5" w:rsidRPr="009D0A4A">
        <w:t>outside of the engineered stone sector may reflect</w:t>
      </w:r>
      <w:r w:rsidRPr="009D0A4A">
        <w:t xml:space="preserve"> </w:t>
      </w:r>
      <w:r w:rsidR="0008774E" w:rsidRPr="009D0A4A">
        <w:t>a lack of awareness activities</w:t>
      </w:r>
      <w:r w:rsidRPr="009D0A4A">
        <w:t xml:space="preserve"> in other industries, including manufacturing, demolition, quarrying and mining. </w:t>
      </w:r>
    </w:p>
    <w:p w14:paraId="6BDCECBF" w14:textId="7D64EDB9" w:rsidR="00ED7D88" w:rsidRPr="009D0A4A" w:rsidRDefault="00ED7D88" w:rsidP="00237A1C">
      <w:pPr>
        <w:pStyle w:val="Heading3"/>
        <w:jc w:val="both"/>
      </w:pPr>
      <w:r w:rsidRPr="009D0A4A">
        <w:t xml:space="preserve">Lack of clarity </w:t>
      </w:r>
      <w:r w:rsidR="00E44777" w:rsidRPr="009D0A4A">
        <w:t>on how to comply with the model WHS laws</w:t>
      </w:r>
      <w:bookmarkEnd w:id="574"/>
    </w:p>
    <w:p w14:paraId="1433753E" w14:textId="39E94C70" w:rsidR="006E672C" w:rsidRPr="009D0A4A" w:rsidRDefault="006E672C" w:rsidP="00234FEF">
      <w:pPr>
        <w:pStyle w:val="BodyText"/>
      </w:pPr>
      <w:r w:rsidRPr="009D0A4A">
        <w:t xml:space="preserve">The National Dust </w:t>
      </w:r>
      <w:r w:rsidRPr="00A91173">
        <w:t>Disease</w:t>
      </w:r>
      <w:r w:rsidRPr="009D0A4A">
        <w:t xml:space="preserve"> Taskforce </w:t>
      </w:r>
      <w:r w:rsidR="00E369C6" w:rsidRPr="009D0A4A">
        <w:t>noted that in their consultations, stakeholders identified issues with the complexity of existing WHS regulations and a lack of clarity around regulatory requirements</w:t>
      </w:r>
      <w:r w:rsidR="000440B9" w:rsidRPr="009D0A4A">
        <w:t xml:space="preserve"> </w:t>
      </w:r>
      <w:r w:rsidR="000440B9" w:rsidRPr="009D0A4A">
        <w:fldChar w:fldCharType="begin"/>
      </w:r>
      <w:r w:rsidR="004067E3">
        <w:instrText xml:space="preserve"> ADDIN ZOTERO_ITEM CSL_CITATION {"citationID":"CNTRDsHr","properties":{"formattedCitation":"(Department of Health 2021)","plainCitation":"(Department of Health 2021)","noteIndex":0},"citationItems":[{"id":806,"uris":["http://zotero.org/users/6230888/items/NWNXT6NL"],"itemData":{"id":806,"type":"article-journal","language":"en","page":"80","source":"Zotero","title":"National Dust Disease Taskforce Final Report to Minister for Health and Aged Care","author":[{"literal":"Department of Health"}],"issued":{"date-parts":[["2021"]]}}}],"schema":"https://github.com/citation-style-language/schema/raw/master/csl-citation.json"} </w:instrText>
      </w:r>
      <w:r w:rsidR="000440B9" w:rsidRPr="009D0A4A">
        <w:fldChar w:fldCharType="separate"/>
      </w:r>
      <w:r w:rsidR="006B4A7D" w:rsidRPr="009D0A4A">
        <w:rPr>
          <w:rFonts w:ascii="Calibri" w:hAnsi="Calibri" w:cs="Calibri"/>
        </w:rPr>
        <w:t>(Department of Health 2021)</w:t>
      </w:r>
      <w:r w:rsidR="000440B9" w:rsidRPr="009D0A4A">
        <w:fldChar w:fldCharType="end"/>
      </w:r>
      <w:r w:rsidR="00E369C6" w:rsidRPr="009D0A4A">
        <w:t xml:space="preserve">. </w:t>
      </w:r>
    </w:p>
    <w:p w14:paraId="13F25AED" w14:textId="71F511E9" w:rsidR="00396A5D" w:rsidRPr="009D0A4A" w:rsidRDefault="00AB2658" w:rsidP="00234FEF">
      <w:pPr>
        <w:pStyle w:val="BodyText"/>
      </w:pPr>
      <w:r>
        <w:t xml:space="preserve">Stakeholders consulted for this </w:t>
      </w:r>
      <w:r w:rsidR="0054756F">
        <w:t>DRIS</w:t>
      </w:r>
      <w:r>
        <w:t xml:space="preserve"> </w:t>
      </w:r>
      <w:r w:rsidR="0048409F">
        <w:t>identified</w:t>
      </w:r>
      <w:r w:rsidR="003F3970" w:rsidRPr="009D0A4A">
        <w:t xml:space="preserve"> </w:t>
      </w:r>
      <w:r w:rsidR="00E369C6" w:rsidRPr="009D0A4A">
        <w:t xml:space="preserve">that the </w:t>
      </w:r>
      <w:r w:rsidR="003F3970" w:rsidRPr="009D0A4A">
        <w:t>requirements of the model WHS laws are</w:t>
      </w:r>
      <w:r w:rsidR="0082083F" w:rsidRPr="009D0A4A">
        <w:t xml:space="preserve"> </w:t>
      </w:r>
      <w:r w:rsidR="000D5E20" w:rsidRPr="009D0A4A">
        <w:t>difficult to understand</w:t>
      </w:r>
      <w:r w:rsidR="00B71C00" w:rsidRPr="009D0A4A">
        <w:t xml:space="preserve"> for those without </w:t>
      </w:r>
      <w:r w:rsidR="00B71C00" w:rsidRPr="00A91173">
        <w:t>regulatory</w:t>
      </w:r>
      <w:r w:rsidR="00B71C00" w:rsidRPr="009D0A4A">
        <w:t xml:space="preserve"> expertise</w:t>
      </w:r>
      <w:r>
        <w:t>. In par</w:t>
      </w:r>
      <w:r w:rsidR="0046242F">
        <w:t>ticular</w:t>
      </w:r>
      <w:r w:rsidR="00E369C6" w:rsidRPr="009D0A4A">
        <w:t xml:space="preserve">, </w:t>
      </w:r>
      <w:r w:rsidR="00253F02" w:rsidRPr="009D0A4A">
        <w:t xml:space="preserve">workers and </w:t>
      </w:r>
      <w:r w:rsidR="00E369C6" w:rsidRPr="009D0A4A">
        <w:t xml:space="preserve">PCBUs </w:t>
      </w:r>
      <w:r w:rsidR="0046242F">
        <w:t>find</w:t>
      </w:r>
      <w:r w:rsidR="00F348A1">
        <w:t xml:space="preserve"> </w:t>
      </w:r>
      <w:r w:rsidR="00BB4B32" w:rsidRPr="009D0A4A">
        <w:t xml:space="preserve">the </w:t>
      </w:r>
      <w:r w:rsidR="00B61508" w:rsidRPr="009D0A4A">
        <w:t xml:space="preserve">requirements </w:t>
      </w:r>
      <w:r w:rsidR="00A5276E" w:rsidRPr="009D0A4A">
        <w:t xml:space="preserve">regarding </w:t>
      </w:r>
      <w:r w:rsidR="00B61508" w:rsidRPr="009D0A4A">
        <w:t xml:space="preserve">the </w:t>
      </w:r>
      <w:r w:rsidR="000D5E20" w:rsidRPr="009D0A4A">
        <w:t>WES</w:t>
      </w:r>
      <w:r w:rsidR="00BB4B32" w:rsidRPr="009D0A4A">
        <w:t xml:space="preserve">, appropriate </w:t>
      </w:r>
      <w:r w:rsidR="00A5276E" w:rsidRPr="009D0A4A">
        <w:t xml:space="preserve">risk </w:t>
      </w:r>
      <w:r w:rsidR="00BB4B32" w:rsidRPr="009D0A4A">
        <w:t>controls,</w:t>
      </w:r>
      <w:r w:rsidR="00E369C6" w:rsidRPr="009D0A4A">
        <w:t xml:space="preserve"> air monitoring and health monitoring</w:t>
      </w:r>
      <w:r w:rsidR="00F348A1">
        <w:t xml:space="preserve"> challen</w:t>
      </w:r>
      <w:r w:rsidR="00DE40D7">
        <w:t>gi</w:t>
      </w:r>
      <w:r w:rsidR="00F348A1">
        <w:t>ng.</w:t>
      </w:r>
      <w:r w:rsidR="00A058B0" w:rsidRPr="009D0A4A">
        <w:t xml:space="preserve"> </w:t>
      </w:r>
      <w:r w:rsidR="00B61508" w:rsidRPr="009D0A4A">
        <w:t>Although Safe Work Australia and state and territory WHS regulators have published relevant</w:t>
      </w:r>
      <w:r w:rsidR="00E369C6" w:rsidRPr="009D0A4A">
        <w:t xml:space="preserve"> Codes of Practice, </w:t>
      </w:r>
      <w:r w:rsidR="006E3906" w:rsidRPr="009D0A4A">
        <w:t>guides,</w:t>
      </w:r>
      <w:r w:rsidR="00E369C6" w:rsidRPr="009D0A4A">
        <w:t xml:space="preserve"> and other information, </w:t>
      </w:r>
      <w:r w:rsidR="00CE5F05" w:rsidRPr="009D0A4A">
        <w:t xml:space="preserve">further </w:t>
      </w:r>
      <w:r w:rsidR="00B61508" w:rsidRPr="009D0A4A">
        <w:t xml:space="preserve">work could be undertaken to explain </w:t>
      </w:r>
      <w:r w:rsidR="00E369C6" w:rsidRPr="009D0A4A">
        <w:t>the requirements of model WHS laws</w:t>
      </w:r>
      <w:r w:rsidR="00F348A1">
        <w:t>, focussing on</w:t>
      </w:r>
      <w:r w:rsidR="00B61508" w:rsidRPr="009D0A4A">
        <w:t xml:space="preserve"> formats that are</w:t>
      </w:r>
      <w:r w:rsidR="00FC68F9">
        <w:t xml:space="preserve"> accessible and</w:t>
      </w:r>
      <w:r w:rsidR="00B61508" w:rsidRPr="009D0A4A">
        <w:t xml:space="preserve"> suitable for </w:t>
      </w:r>
      <w:r w:rsidR="00E752D5" w:rsidRPr="009D0A4A">
        <w:t xml:space="preserve">the range of different </w:t>
      </w:r>
      <w:r w:rsidR="00B61508" w:rsidRPr="009D0A4A">
        <w:t>PCBUs, workers and other duty holders</w:t>
      </w:r>
      <w:r w:rsidR="00FC68F9">
        <w:t xml:space="preserve"> working with silica</w:t>
      </w:r>
      <w:r w:rsidR="00CE5F05" w:rsidRPr="009D0A4A">
        <w:t xml:space="preserve">. </w:t>
      </w:r>
    </w:p>
    <w:p w14:paraId="0AC3730D" w14:textId="79A0386E" w:rsidR="00BB4B32" w:rsidRPr="009D0A4A" w:rsidRDefault="00BB4B32" w:rsidP="00234FEF">
      <w:pPr>
        <w:pStyle w:val="BodyText"/>
      </w:pPr>
      <w:r w:rsidRPr="009D0A4A">
        <w:t>In a 20</w:t>
      </w:r>
      <w:r w:rsidR="00E44777" w:rsidRPr="009D0A4A">
        <w:t>21</w:t>
      </w:r>
      <w:r w:rsidRPr="009D0A4A">
        <w:t xml:space="preserve"> submission to the NSW Dust Disease Scheme, </w:t>
      </w:r>
      <w:bookmarkStart w:id="575" w:name="_Toc92873047"/>
      <w:r w:rsidRPr="009D0A4A">
        <w:t>the AIOH noted</w:t>
      </w:r>
      <w:r w:rsidR="00B61508" w:rsidRPr="009D0A4A">
        <w:t xml:space="preserve"> they</w:t>
      </w:r>
      <w:r w:rsidRPr="009D0A4A">
        <w:t xml:space="preserve"> “</w:t>
      </w:r>
      <w:bookmarkEnd w:id="575"/>
      <w:r w:rsidRPr="009D0A4A">
        <w:t>…</w:t>
      </w:r>
      <w:r w:rsidR="00E96183" w:rsidRPr="009D0A4A">
        <w:t>believe that</w:t>
      </w:r>
      <w:r w:rsidRPr="009D0A4A">
        <w:t xml:space="preserve"> </w:t>
      </w:r>
      <w:r w:rsidR="00E96183" w:rsidRPr="009D0A4A">
        <w:t>the sad cases of silicosis and progressive massive fibrosis seen in the engineered stone</w:t>
      </w:r>
      <w:r w:rsidRPr="009D0A4A">
        <w:t xml:space="preserve"> </w:t>
      </w:r>
      <w:r w:rsidR="00E96183" w:rsidRPr="009D0A4A">
        <w:t xml:space="preserve">benchtop industry of recent times would not have occurred if the </w:t>
      </w:r>
      <w:r w:rsidR="00B61508" w:rsidRPr="009D0A4A">
        <w:t xml:space="preserve">[current] </w:t>
      </w:r>
      <w:r w:rsidR="00E96183" w:rsidRPr="009D0A4A">
        <w:t xml:space="preserve">RCS </w:t>
      </w:r>
      <w:r w:rsidRPr="009D0A4A">
        <w:t>[</w:t>
      </w:r>
      <w:r w:rsidR="000D5E20" w:rsidRPr="009D0A4A">
        <w:t>WES</w:t>
      </w:r>
      <w:r w:rsidRPr="009D0A4A">
        <w:t>]</w:t>
      </w:r>
      <w:r w:rsidR="00E96183" w:rsidRPr="009D0A4A">
        <w:t xml:space="preserve"> had been complied with</w:t>
      </w:r>
      <w:r w:rsidRPr="009D0A4A">
        <w:t xml:space="preserve"> </w:t>
      </w:r>
      <w:r w:rsidR="00E96183" w:rsidRPr="009D0A4A">
        <w:t xml:space="preserve">by employers and enforced by </w:t>
      </w:r>
      <w:r w:rsidR="008B35E0">
        <w:t xml:space="preserve">WHS </w:t>
      </w:r>
      <w:r w:rsidR="00E96183" w:rsidRPr="009D0A4A">
        <w:t>regulators, and workers had been made aware of the health hazard of</w:t>
      </w:r>
      <w:r w:rsidRPr="009D0A4A">
        <w:t xml:space="preserve"> </w:t>
      </w:r>
      <w:r w:rsidR="00E96183" w:rsidRPr="009D0A4A">
        <w:t>RCS over exposure and complied with the relevant control strategies both in the factory manufacturing</w:t>
      </w:r>
      <w:r w:rsidRPr="009D0A4A">
        <w:t xml:space="preserve"> </w:t>
      </w:r>
      <w:r w:rsidR="00E96183" w:rsidRPr="009D0A4A">
        <w:t>process and installation and fitting on customer premises</w:t>
      </w:r>
      <w:r w:rsidR="000440B9" w:rsidRPr="009D0A4A">
        <w:t xml:space="preserve">” </w:t>
      </w:r>
      <w:r w:rsidR="000440B9" w:rsidRPr="009D0A4A">
        <w:fldChar w:fldCharType="begin"/>
      </w:r>
      <w:r w:rsidR="004067E3">
        <w:instrText xml:space="preserve"> ADDIN ZOTERO_ITEM CSL_CITATION {"citationID":"hdTn55ft","properties":{"formattedCitation":"(AIOH 2021)","plainCitation":"(AIOH 2021)","noteIndex":0},"citationItems":[{"id":846,"uris":["http://zotero.org/users/6230888/items/5PX8HGNY"],"itemData":{"id":846,"type":"report","language":"en-AU","page":"14","title":"AIOH Submission to the 2021 NSW Dust Diseases Scheme","URL":"https://www.aioh.org.au/media/2014/06/AIOH_SUB_NSWDustDiseasesReview_2021.pdf","author":[{"literal":"AIOH"}],"accessed":{"date-parts":[["2022",6,30]]},"issued":{"date-parts":[["2021"]]}}}],"schema":"https://github.com/citation-style-language/schema/raw/master/csl-citation.json"} </w:instrText>
      </w:r>
      <w:r w:rsidR="000440B9" w:rsidRPr="009D0A4A">
        <w:fldChar w:fldCharType="separate"/>
      </w:r>
      <w:r w:rsidR="006B4A7D" w:rsidRPr="009D0A4A">
        <w:rPr>
          <w:rFonts w:ascii="Calibri" w:hAnsi="Calibri" w:cs="Calibri"/>
        </w:rPr>
        <w:t>(AIOH 2021)</w:t>
      </w:r>
      <w:r w:rsidR="000440B9" w:rsidRPr="009D0A4A">
        <w:fldChar w:fldCharType="end"/>
      </w:r>
      <w:r w:rsidR="000440B9" w:rsidRPr="009D0A4A">
        <w:t>.</w:t>
      </w:r>
    </w:p>
    <w:p w14:paraId="447635F0" w14:textId="1EE5EB18" w:rsidR="005C43AA" w:rsidRDefault="00BB4B32" w:rsidP="00234FEF">
      <w:pPr>
        <w:pStyle w:val="BodyText"/>
      </w:pPr>
      <w:r w:rsidRPr="009D0A4A">
        <w:t>In preliminary consultations,</w:t>
      </w:r>
      <w:r w:rsidR="003F3970" w:rsidRPr="009D0A4A">
        <w:t xml:space="preserve"> </w:t>
      </w:r>
      <w:r w:rsidR="00531466">
        <w:t xml:space="preserve">some government and industry stakeholders </w:t>
      </w:r>
      <w:r w:rsidR="32315995" w:rsidRPr="009D0A4A">
        <w:t>expressed</w:t>
      </w:r>
      <w:r w:rsidRPr="009D0A4A">
        <w:t xml:space="preserve"> concerns</w:t>
      </w:r>
      <w:r w:rsidR="32315995" w:rsidRPr="009D0A4A">
        <w:t xml:space="preserve"> that</w:t>
      </w:r>
      <w:r w:rsidR="041F52BE" w:rsidRPr="009D0A4A">
        <w:t xml:space="preserve"> campaigns focusing solely on awareness, </w:t>
      </w:r>
      <w:r w:rsidR="041F52BE" w:rsidRPr="00A91173">
        <w:t>without</w:t>
      </w:r>
      <w:r w:rsidR="041F52BE" w:rsidRPr="009D0A4A">
        <w:t xml:space="preserve"> an explicit behavioural change element, have limited effectiveness in increasing worker safety</w:t>
      </w:r>
      <w:r w:rsidR="00945F7E">
        <w:t xml:space="preserve">. Stakeholders also </w:t>
      </w:r>
      <w:r w:rsidR="00E7004E">
        <w:t xml:space="preserve">raised </w:t>
      </w:r>
      <w:r w:rsidR="00E7004E" w:rsidRPr="009D0A4A">
        <w:t>that</w:t>
      </w:r>
      <w:r w:rsidR="0087517E" w:rsidRPr="009D0A4A">
        <w:t xml:space="preserve"> there are gaps in PCBUs</w:t>
      </w:r>
      <w:r w:rsidR="00400610" w:rsidRPr="009D0A4A">
        <w:t>’</w:t>
      </w:r>
      <w:r w:rsidR="0087517E" w:rsidRPr="009D0A4A">
        <w:t xml:space="preserve"> capabilities to undertake risk assessments in some industries</w:t>
      </w:r>
      <w:r w:rsidR="041F52BE" w:rsidRPr="009D0A4A">
        <w:t xml:space="preserve">. </w:t>
      </w:r>
    </w:p>
    <w:p w14:paraId="38AFC650" w14:textId="77777777" w:rsidR="001F5031" w:rsidRPr="009D0A4A" w:rsidRDefault="001F5031" w:rsidP="001F5031">
      <w:pPr>
        <w:pStyle w:val="Heading3"/>
      </w:pPr>
      <w:r w:rsidRPr="009D0A4A">
        <w:t>The model WHS laws may be insufficient to manage exposure to silica dust</w:t>
      </w:r>
    </w:p>
    <w:p w14:paraId="4A57C234" w14:textId="77777777" w:rsidR="001F5031" w:rsidRPr="009D0A4A" w:rsidRDefault="001F5031" w:rsidP="001F5031">
      <w:pPr>
        <w:pStyle w:val="BodyText"/>
      </w:pPr>
      <w:r w:rsidRPr="009D0A4A">
        <w:t xml:space="preserve">There are general duties under the model WHS laws for duty holders to manage health and safety risks by eliminating or </w:t>
      </w:r>
      <w:r w:rsidRPr="006F0E0C">
        <w:t>minimising</w:t>
      </w:r>
      <w:r w:rsidRPr="009D0A4A">
        <w:t xml:space="preserve"> those risks so far as is reasonably practicable. However, some stakeholders</w:t>
      </w:r>
      <w:r>
        <w:t xml:space="preserve"> (e.g. unions and peak health bodies)</w:t>
      </w:r>
      <w:r w:rsidRPr="009D0A4A">
        <w:t xml:space="preserve"> have indicated that the general duties are insufficient and targeted regulation of work involving materials containing crystalline silica is required to address the problem. For instance, </w:t>
      </w:r>
      <w:r w:rsidRPr="000F79AD">
        <w:t xml:space="preserve">the Australian Council of Trade Unions </w:t>
      </w:r>
      <w:r w:rsidRPr="009D0A4A">
        <w:t>has called for specific regulation of RCS exposure, in a similar manner to lead, as has been implemented in the Victorian Occupational Health and Safety Regulations 20</w:t>
      </w:r>
      <w:r>
        <w:t>17</w:t>
      </w:r>
      <w:r w:rsidRPr="009D0A4A">
        <w:t xml:space="preserve"> </w:t>
      </w:r>
      <w:r w:rsidRPr="009D0A4A">
        <w:fldChar w:fldCharType="begin"/>
      </w:r>
      <w:r>
        <w:instrText xml:space="preserve"> ADDIN ZOTERO_ITEM CSL_CITATION {"citationID":"r0ol6QA9","properties":{"formattedCitation":"(Australian Council of Trade Unions 2021)","plainCitation":"(Australian Council of Trade Unions 2021)","noteIndex":0},"citationItems":[{"id":892,"uris":["http://zotero.org/users/6230888/items/BMM4JWXQ"],"itemData":{"id":892,"type":"webpage","abstract":"Safe Work Australia will meet on Thursday to decide whether to expand regulations protecting workers from dust diseases like silicosis beyond those working directly with engineered stone which is used in the manufacture of benchtops. It is essential that Safe Work Australia ensures that all workers are protected from deadly dust diseases.","language":"en","title":"We must not leave workers behind on dust disease prevention","URL":"https://www.actu.org.au/actu-media/media-releases/2021/we-must-not-leave-workers-behind-on-dust-disease-prevention","author":[{"literal":"Australian Council of Trade Unions"}],"accessed":{"date-parts":[["2022",6,30]]},"issued":{"date-parts":[["2021"]]}}}],"schema":"https://github.com/citation-style-language/schema/raw/master/csl-citation.json"} </w:instrText>
      </w:r>
      <w:r w:rsidRPr="009D0A4A">
        <w:fldChar w:fldCharType="separate"/>
      </w:r>
      <w:r w:rsidRPr="009D0A4A">
        <w:rPr>
          <w:rFonts w:ascii="Calibri" w:hAnsi="Calibri" w:cs="Calibri"/>
        </w:rPr>
        <w:t>(Australian Council of Trade Unions 2021)</w:t>
      </w:r>
      <w:r w:rsidRPr="009D0A4A">
        <w:fldChar w:fldCharType="end"/>
      </w:r>
      <w:r w:rsidRPr="009D0A4A">
        <w:t>.</w:t>
      </w:r>
    </w:p>
    <w:p w14:paraId="046306A6" w14:textId="77777777" w:rsidR="001F5031" w:rsidRPr="009D0A4A" w:rsidRDefault="001F5031" w:rsidP="00234FEF">
      <w:pPr>
        <w:pStyle w:val="BodyText"/>
      </w:pPr>
    </w:p>
    <w:p w14:paraId="6D07C033" w14:textId="16B04B23" w:rsidR="00AB23BE" w:rsidRPr="009D0A4A" w:rsidRDefault="00160DD1" w:rsidP="003A3B2B">
      <w:pPr>
        <w:pStyle w:val="Heading2"/>
      </w:pPr>
      <w:bookmarkStart w:id="576" w:name="_Toc92873049"/>
      <w:bookmarkStart w:id="577" w:name="_Toc92873125"/>
      <w:bookmarkStart w:id="578" w:name="_Toc126573206"/>
      <w:r>
        <w:lastRenderedPageBreak/>
        <w:t xml:space="preserve">Inadequate </w:t>
      </w:r>
      <w:r w:rsidR="004B7C82">
        <w:t xml:space="preserve">levels of </w:t>
      </w:r>
      <w:r>
        <w:t>c</w:t>
      </w:r>
      <w:r w:rsidR="00AB23BE">
        <w:t>ompliance and</w:t>
      </w:r>
      <w:r w:rsidR="004D5575">
        <w:br/>
      </w:r>
      <w:r w:rsidR="00AB23BE">
        <w:t>enforcement</w:t>
      </w:r>
      <w:bookmarkEnd w:id="576"/>
      <w:bookmarkEnd w:id="577"/>
      <w:r w:rsidR="00AB23BE">
        <w:t xml:space="preserve"> </w:t>
      </w:r>
      <w:r w:rsidR="00213CD8">
        <w:t>activities</w:t>
      </w:r>
      <w:bookmarkEnd w:id="578"/>
      <w:r w:rsidR="00213CD8">
        <w:t xml:space="preserve"> </w:t>
      </w:r>
    </w:p>
    <w:p w14:paraId="55042035" w14:textId="5F9BE851" w:rsidR="00D1181A" w:rsidRPr="009D0A4A" w:rsidRDefault="004B7C82" w:rsidP="00FE17BF">
      <w:pPr>
        <w:pStyle w:val="Heading3"/>
      </w:pPr>
      <w:r w:rsidRPr="009D0A4A">
        <w:t>Lack of compliance with current regulatory requirements</w:t>
      </w:r>
    </w:p>
    <w:p w14:paraId="50B7CF71" w14:textId="655466F1" w:rsidR="002C5094" w:rsidRDefault="00D747A0" w:rsidP="00234FEF">
      <w:pPr>
        <w:pStyle w:val="BodyText"/>
      </w:pPr>
      <w:r>
        <w:t>Commonwealth, s</w:t>
      </w:r>
      <w:r w:rsidR="002C5094">
        <w:t>tate and territory</w:t>
      </w:r>
      <w:r w:rsidR="00777135">
        <w:t xml:space="preserve"> WHS </w:t>
      </w:r>
      <w:r w:rsidR="002C5094">
        <w:t xml:space="preserve">regulators are responsible for compliance and enforcement of WHS laws in their jurisdictions. If PCBUs </w:t>
      </w:r>
      <w:r w:rsidR="002C5094" w:rsidRPr="00A91173">
        <w:t>contravene</w:t>
      </w:r>
      <w:r w:rsidR="002C5094">
        <w:t xml:space="preserve"> WHS laws</w:t>
      </w:r>
      <w:r w:rsidR="0028734F">
        <w:t>,</w:t>
      </w:r>
      <w:r w:rsidR="002C5094">
        <w:t xml:space="preserve"> </w:t>
      </w:r>
      <w:r w:rsidR="00777135">
        <w:t xml:space="preserve">WHS </w:t>
      </w:r>
      <w:r w:rsidR="002C5094">
        <w:t xml:space="preserve">regulators have a range of enforcement </w:t>
      </w:r>
      <w:r w:rsidR="0042461C">
        <w:t xml:space="preserve">options, including: </w:t>
      </w:r>
      <w:r w:rsidR="002C5094">
        <w:t xml:space="preserve"> </w:t>
      </w:r>
    </w:p>
    <w:p w14:paraId="13D29989" w14:textId="1725DEDE" w:rsidR="002C5094" w:rsidRDefault="001E7214" w:rsidP="008B35E0">
      <w:pPr>
        <w:pStyle w:val="ListBullet"/>
      </w:pPr>
      <w:r>
        <w:t>i</w:t>
      </w:r>
      <w:r w:rsidR="002C5094">
        <w:t xml:space="preserve">mprovement notices – </w:t>
      </w:r>
      <w:r w:rsidR="00515F2B">
        <w:t xml:space="preserve">requires action to be taken to </w:t>
      </w:r>
      <w:r w:rsidR="0075041E">
        <w:t xml:space="preserve">address </w:t>
      </w:r>
      <w:r w:rsidR="0075041E" w:rsidRPr="002C5094">
        <w:t>a</w:t>
      </w:r>
      <w:r w:rsidR="002C5094" w:rsidRPr="002C5094">
        <w:t xml:space="preserve"> safety issue or if workers</w:t>
      </w:r>
      <w:r w:rsidR="00777135">
        <w:t>’</w:t>
      </w:r>
      <w:r w:rsidR="002C5094" w:rsidRPr="002C5094">
        <w:t xml:space="preserve"> compensation requirements are not being met</w:t>
      </w:r>
    </w:p>
    <w:p w14:paraId="6602BE19" w14:textId="2A1AA3F6" w:rsidR="002C5094" w:rsidRDefault="001E7214" w:rsidP="008B35E0">
      <w:pPr>
        <w:pStyle w:val="ListBullet"/>
      </w:pPr>
      <w:r>
        <w:t>p</w:t>
      </w:r>
      <w:r w:rsidR="002C5094">
        <w:t xml:space="preserve">rohibition notices – can be issued if </w:t>
      </w:r>
      <w:r w:rsidR="002C5094" w:rsidRPr="002C5094">
        <w:t xml:space="preserve">an activity at work involves a more serious risk to health or safety, </w:t>
      </w:r>
      <w:r w:rsidR="002C5094">
        <w:t>a</w:t>
      </w:r>
      <w:r w:rsidR="002C5094" w:rsidRPr="002C5094">
        <w:t xml:space="preserve"> prohibition notice</w:t>
      </w:r>
      <w:r w:rsidR="002C5094">
        <w:t xml:space="preserve"> requires the PCBU</w:t>
      </w:r>
      <w:r w:rsidR="002C5094" w:rsidRPr="002C5094">
        <w:t xml:space="preserve"> to stop work immediately</w:t>
      </w:r>
      <w:r w:rsidR="003123F7">
        <w:t xml:space="preserve"> until the risk is </w:t>
      </w:r>
      <w:r w:rsidR="0075041E">
        <w:t>rectified, and</w:t>
      </w:r>
    </w:p>
    <w:p w14:paraId="2DABE5CD" w14:textId="3FC25561" w:rsidR="002C5094" w:rsidRDefault="001E7214" w:rsidP="008B35E0">
      <w:pPr>
        <w:pStyle w:val="ListBullet"/>
      </w:pPr>
      <w:r>
        <w:t>p</w:t>
      </w:r>
      <w:r w:rsidR="002C5094">
        <w:t>enalty</w:t>
      </w:r>
      <w:r>
        <w:t>/infringement</w:t>
      </w:r>
      <w:r w:rsidR="002C5094">
        <w:t xml:space="preserve"> notices - can</w:t>
      </w:r>
      <w:r w:rsidR="002C5094" w:rsidRPr="002C5094">
        <w:t xml:space="preserve"> be issued for certain serious offences, for example </w:t>
      </w:r>
      <w:r w:rsidR="0070286B">
        <w:t>failing to comply</w:t>
      </w:r>
      <w:r w:rsidR="003C3BA0">
        <w:t xml:space="preserve"> </w:t>
      </w:r>
      <w:r w:rsidR="00484796">
        <w:t>with a prohibition notice</w:t>
      </w:r>
      <w:r w:rsidR="002C5094" w:rsidRPr="002C5094">
        <w:t>.</w:t>
      </w:r>
      <w:r w:rsidR="002C5094">
        <w:t xml:space="preserve"> </w:t>
      </w:r>
      <w:r w:rsidR="002C5094" w:rsidRPr="002C5094">
        <w:t>The</w:t>
      </w:r>
      <w:r w:rsidR="006374A7">
        <w:t>se notices are accompanied by</w:t>
      </w:r>
      <w:r w:rsidR="00D73661">
        <w:t xml:space="preserve"> a monetary fine</w:t>
      </w:r>
      <w:r w:rsidR="002C5094" w:rsidRPr="002C5094">
        <w:t xml:space="preserve"> specified in legislation.</w:t>
      </w:r>
    </w:p>
    <w:p w14:paraId="7B1BCA54" w14:textId="0567A45C" w:rsidR="003F3970" w:rsidRPr="009D0A4A" w:rsidRDefault="00777135" w:rsidP="00234FEF">
      <w:pPr>
        <w:pStyle w:val="BodyText"/>
      </w:pPr>
      <w:r>
        <w:t>WHS</w:t>
      </w:r>
      <w:r w:rsidR="003F3970" w:rsidRPr="009D0A4A">
        <w:t xml:space="preserve"> regulators indicated in the preliminary consultations that they have observed a general improvement in compliance in </w:t>
      </w:r>
      <w:r w:rsidR="003F3970" w:rsidRPr="00A91173">
        <w:t>the</w:t>
      </w:r>
      <w:r w:rsidR="003F3970" w:rsidRPr="009D0A4A">
        <w:t xml:space="preserve"> engineered stone sector </w:t>
      </w:r>
      <w:r w:rsidR="00B61508" w:rsidRPr="009D0A4A">
        <w:t>since 2018</w:t>
      </w:r>
      <w:r w:rsidR="003F3970" w:rsidRPr="009D0A4A">
        <w:t>, which aligns with the greater focus on workplace inspections.</w:t>
      </w:r>
      <w:r w:rsidR="00AA0CCA" w:rsidRPr="009D0A4A">
        <w:t xml:space="preserve"> This is evidenced by the outcomes of </w:t>
      </w:r>
      <w:r w:rsidR="00B07C23" w:rsidRPr="009D0A4A">
        <w:t xml:space="preserve">consecutive </w:t>
      </w:r>
      <w:r w:rsidR="00AA0CCA" w:rsidRPr="009D0A4A">
        <w:t xml:space="preserve">South Australian compliance programs </w:t>
      </w:r>
      <w:r w:rsidR="00271BB9">
        <w:t xml:space="preserve">in </w:t>
      </w:r>
      <w:fldSimple w:instr=" REF _Ref125289053 ">
        <w:r w:rsidR="00076804">
          <w:t xml:space="preserve">Table </w:t>
        </w:r>
        <w:r w:rsidR="00076804">
          <w:rPr>
            <w:noProof/>
          </w:rPr>
          <w:t>9</w:t>
        </w:r>
      </w:fldSimple>
      <w:r w:rsidR="00271BB9">
        <w:t>,</w:t>
      </w:r>
      <w:r w:rsidR="003F5102" w:rsidRPr="009D0A4A">
        <w:t xml:space="preserve"> </w:t>
      </w:r>
      <w:r w:rsidR="00B07C23" w:rsidRPr="009D0A4A">
        <w:t>which demonstrated</w:t>
      </w:r>
      <w:r w:rsidR="00AA0CCA" w:rsidRPr="009D0A4A">
        <w:t xml:space="preserve"> a 42</w:t>
      </w:r>
      <w:r w:rsidR="00D8094B" w:rsidRPr="009D0A4A">
        <w:t xml:space="preserve"> per cent</w:t>
      </w:r>
      <w:r w:rsidR="00AA0CCA" w:rsidRPr="009D0A4A">
        <w:t xml:space="preserve"> reduction in improvement notices</w:t>
      </w:r>
      <w:r w:rsidR="00355725" w:rsidRPr="009D0A4A">
        <w:t xml:space="preserve"> and 12</w:t>
      </w:r>
      <w:r w:rsidR="00D8094B" w:rsidRPr="009D0A4A">
        <w:t xml:space="preserve"> per cent</w:t>
      </w:r>
      <w:r w:rsidR="00355725" w:rsidRPr="009D0A4A">
        <w:t xml:space="preserve"> reduction in prohibition notices</w:t>
      </w:r>
      <w:r w:rsidR="00AA0CCA" w:rsidRPr="009D0A4A">
        <w:t xml:space="preserve"> issued in their 2020-21 </w:t>
      </w:r>
      <w:r w:rsidR="00B07C23" w:rsidRPr="009D0A4A">
        <w:t xml:space="preserve">compliance </w:t>
      </w:r>
      <w:r w:rsidR="00AA0CCA" w:rsidRPr="009D0A4A">
        <w:t>campaign compared to their 2019 campaign</w:t>
      </w:r>
      <w:r w:rsidR="00BA3EB9" w:rsidRPr="009D0A4A">
        <w:t xml:space="preserve"> </w:t>
      </w:r>
      <w:r w:rsidR="00BA3EB9" w:rsidRPr="009D0A4A">
        <w:fldChar w:fldCharType="begin"/>
      </w:r>
      <w:r w:rsidR="004067E3">
        <w:instrText xml:space="preserve"> ADDIN ZOTERO_ITEM CSL_CITATION {"citationID":"Q7B0uiRu","properties":{"formattedCitation":"(SafeWork SA 2021)","plainCitation":"(SafeWork SA 2021)","noteIndex":0},"citationItems":[{"id":879,"uris":["http://zotero.org/users/6230888/items/DKBHJC4X"],"itemData":{"id":879,"type":"report","page":"18","title":"Respirable Crystalline Silica Campaign Report 2020-21","URL":"https://www.safework.sa.gov.au/__data/assets/pdf_file/0006/469833/Respirable-Crystalline-Silica-Campaign-Report-2020-21.pdf","author":[{"literal":"SafeWork SA"}],"accessed":{"date-parts":[["2022",6,30]]},"issued":{"date-parts":[["2021"]]}}}],"schema":"https://github.com/citation-style-language/schema/raw/master/csl-citation.json"} </w:instrText>
      </w:r>
      <w:r w:rsidR="00BA3EB9" w:rsidRPr="009D0A4A">
        <w:fldChar w:fldCharType="separate"/>
      </w:r>
      <w:r w:rsidR="006B4A7D" w:rsidRPr="009D0A4A">
        <w:rPr>
          <w:rFonts w:ascii="Calibri" w:hAnsi="Calibri" w:cs="Calibri"/>
        </w:rPr>
        <w:t>(SafeWork SA 2021)</w:t>
      </w:r>
      <w:r w:rsidR="00BA3EB9" w:rsidRPr="009D0A4A">
        <w:fldChar w:fldCharType="end"/>
      </w:r>
      <w:r w:rsidR="00AA0CCA" w:rsidRPr="009D0A4A">
        <w:t xml:space="preserve">. This was despite </w:t>
      </w:r>
      <w:r w:rsidR="00D8094B" w:rsidRPr="009D0A4A">
        <w:t>an over</w:t>
      </w:r>
      <w:r w:rsidR="00355725" w:rsidRPr="009D0A4A">
        <w:t xml:space="preserve"> 500</w:t>
      </w:r>
      <w:r w:rsidR="00493C34" w:rsidRPr="009D0A4A">
        <w:t xml:space="preserve"> per cent </w:t>
      </w:r>
      <w:r w:rsidR="00355725" w:rsidRPr="009D0A4A">
        <w:t>increase</w:t>
      </w:r>
      <w:r w:rsidR="00AA0CCA" w:rsidRPr="009D0A4A">
        <w:t xml:space="preserve"> in</w:t>
      </w:r>
      <w:r w:rsidR="00B07C23" w:rsidRPr="009D0A4A">
        <w:t xml:space="preserve"> the number of workplace visits</w:t>
      </w:r>
      <w:r w:rsidR="00355725" w:rsidRPr="009D0A4A">
        <w:t xml:space="preserve"> as a result of their greater focus on workplace inspections</w:t>
      </w:r>
      <w:r w:rsidR="00B07C23" w:rsidRPr="009D0A4A">
        <w:t xml:space="preserve">. The South Australian report also noted </w:t>
      </w:r>
      <w:r w:rsidR="00E52182" w:rsidRPr="009D0A4A">
        <w:t>“</w:t>
      </w:r>
      <w:r w:rsidR="00B07C23" w:rsidRPr="009D0A4A">
        <w:t>25 fabricators of engineered stone had increased compliance, with most maintaining safe systems of work that were implemented as a result of the 2019 campaign</w:t>
      </w:r>
      <w:r w:rsidR="00E52182" w:rsidRPr="009D0A4A">
        <w:t>”</w:t>
      </w:r>
      <w:r w:rsidR="000C215A" w:rsidRPr="000C215A">
        <w:rPr>
          <w:rFonts w:ascii="Calibri" w:hAnsi="Calibri" w:cs="Calibri"/>
        </w:rPr>
        <w:t xml:space="preserve"> </w:t>
      </w:r>
      <w:r w:rsidR="000C215A">
        <w:rPr>
          <w:rFonts w:ascii="Calibri" w:hAnsi="Calibri" w:cs="Calibri"/>
        </w:rPr>
        <w:t>(</w:t>
      </w:r>
      <w:r w:rsidR="000C215A" w:rsidRPr="009D0A4A">
        <w:rPr>
          <w:rFonts w:ascii="Calibri" w:hAnsi="Calibri" w:cs="Calibri"/>
        </w:rPr>
        <w:t>SafeWork SA 2021</w:t>
      </w:r>
      <w:r w:rsidR="000C215A">
        <w:rPr>
          <w:rFonts w:ascii="Calibri" w:hAnsi="Calibri" w:cs="Calibri"/>
        </w:rPr>
        <w:t>)</w:t>
      </w:r>
      <w:r w:rsidR="00E52182" w:rsidRPr="009D0A4A">
        <w:t xml:space="preserve">. </w:t>
      </w:r>
      <w:r w:rsidR="003F3970" w:rsidRPr="009D0A4A">
        <w:t xml:space="preserve">However, </w:t>
      </w:r>
      <w:r w:rsidR="00355725" w:rsidRPr="009D0A4A">
        <w:t xml:space="preserve">as </w:t>
      </w:r>
      <w:fldSimple w:instr=" REF _Ref125289053 ">
        <w:r w:rsidR="00076804">
          <w:t xml:space="preserve">Table </w:t>
        </w:r>
        <w:r w:rsidR="00076804">
          <w:rPr>
            <w:noProof/>
          </w:rPr>
          <w:t>9</w:t>
        </w:r>
      </w:fldSimple>
      <w:r w:rsidR="00D8094B" w:rsidRPr="009D0A4A">
        <w:t xml:space="preserve"> shows</w:t>
      </w:r>
      <w:r w:rsidR="00355725" w:rsidRPr="009D0A4A">
        <w:t xml:space="preserve">, </w:t>
      </w:r>
      <w:r w:rsidR="003F3970" w:rsidRPr="009D0A4A">
        <w:t>many notices are still being issued which indicate</w:t>
      </w:r>
      <w:r w:rsidR="00355725" w:rsidRPr="009D0A4A">
        <w:t>s</w:t>
      </w:r>
      <w:r w:rsidR="003F3970" w:rsidRPr="009D0A4A">
        <w:t xml:space="preserve"> that employers </w:t>
      </w:r>
      <w:r w:rsidR="008D3A48">
        <w:t>may</w:t>
      </w:r>
      <w:r w:rsidR="008D3A48" w:rsidRPr="009D0A4A">
        <w:t xml:space="preserve"> </w:t>
      </w:r>
      <w:r w:rsidR="003F3970" w:rsidRPr="009D0A4A">
        <w:t xml:space="preserve">continue to find it difficult to comply or </w:t>
      </w:r>
      <w:r w:rsidR="00C35E30" w:rsidRPr="009D0A4A">
        <w:t>choose not to</w:t>
      </w:r>
      <w:r w:rsidR="003F3970" w:rsidRPr="009D0A4A">
        <w:t xml:space="preserve"> comply</w:t>
      </w:r>
      <w:r w:rsidR="00587778" w:rsidRPr="009D0A4A">
        <w:t>.</w:t>
      </w:r>
      <w:r w:rsidR="003F3970" w:rsidRPr="009D0A4A">
        <w:t xml:space="preserve"> </w:t>
      </w:r>
    </w:p>
    <w:p w14:paraId="35F8B3BF" w14:textId="689674F6" w:rsidR="00F75C9C" w:rsidRDefault="00E93538" w:rsidP="00234FEF">
      <w:pPr>
        <w:pStyle w:val="BodyText"/>
      </w:pPr>
      <w:r>
        <w:t xml:space="preserve">Other factors </w:t>
      </w:r>
      <w:r w:rsidR="00F75C9C">
        <w:t xml:space="preserve">influencing the levels of compliance with </w:t>
      </w:r>
      <w:r w:rsidR="002E41D3" w:rsidRPr="009D0A4A">
        <w:t>the requirements of the model WHS laws</w:t>
      </w:r>
      <w:r w:rsidR="00F75C9C">
        <w:t xml:space="preserve"> include: </w:t>
      </w:r>
    </w:p>
    <w:p w14:paraId="7633ED32" w14:textId="036E3B70" w:rsidR="00F75C9C" w:rsidRDefault="002E41D3" w:rsidP="008B35E0">
      <w:pPr>
        <w:pStyle w:val="ListBullet"/>
      </w:pPr>
      <w:r w:rsidRPr="009D0A4A">
        <w:t xml:space="preserve">financial costs of complying with the current regulations, such as providing health monitoring and undertaking air monitoring, may be driving the low levels of compliance seen amongst PCBUs, particularly for small and micro businesses. </w:t>
      </w:r>
    </w:p>
    <w:p w14:paraId="05A9CEA7" w14:textId="40F44016" w:rsidR="00851796" w:rsidRDefault="00851796" w:rsidP="008B35E0">
      <w:pPr>
        <w:pStyle w:val="ListBullet"/>
      </w:pPr>
      <w:r>
        <w:t>w</w:t>
      </w:r>
      <w:r w:rsidR="002E41D3" w:rsidRPr="009D0A4A">
        <w:t>orkplace culture</w:t>
      </w:r>
      <w:r w:rsidR="00F75C9C">
        <w:t xml:space="preserve"> - p</w:t>
      </w:r>
      <w:r w:rsidR="002E41D3" w:rsidRPr="009D0A4A">
        <w:t xml:space="preserve">ressure to avoid delays, take on or finish a job can lead to the adoption of poor techniques and a lack of consideration for personal safety </w:t>
      </w:r>
      <w:r w:rsidR="002E41D3" w:rsidRPr="009D0A4A">
        <w:fldChar w:fldCharType="begin"/>
      </w:r>
      <w:r w:rsidR="004067E3">
        <w:instrText xml:space="preserve"> ADDIN ZOTERO_ITEM CSL_CITATION {"citationID":"MpwcaL7c","properties":{"formattedCitation":"(ThinkPlace 2018)","plainCitation":"(ThinkPlace 2018)","noteIndex":0},"citationItems":[{"id":887,"uris":["http://zotero.org/users/6230888/items/WY24XA5C"],"itemData":{"id":887,"type":"report","page":"32","title":"Insights report: Exploring dust exposure in the stone industry","URL":"https://www.safeworkaustralia.gov.au/system/files/documents/1903/insights-report-exploring-dust-exposure-stone-industry.pdf","author":[{"literal":"ThinkPlace"}],"accessed":{"date-parts":[["2022",6,30]]},"issued":{"date-parts":[["2018"]]}}}],"schema":"https://github.com/citation-style-language/schema/raw/master/csl-citation.json"} </w:instrText>
      </w:r>
      <w:r w:rsidR="002E41D3" w:rsidRPr="009D0A4A">
        <w:fldChar w:fldCharType="separate"/>
      </w:r>
      <w:r w:rsidR="002E41D3" w:rsidRPr="00F75C9C">
        <w:rPr>
          <w:rFonts w:cs="Calibri"/>
        </w:rPr>
        <w:t>(ThinkPlace 2018)</w:t>
      </w:r>
      <w:r w:rsidR="002E41D3" w:rsidRPr="009D0A4A">
        <w:fldChar w:fldCharType="end"/>
      </w:r>
      <w:r w:rsidR="002E41D3" w:rsidRPr="009D0A4A">
        <w:t xml:space="preserve">. </w:t>
      </w:r>
      <w:r>
        <w:t>N</w:t>
      </w:r>
      <w:r w:rsidR="002E41D3" w:rsidRPr="009D0A4A">
        <w:t xml:space="preserve">on-compliant practices become embedded as a matter of workplace culture, with newer employees following the example of more established employees, leading to unsafe practices becoming more widespread. </w:t>
      </w:r>
    </w:p>
    <w:p w14:paraId="2547EAF3" w14:textId="3834ED4E" w:rsidR="002E41D3" w:rsidRPr="009D0A4A" w:rsidRDefault="002E41D3" w:rsidP="008B35E0">
      <w:pPr>
        <w:pStyle w:val="ListBullet"/>
      </w:pPr>
      <w:r>
        <w:t>the lack of access to persons with specific competency for conducting health and air monitoring may result in inadequate assessment</w:t>
      </w:r>
      <w:r w:rsidR="00756C48">
        <w:t xml:space="preserve">s, and </w:t>
      </w:r>
      <w:r>
        <w:t xml:space="preserve">the costs of air monitoring </w:t>
      </w:r>
      <w:r w:rsidR="00756C48">
        <w:t>undertaken by an expert</w:t>
      </w:r>
      <w:r w:rsidR="00FE0C0B">
        <w:t xml:space="preserve"> </w:t>
      </w:r>
      <w:r w:rsidR="002A00F7">
        <w:t xml:space="preserve">- </w:t>
      </w:r>
      <w:r>
        <w:t>the majority of the cost comes from hiring an occupational hygienist to undertake the monitoring</w:t>
      </w:r>
      <w:r w:rsidR="002A00F7">
        <w:t xml:space="preserve">, and </w:t>
      </w:r>
      <w:r>
        <w:t xml:space="preserve"> it can be $10,000 to $20,000 per experience </w:t>
      </w:r>
      <w:r>
        <w:fldChar w:fldCharType="begin"/>
      </w:r>
      <w:r>
        <w:instrText xml:space="preserve"> ADDIN ZOTERO_ITEM CSL_CITATION {"citationID":"fhoe0xmk","properties":{"formattedCitation":"(NSW Legislative Council Standing Committee on Law and Justice 2020)","plainCitation":"(NSW Legislative Council Standing Committee on Law and Justice 2020)","noteIndex":0},"citationItems":[{"id":890,"uris":["http://zotero.org/users/6230888/items/DCIM4MBH"],"itemData":{"id":890,"type":"report","title":"2019 Review of the Dust Diseases Scheme","URL":"https://www.parliament.nsw.gov.au/lcdocs/inquiries/2538/Report%2073%20%E2%80%93%20%202019%20Review%20of%20the%20Dust%20Diseases%20Scheme%20%E2%80%93%2024%20March%202020.pdf","author":[{"family":"NSW Legislative Council Standing Committee on Law and Justice","given":""}],"accessed":{"date-parts":[["2022",6,30]]},"issued":{"date-parts":[["2020"]]}}}],"schema":"https://github.com/citation-style-language/schema/raw/master/csl-citation.json"} </w:instrText>
      </w:r>
      <w:r>
        <w:fldChar w:fldCharType="separate"/>
      </w:r>
      <w:r w:rsidRPr="6ADCFC47">
        <w:rPr>
          <w:rFonts w:cs="Calibri"/>
        </w:rPr>
        <w:t>(NSW Legislative Council Standing Committee on Law and Justice 2020)</w:t>
      </w:r>
      <w:r>
        <w:fldChar w:fldCharType="end"/>
      </w:r>
      <w:r>
        <w:t>.</w:t>
      </w:r>
    </w:p>
    <w:p w14:paraId="7B463592" w14:textId="77777777" w:rsidR="006F0E0C" w:rsidRDefault="006F0E0C">
      <w:pPr>
        <w:rPr>
          <w:rFonts w:asciiTheme="majorHAnsi" w:hAnsiTheme="majorHAnsi"/>
          <w:b/>
          <w:iCs/>
          <w:color w:val="014463" w:themeColor="text2"/>
          <w:szCs w:val="18"/>
        </w:rPr>
      </w:pPr>
      <w:bookmarkStart w:id="579" w:name="_Ref92898364"/>
    </w:p>
    <w:p w14:paraId="48CEE888" w14:textId="42EF8ECD" w:rsidR="006F0E0C" w:rsidRDefault="006F0E0C">
      <w:pPr>
        <w:rPr>
          <w:rFonts w:asciiTheme="majorHAnsi" w:hAnsiTheme="majorHAnsi"/>
          <w:b/>
          <w:iCs/>
          <w:color w:val="014463" w:themeColor="text2"/>
          <w:szCs w:val="18"/>
        </w:rPr>
        <w:sectPr w:rsidR="006F0E0C" w:rsidSect="00753174">
          <w:headerReference w:type="even" r:id="rId17"/>
          <w:headerReference w:type="default" r:id="rId18"/>
          <w:footerReference w:type="even" r:id="rId19"/>
          <w:footerReference w:type="default" r:id="rId20"/>
          <w:headerReference w:type="first" r:id="rId21"/>
          <w:footerReference w:type="first" r:id="rId22"/>
          <w:pgSz w:w="11906" w:h="16838"/>
          <w:pgMar w:top="1559" w:right="851" w:bottom="1701" w:left="851" w:header="567" w:footer="57" w:gutter="0"/>
          <w:cols w:space="708"/>
          <w:docGrid w:linePitch="360"/>
        </w:sectPr>
      </w:pPr>
    </w:p>
    <w:p w14:paraId="66CC6D48" w14:textId="1943B912" w:rsidR="00E403F0" w:rsidRPr="009D0A4A" w:rsidRDefault="00E403F0">
      <w:pPr>
        <w:rPr>
          <w:rFonts w:asciiTheme="majorHAnsi" w:hAnsiTheme="majorHAnsi"/>
          <w:b/>
          <w:iCs/>
          <w:color w:val="014463" w:themeColor="text2"/>
          <w:szCs w:val="18"/>
        </w:rPr>
      </w:pPr>
    </w:p>
    <w:p w14:paraId="10D3257D" w14:textId="043F2D00" w:rsidR="00076804" w:rsidRDefault="00076804" w:rsidP="00076804">
      <w:pPr>
        <w:pStyle w:val="Caption"/>
      </w:pPr>
      <w:bookmarkStart w:id="580" w:name="_Ref125289053"/>
      <w:bookmarkEnd w:id="579"/>
      <w:r>
        <w:t xml:space="preserve">Table </w:t>
      </w:r>
      <w:fldSimple w:instr=" SEQ Table \* ARABIC ">
        <w:r w:rsidR="00DF768D">
          <w:rPr>
            <w:noProof/>
          </w:rPr>
          <w:t>9</w:t>
        </w:r>
      </w:fldSimple>
      <w:bookmarkEnd w:id="580"/>
      <w:r w:rsidR="00465388">
        <w:rPr>
          <w:noProof/>
        </w:rPr>
        <w:t>:</w:t>
      </w:r>
      <w:r w:rsidRPr="00076804">
        <w:t xml:space="preserve"> </w:t>
      </w:r>
      <w:r w:rsidRPr="00F301C0">
        <w:t xml:space="preserve">State and </w:t>
      </w:r>
      <w:r w:rsidRPr="006F0E0C">
        <w:t>territory</w:t>
      </w:r>
      <w:r w:rsidRPr="00F301C0">
        <w:t xml:space="preserve"> compliance program outcomes</w:t>
      </w:r>
      <w:r w:rsidRPr="009D0A4A" w:rsidDel="00531466">
        <w:t xml:space="preserve"> </w:t>
      </w:r>
      <w:r w:rsidRPr="009D0A4A">
        <w:t>(excluding Victoria)</w:t>
      </w:r>
    </w:p>
    <w:tbl>
      <w:tblPr>
        <w:tblStyle w:val="PMCDefaultTableStyle"/>
        <w:tblpPr w:leftFromText="180" w:rightFromText="180" w:vertAnchor="text" w:tblpXSpec="center" w:tblpY="1"/>
        <w:tblOverlap w:val="never"/>
        <w:tblW w:w="5816" w:type="pct"/>
        <w:tblLook w:val="04A0" w:firstRow="1" w:lastRow="0" w:firstColumn="1" w:lastColumn="0" w:noHBand="0" w:noVBand="1"/>
      </w:tblPr>
      <w:tblGrid>
        <w:gridCol w:w="1296"/>
        <w:gridCol w:w="2089"/>
        <w:gridCol w:w="1331"/>
        <w:gridCol w:w="1811"/>
        <w:gridCol w:w="2174"/>
        <w:gridCol w:w="2051"/>
        <w:gridCol w:w="1742"/>
        <w:gridCol w:w="1994"/>
        <w:gridCol w:w="1306"/>
      </w:tblGrid>
      <w:tr w:rsidR="006F0E0C" w:rsidRPr="009D0A4A" w14:paraId="7981AD48" w14:textId="77777777" w:rsidTr="00076804">
        <w:trPr>
          <w:cnfStyle w:val="100000000000" w:firstRow="1" w:lastRow="0" w:firstColumn="0" w:lastColumn="0" w:oddVBand="0" w:evenVBand="0" w:oddHBand="0" w:evenHBand="0" w:firstRowFirstColumn="0" w:firstRowLastColumn="0" w:lastRowFirstColumn="0" w:lastRowLastColumn="0"/>
          <w:cantSplit/>
        </w:trPr>
        <w:tc>
          <w:tcPr>
            <w:tcW w:w="405" w:type="pct"/>
          </w:tcPr>
          <w:p w14:paraId="6172A71E" w14:textId="77777777" w:rsidR="00E403F0" w:rsidRPr="00D439D2" w:rsidRDefault="00E403F0" w:rsidP="000C215A">
            <w:pPr>
              <w:pStyle w:val="TableHeading"/>
              <w:rPr>
                <w:b/>
                <w:bCs/>
              </w:rPr>
            </w:pPr>
            <w:r w:rsidRPr="00D439D2">
              <w:rPr>
                <w:b/>
                <w:bCs/>
              </w:rPr>
              <w:t xml:space="preserve">Jurisdiction </w:t>
            </w:r>
          </w:p>
        </w:tc>
        <w:tc>
          <w:tcPr>
            <w:tcW w:w="662" w:type="pct"/>
          </w:tcPr>
          <w:p w14:paraId="0682253C" w14:textId="77777777" w:rsidR="00E403F0" w:rsidRPr="00D439D2" w:rsidRDefault="00E403F0" w:rsidP="000C215A">
            <w:pPr>
              <w:pStyle w:val="TableHeading"/>
              <w:rPr>
                <w:b/>
                <w:bCs/>
              </w:rPr>
            </w:pPr>
            <w:r w:rsidRPr="00D439D2">
              <w:rPr>
                <w:b/>
                <w:bCs/>
              </w:rPr>
              <w:t xml:space="preserve">Industry </w:t>
            </w:r>
          </w:p>
        </w:tc>
        <w:tc>
          <w:tcPr>
            <w:tcW w:w="422" w:type="pct"/>
          </w:tcPr>
          <w:p w14:paraId="49DB2186" w14:textId="77777777" w:rsidR="00E403F0" w:rsidRPr="00D439D2" w:rsidRDefault="00E403F0" w:rsidP="000C215A">
            <w:pPr>
              <w:pStyle w:val="TableHeading"/>
              <w:rPr>
                <w:b/>
                <w:bCs/>
              </w:rPr>
            </w:pPr>
            <w:r w:rsidRPr="00D439D2">
              <w:rPr>
                <w:b/>
                <w:bCs/>
              </w:rPr>
              <w:t>Period</w:t>
            </w:r>
          </w:p>
        </w:tc>
        <w:tc>
          <w:tcPr>
            <w:tcW w:w="574" w:type="pct"/>
          </w:tcPr>
          <w:p w14:paraId="76A1EA64" w14:textId="77777777" w:rsidR="00E403F0" w:rsidRPr="00D439D2" w:rsidRDefault="00E403F0" w:rsidP="000C215A">
            <w:pPr>
              <w:pStyle w:val="TableHeading"/>
              <w:rPr>
                <w:b/>
                <w:bCs/>
              </w:rPr>
            </w:pPr>
            <w:r w:rsidRPr="00D439D2">
              <w:rPr>
                <w:b/>
                <w:bCs/>
              </w:rPr>
              <w:t>Workplace visits</w:t>
            </w:r>
          </w:p>
        </w:tc>
        <w:tc>
          <w:tcPr>
            <w:tcW w:w="689" w:type="pct"/>
          </w:tcPr>
          <w:p w14:paraId="3CAA00EE" w14:textId="1B746FE4" w:rsidR="00E403F0" w:rsidRPr="00D439D2" w:rsidRDefault="00E403F0" w:rsidP="000C215A">
            <w:pPr>
              <w:pStyle w:val="TableHeading"/>
              <w:rPr>
                <w:b/>
                <w:bCs/>
              </w:rPr>
            </w:pPr>
            <w:r w:rsidRPr="00D439D2">
              <w:rPr>
                <w:b/>
                <w:bCs/>
              </w:rPr>
              <w:t>Improvement notices</w:t>
            </w:r>
            <w:r w:rsidRPr="00D439D2">
              <w:rPr>
                <w:rStyle w:val="FootnoteReference"/>
                <w:b/>
                <w:bCs/>
              </w:rPr>
              <w:footnoteReference w:id="10"/>
            </w:r>
          </w:p>
        </w:tc>
        <w:tc>
          <w:tcPr>
            <w:tcW w:w="650" w:type="pct"/>
          </w:tcPr>
          <w:p w14:paraId="60F27503" w14:textId="77777777" w:rsidR="00E403F0" w:rsidRPr="00D439D2" w:rsidRDefault="00E403F0" w:rsidP="000C215A">
            <w:pPr>
              <w:pStyle w:val="TableHeading"/>
              <w:rPr>
                <w:b/>
                <w:bCs/>
              </w:rPr>
            </w:pPr>
            <w:r w:rsidRPr="00D439D2">
              <w:rPr>
                <w:b/>
                <w:bCs/>
              </w:rPr>
              <w:t>Infringement notices</w:t>
            </w:r>
          </w:p>
        </w:tc>
        <w:tc>
          <w:tcPr>
            <w:tcW w:w="552" w:type="pct"/>
          </w:tcPr>
          <w:p w14:paraId="507FEA07" w14:textId="77777777" w:rsidR="00E403F0" w:rsidRPr="00D439D2" w:rsidRDefault="00E403F0" w:rsidP="000C215A">
            <w:pPr>
              <w:pStyle w:val="TableHeading"/>
              <w:rPr>
                <w:b/>
                <w:bCs/>
              </w:rPr>
            </w:pPr>
            <w:r w:rsidRPr="00D439D2">
              <w:rPr>
                <w:b/>
                <w:bCs/>
              </w:rPr>
              <w:t>Prohibition notices</w:t>
            </w:r>
          </w:p>
        </w:tc>
        <w:tc>
          <w:tcPr>
            <w:tcW w:w="632" w:type="pct"/>
          </w:tcPr>
          <w:p w14:paraId="5641E4A2" w14:textId="77777777" w:rsidR="00E403F0" w:rsidRPr="00D439D2" w:rsidRDefault="00E403F0" w:rsidP="000C215A">
            <w:pPr>
              <w:pStyle w:val="TableHeading"/>
              <w:rPr>
                <w:b/>
                <w:bCs/>
              </w:rPr>
            </w:pPr>
            <w:r w:rsidRPr="00D439D2">
              <w:rPr>
                <w:b/>
                <w:bCs/>
              </w:rPr>
              <w:t>Immediate compliance</w:t>
            </w:r>
          </w:p>
        </w:tc>
        <w:tc>
          <w:tcPr>
            <w:tcW w:w="417" w:type="pct"/>
          </w:tcPr>
          <w:p w14:paraId="38ED0FBE" w14:textId="77777777" w:rsidR="00E403F0" w:rsidRPr="00D439D2" w:rsidRDefault="00E403F0" w:rsidP="000C215A">
            <w:pPr>
              <w:pStyle w:val="TableHeading"/>
              <w:rPr>
                <w:b/>
                <w:bCs/>
              </w:rPr>
            </w:pPr>
            <w:r w:rsidRPr="00D439D2">
              <w:rPr>
                <w:b/>
                <w:bCs/>
              </w:rPr>
              <w:t>Penalty notices</w:t>
            </w:r>
          </w:p>
        </w:tc>
      </w:tr>
      <w:tr w:rsidR="006F0E0C" w:rsidRPr="009D0A4A" w14:paraId="19E5A810" w14:textId="77777777" w:rsidTr="00076804">
        <w:trPr>
          <w:cnfStyle w:val="000000100000" w:firstRow="0" w:lastRow="0" w:firstColumn="0" w:lastColumn="0" w:oddVBand="0" w:evenVBand="0" w:oddHBand="1" w:evenHBand="0" w:firstRowFirstColumn="0" w:firstRowLastColumn="0" w:lastRowFirstColumn="0" w:lastRowLastColumn="0"/>
          <w:cantSplit/>
        </w:trPr>
        <w:tc>
          <w:tcPr>
            <w:tcW w:w="405" w:type="pct"/>
          </w:tcPr>
          <w:p w14:paraId="7EE1AB5F" w14:textId="77777777" w:rsidR="00E403F0" w:rsidRPr="009D0A4A" w:rsidRDefault="00E403F0" w:rsidP="006F0E0C">
            <w:pPr>
              <w:pStyle w:val="TableBody"/>
            </w:pPr>
            <w:r w:rsidRPr="009D0A4A">
              <w:t>Queensland</w:t>
            </w:r>
            <w:r w:rsidRPr="009D0A4A">
              <w:rPr>
                <w:rStyle w:val="FootnoteReference"/>
              </w:rPr>
              <w:footnoteReference w:id="11"/>
            </w:r>
          </w:p>
        </w:tc>
        <w:tc>
          <w:tcPr>
            <w:tcW w:w="662" w:type="pct"/>
          </w:tcPr>
          <w:p w14:paraId="32786468" w14:textId="77777777" w:rsidR="00E403F0" w:rsidRPr="009D0A4A" w:rsidRDefault="00E403F0" w:rsidP="006F0E0C">
            <w:pPr>
              <w:pStyle w:val="TableBody"/>
            </w:pPr>
            <w:r w:rsidRPr="009D0A4A">
              <w:t>Natural and engineered stone benchtop industries</w:t>
            </w:r>
          </w:p>
        </w:tc>
        <w:tc>
          <w:tcPr>
            <w:tcW w:w="422" w:type="pct"/>
          </w:tcPr>
          <w:p w14:paraId="4FB0BE3A" w14:textId="77777777" w:rsidR="00E403F0" w:rsidRPr="009D0A4A" w:rsidRDefault="00E403F0" w:rsidP="006F0E0C">
            <w:pPr>
              <w:pStyle w:val="TableBody"/>
            </w:pPr>
            <w:r w:rsidRPr="009D0A4A">
              <w:t>August 2020-May 2021</w:t>
            </w:r>
          </w:p>
        </w:tc>
        <w:tc>
          <w:tcPr>
            <w:tcW w:w="574" w:type="pct"/>
          </w:tcPr>
          <w:p w14:paraId="4A7E85BF" w14:textId="77777777" w:rsidR="00E403F0" w:rsidRPr="009D0A4A" w:rsidRDefault="00E403F0" w:rsidP="006F0E0C">
            <w:pPr>
              <w:pStyle w:val="TableBody"/>
            </w:pPr>
            <w:r w:rsidRPr="009D0A4A">
              <w:t>230</w:t>
            </w:r>
          </w:p>
        </w:tc>
        <w:tc>
          <w:tcPr>
            <w:tcW w:w="689" w:type="pct"/>
          </w:tcPr>
          <w:p w14:paraId="72DDBF95" w14:textId="77777777" w:rsidR="00E403F0" w:rsidRPr="009D0A4A" w:rsidRDefault="00E403F0" w:rsidP="006F0E0C">
            <w:pPr>
              <w:pStyle w:val="TableBody"/>
            </w:pPr>
            <w:r w:rsidRPr="009D0A4A">
              <w:t>302</w:t>
            </w:r>
          </w:p>
        </w:tc>
        <w:tc>
          <w:tcPr>
            <w:tcW w:w="650" w:type="pct"/>
          </w:tcPr>
          <w:p w14:paraId="400BB71B" w14:textId="37599955" w:rsidR="00E403F0" w:rsidRPr="009D0A4A" w:rsidRDefault="003C0FF6" w:rsidP="006F0E0C">
            <w:pPr>
              <w:pStyle w:val="TableBody"/>
            </w:pPr>
            <w:r w:rsidRPr="009D0A4A">
              <w:t>27</w:t>
            </w:r>
          </w:p>
        </w:tc>
        <w:tc>
          <w:tcPr>
            <w:tcW w:w="552" w:type="pct"/>
          </w:tcPr>
          <w:p w14:paraId="1C7C69F1" w14:textId="035C2C19" w:rsidR="00E403F0" w:rsidRPr="009D0A4A" w:rsidRDefault="003C0FF6" w:rsidP="006F0E0C">
            <w:pPr>
              <w:pStyle w:val="TableBody"/>
            </w:pPr>
            <w:r w:rsidRPr="009D0A4A">
              <w:t>24</w:t>
            </w:r>
          </w:p>
        </w:tc>
        <w:tc>
          <w:tcPr>
            <w:tcW w:w="632" w:type="pct"/>
          </w:tcPr>
          <w:p w14:paraId="6BF901F0" w14:textId="021462E0" w:rsidR="00E403F0" w:rsidRPr="009D0A4A" w:rsidRDefault="003C0FF6" w:rsidP="006F0E0C">
            <w:pPr>
              <w:pStyle w:val="TableBody"/>
            </w:pPr>
            <w:r w:rsidRPr="009D0A4A">
              <w:t>12</w:t>
            </w:r>
          </w:p>
        </w:tc>
        <w:tc>
          <w:tcPr>
            <w:tcW w:w="417" w:type="pct"/>
          </w:tcPr>
          <w:p w14:paraId="4ACC47A7" w14:textId="77777777" w:rsidR="00E403F0" w:rsidRPr="009D0A4A" w:rsidRDefault="00E403F0" w:rsidP="006F0E0C">
            <w:pPr>
              <w:pStyle w:val="TableBody"/>
            </w:pPr>
            <w:r w:rsidRPr="009D0A4A">
              <w:t>-</w:t>
            </w:r>
          </w:p>
        </w:tc>
      </w:tr>
      <w:tr w:rsidR="006F0E0C" w:rsidRPr="009D0A4A" w14:paraId="359BEAD2" w14:textId="77777777" w:rsidTr="00076804">
        <w:trPr>
          <w:cnfStyle w:val="000000010000" w:firstRow="0" w:lastRow="0" w:firstColumn="0" w:lastColumn="0" w:oddVBand="0" w:evenVBand="0" w:oddHBand="0" w:evenHBand="1" w:firstRowFirstColumn="0" w:firstRowLastColumn="0" w:lastRowFirstColumn="0" w:lastRowLastColumn="0"/>
          <w:cantSplit/>
        </w:trPr>
        <w:tc>
          <w:tcPr>
            <w:tcW w:w="405" w:type="pct"/>
          </w:tcPr>
          <w:p w14:paraId="1A6D31DA" w14:textId="24EE0B79" w:rsidR="00E403F0" w:rsidRPr="009D0A4A" w:rsidRDefault="00E403F0" w:rsidP="006F0E0C">
            <w:pPr>
              <w:pStyle w:val="TableBody"/>
            </w:pPr>
            <w:r w:rsidRPr="009D0A4A">
              <w:t xml:space="preserve">NT </w:t>
            </w:r>
            <w:r w:rsidRPr="009D0A4A">
              <w:fldChar w:fldCharType="begin"/>
            </w:r>
            <w:r w:rsidR="004067E3">
              <w:instrText xml:space="preserve"> ADDIN ZOTERO_ITEM CSL_CITATION {"citationID":"mivQU9Tj","properties":{"formattedCitation":"(Australian Government 2022)","plainCitation":"(Australian Government 2022)","noteIndex":0},"citationItems":[{"id":881,"uris":["http://zotero.org/users/6230888/items/MBL8JFFI"],"itemData":{"id":881,"type":"report","page":"64","title":"All of governments’ response to the National Dust Disease Taskforce Final Report","URL":"https://www1.health.gov.au/internet/main/publishing.nsf/Content/45748C2442F5BA74CA2587E4000F8600/$File/All-Govt-Response-Final-Report-Dust-Disease-Taskforce.pdf","author":[{"literal":"Australian Government"}],"accessed":{"date-parts":[["2022",6,30]]},"issued":{"date-parts":[["2022"]]}}}],"schema":"https://github.com/citation-style-language/schema/raw/master/csl-citation.json"} </w:instrText>
            </w:r>
            <w:r w:rsidRPr="009D0A4A">
              <w:fldChar w:fldCharType="separate"/>
            </w:r>
            <w:r w:rsidRPr="009D0A4A">
              <w:rPr>
                <w:rFonts w:ascii="Calibri" w:hAnsi="Calibri" w:cs="Calibri"/>
              </w:rPr>
              <w:t>(Australian Government 2022)</w:t>
            </w:r>
            <w:r w:rsidRPr="009D0A4A">
              <w:fldChar w:fldCharType="end"/>
            </w:r>
            <w:r w:rsidRPr="009D0A4A">
              <w:t xml:space="preserve"> </w:t>
            </w:r>
          </w:p>
        </w:tc>
        <w:tc>
          <w:tcPr>
            <w:tcW w:w="662" w:type="pct"/>
          </w:tcPr>
          <w:p w14:paraId="6A1E28F9" w14:textId="77777777" w:rsidR="00E403F0" w:rsidRPr="009D0A4A" w:rsidRDefault="00E403F0" w:rsidP="006F0E0C">
            <w:pPr>
              <w:pStyle w:val="TableBody"/>
            </w:pPr>
            <w:r w:rsidRPr="009D0A4A">
              <w:t>Engineered stone workshops</w:t>
            </w:r>
          </w:p>
        </w:tc>
        <w:tc>
          <w:tcPr>
            <w:tcW w:w="422" w:type="pct"/>
          </w:tcPr>
          <w:p w14:paraId="2216BBD0" w14:textId="77777777" w:rsidR="00E403F0" w:rsidRPr="009D0A4A" w:rsidRDefault="00E403F0" w:rsidP="006F0E0C">
            <w:pPr>
              <w:pStyle w:val="TableBody"/>
            </w:pPr>
            <w:r w:rsidRPr="009D0A4A">
              <w:t>2019-20</w:t>
            </w:r>
          </w:p>
        </w:tc>
        <w:tc>
          <w:tcPr>
            <w:tcW w:w="574" w:type="pct"/>
          </w:tcPr>
          <w:p w14:paraId="5D2FEEDB" w14:textId="77777777" w:rsidR="00E403F0" w:rsidRPr="009D0A4A" w:rsidRDefault="00E403F0" w:rsidP="006F0E0C">
            <w:pPr>
              <w:pStyle w:val="TableBody"/>
            </w:pPr>
            <w:r w:rsidRPr="009D0A4A">
              <w:t>35</w:t>
            </w:r>
          </w:p>
        </w:tc>
        <w:tc>
          <w:tcPr>
            <w:tcW w:w="689" w:type="pct"/>
          </w:tcPr>
          <w:p w14:paraId="12EB2EAA" w14:textId="77777777" w:rsidR="00E403F0" w:rsidRPr="009D0A4A" w:rsidRDefault="00E403F0" w:rsidP="006F0E0C">
            <w:pPr>
              <w:pStyle w:val="TableBody"/>
            </w:pPr>
            <w:r w:rsidRPr="009D0A4A">
              <w:t>3</w:t>
            </w:r>
          </w:p>
        </w:tc>
        <w:tc>
          <w:tcPr>
            <w:tcW w:w="650" w:type="pct"/>
          </w:tcPr>
          <w:p w14:paraId="6369E0D6" w14:textId="77777777" w:rsidR="00E403F0" w:rsidRPr="009D0A4A" w:rsidRDefault="00E403F0" w:rsidP="006F0E0C">
            <w:pPr>
              <w:pStyle w:val="TableBody"/>
            </w:pPr>
          </w:p>
        </w:tc>
        <w:tc>
          <w:tcPr>
            <w:tcW w:w="552" w:type="pct"/>
          </w:tcPr>
          <w:p w14:paraId="6FE34A9B" w14:textId="77777777" w:rsidR="00E403F0" w:rsidRPr="009D0A4A" w:rsidRDefault="00E403F0" w:rsidP="006F0E0C">
            <w:pPr>
              <w:pStyle w:val="TableBody"/>
            </w:pPr>
            <w:r w:rsidRPr="009D0A4A">
              <w:t>0</w:t>
            </w:r>
          </w:p>
        </w:tc>
        <w:tc>
          <w:tcPr>
            <w:tcW w:w="632" w:type="pct"/>
          </w:tcPr>
          <w:p w14:paraId="7DB2067B" w14:textId="77777777" w:rsidR="00E403F0" w:rsidRPr="009D0A4A" w:rsidRDefault="00E403F0" w:rsidP="006F0E0C">
            <w:pPr>
              <w:pStyle w:val="TableBody"/>
            </w:pPr>
          </w:p>
        </w:tc>
        <w:tc>
          <w:tcPr>
            <w:tcW w:w="417" w:type="pct"/>
          </w:tcPr>
          <w:p w14:paraId="31AF855C" w14:textId="77777777" w:rsidR="00E403F0" w:rsidRPr="009D0A4A" w:rsidRDefault="00E403F0" w:rsidP="006F0E0C">
            <w:pPr>
              <w:pStyle w:val="TableBody"/>
            </w:pPr>
            <w:r w:rsidRPr="009D0A4A">
              <w:t>0</w:t>
            </w:r>
          </w:p>
        </w:tc>
      </w:tr>
      <w:tr w:rsidR="006F0E0C" w:rsidRPr="009D0A4A" w14:paraId="074494C0" w14:textId="77777777" w:rsidTr="00076804">
        <w:trPr>
          <w:cnfStyle w:val="000000100000" w:firstRow="0" w:lastRow="0" w:firstColumn="0" w:lastColumn="0" w:oddVBand="0" w:evenVBand="0" w:oddHBand="1" w:evenHBand="0" w:firstRowFirstColumn="0" w:firstRowLastColumn="0" w:lastRowFirstColumn="0" w:lastRowLastColumn="0"/>
          <w:cantSplit/>
        </w:trPr>
        <w:tc>
          <w:tcPr>
            <w:tcW w:w="405" w:type="pct"/>
          </w:tcPr>
          <w:p w14:paraId="398C504F" w14:textId="001D4983" w:rsidR="00E403F0" w:rsidRPr="009D0A4A" w:rsidRDefault="00E403F0" w:rsidP="006F0E0C">
            <w:pPr>
              <w:pStyle w:val="TableBody"/>
            </w:pPr>
            <w:r w:rsidRPr="009D0A4A">
              <w:t xml:space="preserve">NSW </w:t>
            </w:r>
            <w:r w:rsidRPr="009D0A4A">
              <w:rPr>
                <w:rStyle w:val="FootnoteReference"/>
              </w:rPr>
              <w:t xml:space="preserve"> </w:t>
            </w:r>
            <w:r w:rsidRPr="009D0A4A">
              <w:fldChar w:fldCharType="begin"/>
            </w:r>
            <w:r w:rsidR="004067E3">
              <w:instrText xml:space="preserve"> ADDIN ZOTERO_ITEM CSL_CITATION {"citationID":"FtY9ip4j","properties":{"formattedCitation":"(NSW Government 2022)","plainCitation":"(NSW Government 2022)","noteIndex":0},"citationItems":[{"id":882,"uris":["http://zotero.org/users/6230888/items/MRPWREDL"],"itemData":{"id":882,"type":"webpage","abstract":"Silica dust is a major hazard for workers in NSW and can lead to the serious and often fatal lung disease silicosis. Our silica dashboard shows what is being done.","container-title":"NSW Government","genre":"Landing Page","note":"Last Modified: 2022-05-19\npublisher: NSW Government","title":"Silica dashboard","URL":"https://www.nsw.gov.au/customer-service/publications-and-reports/silica-dashboard","author":[{"literal":"NSW Government"}],"accessed":{"date-parts":[["2022",6,30]]},"issued":{"date-parts":[["2022"]]}}}],"schema":"https://github.com/citation-style-language/schema/raw/master/csl-citation.json"} </w:instrText>
            </w:r>
            <w:r w:rsidRPr="009D0A4A">
              <w:fldChar w:fldCharType="separate"/>
            </w:r>
            <w:r w:rsidRPr="009D0A4A">
              <w:rPr>
                <w:rFonts w:ascii="Calibri" w:hAnsi="Calibri" w:cs="Calibri"/>
              </w:rPr>
              <w:t>(NSW Government 2022)</w:t>
            </w:r>
            <w:r w:rsidRPr="009D0A4A">
              <w:fldChar w:fldCharType="end"/>
            </w:r>
          </w:p>
        </w:tc>
        <w:tc>
          <w:tcPr>
            <w:tcW w:w="662" w:type="pct"/>
          </w:tcPr>
          <w:p w14:paraId="56F1AE41" w14:textId="77777777" w:rsidR="00E403F0" w:rsidRPr="009D0A4A" w:rsidRDefault="00E403F0" w:rsidP="006F0E0C">
            <w:pPr>
              <w:pStyle w:val="TableBody"/>
            </w:pPr>
            <w:r w:rsidRPr="009D0A4A">
              <w:t>Engineered stone, construction, tunnelling, manufacturing, foundries and stonemason industries</w:t>
            </w:r>
          </w:p>
        </w:tc>
        <w:tc>
          <w:tcPr>
            <w:tcW w:w="422" w:type="pct"/>
          </w:tcPr>
          <w:p w14:paraId="10B6DF5D" w14:textId="77777777" w:rsidR="00E403F0" w:rsidRPr="009D0A4A" w:rsidRDefault="00E403F0" w:rsidP="006F0E0C">
            <w:pPr>
              <w:pStyle w:val="TableBody"/>
            </w:pPr>
            <w:r w:rsidRPr="009D0A4A">
              <w:t>2018 to 31 March 2022</w:t>
            </w:r>
          </w:p>
        </w:tc>
        <w:tc>
          <w:tcPr>
            <w:tcW w:w="574" w:type="pct"/>
          </w:tcPr>
          <w:p w14:paraId="52A3ADE7" w14:textId="77777777" w:rsidR="00E403F0" w:rsidRPr="009D0A4A" w:rsidRDefault="00E403F0" w:rsidP="006F0E0C">
            <w:pPr>
              <w:pStyle w:val="TableBody"/>
            </w:pPr>
            <w:r w:rsidRPr="009D0A4A">
              <w:t>2082</w:t>
            </w:r>
          </w:p>
        </w:tc>
        <w:tc>
          <w:tcPr>
            <w:tcW w:w="689" w:type="pct"/>
          </w:tcPr>
          <w:p w14:paraId="6C535CD1" w14:textId="77777777" w:rsidR="00E403F0" w:rsidRPr="009D0A4A" w:rsidRDefault="00E403F0" w:rsidP="006F0E0C">
            <w:pPr>
              <w:pStyle w:val="TableBody"/>
            </w:pPr>
            <w:r w:rsidRPr="009D0A4A">
              <w:t>1271</w:t>
            </w:r>
          </w:p>
        </w:tc>
        <w:tc>
          <w:tcPr>
            <w:tcW w:w="650" w:type="pct"/>
          </w:tcPr>
          <w:p w14:paraId="551CBF53" w14:textId="77777777" w:rsidR="00E403F0" w:rsidRPr="009D0A4A" w:rsidRDefault="00E403F0" w:rsidP="006F0E0C">
            <w:pPr>
              <w:pStyle w:val="TableBody"/>
            </w:pPr>
          </w:p>
        </w:tc>
        <w:tc>
          <w:tcPr>
            <w:tcW w:w="552" w:type="pct"/>
          </w:tcPr>
          <w:p w14:paraId="4AE4C7AA" w14:textId="77777777" w:rsidR="00E403F0" w:rsidRPr="009D0A4A" w:rsidRDefault="00E403F0" w:rsidP="006F0E0C">
            <w:pPr>
              <w:pStyle w:val="TableBody"/>
            </w:pPr>
            <w:r w:rsidRPr="009D0A4A">
              <w:t>47</w:t>
            </w:r>
          </w:p>
        </w:tc>
        <w:tc>
          <w:tcPr>
            <w:tcW w:w="632" w:type="pct"/>
          </w:tcPr>
          <w:p w14:paraId="45CCAFE8" w14:textId="77777777" w:rsidR="00E403F0" w:rsidRPr="009D0A4A" w:rsidRDefault="00E403F0" w:rsidP="006F0E0C">
            <w:pPr>
              <w:pStyle w:val="TableBody"/>
            </w:pPr>
          </w:p>
        </w:tc>
        <w:tc>
          <w:tcPr>
            <w:tcW w:w="417" w:type="pct"/>
          </w:tcPr>
          <w:p w14:paraId="58852761" w14:textId="77777777" w:rsidR="00E403F0" w:rsidRPr="009D0A4A" w:rsidRDefault="00E403F0" w:rsidP="006F0E0C">
            <w:pPr>
              <w:pStyle w:val="TableBody"/>
            </w:pPr>
            <w:r w:rsidRPr="009D0A4A">
              <w:t>2</w:t>
            </w:r>
          </w:p>
        </w:tc>
      </w:tr>
      <w:tr w:rsidR="006F0E0C" w:rsidRPr="009D0A4A" w14:paraId="497D982C" w14:textId="77777777" w:rsidTr="00076804">
        <w:trPr>
          <w:cnfStyle w:val="000000010000" w:firstRow="0" w:lastRow="0" w:firstColumn="0" w:lastColumn="0" w:oddVBand="0" w:evenVBand="0" w:oddHBand="0" w:evenHBand="1" w:firstRowFirstColumn="0" w:firstRowLastColumn="0" w:lastRowFirstColumn="0" w:lastRowLastColumn="0"/>
          <w:cantSplit/>
        </w:trPr>
        <w:tc>
          <w:tcPr>
            <w:tcW w:w="405" w:type="pct"/>
          </w:tcPr>
          <w:p w14:paraId="6D0B3B6D" w14:textId="1A1D2F7D" w:rsidR="00E403F0" w:rsidRPr="009D0A4A" w:rsidRDefault="00E403F0" w:rsidP="006F0E0C">
            <w:pPr>
              <w:pStyle w:val="TableBody"/>
            </w:pPr>
            <w:r w:rsidRPr="009D0A4A">
              <w:t xml:space="preserve">SA </w:t>
            </w:r>
            <w:r w:rsidRPr="009D0A4A">
              <w:fldChar w:fldCharType="begin"/>
            </w:r>
            <w:r w:rsidR="004067E3">
              <w:instrText xml:space="preserve"> ADDIN ZOTERO_ITEM CSL_CITATION {"citationID":"aEXGswDj","properties":{"formattedCitation":"(SafeWork SA 2019)","plainCitation":"(SafeWork SA 2019)","noteIndex":0},"citationItems":[{"id":884,"uris":["http://zotero.org/users/6230888/items/XAX8CMBR"],"itemData":{"id":884,"type":"report","page":"15","title":"Respirable Crystalline Silica Compliance Program - 2019 Audit Report","URL":"https://www.safework.sa.gov.au/__data/assets/pdf_file/0010/187624/rcs_compliance_audit_report_2019.pdf","author":[{"literal":"SafeWork SA"}],"accessed":{"date-parts":[["2022",6,30]]},"issued":{"date-parts":[["2019"]]}}}],"schema":"https://github.com/citation-style-language/schema/raw/master/csl-citation.json"} </w:instrText>
            </w:r>
            <w:r w:rsidRPr="009D0A4A">
              <w:fldChar w:fldCharType="separate"/>
            </w:r>
            <w:r w:rsidRPr="009D0A4A">
              <w:rPr>
                <w:rFonts w:ascii="Calibri" w:hAnsi="Calibri" w:cs="Calibri"/>
              </w:rPr>
              <w:t>(SafeWork SA 2019)</w:t>
            </w:r>
            <w:r w:rsidRPr="009D0A4A">
              <w:fldChar w:fldCharType="end"/>
            </w:r>
          </w:p>
        </w:tc>
        <w:tc>
          <w:tcPr>
            <w:tcW w:w="662" w:type="pct"/>
          </w:tcPr>
          <w:p w14:paraId="62F3AED8" w14:textId="77777777" w:rsidR="00E403F0" w:rsidRPr="009D0A4A" w:rsidRDefault="00E403F0" w:rsidP="006F0E0C">
            <w:pPr>
              <w:pStyle w:val="TableBody"/>
            </w:pPr>
            <w:r w:rsidRPr="009D0A4A">
              <w:t>Fabricators and installers of engineered stone</w:t>
            </w:r>
          </w:p>
        </w:tc>
        <w:tc>
          <w:tcPr>
            <w:tcW w:w="422" w:type="pct"/>
          </w:tcPr>
          <w:p w14:paraId="39878430" w14:textId="77777777" w:rsidR="00E403F0" w:rsidRPr="009D0A4A" w:rsidRDefault="00E403F0" w:rsidP="006F0E0C">
            <w:pPr>
              <w:pStyle w:val="TableBody"/>
            </w:pPr>
            <w:r w:rsidRPr="009D0A4A">
              <w:t>From 25 February 2019 to 21 May 2019</w:t>
            </w:r>
          </w:p>
        </w:tc>
        <w:tc>
          <w:tcPr>
            <w:tcW w:w="574" w:type="pct"/>
          </w:tcPr>
          <w:p w14:paraId="1EE6F89C" w14:textId="77777777" w:rsidR="00E403F0" w:rsidRPr="009D0A4A" w:rsidRDefault="00E403F0" w:rsidP="006F0E0C">
            <w:pPr>
              <w:pStyle w:val="TableBody"/>
            </w:pPr>
            <w:r w:rsidRPr="009D0A4A">
              <w:t>26</w:t>
            </w:r>
          </w:p>
        </w:tc>
        <w:tc>
          <w:tcPr>
            <w:tcW w:w="689" w:type="pct"/>
          </w:tcPr>
          <w:p w14:paraId="1DDC43FA" w14:textId="77777777" w:rsidR="00E403F0" w:rsidRPr="009D0A4A" w:rsidRDefault="00E403F0" w:rsidP="006F0E0C">
            <w:pPr>
              <w:pStyle w:val="TableBody"/>
            </w:pPr>
            <w:r w:rsidRPr="009D0A4A">
              <w:t>103</w:t>
            </w:r>
          </w:p>
        </w:tc>
        <w:tc>
          <w:tcPr>
            <w:tcW w:w="650" w:type="pct"/>
          </w:tcPr>
          <w:p w14:paraId="2628965A" w14:textId="77777777" w:rsidR="00E403F0" w:rsidRPr="009D0A4A" w:rsidRDefault="00E403F0" w:rsidP="006F0E0C">
            <w:pPr>
              <w:pStyle w:val="TableBody"/>
            </w:pPr>
          </w:p>
        </w:tc>
        <w:tc>
          <w:tcPr>
            <w:tcW w:w="552" w:type="pct"/>
          </w:tcPr>
          <w:p w14:paraId="7E1CCDF0" w14:textId="77777777" w:rsidR="00E403F0" w:rsidRPr="009D0A4A" w:rsidRDefault="00E403F0" w:rsidP="006F0E0C">
            <w:pPr>
              <w:pStyle w:val="TableBody"/>
            </w:pPr>
            <w:r w:rsidRPr="009D0A4A">
              <w:t>8</w:t>
            </w:r>
          </w:p>
        </w:tc>
        <w:tc>
          <w:tcPr>
            <w:tcW w:w="632" w:type="pct"/>
          </w:tcPr>
          <w:p w14:paraId="321568D3" w14:textId="77777777" w:rsidR="00E403F0" w:rsidRPr="009D0A4A" w:rsidRDefault="00E403F0" w:rsidP="006F0E0C">
            <w:pPr>
              <w:pStyle w:val="TableBody"/>
            </w:pPr>
          </w:p>
        </w:tc>
        <w:tc>
          <w:tcPr>
            <w:tcW w:w="417" w:type="pct"/>
          </w:tcPr>
          <w:p w14:paraId="7A632B35" w14:textId="77777777" w:rsidR="00E403F0" w:rsidRPr="009D0A4A" w:rsidRDefault="00E403F0" w:rsidP="006F0E0C">
            <w:pPr>
              <w:pStyle w:val="TableBody"/>
            </w:pPr>
            <w:r w:rsidRPr="009D0A4A">
              <w:t>0</w:t>
            </w:r>
          </w:p>
        </w:tc>
      </w:tr>
      <w:tr w:rsidR="006F0E0C" w:rsidRPr="009D0A4A" w14:paraId="3D3A5C54" w14:textId="77777777" w:rsidTr="00076804">
        <w:trPr>
          <w:cnfStyle w:val="000000100000" w:firstRow="0" w:lastRow="0" w:firstColumn="0" w:lastColumn="0" w:oddVBand="0" w:evenVBand="0" w:oddHBand="1" w:evenHBand="0" w:firstRowFirstColumn="0" w:firstRowLastColumn="0" w:lastRowFirstColumn="0" w:lastRowLastColumn="0"/>
          <w:cantSplit/>
        </w:trPr>
        <w:tc>
          <w:tcPr>
            <w:tcW w:w="405" w:type="pct"/>
          </w:tcPr>
          <w:p w14:paraId="7243BD01" w14:textId="7D23FBD4" w:rsidR="00E403F0" w:rsidRPr="009D0A4A" w:rsidRDefault="00E403F0" w:rsidP="006F0E0C">
            <w:pPr>
              <w:pStyle w:val="TableBody"/>
            </w:pPr>
            <w:r w:rsidRPr="009D0A4A">
              <w:t xml:space="preserve">SA </w:t>
            </w:r>
            <w:r w:rsidRPr="009D0A4A">
              <w:rPr>
                <w:rFonts w:ascii="Calibri" w:hAnsi="Calibri" w:cs="Calibri"/>
              </w:rPr>
              <w:t>(SafeWork SA 2019</w:t>
            </w:r>
            <w:r w:rsidR="00EF2C37">
              <w:rPr>
                <w:rFonts w:ascii="Calibri" w:hAnsi="Calibri" w:cs="Calibri"/>
              </w:rPr>
              <w:t>)</w:t>
            </w:r>
          </w:p>
        </w:tc>
        <w:tc>
          <w:tcPr>
            <w:tcW w:w="662" w:type="pct"/>
          </w:tcPr>
          <w:p w14:paraId="2BB6B438" w14:textId="77777777" w:rsidR="00E403F0" w:rsidRPr="009D0A4A" w:rsidRDefault="00E403F0" w:rsidP="006F0E0C">
            <w:pPr>
              <w:pStyle w:val="TableBody"/>
            </w:pPr>
            <w:r w:rsidRPr="009D0A4A">
              <w:t>Construction industry</w:t>
            </w:r>
          </w:p>
        </w:tc>
        <w:tc>
          <w:tcPr>
            <w:tcW w:w="422" w:type="pct"/>
          </w:tcPr>
          <w:p w14:paraId="1B2C8EB4" w14:textId="77777777" w:rsidR="00E403F0" w:rsidRPr="009D0A4A" w:rsidRDefault="00E403F0" w:rsidP="006F0E0C">
            <w:pPr>
              <w:pStyle w:val="TableBody"/>
            </w:pPr>
            <w:r w:rsidRPr="009D0A4A">
              <w:t>From 9 April 2019 to 14 May 2019</w:t>
            </w:r>
          </w:p>
        </w:tc>
        <w:tc>
          <w:tcPr>
            <w:tcW w:w="574" w:type="pct"/>
          </w:tcPr>
          <w:p w14:paraId="176B5860" w14:textId="77777777" w:rsidR="00E403F0" w:rsidRPr="009D0A4A" w:rsidRDefault="00E403F0" w:rsidP="006F0E0C">
            <w:pPr>
              <w:pStyle w:val="TableBody"/>
            </w:pPr>
            <w:r w:rsidRPr="009D0A4A">
              <w:t>12</w:t>
            </w:r>
          </w:p>
        </w:tc>
        <w:tc>
          <w:tcPr>
            <w:tcW w:w="689" w:type="pct"/>
          </w:tcPr>
          <w:p w14:paraId="0C2A0B35" w14:textId="77777777" w:rsidR="00E403F0" w:rsidRPr="009D0A4A" w:rsidRDefault="00E403F0" w:rsidP="006F0E0C">
            <w:pPr>
              <w:pStyle w:val="TableBody"/>
            </w:pPr>
            <w:r w:rsidRPr="009D0A4A">
              <w:t>62</w:t>
            </w:r>
          </w:p>
        </w:tc>
        <w:tc>
          <w:tcPr>
            <w:tcW w:w="650" w:type="pct"/>
          </w:tcPr>
          <w:p w14:paraId="43FCA9CD" w14:textId="77777777" w:rsidR="00E403F0" w:rsidRPr="009D0A4A" w:rsidRDefault="00E403F0" w:rsidP="006F0E0C">
            <w:pPr>
              <w:pStyle w:val="TableBody"/>
            </w:pPr>
          </w:p>
        </w:tc>
        <w:tc>
          <w:tcPr>
            <w:tcW w:w="552" w:type="pct"/>
          </w:tcPr>
          <w:p w14:paraId="4F0AE421" w14:textId="77777777" w:rsidR="00E403F0" w:rsidRPr="009D0A4A" w:rsidRDefault="00E403F0" w:rsidP="006F0E0C">
            <w:pPr>
              <w:pStyle w:val="TableBody"/>
            </w:pPr>
            <w:r w:rsidRPr="009D0A4A">
              <w:t>0</w:t>
            </w:r>
          </w:p>
        </w:tc>
        <w:tc>
          <w:tcPr>
            <w:tcW w:w="632" w:type="pct"/>
          </w:tcPr>
          <w:p w14:paraId="6FDEAAD7" w14:textId="77777777" w:rsidR="00E403F0" w:rsidRPr="009D0A4A" w:rsidRDefault="00E403F0" w:rsidP="006F0E0C">
            <w:pPr>
              <w:pStyle w:val="TableBody"/>
            </w:pPr>
          </w:p>
        </w:tc>
        <w:tc>
          <w:tcPr>
            <w:tcW w:w="417" w:type="pct"/>
          </w:tcPr>
          <w:p w14:paraId="4C4CE6AD" w14:textId="77777777" w:rsidR="00E403F0" w:rsidRPr="009D0A4A" w:rsidRDefault="00E403F0" w:rsidP="006F0E0C">
            <w:pPr>
              <w:pStyle w:val="TableBody"/>
            </w:pPr>
            <w:r w:rsidRPr="009D0A4A">
              <w:t>0</w:t>
            </w:r>
          </w:p>
        </w:tc>
      </w:tr>
      <w:tr w:rsidR="006F0E0C" w:rsidRPr="009D0A4A" w14:paraId="6F0E91C5" w14:textId="77777777" w:rsidTr="00076804">
        <w:trPr>
          <w:cnfStyle w:val="000000010000" w:firstRow="0" w:lastRow="0" w:firstColumn="0" w:lastColumn="0" w:oddVBand="0" w:evenVBand="0" w:oddHBand="0" w:evenHBand="1" w:firstRowFirstColumn="0" w:firstRowLastColumn="0" w:lastRowFirstColumn="0" w:lastRowLastColumn="0"/>
          <w:cantSplit/>
        </w:trPr>
        <w:tc>
          <w:tcPr>
            <w:tcW w:w="405" w:type="pct"/>
          </w:tcPr>
          <w:p w14:paraId="02F4E86C" w14:textId="79B73395" w:rsidR="00E403F0" w:rsidRPr="009D0A4A" w:rsidRDefault="00E403F0" w:rsidP="006F0E0C">
            <w:pPr>
              <w:pStyle w:val="TableBody"/>
            </w:pPr>
            <w:r w:rsidRPr="009D0A4A">
              <w:t xml:space="preserve">SA </w:t>
            </w:r>
            <w:r w:rsidRPr="009D0A4A">
              <w:fldChar w:fldCharType="begin"/>
            </w:r>
            <w:r w:rsidR="004067E3">
              <w:instrText xml:space="preserve"> ADDIN ZOTERO_ITEM CSL_CITATION {"citationID":"OP7YnohL","properties":{"formattedCitation":"(SafeWork SA 2021)","plainCitation":"(SafeWork SA 2021)","noteIndex":0},"citationItems":[{"id":879,"uris":["http://zotero.org/users/6230888/items/DKBHJC4X"],"itemData":{"id":879,"type":"report","page":"18","title":"Respirable Crystalline Silica Campaign Report 2020-21","URL":"https://www.safework.sa.gov.au/__data/assets/pdf_file/0006/469833/Respirable-Crystalline-Silica-Campaign-Report-2020-21.pdf","author":[{"literal":"SafeWork SA"}],"accessed":{"date-parts":[["2022",6,30]]},"issued":{"date-parts":[["2021"]]}}}],"schema":"https://github.com/citation-style-language/schema/raw/master/csl-citation.json"} </w:instrText>
            </w:r>
            <w:r w:rsidRPr="009D0A4A">
              <w:fldChar w:fldCharType="separate"/>
            </w:r>
            <w:r w:rsidRPr="009D0A4A">
              <w:rPr>
                <w:rFonts w:ascii="Calibri" w:hAnsi="Calibri" w:cs="Calibri"/>
              </w:rPr>
              <w:t>(SafeWork SA 2021)</w:t>
            </w:r>
            <w:r w:rsidRPr="009D0A4A">
              <w:fldChar w:fldCharType="end"/>
            </w:r>
          </w:p>
        </w:tc>
        <w:tc>
          <w:tcPr>
            <w:tcW w:w="662" w:type="pct"/>
          </w:tcPr>
          <w:p w14:paraId="08852BEA" w14:textId="77777777" w:rsidR="00E403F0" w:rsidRPr="009D0A4A" w:rsidRDefault="00E403F0" w:rsidP="006F0E0C">
            <w:pPr>
              <w:pStyle w:val="TableBody"/>
            </w:pPr>
            <w:r w:rsidRPr="009D0A4A">
              <w:t>Fabrication of stone benchtops, monumental stone, construction and mining industries</w:t>
            </w:r>
          </w:p>
        </w:tc>
        <w:tc>
          <w:tcPr>
            <w:tcW w:w="422" w:type="pct"/>
          </w:tcPr>
          <w:p w14:paraId="77F257B8" w14:textId="77777777" w:rsidR="00E403F0" w:rsidRPr="009D0A4A" w:rsidRDefault="00E403F0" w:rsidP="006F0E0C">
            <w:pPr>
              <w:pStyle w:val="TableBody"/>
            </w:pPr>
            <w:r w:rsidRPr="009D0A4A">
              <w:t>From 1 October 2020 to 1 April 2021</w:t>
            </w:r>
          </w:p>
        </w:tc>
        <w:tc>
          <w:tcPr>
            <w:tcW w:w="574" w:type="pct"/>
          </w:tcPr>
          <w:p w14:paraId="271C2905" w14:textId="77777777" w:rsidR="00E403F0" w:rsidRPr="009D0A4A" w:rsidRDefault="00E403F0" w:rsidP="006F0E0C">
            <w:pPr>
              <w:pStyle w:val="TableBody"/>
            </w:pPr>
            <w:r w:rsidRPr="009D0A4A">
              <w:t>199 and 71 compliance audits</w:t>
            </w:r>
          </w:p>
        </w:tc>
        <w:tc>
          <w:tcPr>
            <w:tcW w:w="689" w:type="pct"/>
          </w:tcPr>
          <w:p w14:paraId="7E5E60D5" w14:textId="77777777" w:rsidR="00E403F0" w:rsidRPr="009D0A4A" w:rsidRDefault="00E403F0" w:rsidP="006F0E0C">
            <w:pPr>
              <w:pStyle w:val="TableBody"/>
            </w:pPr>
            <w:r w:rsidRPr="009D0A4A">
              <w:t>95</w:t>
            </w:r>
          </w:p>
        </w:tc>
        <w:tc>
          <w:tcPr>
            <w:tcW w:w="650" w:type="pct"/>
          </w:tcPr>
          <w:p w14:paraId="05B5B82E" w14:textId="77777777" w:rsidR="00E403F0" w:rsidRPr="009D0A4A" w:rsidRDefault="00E403F0" w:rsidP="006F0E0C">
            <w:pPr>
              <w:pStyle w:val="TableBody"/>
            </w:pPr>
          </w:p>
        </w:tc>
        <w:tc>
          <w:tcPr>
            <w:tcW w:w="552" w:type="pct"/>
          </w:tcPr>
          <w:p w14:paraId="2767664C" w14:textId="77777777" w:rsidR="00E403F0" w:rsidRPr="009D0A4A" w:rsidRDefault="00E403F0" w:rsidP="006F0E0C">
            <w:pPr>
              <w:pStyle w:val="TableBody"/>
            </w:pPr>
            <w:r w:rsidRPr="009D0A4A">
              <w:t>7</w:t>
            </w:r>
          </w:p>
        </w:tc>
        <w:tc>
          <w:tcPr>
            <w:tcW w:w="632" w:type="pct"/>
          </w:tcPr>
          <w:p w14:paraId="44CC442E" w14:textId="77777777" w:rsidR="00E403F0" w:rsidRPr="009D0A4A" w:rsidRDefault="00E403F0" w:rsidP="006F0E0C">
            <w:pPr>
              <w:pStyle w:val="TableBody"/>
            </w:pPr>
          </w:p>
        </w:tc>
        <w:tc>
          <w:tcPr>
            <w:tcW w:w="417" w:type="pct"/>
          </w:tcPr>
          <w:p w14:paraId="6B6078FE" w14:textId="77777777" w:rsidR="00E403F0" w:rsidRPr="009D0A4A" w:rsidRDefault="00E403F0" w:rsidP="006F0E0C">
            <w:pPr>
              <w:pStyle w:val="TableBody"/>
            </w:pPr>
            <w:r w:rsidRPr="009D0A4A">
              <w:t>N/A</w:t>
            </w:r>
          </w:p>
        </w:tc>
      </w:tr>
      <w:tr w:rsidR="006F0E0C" w:rsidRPr="009D0A4A" w14:paraId="391CEE10" w14:textId="77777777" w:rsidTr="00076804">
        <w:trPr>
          <w:cnfStyle w:val="000000100000" w:firstRow="0" w:lastRow="0" w:firstColumn="0" w:lastColumn="0" w:oddVBand="0" w:evenVBand="0" w:oddHBand="1" w:evenHBand="0" w:firstRowFirstColumn="0" w:firstRowLastColumn="0" w:lastRowFirstColumn="0" w:lastRowLastColumn="0"/>
          <w:cantSplit/>
        </w:trPr>
        <w:tc>
          <w:tcPr>
            <w:tcW w:w="405" w:type="pct"/>
          </w:tcPr>
          <w:p w14:paraId="1CFB292E" w14:textId="2D406CCC" w:rsidR="00E403F0" w:rsidRPr="009D0A4A" w:rsidRDefault="00E403F0" w:rsidP="006F0E0C">
            <w:pPr>
              <w:pStyle w:val="TableBody"/>
            </w:pPr>
            <w:r w:rsidRPr="009D0A4A">
              <w:t xml:space="preserve">WA </w:t>
            </w:r>
            <w:r w:rsidRPr="009D0A4A">
              <w:rPr>
                <w:rStyle w:val="FootnoteReference"/>
              </w:rPr>
              <w:fldChar w:fldCharType="begin"/>
            </w:r>
            <w:r w:rsidR="004067E3">
              <w:instrText xml:space="preserve"> ADDIN ZOTERO_ITEM CSL_CITATION {"citationID":"FggH3r2u","properties":{"formattedCitation":"(WorkSafe Western Australia 2021)","plainCitation":"(WorkSafe Western Australia 2021)","noteIndex":0},"citationItems":[{"id":871,"uris":["http://zotero.org/users/6230888/items/TA8RQVKK"],"itemData":{"id":871,"type":"report","abstract":"Between July 2018 and May 2021, WorkSafe WA undertook a proactive compliance project into engineered stone benchtop fabrication and installation to investigate respirable crystalline silica (RCS) e","language":"en","page":"8","title":"WorkSafe Western Australia silica compliance project - report","URL":"https://www.commerce.wa.gov.au/sites/default/files/atoms/files/silica_compliance_report.pdf","author":[{"literal":"WorkSafe Western Australia"}],"accessed":{"date-parts":[["2022",6,30]]},"issued":{"date-parts":[["2021",7,14]]}}}],"schema":"https://github.com/citation-style-language/schema/raw/master/csl-citation.json"} </w:instrText>
            </w:r>
            <w:r w:rsidRPr="009D0A4A">
              <w:rPr>
                <w:rStyle w:val="FootnoteReference"/>
              </w:rPr>
              <w:fldChar w:fldCharType="separate"/>
            </w:r>
            <w:r w:rsidRPr="009D0A4A">
              <w:rPr>
                <w:rFonts w:ascii="Calibri" w:hAnsi="Calibri" w:cs="Calibri"/>
              </w:rPr>
              <w:t>(WorkSafe Western Australia 2021)</w:t>
            </w:r>
            <w:r w:rsidRPr="009D0A4A">
              <w:rPr>
                <w:rStyle w:val="FootnoteReference"/>
              </w:rPr>
              <w:fldChar w:fldCharType="end"/>
            </w:r>
          </w:p>
        </w:tc>
        <w:tc>
          <w:tcPr>
            <w:tcW w:w="662" w:type="pct"/>
          </w:tcPr>
          <w:p w14:paraId="6A6791DD" w14:textId="77777777" w:rsidR="00E403F0" w:rsidRPr="009D0A4A" w:rsidRDefault="00E403F0" w:rsidP="006F0E0C">
            <w:pPr>
              <w:pStyle w:val="TableBody"/>
            </w:pPr>
            <w:r w:rsidRPr="009D0A4A">
              <w:t>Engineered stone benchtop fabrication and installation</w:t>
            </w:r>
          </w:p>
        </w:tc>
        <w:tc>
          <w:tcPr>
            <w:tcW w:w="422" w:type="pct"/>
          </w:tcPr>
          <w:p w14:paraId="2253C86B" w14:textId="77777777" w:rsidR="00E403F0" w:rsidRPr="009D0A4A" w:rsidRDefault="00E403F0" w:rsidP="006F0E0C">
            <w:pPr>
              <w:pStyle w:val="TableBody"/>
            </w:pPr>
            <w:r w:rsidRPr="009D0A4A">
              <w:t>July 2018 – May 2021</w:t>
            </w:r>
          </w:p>
        </w:tc>
        <w:tc>
          <w:tcPr>
            <w:tcW w:w="574" w:type="pct"/>
          </w:tcPr>
          <w:p w14:paraId="033C7163" w14:textId="77777777" w:rsidR="00E403F0" w:rsidRPr="009D0A4A" w:rsidRDefault="00E403F0" w:rsidP="006F0E0C">
            <w:pPr>
              <w:pStyle w:val="TableBody"/>
            </w:pPr>
            <w:r w:rsidRPr="009D0A4A">
              <w:t>150</w:t>
            </w:r>
          </w:p>
        </w:tc>
        <w:tc>
          <w:tcPr>
            <w:tcW w:w="689" w:type="pct"/>
          </w:tcPr>
          <w:p w14:paraId="40D6A580" w14:textId="77777777" w:rsidR="00E403F0" w:rsidRPr="009D0A4A" w:rsidRDefault="00E403F0" w:rsidP="006F0E0C">
            <w:pPr>
              <w:pStyle w:val="TableBody"/>
            </w:pPr>
            <w:r w:rsidRPr="009D0A4A">
              <w:t>Over 1000</w:t>
            </w:r>
          </w:p>
        </w:tc>
        <w:tc>
          <w:tcPr>
            <w:tcW w:w="650" w:type="pct"/>
          </w:tcPr>
          <w:p w14:paraId="059804BC" w14:textId="77777777" w:rsidR="00E403F0" w:rsidRPr="009D0A4A" w:rsidRDefault="00E403F0" w:rsidP="006F0E0C">
            <w:pPr>
              <w:pStyle w:val="TableBody"/>
            </w:pPr>
          </w:p>
        </w:tc>
        <w:tc>
          <w:tcPr>
            <w:tcW w:w="552" w:type="pct"/>
          </w:tcPr>
          <w:p w14:paraId="33FA53A0" w14:textId="77777777" w:rsidR="00E403F0" w:rsidRPr="009D0A4A" w:rsidRDefault="00E403F0" w:rsidP="006F0E0C">
            <w:pPr>
              <w:pStyle w:val="TableBody"/>
            </w:pPr>
          </w:p>
        </w:tc>
        <w:tc>
          <w:tcPr>
            <w:tcW w:w="632" w:type="pct"/>
          </w:tcPr>
          <w:p w14:paraId="2566E4DD" w14:textId="77777777" w:rsidR="00E403F0" w:rsidRPr="009D0A4A" w:rsidRDefault="00E403F0" w:rsidP="006F0E0C">
            <w:pPr>
              <w:pStyle w:val="TableBody"/>
            </w:pPr>
          </w:p>
        </w:tc>
        <w:tc>
          <w:tcPr>
            <w:tcW w:w="417" w:type="pct"/>
          </w:tcPr>
          <w:p w14:paraId="7766AD8D" w14:textId="77777777" w:rsidR="00E403F0" w:rsidRPr="009D0A4A" w:rsidRDefault="00E403F0" w:rsidP="006F0E0C">
            <w:pPr>
              <w:pStyle w:val="TableBody"/>
            </w:pPr>
          </w:p>
        </w:tc>
      </w:tr>
    </w:tbl>
    <w:p w14:paraId="33097BC4" w14:textId="77777777" w:rsidR="006F0E0C" w:rsidRDefault="006F0E0C" w:rsidP="00E403F0">
      <w:pPr>
        <w:sectPr w:rsidR="006F0E0C" w:rsidSect="006F0E0C">
          <w:pgSz w:w="16838" w:h="11906" w:orient="landscape"/>
          <w:pgMar w:top="851" w:right="1559" w:bottom="851" w:left="1701" w:header="567" w:footer="57" w:gutter="0"/>
          <w:cols w:space="708"/>
          <w:docGrid w:linePitch="360"/>
        </w:sectPr>
      </w:pPr>
    </w:p>
    <w:p w14:paraId="152D8BD4" w14:textId="77777777" w:rsidR="006F0E0C" w:rsidRDefault="00AE7C41" w:rsidP="006F0E0C">
      <w:pPr>
        <w:pStyle w:val="EmphasisPanelHeading"/>
      </w:pPr>
      <w:r w:rsidRPr="009D0A4A">
        <w:lastRenderedPageBreak/>
        <w:t xml:space="preserve">Case </w:t>
      </w:r>
      <w:r w:rsidRPr="006F0E0C">
        <w:t>study</w:t>
      </w:r>
      <w:r w:rsidRPr="009D0A4A">
        <w:t xml:space="preserve">: </w:t>
      </w:r>
      <w:r w:rsidR="0063713B" w:rsidRPr="009D0A4A">
        <w:t>WorkSafe WA silica compliance project</w:t>
      </w:r>
      <w:r w:rsidR="00BC70A2" w:rsidRPr="009D0A4A">
        <w:t xml:space="preserve"> </w:t>
      </w:r>
      <w:r w:rsidR="00BC70A2" w:rsidRPr="009D0A4A">
        <w:fldChar w:fldCharType="begin"/>
      </w:r>
      <w:r w:rsidR="004067E3">
        <w:instrText xml:space="preserve"> ADDIN ZOTERO_ITEM CSL_CITATION {"citationID":"e7nAd9IS","properties":{"formattedCitation":"(WorkSafe Western Australia 2021)","plainCitation":"(WorkSafe Western Australia 2021)","noteIndex":0},"citationItems":[{"id":871,"uris":["http://zotero.org/users/6230888/items/TA8RQVKK"],"itemData":{"id":871,"type":"report","abstract":"Between July 2018 and May 2021, WorkSafe WA undertook a proactive compliance project into engineered stone benchtop fabrication and installation to investigate respirable crystalline silica (RCS) e","language":"en","page":"8","title":"WorkSafe Western Australia silica compliance project - report","URL":"https://www.commerce.wa.gov.au/sites/default/files/atoms/files/silica_compliance_report.pdf","author":[{"literal":"WorkSafe Western Australia"}],"accessed":{"date-parts":[["2022",6,30]]},"issued":{"date-parts":[["2021",7,14]]}}}],"schema":"https://github.com/citation-style-language/schema/raw/master/csl-citation.json"} </w:instrText>
      </w:r>
      <w:r w:rsidR="00BC70A2" w:rsidRPr="009D0A4A">
        <w:fldChar w:fldCharType="separate"/>
      </w:r>
      <w:r w:rsidR="006B4A7D" w:rsidRPr="009D0A4A">
        <w:rPr>
          <w:rFonts w:ascii="Century Gothic" w:hAnsi="Century Gothic"/>
        </w:rPr>
        <w:t>(WorkSafe Western Australia 2021)</w:t>
      </w:r>
      <w:r w:rsidR="00BC70A2" w:rsidRPr="009D0A4A">
        <w:fldChar w:fldCharType="end"/>
      </w:r>
    </w:p>
    <w:p w14:paraId="0F59F732" w14:textId="77777777" w:rsidR="0063713B" w:rsidRPr="006F0E0C" w:rsidRDefault="0063713B" w:rsidP="006F0E0C">
      <w:pPr>
        <w:pStyle w:val="EmphasisPanelBody"/>
      </w:pPr>
      <w:r w:rsidRPr="00A17894">
        <w:t xml:space="preserve">Between July 2018 and May 2021, </w:t>
      </w:r>
      <w:r w:rsidRPr="006F0E0C">
        <w:t>WorkSafe</w:t>
      </w:r>
      <w:r w:rsidRPr="00A17894">
        <w:t xml:space="preserve"> WA undertook a proactive compliance project into engineered stone benchtop fabrication and installation to investigate silica dust exposure risks and controls</w:t>
      </w:r>
      <w:r w:rsidR="00347451" w:rsidRPr="00A17894">
        <w:t xml:space="preserve">, and </w:t>
      </w:r>
      <w:r w:rsidRPr="00A17894">
        <w:t>found that silica controls were inadequate in many WA workplaces.</w:t>
      </w:r>
    </w:p>
    <w:p w14:paraId="62C0D5EA" w14:textId="287EF599" w:rsidR="0063713B" w:rsidRPr="00A17894" w:rsidRDefault="0063713B" w:rsidP="006F0E0C">
      <w:pPr>
        <w:pStyle w:val="EmphasisPanelBody"/>
      </w:pPr>
      <w:r w:rsidRPr="00A17894">
        <w:t>150 workplace</w:t>
      </w:r>
      <w:r w:rsidR="003E3B3F" w:rsidRPr="00A17894">
        <w:t>s were</w:t>
      </w:r>
      <w:r w:rsidRPr="00A17894">
        <w:t xml:space="preserve"> inspect</w:t>
      </w:r>
      <w:r w:rsidR="003E3B3F" w:rsidRPr="00A17894">
        <w:t xml:space="preserve">ed </w:t>
      </w:r>
      <w:r w:rsidRPr="00A17894">
        <w:t>with over 1</w:t>
      </w:r>
      <w:r w:rsidR="0069395D" w:rsidRPr="00A17894">
        <w:t>,</w:t>
      </w:r>
      <w:r w:rsidRPr="00A17894">
        <w:t>000 enforcement notices issued</w:t>
      </w:r>
      <w:r w:rsidR="002E39FC" w:rsidRPr="00A17894">
        <w:t xml:space="preserve"> relating to</w:t>
      </w:r>
      <w:r w:rsidRPr="00A17894">
        <w:t xml:space="preserve"> inadequate controls, no risk assessment conducted, lack of health surveillance, inadequate respiratory protective equipment and poor hygiene practices. </w:t>
      </w:r>
    </w:p>
    <w:p w14:paraId="1ADB66D3" w14:textId="33183D3E" w:rsidR="0063713B" w:rsidRPr="00A17894" w:rsidRDefault="00531466" w:rsidP="006F0E0C">
      <w:pPr>
        <w:pStyle w:val="EmphasisPanelBody"/>
      </w:pPr>
      <w:r w:rsidRPr="00A17894">
        <w:t xml:space="preserve">Air monitoring </w:t>
      </w:r>
      <w:r w:rsidRPr="006F0E0C">
        <w:t>was</w:t>
      </w:r>
      <w:r w:rsidRPr="00A17894">
        <w:t xml:space="preserve"> conducted at 38 workplaces with 75 per cent recording silica dust levels above half of the WES</w:t>
      </w:r>
      <w:r w:rsidR="00F00B18" w:rsidRPr="00A17894">
        <w:t>.</w:t>
      </w:r>
    </w:p>
    <w:p w14:paraId="6E0466F2" w14:textId="15595CF5" w:rsidR="0063713B" w:rsidRPr="00A17894" w:rsidRDefault="0063713B" w:rsidP="006F0E0C">
      <w:pPr>
        <w:pStyle w:val="EmphasisPanelBody"/>
      </w:pPr>
      <w:r w:rsidRPr="00A17894">
        <w:t>The results of air monitoring (117 samples) indicate</w:t>
      </w:r>
      <w:r w:rsidR="000F711F" w:rsidRPr="00A17894">
        <w:t>d</w:t>
      </w:r>
      <w:r w:rsidRPr="00A17894">
        <w:t xml:space="preserve"> that the current work practices of fabricating engineered stone benchtops generate elevated levels of silica dust in the workplace, i.e. </w:t>
      </w:r>
      <w:r w:rsidR="00FD738B" w:rsidRPr="00A17894">
        <w:t xml:space="preserve">current </w:t>
      </w:r>
      <w:r w:rsidRPr="00A17894">
        <w:t>workplace engineering and process controls are not sufficiently effective. This presents a significant risk to worker health and places reliance on correct and consistent use of respiratory protective equipment</w:t>
      </w:r>
      <w:r w:rsidR="00FD738B" w:rsidRPr="00A17894">
        <w:t xml:space="preserve"> to manage remaining risks</w:t>
      </w:r>
      <w:r w:rsidRPr="00A17894">
        <w:t>.</w:t>
      </w:r>
    </w:p>
    <w:p w14:paraId="39EE37E4" w14:textId="78E8F381" w:rsidR="0063713B" w:rsidRPr="00A17894" w:rsidRDefault="0063713B" w:rsidP="006F0E0C">
      <w:pPr>
        <w:pStyle w:val="EmphasisPanelBody"/>
      </w:pPr>
      <w:r w:rsidRPr="00A17894">
        <w:t>Generally, stonemasons in fabrication workshops recorded higher silica dust exposure than benchtop installers.</w:t>
      </w:r>
    </w:p>
    <w:p w14:paraId="3C179FAE" w14:textId="4179CAFA" w:rsidR="002A2A5C" w:rsidRPr="009D0A4A" w:rsidRDefault="008B35E0" w:rsidP="00FE17BF">
      <w:pPr>
        <w:pStyle w:val="Heading3"/>
      </w:pPr>
      <w:r>
        <w:t>WHS r</w:t>
      </w:r>
      <w:r w:rsidRPr="009D0A4A">
        <w:t xml:space="preserve">egulators </w:t>
      </w:r>
      <w:r w:rsidR="00C13621" w:rsidRPr="009D0A4A">
        <w:t>may be</w:t>
      </w:r>
      <w:r w:rsidR="00AD51E7" w:rsidRPr="009D0A4A">
        <w:t xml:space="preserve"> unable to</w:t>
      </w:r>
      <w:r w:rsidR="009B3FE9" w:rsidRPr="009D0A4A">
        <w:t xml:space="preserve"> adequately </w:t>
      </w:r>
      <w:r w:rsidR="00FD738B" w:rsidRPr="009D0A4A">
        <w:t xml:space="preserve">ensure compliance </w:t>
      </w:r>
      <w:r w:rsidR="00335972" w:rsidRPr="009D0A4A">
        <w:t xml:space="preserve">with the model </w:t>
      </w:r>
      <w:r w:rsidR="00C13621" w:rsidRPr="009D0A4A">
        <w:t>WHS</w:t>
      </w:r>
      <w:r w:rsidR="00846EFE" w:rsidRPr="009D0A4A">
        <w:t xml:space="preserve"> </w:t>
      </w:r>
      <w:r w:rsidR="00335972" w:rsidRPr="009D0A4A">
        <w:t>laws</w:t>
      </w:r>
    </w:p>
    <w:p w14:paraId="7EF37B53" w14:textId="51F89BA0" w:rsidR="000C215A" w:rsidRDefault="00626288" w:rsidP="00234FEF">
      <w:pPr>
        <w:pStyle w:val="BodyText"/>
      </w:pPr>
      <w:r>
        <w:t xml:space="preserve">During the consultation process, </w:t>
      </w:r>
      <w:r w:rsidR="00061D02">
        <w:t xml:space="preserve">industry </w:t>
      </w:r>
      <w:r w:rsidR="00546A16" w:rsidRPr="00175827">
        <w:t xml:space="preserve">stakeholders </w:t>
      </w:r>
      <w:r w:rsidR="00BB021E" w:rsidRPr="009D0A4A">
        <w:t xml:space="preserve">expressed </w:t>
      </w:r>
      <w:r w:rsidR="00DF68F8">
        <w:t xml:space="preserve">the view </w:t>
      </w:r>
      <w:r w:rsidR="00B35A53" w:rsidRPr="009D0A4A">
        <w:t xml:space="preserve">that the current </w:t>
      </w:r>
      <w:r w:rsidR="00AA1917">
        <w:t>model WHS laws</w:t>
      </w:r>
      <w:r w:rsidR="00AA1917" w:rsidRPr="009D0A4A">
        <w:t xml:space="preserve"> </w:t>
      </w:r>
      <w:r w:rsidR="00B35A53" w:rsidRPr="009D0A4A">
        <w:t xml:space="preserve">are appropriate to deal with the problem, but greater effort is required to </w:t>
      </w:r>
      <w:r w:rsidR="00DD0AC0" w:rsidRPr="009D0A4A">
        <w:t xml:space="preserve">ensure compliance with the </w:t>
      </w:r>
      <w:r w:rsidR="002C28F4" w:rsidRPr="009D0A4A">
        <w:t>WHS</w:t>
      </w:r>
      <w:r w:rsidR="00B35A53" w:rsidRPr="009D0A4A">
        <w:t xml:space="preserve"> </w:t>
      </w:r>
      <w:r w:rsidR="00DD0AC0" w:rsidRPr="009D0A4A">
        <w:t>laws</w:t>
      </w:r>
      <w:r w:rsidR="00B35A53" w:rsidRPr="009D0A4A">
        <w:t>.</w:t>
      </w:r>
      <w:r w:rsidR="003F4412" w:rsidRPr="009D0A4A">
        <w:t xml:space="preserve"> </w:t>
      </w:r>
      <w:r w:rsidR="00076CA2" w:rsidRPr="009D0A4A">
        <w:t>Government</w:t>
      </w:r>
      <w:r w:rsidR="1379D4E1" w:rsidRPr="009D0A4A">
        <w:t xml:space="preserve"> and industry stakeholders indicated that there are </w:t>
      </w:r>
      <w:r w:rsidR="00546A16" w:rsidRPr="00590AAF">
        <w:t>differing</w:t>
      </w:r>
      <w:r w:rsidR="00546A16">
        <w:t xml:space="preserve"> levels of capability, resources and enforcement activity among </w:t>
      </w:r>
      <w:r w:rsidR="00AA1917">
        <w:t xml:space="preserve">WHS </w:t>
      </w:r>
      <w:r w:rsidR="00FF4A3E">
        <w:t>regulators.</w:t>
      </w:r>
      <w:r w:rsidR="1379D4E1" w:rsidRPr="009D0A4A">
        <w:t xml:space="preserve"> </w:t>
      </w:r>
      <w:r w:rsidR="37F81883" w:rsidRPr="009D0A4A">
        <w:t>S</w:t>
      </w:r>
      <w:r w:rsidR="000479D4" w:rsidRPr="009D0A4A">
        <w:t>ome s</w:t>
      </w:r>
      <w:r w:rsidR="37F81883" w:rsidRPr="009D0A4A">
        <w:t>takeholders also noted that a lack of in-house knowledge of relevant industries may hinder the ability</w:t>
      </w:r>
      <w:r w:rsidR="00F2771B" w:rsidRPr="009D0A4A">
        <w:t xml:space="preserve"> of </w:t>
      </w:r>
      <w:r w:rsidR="008B35E0">
        <w:t xml:space="preserve">WHS </w:t>
      </w:r>
      <w:r w:rsidR="00F2771B" w:rsidRPr="009D0A4A">
        <w:t>regulators</w:t>
      </w:r>
      <w:r w:rsidR="37F81883" w:rsidRPr="009D0A4A">
        <w:t xml:space="preserve"> to </w:t>
      </w:r>
      <w:r w:rsidR="00F2771B" w:rsidRPr="009D0A4A">
        <w:t xml:space="preserve">determine compliance </w:t>
      </w:r>
      <w:r w:rsidR="00E752D5" w:rsidRPr="009D0A4A">
        <w:t>with the model</w:t>
      </w:r>
      <w:r w:rsidR="37F81883" w:rsidRPr="009D0A4A">
        <w:t xml:space="preserve"> WHS laws. </w:t>
      </w:r>
      <w:r w:rsidR="1379D4E1" w:rsidRPr="009D0A4A">
        <w:t xml:space="preserve">This indicates that the problem of </w:t>
      </w:r>
      <w:r w:rsidR="00335972" w:rsidRPr="009D0A4A">
        <w:t xml:space="preserve">compliance </w:t>
      </w:r>
      <w:r w:rsidR="1379D4E1" w:rsidRPr="009D0A4A">
        <w:t xml:space="preserve">exists to varying degrees across jurisdictions, and successful prosecutions in some jurisdictions do not necessarily indicate that enforcement has been adequate across all jurisdictions. </w:t>
      </w:r>
    </w:p>
    <w:p w14:paraId="49771CF8" w14:textId="77777777" w:rsidR="000C215A" w:rsidRDefault="000C215A">
      <w:pPr>
        <w:spacing w:after="120" w:line="264" w:lineRule="auto"/>
        <w:rPr>
          <w:color w:val="262626" w:themeColor="text1" w:themeTint="D9"/>
        </w:rPr>
      </w:pPr>
      <w:r>
        <w:br w:type="page"/>
      </w:r>
    </w:p>
    <w:p w14:paraId="73C04C64" w14:textId="6F2187B1" w:rsidR="00C40E1E" w:rsidRPr="009D0A4A" w:rsidRDefault="00C40E1E" w:rsidP="00E0510C">
      <w:pPr>
        <w:pStyle w:val="Heading1"/>
      </w:pPr>
      <w:bookmarkStart w:id="581" w:name="_Toc126573207"/>
      <w:r>
        <w:lastRenderedPageBreak/>
        <w:t>Why is Government action needed?</w:t>
      </w:r>
      <w:bookmarkEnd w:id="581"/>
    </w:p>
    <w:p w14:paraId="4D7ADBBF" w14:textId="06ADFDB8" w:rsidR="009A09CF" w:rsidRPr="009D0A4A" w:rsidRDefault="009A09CF" w:rsidP="003A3B2B">
      <w:pPr>
        <w:pStyle w:val="Heading2"/>
      </w:pPr>
      <w:bookmarkStart w:id="582" w:name="_Toc92873054"/>
      <w:bookmarkStart w:id="583" w:name="_Toc92873127"/>
      <w:bookmarkStart w:id="584" w:name="_Toc106613227"/>
      <w:bookmarkStart w:id="585" w:name="_Toc126573208"/>
      <w:r>
        <w:t>The case for government intervention</w:t>
      </w:r>
      <w:bookmarkEnd w:id="582"/>
      <w:bookmarkEnd w:id="583"/>
      <w:bookmarkEnd w:id="584"/>
      <w:bookmarkEnd w:id="585"/>
    </w:p>
    <w:p w14:paraId="7D4CFBB6" w14:textId="51CD4FC2" w:rsidR="009A09CF" w:rsidRPr="009D0A4A" w:rsidRDefault="00294EDC" w:rsidP="00234FEF">
      <w:pPr>
        <w:pStyle w:val="BodyText"/>
      </w:pPr>
      <w:r>
        <w:t>S</w:t>
      </w:r>
      <w:r w:rsidR="00546A16">
        <w:t xml:space="preserve">ilicosis and </w:t>
      </w:r>
      <w:r w:rsidR="00DD6525">
        <w:t>silica-related</w:t>
      </w:r>
      <w:r w:rsidR="00546A16">
        <w:t xml:space="preserve"> diseases pose an unacceptable health risk to workers. </w:t>
      </w:r>
      <w:r w:rsidR="009A09CF" w:rsidRPr="009D0A4A">
        <w:t xml:space="preserve">There are significant financial and non-financial costs associated with </w:t>
      </w:r>
      <w:r w:rsidR="002A795B">
        <w:t>being</w:t>
      </w:r>
      <w:r>
        <w:t xml:space="preserve"> </w:t>
      </w:r>
      <w:r w:rsidR="009A09CF" w:rsidRPr="009D0A4A">
        <w:t>diagnos</w:t>
      </w:r>
      <w:r w:rsidR="002A795B">
        <w:t>ed with</w:t>
      </w:r>
      <w:r w:rsidR="002A795B" w:rsidDel="0071738E">
        <w:t xml:space="preserve"> </w:t>
      </w:r>
      <w:r w:rsidR="009A09CF" w:rsidRPr="009D0A4A">
        <w:t xml:space="preserve">silicosis </w:t>
      </w:r>
      <w:r w:rsidR="00B12A4D">
        <w:t>and/</w:t>
      </w:r>
      <w:r w:rsidR="002A795B">
        <w:t>or</w:t>
      </w:r>
      <w:r w:rsidR="009A09CF" w:rsidRPr="009D0A4A">
        <w:t xml:space="preserve"> </w:t>
      </w:r>
      <w:r w:rsidR="00B12A4D">
        <w:t xml:space="preserve">a </w:t>
      </w:r>
      <w:r w:rsidR="00DD6525">
        <w:t>silica-related</w:t>
      </w:r>
      <w:r w:rsidR="009A09CF" w:rsidRPr="009D0A4A">
        <w:t xml:space="preserve"> disease, </w:t>
      </w:r>
      <w:r w:rsidR="00546A16">
        <w:t>including significant physical and emotional harm, reduced ability to work, reduced quality of life and premature death of workers.</w:t>
      </w:r>
      <w:r w:rsidR="009A09CF" w:rsidRPr="009D0A4A">
        <w:t xml:space="preserve"> There are also significant costs to the public health system, including for health screening, diagnosis, treatment and disease management.</w:t>
      </w:r>
    </w:p>
    <w:p w14:paraId="0D616058" w14:textId="36D43021" w:rsidR="009A09CF" w:rsidRDefault="009A09CF" w:rsidP="00234FEF">
      <w:pPr>
        <w:pStyle w:val="BodyText"/>
      </w:pPr>
      <w:r w:rsidRPr="009D0A4A">
        <w:t xml:space="preserve">The recent and significant increase in the number of cases of these preventable diseases and the impacts on workers, their families and communities present an urgent case for government intervention to reduce exposure to RCS </w:t>
      </w:r>
      <w:r w:rsidR="00E752D5" w:rsidRPr="009D0A4A">
        <w:t>at work</w:t>
      </w:r>
      <w:r w:rsidRPr="009D0A4A">
        <w:t xml:space="preserve"> and subsequently reduce the </w:t>
      </w:r>
      <w:r w:rsidR="00397CB8" w:rsidRPr="009D0A4A">
        <w:t>number of cases</w:t>
      </w:r>
      <w:r w:rsidRPr="009D0A4A">
        <w:t xml:space="preserve"> of these diseases. </w:t>
      </w:r>
    </w:p>
    <w:p w14:paraId="772CA945" w14:textId="6051C69B" w:rsidR="00DC0993" w:rsidRPr="009D0A4A" w:rsidRDefault="00DC0993" w:rsidP="00234FEF">
      <w:pPr>
        <w:pStyle w:val="BodyText"/>
      </w:pPr>
      <w:r>
        <w:t xml:space="preserve">Feedback received </w:t>
      </w:r>
      <w:r w:rsidR="004306CB">
        <w:t>as part of the consul</w:t>
      </w:r>
      <w:r w:rsidR="00833D5A">
        <w:t>t</w:t>
      </w:r>
      <w:r w:rsidR="004306CB">
        <w:t xml:space="preserve">ation showed clear and wide-spread support of the need for further government intervention. </w:t>
      </w:r>
    </w:p>
    <w:p w14:paraId="6BB9C0BF" w14:textId="77777777" w:rsidR="009A09CF" w:rsidRPr="009D0A4A" w:rsidRDefault="009A09CF" w:rsidP="009A09CF">
      <w:pPr>
        <w:pStyle w:val="Heading3"/>
        <w:jc w:val="both"/>
      </w:pPr>
      <w:bookmarkStart w:id="586" w:name="_Toc92873055"/>
      <w:r w:rsidRPr="009D0A4A">
        <w:t>Alternatives to government action</w:t>
      </w:r>
      <w:bookmarkEnd w:id="586"/>
    </w:p>
    <w:p w14:paraId="502442BE" w14:textId="3F97B117" w:rsidR="009A09CF" w:rsidRPr="009D0A4A" w:rsidRDefault="009A09CF" w:rsidP="00234FEF">
      <w:pPr>
        <w:pStyle w:val="BodyText"/>
      </w:pPr>
      <w:r w:rsidRPr="009D0A4A">
        <w:t>A range of non-government stakeholders</w:t>
      </w:r>
      <w:r w:rsidR="008C381C" w:rsidRPr="009D0A4A">
        <w:t>,</w:t>
      </w:r>
      <w:r w:rsidRPr="009D0A4A">
        <w:t xml:space="preserve"> including unions and peak health bodies</w:t>
      </w:r>
      <w:r w:rsidR="008C381C" w:rsidRPr="009D0A4A">
        <w:t>,</w:t>
      </w:r>
      <w:r w:rsidRPr="009D0A4A">
        <w:t xml:space="preserve"> have undertaken activities and initiatives in recent years to raise awareness of the risks of exposure to RCS, particularly in the engineered stone sector. These stakeholders may continue and even enhance these activities. However, they are unlikely </w:t>
      </w:r>
      <w:r w:rsidR="00A710A9" w:rsidRPr="009D0A4A">
        <w:t xml:space="preserve">on their own </w:t>
      </w:r>
      <w:r w:rsidRPr="009D0A4A">
        <w:t xml:space="preserve">to result in the level of prevention of silicosis and </w:t>
      </w:r>
      <w:r w:rsidRPr="009D0A4A" w:rsidDel="00DD6525">
        <w:t>silica</w:t>
      </w:r>
      <w:r w:rsidR="00DD6525">
        <w:t>-related</w:t>
      </w:r>
      <w:r w:rsidRPr="009D0A4A">
        <w:t xml:space="preserve"> diseases that is needed. </w:t>
      </w:r>
    </w:p>
    <w:p w14:paraId="1A214778" w14:textId="2FE33787" w:rsidR="009A09CF" w:rsidRPr="009D0A4A" w:rsidRDefault="009A09CF" w:rsidP="00234FEF">
      <w:pPr>
        <w:pStyle w:val="BodyText"/>
      </w:pPr>
      <w:r w:rsidRPr="009D0A4A">
        <w:t xml:space="preserve">There is a diverse range of </w:t>
      </w:r>
      <w:r w:rsidR="00E068EB">
        <w:t>industries</w:t>
      </w:r>
      <w:r w:rsidR="00E068EB" w:rsidRPr="009D0A4A">
        <w:t xml:space="preserve"> </w:t>
      </w:r>
      <w:r w:rsidRPr="009D0A4A">
        <w:t xml:space="preserve">where workers are exposed to RCS. To have viable alternatives to government action, these </w:t>
      </w:r>
      <w:r w:rsidR="00E068EB">
        <w:t>industries</w:t>
      </w:r>
      <w:r w:rsidR="00E068EB" w:rsidRPr="009D0A4A">
        <w:t xml:space="preserve"> </w:t>
      </w:r>
      <w:r w:rsidRPr="009D0A4A">
        <w:t>would need to either adopt substitute products, develop new approaches to eliminate or minimise the risks, or incentivise a broad range of businesses to self-regulate. Given the range of industries utilising silica-containing materials, the large numbers of workers estimated to be exposed, and the broad range of silica-containing materials (including manufactured and natural materials), this is unlikely to occur in the short or medium term.</w:t>
      </w:r>
    </w:p>
    <w:p w14:paraId="09BF9546" w14:textId="5BEB2F78" w:rsidR="009A09CF" w:rsidRPr="009D0A4A" w:rsidRDefault="009A09CF" w:rsidP="003A3B2B">
      <w:pPr>
        <w:pStyle w:val="Heading2"/>
      </w:pPr>
      <w:bookmarkStart w:id="587" w:name="_Toc92873056"/>
      <w:bookmarkStart w:id="588" w:name="_Toc92873128"/>
      <w:bookmarkStart w:id="589" w:name="_Toc106613228"/>
      <w:bookmarkStart w:id="590" w:name="_Ref125110475"/>
      <w:bookmarkStart w:id="591" w:name="_Toc126573209"/>
      <w:r>
        <w:t>Objectives of government intervention</w:t>
      </w:r>
      <w:bookmarkEnd w:id="587"/>
      <w:bookmarkEnd w:id="588"/>
      <w:bookmarkEnd w:id="589"/>
      <w:bookmarkEnd w:id="590"/>
      <w:bookmarkEnd w:id="591"/>
    </w:p>
    <w:p w14:paraId="273292D8" w14:textId="0E3221B0" w:rsidR="00546A16" w:rsidRDefault="009A09CF" w:rsidP="00234FEF">
      <w:pPr>
        <w:pStyle w:val="BodyText"/>
      </w:pPr>
      <w:r w:rsidRPr="00D472D0">
        <w:t xml:space="preserve">The primary objective of government intervention is </w:t>
      </w:r>
      <w:r w:rsidR="00873990" w:rsidRPr="00D472D0">
        <w:t xml:space="preserve">to </w:t>
      </w:r>
      <w:r w:rsidR="00D02902" w:rsidRPr="00D472D0">
        <w:t xml:space="preserve">reduce workplace </w:t>
      </w:r>
      <w:r w:rsidRPr="00D472D0">
        <w:t>exposure to RCS</w:t>
      </w:r>
      <w:r w:rsidR="00286900" w:rsidRPr="00D472D0">
        <w:t xml:space="preserve"> in Australia</w:t>
      </w:r>
      <w:r w:rsidR="004306CB" w:rsidRPr="00D472D0">
        <w:t xml:space="preserve">, with </w:t>
      </w:r>
      <w:r w:rsidR="00A0567E" w:rsidRPr="00D472D0">
        <w:t>the</w:t>
      </w:r>
      <w:r w:rsidR="004306CB" w:rsidRPr="00D472D0">
        <w:t xml:space="preserve"> ultimate aim of </w:t>
      </w:r>
      <w:r w:rsidR="0074418E" w:rsidRPr="00D472D0">
        <w:t>eliminating</w:t>
      </w:r>
      <w:r w:rsidR="004306CB" w:rsidRPr="00D472D0">
        <w:t xml:space="preserve"> silicosis and other silica-</w:t>
      </w:r>
      <w:r w:rsidR="00383956" w:rsidRPr="00D472D0">
        <w:t>related diseases.  This is consistent with the</w:t>
      </w:r>
      <w:r w:rsidR="00395213" w:rsidRPr="00D472D0">
        <w:t xml:space="preserve"> shared objective </w:t>
      </w:r>
      <w:r w:rsidR="00A0567E" w:rsidRPr="00D472D0">
        <w:t>in</w:t>
      </w:r>
      <w:r w:rsidR="00395213" w:rsidRPr="00D472D0">
        <w:t xml:space="preserve"> the </w:t>
      </w:r>
      <w:r w:rsidR="00FB735C" w:rsidRPr="00D472D0">
        <w:t>A</w:t>
      </w:r>
      <w:r w:rsidR="00383956" w:rsidRPr="00D472D0">
        <w:t>ll of Australian Governments</w:t>
      </w:r>
      <w:r w:rsidR="00D472D0" w:rsidRPr="00D472D0">
        <w:t>’</w:t>
      </w:r>
      <w:r w:rsidR="00383956" w:rsidRPr="00D472D0">
        <w:t xml:space="preserve"> </w:t>
      </w:r>
      <w:r w:rsidR="00383956" w:rsidRPr="00590AAF">
        <w:t>response</w:t>
      </w:r>
      <w:r w:rsidR="00FB735C" w:rsidRPr="00D472D0">
        <w:t xml:space="preserve"> to the N</w:t>
      </w:r>
      <w:r w:rsidR="00A21815" w:rsidRPr="00D472D0">
        <w:t>ational Dust Disease Taskforce (N</w:t>
      </w:r>
      <w:r w:rsidR="00FB735C" w:rsidRPr="00D472D0">
        <w:t>DDT</w:t>
      </w:r>
      <w:r w:rsidR="00A21815" w:rsidRPr="00D472D0">
        <w:t>)</w:t>
      </w:r>
      <w:r w:rsidR="00FB735C" w:rsidRPr="00D472D0">
        <w:t xml:space="preserve"> final report </w:t>
      </w:r>
      <w:r w:rsidR="00C21EC7" w:rsidRPr="00D472D0">
        <w:t>of</w:t>
      </w:r>
      <w:r w:rsidR="00395213" w:rsidRPr="00D472D0">
        <w:t xml:space="preserve"> </w:t>
      </w:r>
      <w:r w:rsidR="00EE43FE" w:rsidRPr="00D472D0">
        <w:t>eliminat</w:t>
      </w:r>
      <w:r w:rsidR="00C21EC7" w:rsidRPr="00D472D0">
        <w:t>ing</w:t>
      </w:r>
      <w:r w:rsidR="00395213" w:rsidRPr="00D472D0">
        <w:t xml:space="preserve"> silicosis amongst workers and increas</w:t>
      </w:r>
      <w:r w:rsidR="00EC159F" w:rsidRPr="00D472D0">
        <w:t>ing</w:t>
      </w:r>
      <w:r w:rsidR="00395213" w:rsidRPr="00D472D0">
        <w:t xml:space="preserve"> the quality of life for those already impacted and their families. </w:t>
      </w:r>
      <w:r w:rsidRPr="00D472D0">
        <w:t xml:space="preserve"> </w:t>
      </w:r>
    </w:p>
    <w:p w14:paraId="11208247" w14:textId="77777777" w:rsidR="00546A16" w:rsidRPr="009D0A4A" w:rsidRDefault="00546A16" w:rsidP="00234FEF">
      <w:pPr>
        <w:pStyle w:val="BodyText"/>
      </w:pPr>
    </w:p>
    <w:p w14:paraId="1B99CE0D" w14:textId="4045C6DF" w:rsidR="008E698E" w:rsidRPr="009D0A4A" w:rsidRDefault="008E698E" w:rsidP="00E0510C">
      <w:pPr>
        <w:pStyle w:val="Heading1"/>
      </w:pPr>
      <w:bookmarkStart w:id="592" w:name="_Toc92958863"/>
      <w:bookmarkStart w:id="593" w:name="_Toc126573210"/>
      <w:r>
        <w:lastRenderedPageBreak/>
        <w:t xml:space="preserve">What policy options are </w:t>
      </w:r>
      <w:r w:rsidR="008314B7">
        <w:t>being considered</w:t>
      </w:r>
      <w:r>
        <w:t>?</w:t>
      </w:r>
      <w:bookmarkEnd w:id="592"/>
      <w:bookmarkEnd w:id="593"/>
    </w:p>
    <w:p w14:paraId="76828A35" w14:textId="6888EE33" w:rsidR="008E698E" w:rsidRPr="009D0A4A" w:rsidRDefault="008E698E" w:rsidP="003A3B2B">
      <w:pPr>
        <w:pStyle w:val="Heading2"/>
      </w:pPr>
      <w:bookmarkStart w:id="594" w:name="_Toc92958864"/>
      <w:bookmarkStart w:id="595" w:name="_Toc126573211"/>
      <w:r>
        <w:t>Overview</w:t>
      </w:r>
      <w:bookmarkEnd w:id="594"/>
      <w:bookmarkEnd w:id="595"/>
    </w:p>
    <w:p w14:paraId="27821113" w14:textId="516D11BC" w:rsidR="00EC06FD" w:rsidRPr="009D0A4A" w:rsidRDefault="00EC06FD" w:rsidP="00234FEF">
      <w:pPr>
        <w:pStyle w:val="BodyText"/>
      </w:pPr>
      <w:bookmarkStart w:id="596" w:name="_Ref92897966"/>
      <w:r w:rsidRPr="009D0A4A">
        <w:t xml:space="preserve">Five regulatory and non-regulatory options </w:t>
      </w:r>
      <w:r w:rsidR="006017D5">
        <w:t>w</w:t>
      </w:r>
      <w:r w:rsidR="00A45D86">
        <w:t>ere</w:t>
      </w:r>
      <w:r w:rsidRPr="009D0A4A">
        <w:t xml:space="preserve"> </w:t>
      </w:r>
      <w:r w:rsidR="006C37CE">
        <w:t xml:space="preserve">initially </w:t>
      </w:r>
      <w:r w:rsidRPr="009D0A4A">
        <w:t xml:space="preserve">developed to reduce workplace exposures to RCS </w:t>
      </w:r>
      <w:r w:rsidR="00802A68">
        <w:t>in Australia</w:t>
      </w:r>
      <w:r w:rsidR="00274E69">
        <w:t xml:space="preserve"> </w:t>
      </w:r>
      <w:r w:rsidRPr="009D0A4A">
        <w:t>(</w:t>
      </w:r>
      <w:fldSimple w:instr=" REF _Ref125289100 ">
        <w:r w:rsidR="00076804">
          <w:t xml:space="preserve">Table </w:t>
        </w:r>
        <w:r w:rsidR="00076804">
          <w:rPr>
            <w:noProof/>
          </w:rPr>
          <w:t>10</w:t>
        </w:r>
      </w:fldSimple>
      <w:r w:rsidRPr="009D0A4A">
        <w:t xml:space="preserve">). </w:t>
      </w:r>
      <w:r w:rsidR="00AB5E75">
        <w:t xml:space="preserve">Following </w:t>
      </w:r>
      <w:r w:rsidR="00A21815">
        <w:t xml:space="preserve">feedback received </w:t>
      </w:r>
      <w:r w:rsidR="002F6D19">
        <w:t xml:space="preserve">from </w:t>
      </w:r>
      <w:r w:rsidR="00802A68">
        <w:t>public</w:t>
      </w:r>
      <w:r w:rsidR="00AB5E75">
        <w:t xml:space="preserve"> consultation an</w:t>
      </w:r>
      <w:r w:rsidR="00A85409">
        <w:t xml:space="preserve"> additional</w:t>
      </w:r>
      <w:r w:rsidR="00AB5E75">
        <w:t xml:space="preserve"> regulatory option has been included for consideration</w:t>
      </w:r>
      <w:r w:rsidR="00FC797D">
        <w:t xml:space="preserve"> and Option 3 has been removed</w:t>
      </w:r>
      <w:r w:rsidR="00AB5E75">
        <w:t xml:space="preserve">. </w:t>
      </w:r>
      <w:r w:rsidRPr="009D0A4A">
        <w:t>These options are consistent with the Regulatory Impact Analysis Guide for Ministers’ Meetings and National Standard Setting Bodies, which advises that the base case and at least one non-regulatory option should be included</w:t>
      </w:r>
      <w:r w:rsidR="00675685" w:rsidRPr="009D0A4A">
        <w:t xml:space="preserve"> </w:t>
      </w:r>
      <w:r w:rsidR="00675685" w:rsidRPr="009D0A4A">
        <w:fldChar w:fldCharType="begin"/>
      </w:r>
      <w:r w:rsidR="004067E3">
        <w:instrText xml:space="preserve"> ADDIN ZOTERO_ITEM CSL_CITATION {"citationID":"xqccqpz8","properties":{"formattedCitation":"(Department of Prime Minister and Cabinet 2021a)","plainCitation":"(Department of Prime Minister and Cabinet 2021a)","noteIndex":0},"citationItems":[{"id":837,"uris":["http://zotero.org/users/6230888/items/QGN7XAW3"],"itemData":{"id":837,"type":"report","page":"34","title":"Regulatory Impact Analysis Guide for Ministers’ Meetings and National Standard Setting Bodies | OBPR","URL":"https://obpr.pmc.gov.au/resources/guidance-impact-analysis/regulatory-impact-analysis-guide-ministers-meetings-and-national","author":[{"literal":"Department of Prime Minister and Cabinet"}],"accessed":{"date-parts":[["2022",6,24]]},"issued":{"date-parts":[["2021"]]}}}],"schema":"https://github.com/citation-style-language/schema/raw/master/csl-citation.json"} </w:instrText>
      </w:r>
      <w:r w:rsidR="00675685" w:rsidRPr="009D0A4A">
        <w:fldChar w:fldCharType="separate"/>
      </w:r>
      <w:r w:rsidR="00D45D04" w:rsidRPr="009D0A4A">
        <w:rPr>
          <w:rFonts w:ascii="Calibri" w:hAnsi="Calibri" w:cs="Calibri"/>
        </w:rPr>
        <w:t>(Department of Prime Minister and Cabinet 2021a)</w:t>
      </w:r>
      <w:r w:rsidR="00675685" w:rsidRPr="009D0A4A">
        <w:fldChar w:fldCharType="end"/>
      </w:r>
      <w:r w:rsidRPr="009D0A4A">
        <w:t xml:space="preserve">. </w:t>
      </w:r>
    </w:p>
    <w:p w14:paraId="146AF373" w14:textId="7D38E233" w:rsidR="00076804" w:rsidRDefault="00076804" w:rsidP="00076804">
      <w:pPr>
        <w:pStyle w:val="Caption"/>
      </w:pPr>
      <w:bookmarkStart w:id="597" w:name="_Ref125289100"/>
      <w:bookmarkEnd w:id="596"/>
      <w:r>
        <w:t xml:space="preserve">Table </w:t>
      </w:r>
      <w:fldSimple w:instr=" SEQ Table \* ARABIC ">
        <w:r w:rsidR="00DF768D">
          <w:rPr>
            <w:noProof/>
          </w:rPr>
          <w:t>10</w:t>
        </w:r>
      </w:fldSimple>
      <w:bookmarkEnd w:id="597"/>
      <w:r>
        <w:t xml:space="preserve">: </w:t>
      </w:r>
      <w:r w:rsidRPr="009D0A4A">
        <w:t>Regulatory and non-regulatory options</w:t>
      </w:r>
    </w:p>
    <w:tbl>
      <w:tblPr>
        <w:tblStyle w:val="PMCDefaultTableStyle"/>
        <w:tblW w:w="9498" w:type="dxa"/>
        <w:tblLook w:val="04A0" w:firstRow="1" w:lastRow="0" w:firstColumn="1" w:lastColumn="0" w:noHBand="0" w:noVBand="1"/>
      </w:tblPr>
      <w:tblGrid>
        <w:gridCol w:w="1000"/>
        <w:gridCol w:w="2276"/>
        <w:gridCol w:w="1346"/>
        <w:gridCol w:w="4876"/>
      </w:tblGrid>
      <w:tr w:rsidR="00EC06FD" w:rsidRPr="009D0A4A" w14:paraId="4DC814C3" w14:textId="77777777" w:rsidTr="00D439D2">
        <w:trPr>
          <w:cnfStyle w:val="100000000000" w:firstRow="1" w:lastRow="0" w:firstColumn="0" w:lastColumn="0" w:oddVBand="0" w:evenVBand="0" w:oddHBand="0" w:evenHBand="0" w:firstRowFirstColumn="0" w:firstRowLastColumn="0" w:lastRowFirstColumn="0" w:lastRowLastColumn="0"/>
        </w:trPr>
        <w:tc>
          <w:tcPr>
            <w:tcW w:w="1000" w:type="dxa"/>
            <w:tcBorders>
              <w:top w:val="nil"/>
              <w:left w:val="nil"/>
              <w:bottom w:val="single" w:sz="4" w:space="0" w:color="D1D1D1" w:themeColor="background2"/>
              <w:right w:val="nil"/>
            </w:tcBorders>
            <w:hideMark/>
          </w:tcPr>
          <w:p w14:paraId="7A636254" w14:textId="6932BF26" w:rsidR="00EC06FD" w:rsidRPr="00D439D2" w:rsidRDefault="003E717F" w:rsidP="000C215A">
            <w:pPr>
              <w:pStyle w:val="TableHeading"/>
              <w:rPr>
                <w:b/>
                <w:bCs/>
              </w:rPr>
            </w:pPr>
            <w:r w:rsidRPr="00D439D2">
              <w:rPr>
                <w:b/>
                <w:bCs/>
              </w:rPr>
              <w:t>Number</w:t>
            </w:r>
          </w:p>
        </w:tc>
        <w:tc>
          <w:tcPr>
            <w:tcW w:w="2276" w:type="dxa"/>
            <w:tcBorders>
              <w:top w:val="nil"/>
              <w:left w:val="nil"/>
              <w:bottom w:val="single" w:sz="4" w:space="0" w:color="D1D1D1" w:themeColor="background2"/>
              <w:right w:val="nil"/>
            </w:tcBorders>
            <w:hideMark/>
          </w:tcPr>
          <w:p w14:paraId="51C0258E" w14:textId="77777777" w:rsidR="00EC06FD" w:rsidRPr="00D439D2" w:rsidRDefault="00EC06FD" w:rsidP="000C215A">
            <w:pPr>
              <w:pStyle w:val="TableHeading"/>
              <w:rPr>
                <w:b/>
                <w:bCs/>
              </w:rPr>
            </w:pPr>
            <w:r w:rsidRPr="00D439D2">
              <w:rPr>
                <w:b/>
                <w:bCs/>
              </w:rPr>
              <w:t>Option</w:t>
            </w:r>
          </w:p>
        </w:tc>
        <w:tc>
          <w:tcPr>
            <w:tcW w:w="1346" w:type="dxa"/>
            <w:tcBorders>
              <w:top w:val="nil"/>
              <w:left w:val="nil"/>
              <w:bottom w:val="single" w:sz="4" w:space="0" w:color="D1D1D1" w:themeColor="background2"/>
              <w:right w:val="nil"/>
            </w:tcBorders>
            <w:hideMark/>
          </w:tcPr>
          <w:p w14:paraId="536D87EF" w14:textId="77777777" w:rsidR="00EC06FD" w:rsidRPr="00D439D2" w:rsidRDefault="00EC06FD" w:rsidP="000C215A">
            <w:pPr>
              <w:pStyle w:val="TableHeading"/>
              <w:rPr>
                <w:b/>
                <w:bCs/>
              </w:rPr>
            </w:pPr>
            <w:r w:rsidRPr="00D439D2">
              <w:rPr>
                <w:b/>
                <w:bCs/>
              </w:rPr>
              <w:t>Option type</w:t>
            </w:r>
          </w:p>
        </w:tc>
        <w:tc>
          <w:tcPr>
            <w:tcW w:w="4876" w:type="dxa"/>
            <w:tcBorders>
              <w:top w:val="nil"/>
              <w:left w:val="nil"/>
              <w:bottom w:val="single" w:sz="4" w:space="0" w:color="D1D1D1" w:themeColor="background2"/>
              <w:right w:val="nil"/>
            </w:tcBorders>
            <w:hideMark/>
          </w:tcPr>
          <w:p w14:paraId="2C04C360" w14:textId="77777777" w:rsidR="00EC06FD" w:rsidRPr="00D439D2" w:rsidRDefault="00EC06FD" w:rsidP="000C215A">
            <w:pPr>
              <w:pStyle w:val="TableHeading"/>
              <w:rPr>
                <w:b/>
                <w:bCs/>
              </w:rPr>
            </w:pPr>
            <w:r w:rsidRPr="00D439D2">
              <w:rPr>
                <w:b/>
                <w:bCs/>
              </w:rPr>
              <w:t>Description</w:t>
            </w:r>
          </w:p>
        </w:tc>
      </w:tr>
      <w:tr w:rsidR="00EC06FD" w:rsidRPr="009D0A4A" w14:paraId="7E23FB35" w14:textId="77777777" w:rsidTr="00D439D2">
        <w:trPr>
          <w:cnfStyle w:val="000000100000" w:firstRow="0" w:lastRow="0" w:firstColumn="0" w:lastColumn="0" w:oddVBand="0" w:evenVBand="0" w:oddHBand="1" w:evenHBand="0" w:firstRowFirstColumn="0" w:firstRowLastColumn="0" w:lastRowFirstColumn="0" w:lastRowLastColumn="0"/>
        </w:trPr>
        <w:tc>
          <w:tcPr>
            <w:tcW w:w="1000" w:type="dxa"/>
            <w:tcBorders>
              <w:top w:val="single" w:sz="4" w:space="0" w:color="D1D1D1" w:themeColor="background2"/>
              <w:left w:val="nil"/>
              <w:bottom w:val="single" w:sz="4" w:space="0" w:color="D1D1D1" w:themeColor="background2"/>
              <w:right w:val="nil"/>
            </w:tcBorders>
          </w:tcPr>
          <w:p w14:paraId="0FD16358" w14:textId="77777777" w:rsidR="00EC06FD" w:rsidRPr="009D0A4A" w:rsidRDefault="00EC06FD" w:rsidP="00590AAF">
            <w:pPr>
              <w:pStyle w:val="TableBody"/>
              <w:rPr>
                <w:rFonts w:cstheme="minorHAnsi"/>
                <w:lang w:val="en-US"/>
              </w:rPr>
            </w:pPr>
            <w:r w:rsidRPr="009D0A4A">
              <w:rPr>
                <w:rFonts w:cstheme="minorHAnsi"/>
                <w:lang w:val="en-US"/>
              </w:rPr>
              <w:t>1</w:t>
            </w:r>
          </w:p>
          <w:p w14:paraId="6EDCED06" w14:textId="77777777" w:rsidR="00EC06FD" w:rsidRPr="009D0A4A" w:rsidRDefault="00EC06FD" w:rsidP="00590AAF">
            <w:pPr>
              <w:pStyle w:val="TableBody"/>
              <w:rPr>
                <w:rFonts w:cstheme="minorHAnsi"/>
                <w:lang w:val="en-US"/>
              </w:rPr>
            </w:pPr>
          </w:p>
        </w:tc>
        <w:tc>
          <w:tcPr>
            <w:tcW w:w="2276" w:type="dxa"/>
            <w:tcBorders>
              <w:top w:val="single" w:sz="4" w:space="0" w:color="D1D1D1" w:themeColor="background2"/>
              <w:left w:val="nil"/>
              <w:bottom w:val="single" w:sz="4" w:space="0" w:color="D1D1D1" w:themeColor="background2"/>
              <w:right w:val="nil"/>
            </w:tcBorders>
            <w:hideMark/>
          </w:tcPr>
          <w:p w14:paraId="2C7DF904" w14:textId="77777777" w:rsidR="00EC06FD" w:rsidRPr="009D0A4A" w:rsidRDefault="00EC06FD" w:rsidP="00590AAF">
            <w:pPr>
              <w:pStyle w:val="TableBody"/>
              <w:rPr>
                <w:rFonts w:cstheme="minorHAnsi"/>
                <w:lang w:val="en-US"/>
              </w:rPr>
            </w:pPr>
            <w:r w:rsidRPr="009D0A4A">
              <w:rPr>
                <w:rFonts w:cstheme="minorHAnsi"/>
                <w:lang w:val="en-US"/>
              </w:rPr>
              <w:t>Base case</w:t>
            </w:r>
          </w:p>
        </w:tc>
        <w:tc>
          <w:tcPr>
            <w:tcW w:w="1346" w:type="dxa"/>
            <w:tcBorders>
              <w:top w:val="single" w:sz="4" w:space="0" w:color="D1D1D1" w:themeColor="background2"/>
              <w:left w:val="nil"/>
              <w:bottom w:val="single" w:sz="4" w:space="0" w:color="D1D1D1" w:themeColor="background2"/>
              <w:right w:val="nil"/>
            </w:tcBorders>
            <w:hideMark/>
          </w:tcPr>
          <w:p w14:paraId="77C6CF6A" w14:textId="77777777" w:rsidR="00EC06FD" w:rsidRPr="009D0A4A" w:rsidRDefault="00EC06FD" w:rsidP="00590AAF">
            <w:pPr>
              <w:pStyle w:val="TableBody"/>
              <w:rPr>
                <w:rFonts w:cstheme="minorHAnsi"/>
                <w:lang w:val="en-US"/>
              </w:rPr>
            </w:pPr>
            <w:r w:rsidRPr="009D0A4A">
              <w:rPr>
                <w:rFonts w:cstheme="minorHAnsi"/>
                <w:lang w:val="en-US"/>
              </w:rPr>
              <w:t>N/A</w:t>
            </w:r>
          </w:p>
        </w:tc>
        <w:tc>
          <w:tcPr>
            <w:tcW w:w="4876" w:type="dxa"/>
            <w:tcBorders>
              <w:top w:val="single" w:sz="4" w:space="0" w:color="D1D1D1" w:themeColor="background2"/>
              <w:left w:val="nil"/>
              <w:bottom w:val="single" w:sz="4" w:space="0" w:color="D1D1D1" w:themeColor="background2"/>
              <w:right w:val="nil"/>
            </w:tcBorders>
            <w:hideMark/>
          </w:tcPr>
          <w:p w14:paraId="211001DB" w14:textId="002DE996" w:rsidR="00EC06FD" w:rsidRPr="009D0A4A" w:rsidRDefault="00EC06FD" w:rsidP="00590AAF">
            <w:pPr>
              <w:pStyle w:val="TableBody"/>
              <w:rPr>
                <w:rFonts w:cstheme="minorHAnsi"/>
                <w:lang w:val="en-US"/>
              </w:rPr>
            </w:pPr>
            <w:r w:rsidRPr="009D0A4A">
              <w:rPr>
                <w:rFonts w:cstheme="minorHAnsi"/>
                <w:lang w:val="en-US"/>
              </w:rPr>
              <w:t xml:space="preserve">This option includes the existing requirements of the model WHS laws, as well as several </w:t>
            </w:r>
            <w:r w:rsidR="003F7445" w:rsidRPr="009D0A4A">
              <w:rPr>
                <w:rFonts w:cstheme="minorHAnsi"/>
                <w:lang w:val="en-US"/>
              </w:rPr>
              <w:t xml:space="preserve">national </w:t>
            </w:r>
            <w:r w:rsidRPr="009D0A4A">
              <w:rPr>
                <w:rFonts w:cstheme="minorHAnsi"/>
                <w:lang w:val="en-US"/>
              </w:rPr>
              <w:t>regulatory initiatives that are underway.</w:t>
            </w:r>
          </w:p>
        </w:tc>
      </w:tr>
      <w:tr w:rsidR="00EC06FD" w:rsidRPr="009D0A4A" w14:paraId="7687040B" w14:textId="77777777" w:rsidTr="00D439D2">
        <w:trPr>
          <w:cnfStyle w:val="000000010000" w:firstRow="0" w:lastRow="0" w:firstColumn="0" w:lastColumn="0" w:oddVBand="0" w:evenVBand="0" w:oddHBand="0" w:evenHBand="1" w:firstRowFirstColumn="0" w:firstRowLastColumn="0" w:lastRowFirstColumn="0" w:lastRowLastColumn="0"/>
        </w:trPr>
        <w:tc>
          <w:tcPr>
            <w:tcW w:w="1000" w:type="dxa"/>
            <w:tcBorders>
              <w:top w:val="single" w:sz="4" w:space="0" w:color="D1D1D1" w:themeColor="background2"/>
              <w:left w:val="nil"/>
              <w:bottom w:val="single" w:sz="4" w:space="0" w:color="D1D1D1" w:themeColor="background2"/>
              <w:right w:val="nil"/>
            </w:tcBorders>
            <w:hideMark/>
          </w:tcPr>
          <w:p w14:paraId="4569197D" w14:textId="77777777" w:rsidR="00EC06FD" w:rsidRPr="009D0A4A" w:rsidRDefault="00EC06FD" w:rsidP="00590AAF">
            <w:pPr>
              <w:pStyle w:val="TableBody"/>
              <w:rPr>
                <w:rFonts w:cstheme="minorHAnsi"/>
                <w:lang w:val="en-US"/>
              </w:rPr>
            </w:pPr>
            <w:r w:rsidRPr="009D0A4A">
              <w:rPr>
                <w:rFonts w:cstheme="minorHAnsi"/>
                <w:lang w:val="en-US"/>
              </w:rPr>
              <w:t>2</w:t>
            </w:r>
          </w:p>
        </w:tc>
        <w:tc>
          <w:tcPr>
            <w:tcW w:w="2276" w:type="dxa"/>
            <w:tcBorders>
              <w:top w:val="single" w:sz="4" w:space="0" w:color="D1D1D1" w:themeColor="background2"/>
              <w:left w:val="nil"/>
              <w:bottom w:val="single" w:sz="4" w:space="0" w:color="D1D1D1" w:themeColor="background2"/>
              <w:right w:val="nil"/>
            </w:tcBorders>
            <w:hideMark/>
          </w:tcPr>
          <w:p w14:paraId="6C03A65A" w14:textId="77777777" w:rsidR="00EC06FD" w:rsidRPr="009D0A4A" w:rsidRDefault="00EC06FD" w:rsidP="00590AAF">
            <w:pPr>
              <w:pStyle w:val="TableBody"/>
              <w:rPr>
                <w:rFonts w:cstheme="minorHAnsi"/>
                <w:lang w:val="en-US"/>
              </w:rPr>
            </w:pPr>
            <w:r w:rsidRPr="009D0A4A">
              <w:rPr>
                <w:rFonts w:cstheme="minorHAnsi"/>
                <w:lang w:val="en-US"/>
              </w:rPr>
              <w:t>Awareness and behaviour change initiatives</w:t>
            </w:r>
          </w:p>
        </w:tc>
        <w:tc>
          <w:tcPr>
            <w:tcW w:w="1346" w:type="dxa"/>
            <w:tcBorders>
              <w:top w:val="single" w:sz="4" w:space="0" w:color="D1D1D1" w:themeColor="background2"/>
              <w:left w:val="nil"/>
              <w:bottom w:val="single" w:sz="4" w:space="0" w:color="D1D1D1" w:themeColor="background2"/>
              <w:right w:val="nil"/>
            </w:tcBorders>
            <w:hideMark/>
          </w:tcPr>
          <w:p w14:paraId="6311B1A5" w14:textId="77777777" w:rsidR="00EC06FD" w:rsidRPr="009D0A4A" w:rsidRDefault="00EC06FD" w:rsidP="00590AAF">
            <w:pPr>
              <w:pStyle w:val="TableBody"/>
              <w:rPr>
                <w:rFonts w:cstheme="minorHAnsi"/>
                <w:lang w:val="en-US"/>
              </w:rPr>
            </w:pPr>
            <w:r w:rsidRPr="009D0A4A">
              <w:rPr>
                <w:rFonts w:cstheme="minorHAnsi"/>
                <w:lang w:val="en-US"/>
              </w:rPr>
              <w:t>Non-regulatory</w:t>
            </w:r>
          </w:p>
        </w:tc>
        <w:tc>
          <w:tcPr>
            <w:tcW w:w="4876" w:type="dxa"/>
            <w:tcBorders>
              <w:top w:val="single" w:sz="4" w:space="0" w:color="D1D1D1" w:themeColor="background2"/>
              <w:left w:val="nil"/>
              <w:bottom w:val="single" w:sz="4" w:space="0" w:color="D1D1D1" w:themeColor="background2"/>
              <w:right w:val="nil"/>
            </w:tcBorders>
            <w:hideMark/>
          </w:tcPr>
          <w:p w14:paraId="38D8F6F6" w14:textId="49ABE0A3" w:rsidR="00EC06FD" w:rsidRPr="009D0A4A" w:rsidRDefault="00EC06FD" w:rsidP="00590AAF">
            <w:pPr>
              <w:pStyle w:val="TableBody"/>
              <w:rPr>
                <w:rFonts w:cstheme="minorHAnsi"/>
                <w:lang w:val="en-US"/>
              </w:rPr>
            </w:pPr>
            <w:r w:rsidRPr="009D0A4A">
              <w:rPr>
                <w:rFonts w:cstheme="minorHAnsi"/>
                <w:lang w:val="en-US"/>
              </w:rPr>
              <w:t xml:space="preserve">Awareness and behaviour change initiatives targeted to workers, PCBUs and other duty holders in the construction, manufacturing, demolition tunnelling, </w:t>
            </w:r>
            <w:r w:rsidR="004E3629" w:rsidRPr="009D0A4A">
              <w:rPr>
                <w:rFonts w:cstheme="minorHAnsi"/>
                <w:lang w:val="en-US"/>
              </w:rPr>
              <w:t>quarrying,</w:t>
            </w:r>
            <w:r w:rsidRPr="009D0A4A">
              <w:rPr>
                <w:rFonts w:cstheme="minorHAnsi"/>
                <w:lang w:val="en-US"/>
              </w:rPr>
              <w:t xml:space="preserve"> and mining industries.</w:t>
            </w:r>
          </w:p>
        </w:tc>
      </w:tr>
      <w:tr w:rsidR="00EC06FD" w:rsidRPr="009D0A4A" w14:paraId="6AD5F9B2" w14:textId="77777777" w:rsidTr="00D439D2">
        <w:trPr>
          <w:cnfStyle w:val="000000100000" w:firstRow="0" w:lastRow="0" w:firstColumn="0" w:lastColumn="0" w:oddVBand="0" w:evenVBand="0" w:oddHBand="1" w:evenHBand="0" w:firstRowFirstColumn="0" w:firstRowLastColumn="0" w:lastRowFirstColumn="0" w:lastRowLastColumn="0"/>
        </w:trPr>
        <w:tc>
          <w:tcPr>
            <w:tcW w:w="1000" w:type="dxa"/>
            <w:tcBorders>
              <w:top w:val="single" w:sz="4" w:space="0" w:color="D1D1D1" w:themeColor="background2"/>
              <w:left w:val="nil"/>
              <w:bottom w:val="single" w:sz="4" w:space="0" w:color="D1D1D1" w:themeColor="background2"/>
              <w:right w:val="nil"/>
            </w:tcBorders>
          </w:tcPr>
          <w:p w14:paraId="34B3218B" w14:textId="77777777" w:rsidR="00EC06FD" w:rsidRPr="009D0A4A" w:rsidRDefault="00EC06FD" w:rsidP="00590AAF">
            <w:pPr>
              <w:pStyle w:val="TableBody"/>
              <w:rPr>
                <w:rFonts w:cstheme="minorHAnsi"/>
                <w:lang w:val="en-US"/>
              </w:rPr>
            </w:pPr>
            <w:r w:rsidRPr="009D0A4A">
              <w:rPr>
                <w:rFonts w:cstheme="minorHAnsi"/>
                <w:lang w:val="en-US"/>
              </w:rPr>
              <w:t>3</w:t>
            </w:r>
          </w:p>
        </w:tc>
        <w:tc>
          <w:tcPr>
            <w:tcW w:w="2276" w:type="dxa"/>
            <w:tcBorders>
              <w:top w:val="single" w:sz="4" w:space="0" w:color="D1D1D1" w:themeColor="background2"/>
              <w:left w:val="nil"/>
              <w:bottom w:val="single" w:sz="4" w:space="0" w:color="D1D1D1" w:themeColor="background2"/>
              <w:right w:val="nil"/>
            </w:tcBorders>
          </w:tcPr>
          <w:p w14:paraId="571A9B99" w14:textId="7A5EC58C" w:rsidR="00EC06FD" w:rsidRPr="009D0A4A" w:rsidRDefault="00EC06FD" w:rsidP="00590AAF">
            <w:pPr>
              <w:pStyle w:val="TableBody"/>
              <w:rPr>
                <w:rFonts w:cstheme="minorHAnsi"/>
                <w:lang w:val="en-US"/>
              </w:rPr>
            </w:pPr>
            <w:r w:rsidRPr="009D0A4A">
              <w:rPr>
                <w:rFonts w:cstheme="minorHAnsi"/>
                <w:lang w:val="en-US"/>
              </w:rPr>
              <w:t>Clarification of existing requirements in the model WHS Regulations</w:t>
            </w:r>
            <w:r w:rsidR="003F7445" w:rsidRPr="009D0A4A">
              <w:rPr>
                <w:rFonts w:cstheme="minorHAnsi"/>
                <w:lang w:val="en-US"/>
              </w:rPr>
              <w:t xml:space="preserve"> for defined high risk silica processes</w:t>
            </w:r>
          </w:p>
        </w:tc>
        <w:tc>
          <w:tcPr>
            <w:tcW w:w="1346" w:type="dxa"/>
            <w:tcBorders>
              <w:top w:val="single" w:sz="4" w:space="0" w:color="D1D1D1" w:themeColor="background2"/>
              <w:left w:val="nil"/>
              <w:bottom w:val="single" w:sz="4" w:space="0" w:color="D1D1D1" w:themeColor="background2"/>
              <w:right w:val="nil"/>
            </w:tcBorders>
          </w:tcPr>
          <w:p w14:paraId="32D02F13" w14:textId="77777777" w:rsidR="00EC06FD" w:rsidRPr="009D0A4A" w:rsidRDefault="00EC06FD" w:rsidP="00590AAF">
            <w:pPr>
              <w:pStyle w:val="TableBody"/>
              <w:rPr>
                <w:rFonts w:cstheme="minorHAnsi"/>
                <w:lang w:val="en-US"/>
              </w:rPr>
            </w:pPr>
            <w:r w:rsidRPr="009D0A4A">
              <w:rPr>
                <w:rFonts w:cstheme="minorHAnsi"/>
                <w:lang w:val="en-US"/>
              </w:rPr>
              <w:t>Regulatory</w:t>
            </w:r>
          </w:p>
        </w:tc>
        <w:tc>
          <w:tcPr>
            <w:tcW w:w="4876" w:type="dxa"/>
            <w:tcBorders>
              <w:top w:val="single" w:sz="4" w:space="0" w:color="D1D1D1" w:themeColor="background2"/>
              <w:left w:val="nil"/>
              <w:bottom w:val="single" w:sz="4" w:space="0" w:color="D1D1D1" w:themeColor="background2"/>
              <w:right w:val="nil"/>
            </w:tcBorders>
          </w:tcPr>
          <w:p w14:paraId="77AAB45B" w14:textId="41BA6B7F" w:rsidR="00EC06FD" w:rsidRPr="009D0A4A" w:rsidRDefault="00EC06FD" w:rsidP="00590AAF">
            <w:pPr>
              <w:pStyle w:val="TableBody"/>
              <w:rPr>
                <w:rFonts w:cstheme="minorHAnsi"/>
                <w:lang w:val="en-US"/>
              </w:rPr>
            </w:pPr>
            <w:r w:rsidRPr="009D0A4A">
              <w:rPr>
                <w:rFonts w:cstheme="minorHAnsi"/>
                <w:lang w:val="en-US"/>
              </w:rPr>
              <w:t xml:space="preserve">Amendments to the model WHS Regulations to clarify how the existing requirements apply to defined “high risk silica processes”. This would have no additional regulatory burden. </w:t>
            </w:r>
          </w:p>
        </w:tc>
      </w:tr>
      <w:tr w:rsidR="00EC06FD" w:rsidRPr="009D0A4A" w14:paraId="45A652A6" w14:textId="77777777" w:rsidTr="00D439D2">
        <w:trPr>
          <w:cnfStyle w:val="000000010000" w:firstRow="0" w:lastRow="0" w:firstColumn="0" w:lastColumn="0" w:oddVBand="0" w:evenVBand="0" w:oddHBand="0" w:evenHBand="1" w:firstRowFirstColumn="0" w:firstRowLastColumn="0" w:lastRowFirstColumn="0" w:lastRowLastColumn="0"/>
        </w:trPr>
        <w:tc>
          <w:tcPr>
            <w:tcW w:w="1000" w:type="dxa"/>
            <w:tcBorders>
              <w:top w:val="single" w:sz="4" w:space="0" w:color="D1D1D1" w:themeColor="background2"/>
              <w:left w:val="nil"/>
              <w:bottom w:val="single" w:sz="4" w:space="0" w:color="D1D1D1" w:themeColor="background2"/>
              <w:right w:val="nil"/>
            </w:tcBorders>
          </w:tcPr>
          <w:p w14:paraId="2DD91E92" w14:textId="77777777" w:rsidR="00EC06FD" w:rsidRPr="009D0A4A" w:rsidRDefault="00EC06FD" w:rsidP="00590AAF">
            <w:pPr>
              <w:pStyle w:val="TableBody"/>
              <w:rPr>
                <w:rFonts w:cstheme="minorHAnsi"/>
                <w:lang w:val="en-US"/>
              </w:rPr>
            </w:pPr>
            <w:r w:rsidRPr="009D0A4A">
              <w:rPr>
                <w:rFonts w:cstheme="minorHAnsi"/>
                <w:lang w:val="en-US"/>
              </w:rPr>
              <w:t>4</w:t>
            </w:r>
          </w:p>
        </w:tc>
        <w:tc>
          <w:tcPr>
            <w:tcW w:w="2276" w:type="dxa"/>
            <w:tcBorders>
              <w:top w:val="single" w:sz="4" w:space="0" w:color="D1D1D1" w:themeColor="background2"/>
              <w:left w:val="nil"/>
              <w:bottom w:val="single" w:sz="4" w:space="0" w:color="D1D1D1" w:themeColor="background2"/>
              <w:right w:val="nil"/>
            </w:tcBorders>
          </w:tcPr>
          <w:p w14:paraId="7D769915" w14:textId="77777777" w:rsidR="00EC06FD" w:rsidRPr="009D0A4A" w:rsidRDefault="00EC06FD" w:rsidP="00590AAF">
            <w:pPr>
              <w:pStyle w:val="TableBody"/>
              <w:rPr>
                <w:rFonts w:cstheme="minorHAnsi"/>
                <w:lang w:val="en-US"/>
              </w:rPr>
            </w:pPr>
            <w:r w:rsidRPr="009D0A4A">
              <w:rPr>
                <w:rFonts w:cstheme="minorHAnsi"/>
                <w:lang w:val="en-US"/>
              </w:rPr>
              <w:t>National licensing framework for PCBUs working with engineered stone</w:t>
            </w:r>
          </w:p>
        </w:tc>
        <w:tc>
          <w:tcPr>
            <w:tcW w:w="1346" w:type="dxa"/>
            <w:tcBorders>
              <w:top w:val="single" w:sz="4" w:space="0" w:color="D1D1D1" w:themeColor="background2"/>
              <w:left w:val="nil"/>
              <w:bottom w:val="single" w:sz="4" w:space="0" w:color="D1D1D1" w:themeColor="background2"/>
              <w:right w:val="nil"/>
            </w:tcBorders>
          </w:tcPr>
          <w:p w14:paraId="49DBB6DC" w14:textId="77777777" w:rsidR="00EC06FD" w:rsidRPr="009D0A4A" w:rsidRDefault="00EC06FD" w:rsidP="00590AAF">
            <w:pPr>
              <w:pStyle w:val="TableBody"/>
              <w:rPr>
                <w:rFonts w:cstheme="minorHAnsi"/>
                <w:lang w:val="en-US"/>
              </w:rPr>
            </w:pPr>
            <w:r w:rsidRPr="009D0A4A">
              <w:rPr>
                <w:rFonts w:cstheme="minorHAnsi"/>
                <w:lang w:val="en-US"/>
              </w:rPr>
              <w:t>Regulatory</w:t>
            </w:r>
          </w:p>
        </w:tc>
        <w:tc>
          <w:tcPr>
            <w:tcW w:w="4876" w:type="dxa"/>
            <w:tcBorders>
              <w:top w:val="single" w:sz="4" w:space="0" w:color="D1D1D1" w:themeColor="background2"/>
              <w:left w:val="nil"/>
              <w:bottom w:val="single" w:sz="4" w:space="0" w:color="D1D1D1" w:themeColor="background2"/>
              <w:right w:val="nil"/>
            </w:tcBorders>
          </w:tcPr>
          <w:p w14:paraId="0D02F60F" w14:textId="77777777" w:rsidR="00EC06FD" w:rsidRPr="009D0A4A" w:rsidRDefault="00EC06FD" w:rsidP="00590AAF">
            <w:pPr>
              <w:pStyle w:val="TableBody"/>
              <w:rPr>
                <w:rFonts w:cstheme="minorHAnsi"/>
                <w:lang w:val="en-US"/>
              </w:rPr>
            </w:pPr>
            <w:r w:rsidRPr="009D0A4A">
              <w:rPr>
                <w:rFonts w:cstheme="minorHAnsi"/>
                <w:lang w:val="en-US"/>
              </w:rPr>
              <w:t>Implementation of a national licensing framework for PCBUs working with engineered stone through changes to the model WHS laws.</w:t>
            </w:r>
          </w:p>
        </w:tc>
      </w:tr>
      <w:tr w:rsidR="00EC06FD" w:rsidRPr="009D0A4A" w14:paraId="2B08EF44" w14:textId="77777777" w:rsidTr="00D439D2">
        <w:trPr>
          <w:cnfStyle w:val="000000100000" w:firstRow="0" w:lastRow="0" w:firstColumn="0" w:lastColumn="0" w:oddVBand="0" w:evenVBand="0" w:oddHBand="1" w:evenHBand="0" w:firstRowFirstColumn="0" w:firstRowLastColumn="0" w:lastRowFirstColumn="0" w:lastRowLastColumn="0"/>
        </w:trPr>
        <w:tc>
          <w:tcPr>
            <w:tcW w:w="1000" w:type="dxa"/>
            <w:tcBorders>
              <w:top w:val="single" w:sz="4" w:space="0" w:color="D1D1D1" w:themeColor="background2"/>
              <w:left w:val="nil"/>
              <w:bottom w:val="single" w:sz="4" w:space="0" w:color="D1D1D1" w:themeColor="background2"/>
              <w:right w:val="nil"/>
            </w:tcBorders>
            <w:hideMark/>
          </w:tcPr>
          <w:p w14:paraId="18BD82CC" w14:textId="77777777" w:rsidR="00EC06FD" w:rsidRPr="009D0A4A" w:rsidRDefault="00EC06FD" w:rsidP="00590AAF">
            <w:pPr>
              <w:pStyle w:val="TableBody"/>
              <w:rPr>
                <w:rFonts w:cstheme="minorHAnsi"/>
                <w:lang w:val="en-US"/>
              </w:rPr>
            </w:pPr>
            <w:r w:rsidRPr="009D0A4A">
              <w:rPr>
                <w:rFonts w:cstheme="minorHAnsi"/>
                <w:lang w:val="en-US"/>
              </w:rPr>
              <w:t>5a</w:t>
            </w:r>
          </w:p>
        </w:tc>
        <w:tc>
          <w:tcPr>
            <w:tcW w:w="2276" w:type="dxa"/>
            <w:tcBorders>
              <w:top w:val="single" w:sz="4" w:space="0" w:color="D1D1D1" w:themeColor="background2"/>
              <w:left w:val="nil"/>
              <w:bottom w:val="single" w:sz="4" w:space="0" w:color="D1D1D1" w:themeColor="background2"/>
              <w:right w:val="nil"/>
            </w:tcBorders>
            <w:hideMark/>
          </w:tcPr>
          <w:p w14:paraId="394F9371" w14:textId="11FC5A3E" w:rsidR="00EC06FD" w:rsidRPr="009D0A4A" w:rsidRDefault="00EC06FD" w:rsidP="00590AAF">
            <w:pPr>
              <w:pStyle w:val="TableBody"/>
              <w:rPr>
                <w:rFonts w:cstheme="minorHAnsi"/>
                <w:lang w:val="en-US"/>
              </w:rPr>
            </w:pPr>
            <w:r w:rsidRPr="009D0A4A">
              <w:t xml:space="preserve">Additional regulation of defined high risk crystalline silica processes, </w:t>
            </w:r>
            <w:r w:rsidRPr="009D0A4A">
              <w:rPr>
                <w:b/>
                <w:bCs/>
              </w:rPr>
              <w:t>including</w:t>
            </w:r>
            <w:r w:rsidRPr="009D0A4A">
              <w:t xml:space="preserve"> engineered stone</w:t>
            </w:r>
          </w:p>
        </w:tc>
        <w:tc>
          <w:tcPr>
            <w:tcW w:w="1346" w:type="dxa"/>
            <w:tcBorders>
              <w:top w:val="single" w:sz="4" w:space="0" w:color="D1D1D1" w:themeColor="background2"/>
              <w:left w:val="nil"/>
              <w:bottom w:val="single" w:sz="4" w:space="0" w:color="D1D1D1" w:themeColor="background2"/>
              <w:right w:val="nil"/>
            </w:tcBorders>
            <w:hideMark/>
          </w:tcPr>
          <w:p w14:paraId="3CD82CE5" w14:textId="77777777" w:rsidR="00EC06FD" w:rsidRPr="009D0A4A" w:rsidRDefault="00EC06FD" w:rsidP="00590AAF">
            <w:pPr>
              <w:pStyle w:val="TableBody"/>
              <w:rPr>
                <w:rFonts w:cstheme="minorHAnsi"/>
                <w:lang w:val="en-US"/>
              </w:rPr>
            </w:pPr>
            <w:r w:rsidRPr="009D0A4A">
              <w:rPr>
                <w:rFonts w:cstheme="minorHAnsi"/>
                <w:lang w:val="en-US"/>
              </w:rPr>
              <w:t>Regulatory</w:t>
            </w:r>
          </w:p>
        </w:tc>
        <w:tc>
          <w:tcPr>
            <w:tcW w:w="4876" w:type="dxa"/>
            <w:vMerge w:val="restart"/>
            <w:tcBorders>
              <w:top w:val="single" w:sz="4" w:space="0" w:color="D1D1D1" w:themeColor="background2"/>
              <w:left w:val="nil"/>
              <w:bottom w:val="single" w:sz="18" w:space="0" w:color="D1D1D1" w:themeColor="background2"/>
              <w:right w:val="nil"/>
            </w:tcBorders>
            <w:vAlign w:val="center"/>
            <w:hideMark/>
          </w:tcPr>
          <w:p w14:paraId="4C3F14AC" w14:textId="742371B4" w:rsidR="00EC06FD" w:rsidRPr="009D0A4A" w:rsidRDefault="003F7445" w:rsidP="00590AAF">
            <w:pPr>
              <w:pStyle w:val="TableBody"/>
              <w:rPr>
                <w:rFonts w:cstheme="minorHAnsi"/>
                <w:lang w:val="en-US"/>
              </w:rPr>
            </w:pPr>
            <w:r w:rsidRPr="009D0A4A">
              <w:rPr>
                <w:rFonts w:cstheme="minorHAnsi"/>
                <w:lang w:val="en-US"/>
              </w:rPr>
              <w:t xml:space="preserve">Amendments to the model WHS Regulations for high risk silica processes (as per Option 3) with additional regulatory requirements. </w:t>
            </w:r>
          </w:p>
        </w:tc>
      </w:tr>
      <w:tr w:rsidR="00EC06FD" w:rsidRPr="009D0A4A" w14:paraId="4A00722F" w14:textId="77777777" w:rsidTr="00D439D2">
        <w:trPr>
          <w:cnfStyle w:val="000000010000" w:firstRow="0" w:lastRow="0" w:firstColumn="0" w:lastColumn="0" w:oddVBand="0" w:evenVBand="0" w:oddHBand="0" w:evenHBand="1" w:firstRowFirstColumn="0" w:firstRowLastColumn="0" w:lastRowFirstColumn="0" w:lastRowLastColumn="0"/>
        </w:trPr>
        <w:tc>
          <w:tcPr>
            <w:tcW w:w="1000" w:type="dxa"/>
            <w:tcBorders>
              <w:top w:val="single" w:sz="4" w:space="0" w:color="D1D1D1" w:themeColor="background2"/>
              <w:left w:val="nil"/>
              <w:bottom w:val="single" w:sz="4" w:space="0" w:color="D1D1D1" w:themeColor="background2"/>
              <w:right w:val="nil"/>
            </w:tcBorders>
            <w:hideMark/>
          </w:tcPr>
          <w:p w14:paraId="10CFC2F2" w14:textId="77777777" w:rsidR="00EC06FD" w:rsidRPr="009D0A4A" w:rsidRDefault="00EC06FD" w:rsidP="00590AAF">
            <w:pPr>
              <w:pStyle w:val="TableBody"/>
              <w:rPr>
                <w:rFonts w:cstheme="minorHAnsi"/>
                <w:lang w:val="en-US"/>
              </w:rPr>
            </w:pPr>
            <w:r w:rsidRPr="009D0A4A">
              <w:rPr>
                <w:rFonts w:cstheme="minorHAnsi"/>
                <w:lang w:val="en-US"/>
              </w:rPr>
              <w:t>5b</w:t>
            </w:r>
          </w:p>
        </w:tc>
        <w:tc>
          <w:tcPr>
            <w:tcW w:w="2276" w:type="dxa"/>
            <w:tcBorders>
              <w:top w:val="single" w:sz="4" w:space="0" w:color="D1D1D1" w:themeColor="background2"/>
              <w:left w:val="nil"/>
              <w:bottom w:val="single" w:sz="4" w:space="0" w:color="D1D1D1" w:themeColor="background2"/>
              <w:right w:val="nil"/>
            </w:tcBorders>
            <w:hideMark/>
          </w:tcPr>
          <w:p w14:paraId="0D767D15" w14:textId="77777777" w:rsidR="00EC06FD" w:rsidRPr="009D0A4A" w:rsidRDefault="00EC06FD" w:rsidP="00590AAF">
            <w:pPr>
              <w:pStyle w:val="TableBody"/>
              <w:rPr>
                <w:rFonts w:cstheme="minorHAnsi"/>
                <w:b/>
                <w:lang w:val="en-US"/>
              </w:rPr>
            </w:pPr>
            <w:r w:rsidRPr="009D0A4A">
              <w:rPr>
                <w:rFonts w:cstheme="minorHAnsi"/>
                <w:lang w:val="en-US"/>
              </w:rPr>
              <w:t xml:space="preserve">Additional regulation of defined high risk crystalline silica processes, </w:t>
            </w:r>
            <w:r w:rsidRPr="009D0A4A">
              <w:rPr>
                <w:rFonts w:cstheme="minorHAnsi"/>
                <w:b/>
                <w:lang w:val="en-US"/>
              </w:rPr>
              <w:t>excluding</w:t>
            </w:r>
            <w:r w:rsidRPr="009D0A4A">
              <w:rPr>
                <w:rFonts w:cstheme="minorHAnsi"/>
                <w:lang w:val="en-US"/>
              </w:rPr>
              <w:t xml:space="preserve"> engineered stone</w:t>
            </w:r>
          </w:p>
        </w:tc>
        <w:tc>
          <w:tcPr>
            <w:tcW w:w="1346" w:type="dxa"/>
            <w:tcBorders>
              <w:top w:val="single" w:sz="4" w:space="0" w:color="D1D1D1" w:themeColor="background2"/>
              <w:left w:val="nil"/>
              <w:bottom w:val="single" w:sz="4" w:space="0" w:color="D1D1D1" w:themeColor="background2"/>
              <w:right w:val="nil"/>
            </w:tcBorders>
            <w:hideMark/>
          </w:tcPr>
          <w:p w14:paraId="15A946D4" w14:textId="77777777" w:rsidR="00EC06FD" w:rsidRPr="009D0A4A" w:rsidRDefault="00EC06FD" w:rsidP="00590AAF">
            <w:pPr>
              <w:pStyle w:val="TableBody"/>
              <w:rPr>
                <w:rFonts w:cstheme="minorHAnsi"/>
                <w:lang w:val="en-US"/>
              </w:rPr>
            </w:pPr>
            <w:r w:rsidRPr="009D0A4A">
              <w:rPr>
                <w:rFonts w:cstheme="minorHAnsi"/>
                <w:lang w:val="en-US"/>
              </w:rPr>
              <w:t xml:space="preserve">Regulatory </w:t>
            </w:r>
          </w:p>
        </w:tc>
        <w:tc>
          <w:tcPr>
            <w:tcW w:w="4876" w:type="dxa"/>
            <w:vMerge/>
            <w:tcBorders>
              <w:top w:val="single" w:sz="4" w:space="0" w:color="D1D1D1" w:themeColor="background2"/>
              <w:left w:val="nil"/>
              <w:bottom w:val="single" w:sz="4" w:space="0" w:color="D1D1D1" w:themeColor="background2"/>
              <w:right w:val="nil"/>
            </w:tcBorders>
            <w:vAlign w:val="center"/>
            <w:hideMark/>
          </w:tcPr>
          <w:p w14:paraId="1A0EEF56" w14:textId="77777777" w:rsidR="00EC06FD" w:rsidRPr="009D0A4A" w:rsidRDefault="00EC06FD" w:rsidP="00590AAF">
            <w:pPr>
              <w:pStyle w:val="TableBody"/>
              <w:rPr>
                <w:rFonts w:cstheme="minorHAnsi"/>
                <w:lang w:val="en-US"/>
              </w:rPr>
            </w:pPr>
          </w:p>
        </w:tc>
      </w:tr>
      <w:tr w:rsidR="00502F78" w:rsidRPr="009D0A4A" w14:paraId="58197ADF" w14:textId="77777777" w:rsidTr="00D439D2">
        <w:trPr>
          <w:cnfStyle w:val="000000100000" w:firstRow="0" w:lastRow="0" w:firstColumn="0" w:lastColumn="0" w:oddVBand="0" w:evenVBand="0" w:oddHBand="1" w:evenHBand="0" w:firstRowFirstColumn="0" w:firstRowLastColumn="0" w:lastRowFirstColumn="0" w:lastRowLastColumn="0"/>
        </w:trPr>
        <w:tc>
          <w:tcPr>
            <w:tcW w:w="1000" w:type="dxa"/>
            <w:tcBorders>
              <w:top w:val="single" w:sz="4" w:space="0" w:color="D1D1D1" w:themeColor="background2"/>
              <w:left w:val="nil"/>
              <w:bottom w:val="single" w:sz="4" w:space="0" w:color="D1D1D1" w:themeColor="background2"/>
              <w:right w:val="nil"/>
            </w:tcBorders>
          </w:tcPr>
          <w:p w14:paraId="3D03770E" w14:textId="71D80453" w:rsidR="00AB5E75" w:rsidRPr="009D0A4A" w:rsidRDefault="00AB5E75" w:rsidP="00590AAF">
            <w:pPr>
              <w:pStyle w:val="TableBody"/>
              <w:rPr>
                <w:rFonts w:cstheme="minorHAnsi"/>
                <w:lang w:val="en-US"/>
              </w:rPr>
            </w:pPr>
            <w:r>
              <w:rPr>
                <w:rFonts w:cstheme="minorHAnsi"/>
                <w:lang w:val="en-US"/>
              </w:rPr>
              <w:t>6</w:t>
            </w:r>
          </w:p>
        </w:tc>
        <w:tc>
          <w:tcPr>
            <w:tcW w:w="2276" w:type="dxa"/>
            <w:tcBorders>
              <w:top w:val="single" w:sz="4" w:space="0" w:color="D1D1D1" w:themeColor="background2"/>
              <w:left w:val="nil"/>
              <w:bottom w:val="single" w:sz="4" w:space="0" w:color="D1D1D1" w:themeColor="background2"/>
              <w:right w:val="nil"/>
            </w:tcBorders>
          </w:tcPr>
          <w:p w14:paraId="48FB2409" w14:textId="10FA1997" w:rsidR="00AB5E75" w:rsidRPr="009D0A4A" w:rsidRDefault="00AB5E75" w:rsidP="00590AAF">
            <w:pPr>
              <w:pStyle w:val="TableBody"/>
              <w:rPr>
                <w:rFonts w:cstheme="minorHAnsi"/>
                <w:lang w:val="en-US"/>
              </w:rPr>
            </w:pPr>
            <w:r>
              <w:rPr>
                <w:rFonts w:cs="Arial"/>
              </w:rPr>
              <w:t>P</w:t>
            </w:r>
            <w:r w:rsidRPr="00217F1E">
              <w:rPr>
                <w:rFonts w:cs="Arial"/>
              </w:rPr>
              <w:t>rohibit</w:t>
            </w:r>
            <w:r>
              <w:rPr>
                <w:rFonts w:cs="Arial"/>
              </w:rPr>
              <w:t>ion on</w:t>
            </w:r>
            <w:r w:rsidRPr="00217F1E">
              <w:rPr>
                <w:rFonts w:cs="Arial"/>
              </w:rPr>
              <w:t xml:space="preserve"> </w:t>
            </w:r>
            <w:r w:rsidR="009F6940">
              <w:rPr>
                <w:rFonts w:cs="Arial"/>
              </w:rPr>
              <w:t>the</w:t>
            </w:r>
            <w:r w:rsidR="009F6940" w:rsidRPr="00217F1E">
              <w:rPr>
                <w:rFonts w:cs="Arial"/>
              </w:rPr>
              <w:t xml:space="preserve"> </w:t>
            </w:r>
            <w:r w:rsidRPr="00217F1E">
              <w:rPr>
                <w:rFonts w:cs="Arial"/>
              </w:rPr>
              <w:t>use of engineered stone</w:t>
            </w:r>
          </w:p>
        </w:tc>
        <w:tc>
          <w:tcPr>
            <w:tcW w:w="1346" w:type="dxa"/>
            <w:tcBorders>
              <w:top w:val="single" w:sz="4" w:space="0" w:color="D1D1D1" w:themeColor="background2"/>
              <w:left w:val="nil"/>
              <w:bottom w:val="single" w:sz="4" w:space="0" w:color="D1D1D1" w:themeColor="background2"/>
              <w:right w:val="nil"/>
            </w:tcBorders>
          </w:tcPr>
          <w:p w14:paraId="65A23FD7" w14:textId="2C565BFD" w:rsidR="00AB5E75" w:rsidRPr="009D0A4A" w:rsidRDefault="00CC2343" w:rsidP="00590AAF">
            <w:pPr>
              <w:pStyle w:val="TableBody"/>
              <w:rPr>
                <w:rFonts w:cstheme="minorHAnsi"/>
                <w:lang w:val="en-US"/>
              </w:rPr>
            </w:pPr>
            <w:r>
              <w:rPr>
                <w:rFonts w:cstheme="minorHAnsi"/>
                <w:lang w:val="en-US"/>
              </w:rPr>
              <w:t>Regulatory</w:t>
            </w:r>
          </w:p>
        </w:tc>
        <w:tc>
          <w:tcPr>
            <w:tcW w:w="4876" w:type="dxa"/>
            <w:tcBorders>
              <w:top w:val="single" w:sz="4" w:space="0" w:color="D1D1D1" w:themeColor="background2"/>
              <w:left w:val="nil"/>
              <w:bottom w:val="single" w:sz="4" w:space="0" w:color="D1D1D1" w:themeColor="background2"/>
              <w:right w:val="nil"/>
            </w:tcBorders>
          </w:tcPr>
          <w:p w14:paraId="1C77FB64" w14:textId="0E05035B" w:rsidR="00AB5E75" w:rsidRPr="009D0A4A" w:rsidRDefault="00CC2343" w:rsidP="00590AAF">
            <w:pPr>
              <w:pStyle w:val="TableBody"/>
              <w:rPr>
                <w:rFonts w:cstheme="minorHAnsi"/>
                <w:lang w:val="en-US"/>
              </w:rPr>
            </w:pPr>
            <w:r w:rsidRPr="00085442">
              <w:rPr>
                <w:rFonts w:cstheme="minorHAnsi"/>
                <w:szCs w:val="18"/>
                <w:lang w:val="en-US"/>
              </w:rPr>
              <w:t>Amendments to the model WHS Regulations</w:t>
            </w:r>
            <w:r w:rsidR="00467AAA" w:rsidRPr="00085442">
              <w:rPr>
                <w:rFonts w:cstheme="minorHAnsi"/>
                <w:szCs w:val="18"/>
                <w:lang w:val="en-US"/>
              </w:rPr>
              <w:t xml:space="preserve"> to prohibit </w:t>
            </w:r>
            <w:r w:rsidR="00760A99" w:rsidRPr="00085442">
              <w:rPr>
                <w:rFonts w:cstheme="minorHAnsi"/>
                <w:szCs w:val="18"/>
                <w:lang w:val="en-US"/>
              </w:rPr>
              <w:t>the</w:t>
            </w:r>
            <w:r w:rsidR="00667B15" w:rsidRPr="00085442">
              <w:rPr>
                <w:rFonts w:cstheme="minorHAnsi"/>
                <w:szCs w:val="18"/>
                <w:lang w:val="en-US"/>
              </w:rPr>
              <w:t xml:space="preserve"> use of engineered stone</w:t>
            </w:r>
            <w:r w:rsidR="00760A99" w:rsidRPr="00085442">
              <w:rPr>
                <w:rFonts w:cstheme="minorHAnsi"/>
                <w:szCs w:val="18"/>
                <w:lang w:val="en-US"/>
              </w:rPr>
              <w:t xml:space="preserve"> </w:t>
            </w:r>
            <w:r w:rsidR="001E0866" w:rsidRPr="00085442">
              <w:rPr>
                <w:rFonts w:cstheme="minorHAnsi"/>
                <w:szCs w:val="18"/>
                <w:lang w:val="en-US"/>
              </w:rPr>
              <w:t xml:space="preserve">with </w:t>
            </w:r>
            <w:r w:rsidR="006E0019" w:rsidRPr="00085442">
              <w:rPr>
                <w:rFonts w:cstheme="minorHAnsi"/>
                <w:szCs w:val="18"/>
                <w:lang w:val="en-US"/>
              </w:rPr>
              <w:t>the exception of</w:t>
            </w:r>
            <w:r w:rsidR="001E0866" w:rsidRPr="00085442">
              <w:rPr>
                <w:rFonts w:cstheme="minorHAnsi"/>
                <w:szCs w:val="18"/>
                <w:lang w:val="en-US"/>
              </w:rPr>
              <w:t xml:space="preserve"> removal, repair and minor modifications of engineered stone already in</w:t>
            </w:r>
            <w:r w:rsidR="006E0019" w:rsidRPr="00085442">
              <w:rPr>
                <w:rFonts w:cstheme="minorHAnsi"/>
                <w:szCs w:val="18"/>
                <w:lang w:val="en-US"/>
              </w:rPr>
              <w:t>stalled</w:t>
            </w:r>
            <w:r w:rsidR="005F6B9D">
              <w:rPr>
                <w:rFonts w:cstheme="minorHAnsi"/>
                <w:lang w:val="en-US"/>
              </w:rPr>
              <w:t>.</w:t>
            </w:r>
          </w:p>
        </w:tc>
      </w:tr>
    </w:tbl>
    <w:p w14:paraId="31A2BE83" w14:textId="68271209" w:rsidR="008E698E" w:rsidRPr="009D0A4A" w:rsidRDefault="77513FF5" w:rsidP="003A3B2B">
      <w:pPr>
        <w:pStyle w:val="Heading2"/>
      </w:pPr>
      <w:bookmarkStart w:id="598" w:name="_Toc100240629"/>
      <w:bookmarkStart w:id="599" w:name="_Toc100240698"/>
      <w:bookmarkStart w:id="600" w:name="_Toc100323766"/>
      <w:bookmarkStart w:id="601" w:name="_Toc92885114"/>
      <w:bookmarkStart w:id="602" w:name="_Toc92958865"/>
      <w:bookmarkStart w:id="603" w:name="_Toc126573212"/>
      <w:bookmarkEnd w:id="598"/>
      <w:bookmarkEnd w:id="599"/>
      <w:bookmarkEnd w:id="600"/>
      <w:r>
        <w:lastRenderedPageBreak/>
        <w:t>Option 1</w:t>
      </w:r>
      <w:r w:rsidR="00D14CC1">
        <w:t>:</w:t>
      </w:r>
      <w:r>
        <w:t xml:space="preserve"> Base case</w:t>
      </w:r>
      <w:bookmarkEnd w:id="601"/>
      <w:bookmarkEnd w:id="602"/>
      <w:bookmarkEnd w:id="603"/>
    </w:p>
    <w:p w14:paraId="49C42B23" w14:textId="256D7A42" w:rsidR="00EC06FD" w:rsidRPr="00B47444" w:rsidRDefault="00EC06FD" w:rsidP="00234FEF">
      <w:pPr>
        <w:pStyle w:val="BodyText"/>
      </w:pPr>
      <w:r w:rsidRPr="00B47444">
        <w:t xml:space="preserve">The base case includes the existing duties under the model WHS Act, model WHS Regulations and relevant model Codes of Practice that are described in Section </w:t>
      </w:r>
      <w:r w:rsidR="001D28DC" w:rsidRPr="00B47444">
        <w:t>1.3</w:t>
      </w:r>
      <w:r w:rsidRPr="00B47444">
        <w:t>. It assumes compliance and enforcement activities of state and territory</w:t>
      </w:r>
      <w:r w:rsidR="008B35E0">
        <w:t xml:space="preserve"> WHS</w:t>
      </w:r>
      <w:r w:rsidRPr="00B47444">
        <w:t xml:space="preserve"> regulators and education and awareness activities undertaken by Safe Work Australia, state and territory governments and industry groups will continue at current levels.</w:t>
      </w:r>
      <w:r w:rsidR="00CB2D83" w:rsidRPr="00B47444">
        <w:t xml:space="preserve"> It is anticipated that such activities will continue regardless of what option may be chosen by decision makers. </w:t>
      </w:r>
    </w:p>
    <w:p w14:paraId="6D1631EB" w14:textId="77777777" w:rsidR="003F7445" w:rsidRPr="00B47444" w:rsidRDefault="003F7445" w:rsidP="003F7445">
      <w:pPr>
        <w:pStyle w:val="BodyText1"/>
        <w:spacing w:after="0"/>
        <w:jc w:val="both"/>
        <w:rPr>
          <w:rFonts w:asciiTheme="minorHAnsi" w:hAnsiTheme="minorHAnsi" w:cstheme="minorHAnsi"/>
          <w:szCs w:val="22"/>
        </w:rPr>
      </w:pPr>
    </w:p>
    <w:p w14:paraId="05B7C99E" w14:textId="2CE59E56" w:rsidR="00EC06FD" w:rsidRPr="00B47444" w:rsidRDefault="00EC06FD" w:rsidP="00234FEF">
      <w:pPr>
        <w:pStyle w:val="BodyText"/>
      </w:pPr>
      <w:r w:rsidRPr="00B47444">
        <w:t>The base case also includes measures that have yet</w:t>
      </w:r>
      <w:r w:rsidR="003F7445" w:rsidRPr="00B47444">
        <w:t xml:space="preserve"> to be fully</w:t>
      </w:r>
      <w:r w:rsidRPr="00B47444">
        <w:t xml:space="preserve"> implemented</w:t>
      </w:r>
      <w:r w:rsidR="003F7445" w:rsidRPr="00B47444">
        <w:t>, including:</w:t>
      </w:r>
    </w:p>
    <w:p w14:paraId="76BE5516" w14:textId="04E31F76" w:rsidR="00EC06FD" w:rsidRPr="00B47444" w:rsidRDefault="00EC06FD" w:rsidP="008B35E0">
      <w:pPr>
        <w:pStyle w:val="ListBullet"/>
      </w:pPr>
      <w:r w:rsidRPr="00B47444">
        <w:t xml:space="preserve">the </w:t>
      </w:r>
      <w:r w:rsidR="000165C1" w:rsidRPr="00B47444">
        <w:t xml:space="preserve">implementation </w:t>
      </w:r>
      <w:r w:rsidRPr="00B47444">
        <w:t>of the model Code of Practice: Managing the risks of respirable crystalline silica from engineered stone in the workplace</w:t>
      </w:r>
      <w:r w:rsidR="006B4A7D" w:rsidRPr="00B47444">
        <w:t xml:space="preserve"> </w:t>
      </w:r>
      <w:r w:rsidR="006B4A7D" w:rsidRPr="00B47444">
        <w:fldChar w:fldCharType="begin"/>
      </w:r>
      <w:r w:rsidR="004067E3" w:rsidRPr="00B47444">
        <w:instrText xml:space="preserve"> ADDIN ZOTERO_ITEM CSL_CITATION {"citationID":"bvHmVBfx","properties":{"formattedCitation":"(Safe Work Australia 2021a)","plainCitation":"(Safe Work Australia 2021a)","noteIndex":0},"citationItems":[{"id":815,"uris":["http://zotero.org/users/6230888/items/VLQNCP7D"],"itemData":{"id":815,"type":"report","page":"59","title":"Model Code of Practice: Managing the risks of respirable crystalline silica from engineered stone in the workplace","URL":"https://www.safeworkaustralia.gov.au/doc/model-code-practice-managing-risks-respirable-crystalline-silica-engineered-stone-workplace","author":[{"literal":"Safe Work Australia"}],"accessed":{"date-parts":[["2022",6,30]]},"issued":{"date-parts":[["2021"]]}}}],"schema":"https://github.com/citation-style-language/schema/raw/master/csl-citation.json"} </w:instrText>
      </w:r>
      <w:r w:rsidR="006B4A7D" w:rsidRPr="00B47444">
        <w:fldChar w:fldCharType="separate"/>
      </w:r>
      <w:r w:rsidR="006B4A7D" w:rsidRPr="00B47444">
        <w:t>(Safe Work Australia 2021a)</w:t>
      </w:r>
      <w:r w:rsidR="006B4A7D" w:rsidRPr="00B47444">
        <w:fldChar w:fldCharType="end"/>
      </w:r>
      <w:r w:rsidRPr="00B47444">
        <w:t xml:space="preserve"> in all </w:t>
      </w:r>
      <w:r w:rsidR="00CD79DD" w:rsidRPr="00B47444">
        <w:t xml:space="preserve">jurisdictions </w:t>
      </w:r>
      <w:r w:rsidR="006B4A7D" w:rsidRPr="00B47444">
        <w:t xml:space="preserve">covered by the model WHS laws </w:t>
      </w:r>
      <w:r w:rsidRPr="00B47444">
        <w:t>apart from Queensland (which has already implemented a Code of Practice</w:t>
      </w:r>
      <w:r w:rsidR="00BB5F3A" w:rsidRPr="00B47444">
        <w:t xml:space="preserve"> (Workplace Health and Safety Queensland 2019)</w:t>
      </w:r>
      <w:r w:rsidRPr="00B47444">
        <w:t>)</w:t>
      </w:r>
      <w:r w:rsidR="003F7445" w:rsidRPr="00B47444">
        <w:t>, and</w:t>
      </w:r>
    </w:p>
    <w:p w14:paraId="509433E6" w14:textId="203215CF" w:rsidR="402C01A9" w:rsidRPr="00B47444" w:rsidRDefault="00EC06FD" w:rsidP="008B35E0">
      <w:pPr>
        <w:pStyle w:val="ListBullet"/>
      </w:pPr>
      <w:r w:rsidRPr="00B47444">
        <w:t xml:space="preserve">amendments to the model WHS </w:t>
      </w:r>
      <w:r w:rsidR="00A1783C" w:rsidRPr="00B47444">
        <w:t>R</w:t>
      </w:r>
      <w:r w:rsidRPr="00B47444">
        <w:t>egulations prohibiting uncontrolled processing of engineered stone</w:t>
      </w:r>
      <w:r w:rsidR="000165C1" w:rsidRPr="00B47444">
        <w:t xml:space="preserve">, </w:t>
      </w:r>
      <w:r w:rsidR="00E752D5" w:rsidRPr="00B47444">
        <w:t xml:space="preserve">so </w:t>
      </w:r>
      <w:r w:rsidR="000165C1" w:rsidRPr="00B47444">
        <w:t>clarifying existing duties under the model WHS laws</w:t>
      </w:r>
      <w:r w:rsidR="008734CC" w:rsidRPr="00B47444">
        <w:t xml:space="preserve"> and </w:t>
      </w:r>
      <w:r w:rsidR="00D336F7" w:rsidRPr="00B47444">
        <w:t xml:space="preserve">recognising arrangements already </w:t>
      </w:r>
      <w:r w:rsidR="00C628A1" w:rsidRPr="00B47444">
        <w:t xml:space="preserve">enforced by </w:t>
      </w:r>
      <w:r w:rsidR="00DE04DE">
        <w:t>WHS</w:t>
      </w:r>
      <w:r w:rsidR="00DE04DE" w:rsidRPr="00B47444">
        <w:t xml:space="preserve"> </w:t>
      </w:r>
      <w:r w:rsidR="00C628A1" w:rsidRPr="00B47444">
        <w:t>regulators</w:t>
      </w:r>
      <w:r w:rsidR="003F7445" w:rsidRPr="00B47444">
        <w:t xml:space="preserve">. </w:t>
      </w:r>
    </w:p>
    <w:p w14:paraId="66B33887" w14:textId="3DEBD89C" w:rsidR="008E698E" w:rsidRPr="009D0A4A" w:rsidRDefault="77513FF5" w:rsidP="003A3B2B">
      <w:pPr>
        <w:pStyle w:val="Heading2"/>
      </w:pPr>
      <w:bookmarkStart w:id="604" w:name="_Toc92885115"/>
      <w:bookmarkStart w:id="605" w:name="_Toc92958866"/>
      <w:bookmarkStart w:id="606" w:name="_Toc126573213"/>
      <w:r>
        <w:t>Option 2</w:t>
      </w:r>
      <w:r w:rsidR="00D14CC1">
        <w:t>:</w:t>
      </w:r>
      <w:r>
        <w:t xml:space="preserve"> </w:t>
      </w:r>
      <w:r w:rsidR="00F03442">
        <w:t>N</w:t>
      </w:r>
      <w:r>
        <w:t xml:space="preserve">ational awareness and behaviour change </w:t>
      </w:r>
      <w:r w:rsidR="003874B7">
        <w:t>initiatives</w:t>
      </w:r>
      <w:r>
        <w:t xml:space="preserve"> </w:t>
      </w:r>
      <w:bookmarkEnd w:id="604"/>
      <w:bookmarkEnd w:id="605"/>
      <w:r w:rsidR="00A710A9">
        <w:t>to</w:t>
      </w:r>
      <w:r>
        <w:t xml:space="preserve"> minimis</w:t>
      </w:r>
      <w:r w:rsidR="00A710A9">
        <w:t>e</w:t>
      </w:r>
      <w:r>
        <w:t xml:space="preserve"> the risks of </w:t>
      </w:r>
      <w:r w:rsidR="006F1E8E">
        <w:t>RCS</w:t>
      </w:r>
      <w:r>
        <w:t xml:space="preserve"> exposure</w:t>
      </w:r>
      <w:bookmarkEnd w:id="606"/>
    </w:p>
    <w:p w14:paraId="4D97AFBC" w14:textId="67118DED" w:rsidR="003F7445" w:rsidRPr="00B47444" w:rsidRDefault="003F7445" w:rsidP="00234FEF">
      <w:pPr>
        <w:pStyle w:val="BodyText"/>
      </w:pPr>
      <w:r w:rsidRPr="00B47444">
        <w:t xml:space="preserve">Safe Work Australia and state and territory </w:t>
      </w:r>
      <w:r w:rsidR="008B35E0">
        <w:t xml:space="preserve">WHS </w:t>
      </w:r>
      <w:r w:rsidRPr="00B47444">
        <w:t>regulators have undertaken extensive education and awareness raising campaigns (</w:t>
      </w:r>
      <w:r w:rsidRPr="00B47444">
        <w:rPr>
          <w:rStyle w:val="BodyTextChar"/>
          <w:rFonts w:cstheme="minorHAnsi"/>
        </w:rPr>
        <w:t xml:space="preserve">see </w:t>
      </w:r>
      <w:r w:rsidR="000165C1" w:rsidRPr="00B47444">
        <w:rPr>
          <w:rStyle w:val="BodyTextChar"/>
          <w:rFonts w:cstheme="minorHAnsi"/>
        </w:rPr>
        <w:t xml:space="preserve">Section </w:t>
      </w:r>
      <w:r w:rsidR="009F18B4" w:rsidRPr="00B47444">
        <w:rPr>
          <w:rStyle w:val="BodyTextChar"/>
          <w:rFonts w:cstheme="minorHAnsi"/>
        </w:rPr>
        <w:t>1.4.6</w:t>
      </w:r>
      <w:r w:rsidRPr="00B47444">
        <w:t xml:space="preserve">). However, preliminary consultation with state and territory </w:t>
      </w:r>
      <w:r w:rsidR="008B35E0">
        <w:t xml:space="preserve">WHS </w:t>
      </w:r>
      <w:r w:rsidRPr="00B47444">
        <w:t xml:space="preserve">regulators indicated that </w:t>
      </w:r>
      <w:r w:rsidR="006F245A" w:rsidRPr="00B47444">
        <w:t>additional</w:t>
      </w:r>
      <w:r w:rsidR="0059577E" w:rsidRPr="00B47444">
        <w:t xml:space="preserve"> </w:t>
      </w:r>
      <w:r w:rsidR="00401346" w:rsidRPr="00B47444">
        <w:t>awareness</w:t>
      </w:r>
      <w:r w:rsidR="00401346" w:rsidRPr="00B47444">
        <w:noBreakHyphen/>
      </w:r>
      <w:r w:rsidR="006F245A" w:rsidRPr="00B47444">
        <w:t xml:space="preserve">raising </w:t>
      </w:r>
      <w:r w:rsidR="0059577E" w:rsidRPr="00B47444">
        <w:t xml:space="preserve">and </w:t>
      </w:r>
      <w:r w:rsidRPr="00B47444">
        <w:t xml:space="preserve">behavioural economics approaches would improve </w:t>
      </w:r>
      <w:r w:rsidR="0059577E" w:rsidRPr="00B47444">
        <w:t xml:space="preserve">overall </w:t>
      </w:r>
      <w:r w:rsidR="006F245A" w:rsidRPr="00B47444">
        <w:t xml:space="preserve">understanding </w:t>
      </w:r>
      <w:r w:rsidRPr="00B47444">
        <w:t xml:space="preserve">of and compliance with WHS </w:t>
      </w:r>
      <w:r w:rsidR="00401346" w:rsidRPr="00B47444">
        <w:t>duties and</w:t>
      </w:r>
      <w:r w:rsidRPr="00B47444">
        <w:t xml:space="preserve"> reduce exposures to respirable crystalline silica.</w:t>
      </w:r>
    </w:p>
    <w:p w14:paraId="4F3DA473" w14:textId="4BA1B41E" w:rsidR="003F7445" w:rsidRPr="00341754" w:rsidRDefault="003F7445" w:rsidP="00234FEF">
      <w:pPr>
        <w:pStyle w:val="BodyText"/>
      </w:pPr>
      <w:r w:rsidRPr="00341754">
        <w:t xml:space="preserve">Option 2 involves national awareness and behaviour change </w:t>
      </w:r>
      <w:r w:rsidR="005F03D7">
        <w:t>activities</w:t>
      </w:r>
      <w:r w:rsidRPr="00341754">
        <w:t xml:space="preserve"> focussed on duty holders in the construction, manufacturing, tunnelling, quarrying, demolition and mining industries </w:t>
      </w:r>
      <w:r w:rsidR="00F00256" w:rsidRPr="00341754">
        <w:t>and c</w:t>
      </w:r>
      <w:r w:rsidRPr="00341754">
        <w:t xml:space="preserve">ompliance with the model WHS laws. </w:t>
      </w:r>
    </w:p>
    <w:p w14:paraId="0ADAB1DD" w14:textId="4FEB921D" w:rsidR="003F7445" w:rsidRPr="00341754" w:rsidRDefault="003F7445" w:rsidP="00234FEF">
      <w:pPr>
        <w:pStyle w:val="BodyText"/>
      </w:pPr>
      <w:r w:rsidRPr="00341754">
        <w:t>Th</w:t>
      </w:r>
      <w:r w:rsidR="00A710A9" w:rsidRPr="00341754">
        <w:t>ese</w:t>
      </w:r>
      <w:r w:rsidRPr="00341754">
        <w:t xml:space="preserve"> </w:t>
      </w:r>
      <w:r w:rsidR="00A710A9" w:rsidRPr="00341754">
        <w:t>initiatives</w:t>
      </w:r>
      <w:r w:rsidRPr="00341754">
        <w:t xml:space="preserve"> would target the following groups</w:t>
      </w:r>
      <w:r w:rsidR="000165C1" w:rsidRPr="00341754">
        <w:t xml:space="preserve"> </w:t>
      </w:r>
      <w:r w:rsidR="004537AD" w:rsidRPr="00341754">
        <w:t>across all</w:t>
      </w:r>
      <w:r w:rsidR="000165C1" w:rsidRPr="00341754">
        <w:t xml:space="preserve"> industries where silica exposure is known to occur</w:t>
      </w:r>
      <w:r w:rsidRPr="00341754">
        <w:t xml:space="preserve">: </w:t>
      </w:r>
    </w:p>
    <w:p w14:paraId="02E615D9" w14:textId="77777777" w:rsidR="003F7445" w:rsidRPr="00341754" w:rsidRDefault="003F7445" w:rsidP="008B35E0">
      <w:pPr>
        <w:pStyle w:val="ListBullet"/>
      </w:pPr>
      <w:r w:rsidRPr="00341754">
        <w:t>workers</w:t>
      </w:r>
    </w:p>
    <w:p w14:paraId="4FE0DFE7" w14:textId="77777777" w:rsidR="003F7445" w:rsidRPr="00341754" w:rsidRDefault="003F7445" w:rsidP="008B35E0">
      <w:pPr>
        <w:pStyle w:val="ListBullet"/>
      </w:pPr>
      <w:r w:rsidRPr="00341754">
        <w:t>PCBUs</w:t>
      </w:r>
    </w:p>
    <w:p w14:paraId="00FA71FF" w14:textId="77777777" w:rsidR="003F7445" w:rsidRPr="00341754" w:rsidRDefault="003F7445" w:rsidP="008B35E0">
      <w:pPr>
        <w:pStyle w:val="ListBullet"/>
      </w:pPr>
      <w:r w:rsidRPr="00341754">
        <w:t>officers, designers, manufacturers, importers, suppliers, and those who commission plant or structures</w:t>
      </w:r>
    </w:p>
    <w:p w14:paraId="22F3FC49" w14:textId="77777777" w:rsidR="003F7445" w:rsidRPr="00341754" w:rsidRDefault="003F7445" w:rsidP="008B35E0">
      <w:pPr>
        <w:pStyle w:val="ListBullet"/>
      </w:pPr>
      <w:r w:rsidRPr="00341754">
        <w:t>primary contractors, and</w:t>
      </w:r>
    </w:p>
    <w:p w14:paraId="0D6F919B" w14:textId="21C4E714" w:rsidR="003F7445" w:rsidRPr="0076064B" w:rsidRDefault="003F7445" w:rsidP="008B35E0">
      <w:pPr>
        <w:pStyle w:val="ListBullet"/>
        <w:rPr>
          <w:rFonts w:cstheme="minorHAnsi"/>
          <w:szCs w:val="22"/>
        </w:rPr>
      </w:pPr>
      <w:r w:rsidRPr="00341754">
        <w:t>officers.</w:t>
      </w:r>
    </w:p>
    <w:p w14:paraId="0C31914F" w14:textId="7FAF832B" w:rsidR="003F7445" w:rsidRPr="00341754" w:rsidRDefault="003F7445" w:rsidP="00234FEF">
      <w:pPr>
        <w:pStyle w:val="BodyText"/>
      </w:pPr>
      <w:r w:rsidRPr="00341754">
        <w:t xml:space="preserve">The </w:t>
      </w:r>
      <w:r w:rsidR="003874B7">
        <w:t>initiatives</w:t>
      </w:r>
      <w:r w:rsidRPr="00341754">
        <w:t xml:space="preserve"> would seek to improve: </w:t>
      </w:r>
    </w:p>
    <w:p w14:paraId="64A0430D" w14:textId="3DCEC53B" w:rsidR="003F7445" w:rsidRPr="00341754" w:rsidRDefault="003F7445" w:rsidP="008B35E0">
      <w:pPr>
        <w:pStyle w:val="ListBullet"/>
      </w:pPr>
      <w:r w:rsidRPr="00341754">
        <w:lastRenderedPageBreak/>
        <w:t xml:space="preserve">duty holders’ understanding of the risks associated with exposure to </w:t>
      </w:r>
      <w:r w:rsidR="00880680" w:rsidRPr="00341754">
        <w:t>RCS</w:t>
      </w:r>
    </w:p>
    <w:p w14:paraId="73392685" w14:textId="77777777" w:rsidR="003F7445" w:rsidRPr="00341754" w:rsidRDefault="003F7445" w:rsidP="008B35E0">
      <w:pPr>
        <w:pStyle w:val="ListBullet"/>
      </w:pPr>
      <w:r w:rsidRPr="00341754">
        <w:t xml:space="preserve">knowledge of PCBUs on how and when to conduct a risk assessment, control risks and consult with workers, and </w:t>
      </w:r>
    </w:p>
    <w:p w14:paraId="7287A7E9" w14:textId="51070407" w:rsidR="003F7445" w:rsidRPr="00341754" w:rsidRDefault="003F7445" w:rsidP="008B35E0">
      <w:pPr>
        <w:pStyle w:val="ListBullet"/>
      </w:pPr>
      <w:r w:rsidRPr="00341754">
        <w:t>awareness and compliance of workers, PCBUs, and other duty holders with the requirements of the model WHS laws</w:t>
      </w:r>
      <w:r w:rsidR="005C1EAF" w:rsidRPr="00341754">
        <w:t>, such as when air and health monitoring is required</w:t>
      </w:r>
      <w:r w:rsidRPr="00341754">
        <w:t>.</w:t>
      </w:r>
    </w:p>
    <w:p w14:paraId="763B1247" w14:textId="6184DB85" w:rsidR="00DF575A" w:rsidRPr="00197386" w:rsidRDefault="000165C1" w:rsidP="00234FEF">
      <w:pPr>
        <w:pStyle w:val="BodyText"/>
      </w:pPr>
      <w:r w:rsidRPr="009D0A4A">
        <w:t>The</w:t>
      </w:r>
      <w:r w:rsidR="00ED76B3" w:rsidRPr="009D0A4A">
        <w:t xml:space="preserve"> Clean Air. Clear Lungs</w:t>
      </w:r>
      <w:r w:rsidRPr="009D0A4A">
        <w:t>.</w:t>
      </w:r>
      <w:r w:rsidR="00F90D6F" w:rsidRPr="00197386">
        <w:t xml:space="preserve"> </w:t>
      </w:r>
      <w:r w:rsidR="00F90D6F" w:rsidRPr="009D0A4A">
        <w:t xml:space="preserve">campaign (discussed at </w:t>
      </w:r>
      <w:r w:rsidR="0065485D" w:rsidRPr="009D0A4A">
        <w:t>Section 1.4.4</w:t>
      </w:r>
      <w:r w:rsidR="00F90D6F" w:rsidRPr="009D0A4A">
        <w:t xml:space="preserve">) </w:t>
      </w:r>
      <w:r w:rsidRPr="009D0A4A">
        <w:t>is an example of a successful national awareness campaign on occupational lung diseases, including silicosis.</w:t>
      </w:r>
      <w:r w:rsidRPr="00197386">
        <w:t xml:space="preserve"> </w:t>
      </w:r>
    </w:p>
    <w:p w14:paraId="41C6CD9F" w14:textId="5EE20A47" w:rsidR="00B77D9A" w:rsidRPr="00197386" w:rsidRDefault="000165C1" w:rsidP="00234FEF">
      <w:pPr>
        <w:pStyle w:val="BodyText"/>
      </w:pPr>
      <w:r w:rsidRPr="009D0A4A">
        <w:t xml:space="preserve">The behaviour change component of Option 2 would </w:t>
      </w:r>
      <w:r w:rsidR="00B52B9A" w:rsidRPr="009D0A4A">
        <w:t xml:space="preserve">move beyond simply clarifying or raising awareness of the requirements of the model WHS laws and </w:t>
      </w:r>
      <w:r w:rsidRPr="009D0A4A">
        <w:t>take a behavioural economics approach</w:t>
      </w:r>
      <w:r w:rsidR="00B52B9A" w:rsidRPr="009D0A4A">
        <w:t xml:space="preserve"> to </w:t>
      </w:r>
      <w:r w:rsidRPr="009D0A4A">
        <w:t xml:space="preserve">improving the compliance practices of duty holders. </w:t>
      </w:r>
      <w:r w:rsidR="00B52B9A" w:rsidRPr="009D0A4A">
        <w:t>The design of such an initiative</w:t>
      </w:r>
      <w:r w:rsidRPr="009D0A4A">
        <w:t xml:space="preserve"> would be guided by behavioural economics </w:t>
      </w:r>
      <w:r w:rsidR="00B52B9A" w:rsidRPr="009D0A4A">
        <w:t>experts, who</w:t>
      </w:r>
      <w:r w:rsidRPr="009D0A4A">
        <w:t xml:space="preserve"> would be engaged in the first year of the project to advise</w:t>
      </w:r>
      <w:r w:rsidR="00FC2B11" w:rsidRPr="009D0A4A">
        <w:t xml:space="preserve"> and develop</w:t>
      </w:r>
      <w:r w:rsidRPr="009D0A4A">
        <w:t xml:space="preserve"> appropriate strategies to improve compliance. </w:t>
      </w:r>
      <w:r w:rsidR="00B52B9A" w:rsidRPr="009D0A4A">
        <w:t xml:space="preserve">Tactics that may be used include </w:t>
      </w:r>
      <w:r w:rsidR="00EB17F4" w:rsidRPr="009D0A4A">
        <w:t>highlighting</w:t>
      </w:r>
      <w:r w:rsidR="00B52B9A" w:rsidRPr="009D0A4A">
        <w:t xml:space="preserve"> the </w:t>
      </w:r>
      <w:r w:rsidR="00EB17F4" w:rsidRPr="009D0A4A">
        <w:t>extent</w:t>
      </w:r>
      <w:r w:rsidR="00B52B9A" w:rsidRPr="009D0A4A">
        <w:t xml:space="preserve"> of risks of RCS amongst workers, investigating incentives and disincentives to compliance and trialling different approaches amongst various industries and sectors. </w:t>
      </w:r>
      <w:r w:rsidRPr="009D0A4A">
        <w:t xml:space="preserve">It is anticipated </w:t>
      </w:r>
      <w:r w:rsidR="00A710A9" w:rsidRPr="009D0A4A">
        <w:t xml:space="preserve">the </w:t>
      </w:r>
      <w:r w:rsidRPr="009D0A4A">
        <w:t xml:space="preserve">initiatives would be repeated on an annual basis for a period of five years. </w:t>
      </w:r>
      <w:r w:rsidR="00101E69" w:rsidRPr="00197386">
        <w:t xml:space="preserve">This option </w:t>
      </w:r>
      <w:r w:rsidR="003F4412" w:rsidRPr="00197386">
        <w:t xml:space="preserve">would </w:t>
      </w:r>
      <w:r w:rsidR="00D705F8" w:rsidRPr="00197386">
        <w:t xml:space="preserve">directly address the lack of understanding of </w:t>
      </w:r>
      <w:r w:rsidR="00DD6525" w:rsidRPr="00197386">
        <w:t>silica-related</w:t>
      </w:r>
      <w:r w:rsidR="00D705F8" w:rsidRPr="00197386">
        <w:t xml:space="preserve"> risks and current regulatory requirements </w:t>
      </w:r>
      <w:r w:rsidR="00101E69" w:rsidRPr="00197386">
        <w:t xml:space="preserve">and </w:t>
      </w:r>
      <w:r w:rsidR="00E92F0C" w:rsidRPr="00197386">
        <w:t>is expected to</w:t>
      </w:r>
      <w:r w:rsidR="002F5F65" w:rsidRPr="00197386">
        <w:t xml:space="preserve"> improve compliance</w:t>
      </w:r>
      <w:r w:rsidR="00E92F0C" w:rsidRPr="00197386">
        <w:t xml:space="preserve"> with </w:t>
      </w:r>
      <w:r w:rsidR="00901738" w:rsidRPr="00197386">
        <w:t xml:space="preserve">existing </w:t>
      </w:r>
      <w:r w:rsidR="00E92F0C" w:rsidRPr="00197386">
        <w:t>require</w:t>
      </w:r>
      <w:r w:rsidR="00905F56" w:rsidRPr="00197386">
        <w:t>m</w:t>
      </w:r>
      <w:r w:rsidR="00E92F0C" w:rsidRPr="00197386">
        <w:t>ents</w:t>
      </w:r>
      <w:r w:rsidR="00D705F8" w:rsidRPr="00197386">
        <w:t xml:space="preserve">. This can be measured through compliance and enforcement data (e.g., non-compliance notices issued, outcomes of workplace audits) which is currently collected by state and territory </w:t>
      </w:r>
      <w:r w:rsidR="008B35E0">
        <w:t xml:space="preserve">WHS </w:t>
      </w:r>
      <w:r w:rsidR="00D705F8" w:rsidRPr="00197386">
        <w:t xml:space="preserve">regulators. </w:t>
      </w:r>
    </w:p>
    <w:p w14:paraId="56EB7937" w14:textId="653214B9" w:rsidR="008E698E" w:rsidRPr="009D0A4A" w:rsidRDefault="77513FF5" w:rsidP="003A3B2B">
      <w:pPr>
        <w:pStyle w:val="Heading2"/>
      </w:pPr>
      <w:bookmarkStart w:id="607" w:name="_Ref125124051"/>
      <w:bookmarkStart w:id="608" w:name="_Toc126573214"/>
      <w:bookmarkStart w:id="609" w:name="_Toc92885116"/>
      <w:bookmarkStart w:id="610" w:name="_Toc92958867"/>
      <w:r>
        <w:t>Option 3</w:t>
      </w:r>
      <w:r w:rsidR="00D14CC1">
        <w:t>:</w:t>
      </w:r>
      <w:r>
        <w:t xml:space="preserve"> Clarifying the existing requirements of</w:t>
      </w:r>
      <w:r w:rsidR="00197386">
        <w:t xml:space="preserve"> </w:t>
      </w:r>
      <w:r>
        <w:t xml:space="preserve">the model WHS laws for </w:t>
      </w:r>
      <w:r w:rsidR="008739C4">
        <w:t>high risk</w:t>
      </w:r>
      <w:r>
        <w:t xml:space="preserve"> silica processes</w:t>
      </w:r>
      <w:bookmarkEnd w:id="607"/>
      <w:bookmarkEnd w:id="608"/>
    </w:p>
    <w:p w14:paraId="1090BC08" w14:textId="29D664CB" w:rsidR="00EC06FD" w:rsidRDefault="00106F9D" w:rsidP="00234FEF">
      <w:pPr>
        <w:pStyle w:val="BodyText"/>
      </w:pPr>
      <w:r>
        <w:t xml:space="preserve">Based on preliminary consultation feedback, </w:t>
      </w:r>
      <w:r w:rsidR="00EC06FD" w:rsidRPr="009D0A4A">
        <w:t xml:space="preserve">Option 3 </w:t>
      </w:r>
      <w:r w:rsidR="003F6095">
        <w:t xml:space="preserve">was included in the CRIS </w:t>
      </w:r>
      <w:r w:rsidR="003A6A74">
        <w:t>to</w:t>
      </w:r>
      <w:r w:rsidR="003A6A74" w:rsidRPr="009D0A4A">
        <w:t xml:space="preserve"> </w:t>
      </w:r>
      <w:r w:rsidR="00EC06FD" w:rsidRPr="009D0A4A">
        <w:t xml:space="preserve">clarify the existing requirements of the model WHS laws into specific </w:t>
      </w:r>
      <w:r w:rsidR="00EC06FD" w:rsidRPr="00BE7FB2">
        <w:t>regulations</w:t>
      </w:r>
      <w:r w:rsidR="00EC06FD" w:rsidRPr="009D0A4A">
        <w:t xml:space="preserve"> covering </w:t>
      </w:r>
      <w:r w:rsidR="008739C4" w:rsidRPr="009D0A4A">
        <w:t>high risk</w:t>
      </w:r>
      <w:r w:rsidR="00EC06FD" w:rsidRPr="009D0A4A">
        <w:t xml:space="preserve"> silica processes. </w:t>
      </w:r>
      <w:r w:rsidR="00412C9C">
        <w:t xml:space="preserve">No additional requirements </w:t>
      </w:r>
      <w:r w:rsidR="006F3E3F">
        <w:t xml:space="preserve">for PCBUs </w:t>
      </w:r>
      <w:r w:rsidR="0079441C">
        <w:t>were proposed</w:t>
      </w:r>
      <w:r w:rsidR="00412C9C">
        <w:t xml:space="preserve"> under this option. </w:t>
      </w:r>
      <w:r w:rsidR="0045586C">
        <w:t xml:space="preserve">However, </w:t>
      </w:r>
      <w:r w:rsidR="00372CD9">
        <w:t xml:space="preserve">as a result of feedback </w:t>
      </w:r>
      <w:r w:rsidR="00D056DB">
        <w:t xml:space="preserve">on </w:t>
      </w:r>
      <w:r w:rsidR="0047080C">
        <w:t>the CRIS</w:t>
      </w:r>
      <w:r w:rsidR="006A73A4">
        <w:t xml:space="preserve">, </w:t>
      </w:r>
      <w:r w:rsidR="00B052AD">
        <w:t>changes have been made to Option 5a</w:t>
      </w:r>
      <w:r w:rsidR="00FC430A">
        <w:t xml:space="preserve"> </w:t>
      </w:r>
      <w:r w:rsidR="00B052AD">
        <w:t>(which</w:t>
      </w:r>
      <w:r w:rsidR="00FC430A">
        <w:t xml:space="preserve"> </w:t>
      </w:r>
      <w:r w:rsidR="00B052AD">
        <w:t>included all the elements of</w:t>
      </w:r>
      <w:r w:rsidR="00CD303E">
        <w:t xml:space="preserve"> Option 3</w:t>
      </w:r>
      <w:r w:rsidR="00B052AD">
        <w:t>)</w:t>
      </w:r>
      <w:r w:rsidR="006F3E3F">
        <w:t>. As a result</w:t>
      </w:r>
      <w:r w:rsidR="00FC430A">
        <w:t xml:space="preserve"> there is</w:t>
      </w:r>
      <w:r w:rsidR="00577EFC">
        <w:t xml:space="preserve"> now</w:t>
      </w:r>
      <w:r w:rsidR="00B052AD">
        <w:t xml:space="preserve"> very little difference</w:t>
      </w:r>
      <w:r w:rsidR="00FC430A">
        <w:t xml:space="preserve"> between Option 3 and </w:t>
      </w:r>
      <w:r w:rsidR="00577EFC">
        <w:t xml:space="preserve">Options </w:t>
      </w:r>
      <w:r w:rsidR="00FC430A">
        <w:t>5a</w:t>
      </w:r>
      <w:r w:rsidR="006F3E3F">
        <w:t xml:space="preserve"> and</w:t>
      </w:r>
      <w:r w:rsidR="006D083E">
        <w:t xml:space="preserve"> Option 3</w:t>
      </w:r>
      <w:r w:rsidR="0085043B">
        <w:t xml:space="preserve"> </w:t>
      </w:r>
      <w:r w:rsidR="0055742D">
        <w:t>has been removed</w:t>
      </w:r>
      <w:r w:rsidR="006D083E">
        <w:t xml:space="preserve"> </w:t>
      </w:r>
      <w:r w:rsidR="00577EFC">
        <w:t>as a separate option in</w:t>
      </w:r>
      <w:r w:rsidR="008813CD">
        <w:t xml:space="preserve"> th</w:t>
      </w:r>
      <w:r w:rsidR="00577EFC">
        <w:t>is</w:t>
      </w:r>
      <w:r w:rsidR="008813CD">
        <w:t xml:space="preserve"> </w:t>
      </w:r>
      <w:r w:rsidR="0054756F">
        <w:t>DRIS</w:t>
      </w:r>
      <w:r w:rsidR="008813CD">
        <w:t xml:space="preserve"> and </w:t>
      </w:r>
      <w:r w:rsidR="00F33D86">
        <w:t>the elements</w:t>
      </w:r>
      <w:r w:rsidR="008813CD">
        <w:t xml:space="preserve"> discussed under Option 5a</w:t>
      </w:r>
      <w:r w:rsidR="00D056DB">
        <w:t>.</w:t>
      </w:r>
      <w:r w:rsidR="006D083E">
        <w:t xml:space="preserve"> </w:t>
      </w:r>
    </w:p>
    <w:p w14:paraId="748638D4" w14:textId="2D178AC7" w:rsidR="008E698E" w:rsidRPr="009D0A4A" w:rsidRDefault="77513FF5" w:rsidP="003A3B2B">
      <w:pPr>
        <w:pStyle w:val="Heading2"/>
      </w:pPr>
      <w:bookmarkStart w:id="611" w:name="_Toc126573215"/>
      <w:r>
        <w:t>Option 4</w:t>
      </w:r>
      <w:r w:rsidR="00D14CC1">
        <w:t>:</w:t>
      </w:r>
      <w:r>
        <w:t xml:space="preserve"> Implementation of a national licensing framework for PCBUs working with engineered stone</w:t>
      </w:r>
      <w:bookmarkEnd w:id="609"/>
      <w:bookmarkEnd w:id="610"/>
      <w:bookmarkEnd w:id="611"/>
    </w:p>
    <w:p w14:paraId="27BA9662" w14:textId="47B8ADF5" w:rsidR="001C19EB" w:rsidRPr="007C23DE" w:rsidRDefault="00EC06FD" w:rsidP="00234FEF">
      <w:pPr>
        <w:pStyle w:val="BodyText"/>
      </w:pPr>
      <w:r w:rsidRPr="007C23DE">
        <w:t xml:space="preserve">This </w:t>
      </w:r>
      <w:r w:rsidRPr="00BE7FB2">
        <w:t>option</w:t>
      </w:r>
      <w:r w:rsidRPr="007C23DE">
        <w:t xml:space="preserve"> seeks to implement a national licensing framework for PCBUs working with engineered stone, under the model WHS laws. </w:t>
      </w:r>
      <w:bookmarkStart w:id="612" w:name="_Hlk96510863"/>
      <w:r w:rsidRPr="007C23DE">
        <w:t xml:space="preserve">This option is based on the recent amendments related to licensing of employers working with engineered stone under </w:t>
      </w:r>
      <w:r w:rsidR="001D70FA" w:rsidRPr="007C23DE">
        <w:t xml:space="preserve">the </w:t>
      </w:r>
      <w:r w:rsidRPr="007C23DE">
        <w:t xml:space="preserve">Victorian Occupational Health and </w:t>
      </w:r>
      <w:r w:rsidRPr="007C23DE">
        <w:lastRenderedPageBreak/>
        <w:t>Safety Amendment (Crystalline Silica) Regulations 2021</w:t>
      </w:r>
      <w:bookmarkEnd w:id="612"/>
      <w:r w:rsidR="002401A0" w:rsidRPr="007C23DE">
        <w:t xml:space="preserve"> (Victorian </w:t>
      </w:r>
      <w:r w:rsidR="00927F5A" w:rsidRPr="007C23DE">
        <w:t xml:space="preserve">amendment </w:t>
      </w:r>
      <w:r w:rsidR="002401A0" w:rsidRPr="007C23DE">
        <w:t>regulations)</w:t>
      </w:r>
      <w:r w:rsidR="00647F5C" w:rsidRPr="007C23DE">
        <w:t xml:space="preserve"> and would require all PCBUs working with engineered stone to obtain a licence</w:t>
      </w:r>
      <w:r w:rsidR="00EB17F4" w:rsidRPr="007C23DE">
        <w:t xml:space="preserve"> to do so</w:t>
      </w:r>
      <w:r w:rsidR="00647F5C" w:rsidRPr="007C23DE">
        <w:t xml:space="preserve">. </w:t>
      </w:r>
      <w:r w:rsidR="00647F5C" w:rsidRPr="007C23DE" w:rsidDel="00647F5C">
        <w:t xml:space="preserve"> </w:t>
      </w:r>
    </w:p>
    <w:p w14:paraId="2060F31E" w14:textId="13CECC03" w:rsidR="00EC06FD" w:rsidRPr="007C23DE" w:rsidRDefault="003F7445" w:rsidP="00234FEF">
      <w:pPr>
        <w:pStyle w:val="BodyText"/>
        <w:rPr>
          <w:rFonts w:cstheme="minorHAnsi"/>
        </w:rPr>
      </w:pPr>
      <w:r w:rsidRPr="007C23DE">
        <w:t>The requirements would be as follows:</w:t>
      </w:r>
    </w:p>
    <w:p w14:paraId="62A8A995" w14:textId="5C24ABA5" w:rsidR="00EC06FD" w:rsidRPr="007C23DE" w:rsidRDefault="00552DEC" w:rsidP="008B35E0">
      <w:pPr>
        <w:pStyle w:val="ListBullet"/>
      </w:pPr>
      <w:r w:rsidRPr="00A8768B">
        <w:rPr>
          <w:i/>
          <w:szCs w:val="22"/>
        </w:rPr>
        <w:t>E</w:t>
      </w:r>
      <w:r w:rsidR="00EC06FD" w:rsidRPr="007C23DE">
        <w:rPr>
          <w:i/>
        </w:rPr>
        <w:t>ngineered stone</w:t>
      </w:r>
      <w:r w:rsidR="003F7445" w:rsidRPr="007C23DE">
        <w:t xml:space="preserve"> would be </w:t>
      </w:r>
      <w:r w:rsidR="00A527E7" w:rsidRPr="007C23DE">
        <w:t>as</w:t>
      </w:r>
      <w:r w:rsidR="003F7445" w:rsidRPr="007C23DE">
        <w:t xml:space="preserve"> defined</w:t>
      </w:r>
      <w:r w:rsidR="00EC06FD" w:rsidRPr="007C23DE">
        <w:t xml:space="preserve"> </w:t>
      </w:r>
      <w:r w:rsidR="00A527E7" w:rsidRPr="007C23DE">
        <w:t xml:space="preserve">in the amendment </w:t>
      </w:r>
      <w:r w:rsidR="00A74A7E" w:rsidRPr="007C23DE">
        <w:t xml:space="preserve">model WHS </w:t>
      </w:r>
      <w:r w:rsidR="00C16E70" w:rsidRPr="007C23DE">
        <w:t>R</w:t>
      </w:r>
      <w:r w:rsidR="00A527E7" w:rsidRPr="007C23DE">
        <w:t xml:space="preserve">egulations </w:t>
      </w:r>
      <w:r w:rsidR="00B6725A" w:rsidRPr="007C23DE">
        <w:t xml:space="preserve">that </w:t>
      </w:r>
      <w:r w:rsidR="00A527E7" w:rsidRPr="007C23DE">
        <w:t xml:space="preserve">prohibit the </w:t>
      </w:r>
      <w:r w:rsidR="0017421A" w:rsidRPr="007C23DE">
        <w:t>uncontrolled processing of engineered stone</w:t>
      </w:r>
      <w:r w:rsidR="00EC06FD" w:rsidRPr="007C23DE">
        <w:t>.</w:t>
      </w:r>
      <w:r w:rsidR="00C3041A" w:rsidRPr="007C23DE">
        <w:t xml:space="preserve"> </w:t>
      </w:r>
    </w:p>
    <w:p w14:paraId="445A08ED" w14:textId="6E51600C" w:rsidR="00EC06FD" w:rsidRPr="007C23DE" w:rsidRDefault="00552DEC" w:rsidP="008B35E0">
      <w:pPr>
        <w:pStyle w:val="ListBullet"/>
      </w:pPr>
      <w:r w:rsidRPr="00A8768B">
        <w:rPr>
          <w:szCs w:val="22"/>
        </w:rPr>
        <w:t>A</w:t>
      </w:r>
      <w:r w:rsidR="00EC06FD" w:rsidRPr="007C23DE">
        <w:t xml:space="preserve">n </w:t>
      </w:r>
      <w:r w:rsidR="00EC06FD" w:rsidRPr="007C23DE">
        <w:rPr>
          <w:i/>
        </w:rPr>
        <w:t>engineered stone process</w:t>
      </w:r>
      <w:r w:rsidR="003F7445" w:rsidRPr="007C23DE">
        <w:t xml:space="preserve"> </w:t>
      </w:r>
      <w:r w:rsidR="00EC06FD" w:rsidRPr="007C23DE">
        <w:t>would be defined, in line with the Victorian</w:t>
      </w:r>
      <w:r w:rsidR="00D23F2E" w:rsidRPr="007C23DE">
        <w:t xml:space="preserve"> </w:t>
      </w:r>
      <w:r w:rsidR="007C23DE">
        <w:t xml:space="preserve">amendment </w:t>
      </w:r>
      <w:r w:rsidR="00EC06FD" w:rsidRPr="007C23DE">
        <w:t>regulations, as “a process involving engineered stone at a workplace that generates crystalline silica dust, including cutting, grinding or abrasive polishing of engineered stone”.</w:t>
      </w:r>
    </w:p>
    <w:p w14:paraId="40133C49" w14:textId="4B94DAA9" w:rsidR="003F7445" w:rsidRPr="007C23DE" w:rsidRDefault="003F7445" w:rsidP="008B35E0">
      <w:pPr>
        <w:pStyle w:val="ListBullet"/>
      </w:pPr>
      <w:r w:rsidRPr="00A8768B">
        <w:rPr>
          <w:szCs w:val="22"/>
        </w:rPr>
        <w:t xml:space="preserve">PCBUs </w:t>
      </w:r>
      <w:r w:rsidR="00647F5C" w:rsidRPr="007C23DE">
        <w:t xml:space="preserve">(not individual workers) </w:t>
      </w:r>
      <w:r w:rsidRPr="007C23DE">
        <w:t xml:space="preserve">undertaking </w:t>
      </w:r>
      <w:r w:rsidRPr="007C23DE">
        <w:rPr>
          <w:i/>
        </w:rPr>
        <w:t>engineered stone process</w:t>
      </w:r>
      <w:r w:rsidR="00D431C4" w:rsidRPr="007C23DE">
        <w:rPr>
          <w:i/>
        </w:rPr>
        <w:t>es</w:t>
      </w:r>
      <w:r w:rsidR="005A3997" w:rsidRPr="007C23DE">
        <w:t xml:space="preserve"> </w:t>
      </w:r>
      <w:r w:rsidRPr="007C23DE">
        <w:t xml:space="preserve">would be required to </w:t>
      </w:r>
      <w:r w:rsidR="00EB17F4" w:rsidRPr="007C23DE">
        <w:t>obtain and hold</w:t>
      </w:r>
      <w:r w:rsidRPr="007C23DE">
        <w:t xml:space="preserve"> a </w:t>
      </w:r>
      <w:r w:rsidR="007C706E" w:rsidRPr="007C23DE">
        <w:t xml:space="preserve">licence </w:t>
      </w:r>
      <w:r w:rsidR="00971153" w:rsidRPr="007C23DE">
        <w:t xml:space="preserve">with the state or territory </w:t>
      </w:r>
      <w:r w:rsidR="008B35E0">
        <w:t xml:space="preserve">WHS </w:t>
      </w:r>
      <w:r w:rsidR="00971153" w:rsidRPr="007C23DE">
        <w:t>regulator</w:t>
      </w:r>
      <w:r w:rsidRPr="007C23DE">
        <w:t xml:space="preserve">. </w:t>
      </w:r>
      <w:r w:rsidR="00F868BC" w:rsidRPr="007C23DE">
        <w:t xml:space="preserve">Licences would require renewal every 5 years. </w:t>
      </w:r>
    </w:p>
    <w:p w14:paraId="4D154749" w14:textId="1AD59B2A" w:rsidR="00EC06FD" w:rsidRPr="007C23DE" w:rsidRDefault="00552DEC" w:rsidP="008B35E0">
      <w:pPr>
        <w:pStyle w:val="ListBullet"/>
        <w:rPr>
          <w:rFonts w:cstheme="minorHAnsi"/>
        </w:rPr>
      </w:pPr>
      <w:r w:rsidRPr="00A8768B">
        <w:rPr>
          <w:szCs w:val="22"/>
        </w:rPr>
        <w:t>S</w:t>
      </w:r>
      <w:r w:rsidR="00EC06FD" w:rsidRPr="007C23DE">
        <w:t xml:space="preserve">uppliers of engineered stone </w:t>
      </w:r>
      <w:r w:rsidR="003F7445" w:rsidRPr="007C23DE">
        <w:t xml:space="preserve">would be prohibited </w:t>
      </w:r>
      <w:r w:rsidR="00EB17F4" w:rsidRPr="007C23DE">
        <w:t>from</w:t>
      </w:r>
      <w:r w:rsidR="00EC06FD" w:rsidRPr="007C23DE">
        <w:t xml:space="preserve"> supply</w:t>
      </w:r>
      <w:r w:rsidR="00EB17F4" w:rsidRPr="007C23DE">
        <w:t>ing</w:t>
      </w:r>
      <w:r w:rsidR="00EC06FD" w:rsidRPr="007C23DE">
        <w:t xml:space="preserve"> engineered stone to a person who requires an engineered stone licence but does not have one</w:t>
      </w:r>
      <w:r w:rsidR="003F7445" w:rsidRPr="007C23DE">
        <w:t>. S</w:t>
      </w:r>
      <w:r w:rsidR="00EC06FD" w:rsidRPr="007C23DE">
        <w:t>uppliers</w:t>
      </w:r>
      <w:r w:rsidR="003F7445" w:rsidRPr="007C23DE">
        <w:t xml:space="preserve"> would be required</w:t>
      </w:r>
      <w:r w:rsidR="00EC06FD" w:rsidRPr="007C23DE">
        <w:t xml:space="preserve"> to retain records of PCBUs who have been supplied engineered stone.</w:t>
      </w:r>
    </w:p>
    <w:p w14:paraId="445C9788" w14:textId="0FAE56A7" w:rsidR="00EC06FD" w:rsidRPr="007C23DE" w:rsidRDefault="00054BD9" w:rsidP="008B35E0">
      <w:pPr>
        <w:pStyle w:val="ListBullet"/>
        <w:rPr>
          <w:rFonts w:cstheme="minorHAnsi"/>
        </w:rPr>
      </w:pPr>
      <w:r w:rsidRPr="00A8768B">
        <w:rPr>
          <w:szCs w:val="22"/>
        </w:rPr>
        <w:t>L</w:t>
      </w:r>
      <w:r w:rsidR="00EC06FD" w:rsidRPr="007C23DE">
        <w:t xml:space="preserve">icensees </w:t>
      </w:r>
      <w:r w:rsidR="003F7445" w:rsidRPr="007C23DE">
        <w:t xml:space="preserve">would be required </w:t>
      </w:r>
      <w:r w:rsidR="00EC06FD" w:rsidRPr="007C23DE">
        <w:t>to provide information to workers prior to commencing work with engineered stone. This includes instruction, information and training about the health risks associated with exposure to crystalline silica dust, the need for appropriate controls, and application of controls.</w:t>
      </w:r>
    </w:p>
    <w:p w14:paraId="2F2E1858" w14:textId="56293252" w:rsidR="00EC06FD" w:rsidRPr="00A8768B" w:rsidRDefault="00C70E51" w:rsidP="008B35E0">
      <w:pPr>
        <w:pStyle w:val="ListBullet"/>
        <w:rPr>
          <w:rFonts w:cstheme="minorHAnsi"/>
        </w:rPr>
      </w:pPr>
      <w:r w:rsidRPr="00A8768B">
        <w:rPr>
          <w:szCs w:val="22"/>
        </w:rPr>
        <w:t xml:space="preserve"> Licensees would hav</w:t>
      </w:r>
      <w:r w:rsidRPr="007C23DE">
        <w:t xml:space="preserve">e a specific duty to provide and pay for health monitoring for </w:t>
      </w:r>
      <w:r w:rsidR="006C2598" w:rsidRPr="007C23DE">
        <w:t xml:space="preserve">all </w:t>
      </w:r>
      <w:r w:rsidRPr="007C23DE">
        <w:t xml:space="preserve">workers </w:t>
      </w:r>
      <w:r w:rsidR="00266BBD" w:rsidRPr="007C23DE">
        <w:t xml:space="preserve">undertaking an engineered stone process. </w:t>
      </w:r>
      <w:r w:rsidR="003D2C1E" w:rsidRPr="007C23DE">
        <w:t xml:space="preserve">As per existing model WHS Regulations regs 369-378, licensees </w:t>
      </w:r>
      <w:r w:rsidR="00266BBD" w:rsidRPr="007C23DE">
        <w:t>would have duties to</w:t>
      </w:r>
      <w:r w:rsidRPr="00A8768B">
        <w:t xml:space="preserve"> provide information to the registered medical practitioner undertaking health monitoring, obtain health monitoring reports, provide health monitoring reports to workers, </w:t>
      </w:r>
      <w:r w:rsidR="00F81A7A">
        <w:t xml:space="preserve">WHS </w:t>
      </w:r>
      <w:r w:rsidRPr="00A8768B">
        <w:t>regulators and other relevant PCBUs and retain health monitoring records</w:t>
      </w:r>
      <w:r w:rsidR="003D2C1E" w:rsidRPr="00A8768B">
        <w:t>.</w:t>
      </w:r>
    </w:p>
    <w:p w14:paraId="1668BCF1" w14:textId="4AD1CB6F" w:rsidR="00EC06FD" w:rsidRPr="00BA7754" w:rsidRDefault="00054BD9" w:rsidP="008B35E0">
      <w:pPr>
        <w:pStyle w:val="ListBullet"/>
        <w:rPr>
          <w:rFonts w:cstheme="minorHAnsi"/>
        </w:rPr>
      </w:pPr>
      <w:r w:rsidRPr="00BA7754">
        <w:t>L</w:t>
      </w:r>
      <w:r w:rsidR="003F7445" w:rsidRPr="00BA7754">
        <w:t>icensees would have an explicit duty</w:t>
      </w:r>
      <w:r w:rsidR="00382549">
        <w:t xml:space="preserve"> to </w:t>
      </w:r>
      <w:r w:rsidR="00EC06FD" w:rsidRPr="00BA7754">
        <w:t>undertake air monitoring</w:t>
      </w:r>
      <w:r w:rsidR="00BA18DC" w:rsidRPr="00BA7754">
        <w:t xml:space="preserve"> for RCS</w:t>
      </w:r>
      <w:r w:rsidR="00687DA1" w:rsidRPr="00A8768B">
        <w:t>.</w:t>
      </w:r>
      <w:r w:rsidR="00687DA1" w:rsidRPr="00BA7754">
        <w:t xml:space="preserve"> Licensees </w:t>
      </w:r>
      <w:r w:rsidR="006813E7" w:rsidRPr="00BA7754">
        <w:t>would also be required to</w:t>
      </w:r>
      <w:r w:rsidR="007508D2" w:rsidRPr="00BA7754">
        <w:t xml:space="preserve"> provide </w:t>
      </w:r>
      <w:r w:rsidR="00A77E2A" w:rsidRPr="00BA7754">
        <w:t xml:space="preserve">air monitoring results </w:t>
      </w:r>
      <w:r w:rsidR="00DC4A3E" w:rsidRPr="00BA7754">
        <w:t>to the WHS regulator</w:t>
      </w:r>
      <w:r w:rsidR="00733986" w:rsidRPr="00BA7754">
        <w:t xml:space="preserve"> </w:t>
      </w:r>
      <w:r w:rsidR="009E4460" w:rsidRPr="00BA7754">
        <w:t>where</w:t>
      </w:r>
      <w:r w:rsidR="00733986" w:rsidRPr="00BA7754">
        <w:t xml:space="preserve"> </w:t>
      </w:r>
      <w:r w:rsidR="00AA0093" w:rsidRPr="00BA7754">
        <w:t>they indicate</w:t>
      </w:r>
      <w:r w:rsidR="00D56DD1" w:rsidRPr="00BA7754">
        <w:t xml:space="preserve"> that the levels of RCS</w:t>
      </w:r>
      <w:r w:rsidR="00E8017E" w:rsidRPr="00BA7754">
        <w:t xml:space="preserve"> </w:t>
      </w:r>
      <w:r w:rsidR="00AA0093" w:rsidRPr="00BA7754">
        <w:t>in the workplace exceed</w:t>
      </w:r>
      <w:r w:rsidR="00E8017E" w:rsidRPr="00BA7754">
        <w:t xml:space="preserve"> the WES.</w:t>
      </w:r>
    </w:p>
    <w:p w14:paraId="4B251C47" w14:textId="125E56A2" w:rsidR="00EC06FD" w:rsidRPr="00D30A61" w:rsidRDefault="00054BD9" w:rsidP="008B35E0">
      <w:pPr>
        <w:pStyle w:val="ListBullet"/>
        <w:rPr>
          <w:rFonts w:cstheme="minorHAnsi"/>
        </w:rPr>
      </w:pPr>
      <w:r w:rsidRPr="00D30A61">
        <w:t>L</w:t>
      </w:r>
      <w:r w:rsidR="00EC06FD" w:rsidRPr="00D30A61">
        <w:t xml:space="preserve">icensees </w:t>
      </w:r>
      <w:r w:rsidR="003F7445" w:rsidRPr="00D30A61">
        <w:t xml:space="preserve">would be required </w:t>
      </w:r>
      <w:r w:rsidR="00EC06FD" w:rsidRPr="00D30A61">
        <w:t>to develop and implement an engineered stone control plan</w:t>
      </w:r>
      <w:r w:rsidR="00172A38" w:rsidRPr="002213D2">
        <w:rPr>
          <w:rFonts w:cstheme="minorHAnsi"/>
        </w:rPr>
        <w:t xml:space="preserve"> based on the outcomes of a </w:t>
      </w:r>
      <w:r w:rsidR="00172A38">
        <w:t>risk assessment</w:t>
      </w:r>
      <w:r w:rsidR="006142F4">
        <w:t xml:space="preserve">. </w:t>
      </w:r>
      <w:r w:rsidR="003A2A86">
        <w:t>This engineered stone</w:t>
      </w:r>
      <w:r w:rsidR="0076498B">
        <w:t xml:space="preserve"> control plan will be required to</w:t>
      </w:r>
      <w:r w:rsidR="006142F4">
        <w:t xml:space="preserve">: </w:t>
      </w:r>
      <w:r w:rsidR="00901446">
        <w:t xml:space="preserve"> </w:t>
      </w:r>
    </w:p>
    <w:p w14:paraId="4E0F6A1C" w14:textId="7EA33B90" w:rsidR="00910A8D" w:rsidRPr="000446A5" w:rsidRDefault="00EC06FD" w:rsidP="008B35E0">
      <w:pPr>
        <w:pStyle w:val="IAListbullet2"/>
      </w:pPr>
      <w:r w:rsidRPr="000446A5">
        <w:t>identif</w:t>
      </w:r>
      <w:r w:rsidR="006142F4" w:rsidRPr="000446A5">
        <w:t>y</w:t>
      </w:r>
      <w:r w:rsidRPr="000446A5">
        <w:t xml:space="preserve"> the </w:t>
      </w:r>
      <w:r w:rsidR="00AD2E80" w:rsidRPr="000446A5">
        <w:t xml:space="preserve">specific tasks or processes required to be </w:t>
      </w:r>
      <w:r w:rsidRPr="000446A5">
        <w:t>undertaken by the licence holder that requires an engineered stone licence</w:t>
      </w:r>
    </w:p>
    <w:p w14:paraId="69BAA881" w14:textId="47F4370B" w:rsidR="00EC06FD" w:rsidRPr="000446A5" w:rsidRDefault="00AD2E80" w:rsidP="008B35E0">
      <w:pPr>
        <w:pStyle w:val="IAListbullet2"/>
      </w:pPr>
      <w:r w:rsidRPr="000446A5">
        <w:t>identif</w:t>
      </w:r>
      <w:r w:rsidR="0076498B" w:rsidRPr="000446A5">
        <w:t>y</w:t>
      </w:r>
      <w:r w:rsidRPr="000446A5">
        <w:t xml:space="preserve"> the </w:t>
      </w:r>
      <w:r w:rsidR="00910A8D" w:rsidRPr="000446A5">
        <w:t xml:space="preserve">proportion of crystalline silica contained in the </w:t>
      </w:r>
      <w:r w:rsidR="00336D74" w:rsidRPr="000446A5">
        <w:t>engineered stone</w:t>
      </w:r>
      <w:r w:rsidR="00910A8D" w:rsidRPr="000446A5">
        <w:t xml:space="preserve"> </w:t>
      </w:r>
    </w:p>
    <w:p w14:paraId="38DF5F77" w14:textId="6CF83AA4" w:rsidR="00EC06FD" w:rsidRPr="000446A5" w:rsidRDefault="005712C8" w:rsidP="008B35E0">
      <w:pPr>
        <w:pStyle w:val="IAListbullet2"/>
      </w:pPr>
      <w:r w:rsidRPr="000446A5">
        <w:t>identif</w:t>
      </w:r>
      <w:r w:rsidR="0076498B" w:rsidRPr="000446A5">
        <w:t>y</w:t>
      </w:r>
      <w:r w:rsidR="00EC06FD" w:rsidRPr="000446A5">
        <w:t xml:space="preserve"> the hazards and </w:t>
      </w:r>
      <w:r w:rsidRPr="000446A5">
        <w:t xml:space="preserve">assesses the </w:t>
      </w:r>
      <w:r w:rsidR="00EC06FD" w:rsidRPr="000446A5">
        <w:t>risks associated with that work</w:t>
      </w:r>
      <w:r w:rsidR="00F0462A" w:rsidRPr="000446A5">
        <w:t xml:space="preserve">, </w:t>
      </w:r>
      <w:r w:rsidR="00822BD7" w:rsidRPr="000446A5">
        <w:t xml:space="preserve">including </w:t>
      </w:r>
      <w:r w:rsidR="00F0462A" w:rsidRPr="000446A5">
        <w:t xml:space="preserve">the likely frequency and duration of </w:t>
      </w:r>
      <w:r w:rsidR="00236C14" w:rsidRPr="000446A5">
        <w:t>exposure of workers to RCS</w:t>
      </w:r>
    </w:p>
    <w:p w14:paraId="6C5E22B5" w14:textId="09EE9C58" w:rsidR="00EC06FD" w:rsidRPr="000446A5" w:rsidRDefault="00EC06FD" w:rsidP="008B35E0">
      <w:pPr>
        <w:pStyle w:val="IAListbullet2"/>
      </w:pPr>
      <w:r w:rsidRPr="000446A5">
        <w:t>sufficiently describe measures to control those risks</w:t>
      </w:r>
    </w:p>
    <w:p w14:paraId="6FCB568C" w14:textId="77777777" w:rsidR="005A1A7D" w:rsidRDefault="005A1A7D" w:rsidP="008B35E0">
      <w:pPr>
        <w:pStyle w:val="IAListbullet2"/>
      </w:pPr>
      <w:r>
        <w:t>describe how the risk control measure will be/are implemented</w:t>
      </w:r>
    </w:p>
    <w:p w14:paraId="54816B21" w14:textId="667D4BA1" w:rsidR="00C858B1" w:rsidRDefault="00275DC0" w:rsidP="008B35E0">
      <w:pPr>
        <w:pStyle w:val="IAListbullet2"/>
      </w:pPr>
      <w:r>
        <w:t>contain previous air monitoring and health monitoring results</w:t>
      </w:r>
    </w:p>
    <w:p w14:paraId="726668B8" w14:textId="619FF0C5" w:rsidR="00EC06FD" w:rsidRPr="000446A5" w:rsidRDefault="00C858B1" w:rsidP="008B35E0">
      <w:pPr>
        <w:pStyle w:val="IAListbullet2"/>
      </w:pPr>
      <w:r>
        <w:t>contain any other information about previous incidents</w:t>
      </w:r>
      <w:r w:rsidR="00EC06FD" w:rsidRPr="000446A5">
        <w:t xml:space="preserve">, </w:t>
      </w:r>
      <w:r w:rsidR="00B46FA5">
        <w:t>illnesses or diseases associated with</w:t>
      </w:r>
      <w:r w:rsidR="00EC06FD" w:rsidRPr="009D0A4A">
        <w:t xml:space="preserve"> </w:t>
      </w:r>
      <w:r w:rsidR="00A3301D">
        <w:t xml:space="preserve">exposure to RCS, </w:t>
      </w:r>
      <w:r w:rsidR="00EC06FD" w:rsidRPr="000446A5">
        <w:t xml:space="preserve">and </w:t>
      </w:r>
    </w:p>
    <w:p w14:paraId="73432D5D" w14:textId="34DE2E08" w:rsidR="00EC06FD" w:rsidRPr="000446A5" w:rsidRDefault="0076498B" w:rsidP="008B35E0">
      <w:pPr>
        <w:pStyle w:val="IAListbullet2"/>
      </w:pPr>
      <w:r w:rsidRPr="000446A5">
        <w:lastRenderedPageBreak/>
        <w:t>be</w:t>
      </w:r>
      <w:r w:rsidR="00EC06FD" w:rsidRPr="000446A5">
        <w:t xml:space="preserve"> set out and expressed in a way that is readily accessible and comprehensible to all people who use it.</w:t>
      </w:r>
    </w:p>
    <w:p w14:paraId="03DEEC56" w14:textId="592C8617" w:rsidR="00EC06FD" w:rsidRPr="00C64324" w:rsidRDefault="00054BD9" w:rsidP="008B35E0">
      <w:pPr>
        <w:pStyle w:val="ListBullet"/>
        <w:rPr>
          <w:rFonts w:cstheme="minorHAnsi"/>
        </w:rPr>
      </w:pPr>
      <w:r w:rsidRPr="00C64324">
        <w:t>L</w:t>
      </w:r>
      <w:r w:rsidR="003F7445" w:rsidRPr="00C64324">
        <w:t>icensees would be required to</w:t>
      </w:r>
      <w:r w:rsidR="00EC06FD" w:rsidRPr="00C64324">
        <w:t xml:space="preserve"> implement specific control measures, including:</w:t>
      </w:r>
    </w:p>
    <w:p w14:paraId="1A1D4083" w14:textId="46B569E4" w:rsidR="00EC06FD" w:rsidRPr="009D0A4A" w:rsidRDefault="00EC06FD" w:rsidP="008B35E0">
      <w:pPr>
        <w:pStyle w:val="IAListbullet2"/>
      </w:pPr>
      <w:r w:rsidRPr="009D0A4A">
        <w:t>use of local exhaust ventilation, on tool dust extraction and/or water suppression when using a power tool or mechanical plant to process engineered stone</w:t>
      </w:r>
    </w:p>
    <w:p w14:paraId="6F40ADF0" w14:textId="38AC392E" w:rsidR="00EC06FD" w:rsidRPr="009D0A4A" w:rsidRDefault="00EC06FD" w:rsidP="008B35E0">
      <w:pPr>
        <w:pStyle w:val="IAListbullet2"/>
      </w:pPr>
      <w:r w:rsidRPr="009D0A4A">
        <w:t>ensuring that workers are provided and use appropriate respiratory protective equipment</w:t>
      </w:r>
    </w:p>
    <w:p w14:paraId="1F5DD3EA" w14:textId="77777777" w:rsidR="00EC06FD" w:rsidRPr="009D0A4A" w:rsidRDefault="00EC06FD" w:rsidP="008B35E0">
      <w:pPr>
        <w:pStyle w:val="IAListbullet2"/>
      </w:pPr>
      <w:r w:rsidRPr="009D0A4A">
        <w:t>provision of information, instruction and training, and</w:t>
      </w:r>
    </w:p>
    <w:p w14:paraId="4AF7CE8E" w14:textId="77777777" w:rsidR="0040556A" w:rsidRPr="009D0A4A" w:rsidRDefault="00EC06FD" w:rsidP="008B35E0">
      <w:pPr>
        <w:pStyle w:val="IAListbullet2"/>
      </w:pPr>
      <w:r w:rsidRPr="009D0A4A">
        <w:t>ensuring compressed air is not used for cleaning.</w:t>
      </w:r>
      <w:r w:rsidR="0040556A" w:rsidRPr="009D0A4A">
        <w:t xml:space="preserve"> </w:t>
      </w:r>
    </w:p>
    <w:p w14:paraId="62DC66BF" w14:textId="61D3A57E" w:rsidR="402C01A9" w:rsidRPr="00183DD4" w:rsidRDefault="00F868BC" w:rsidP="00DC5182">
      <w:pPr>
        <w:pStyle w:val="BodyText"/>
      </w:pPr>
      <w:r w:rsidRPr="00183DD4">
        <w:t xml:space="preserve">It is also expected that </w:t>
      </w:r>
      <w:r w:rsidR="00A429DE" w:rsidRPr="00183DD4">
        <w:t>WHS r</w:t>
      </w:r>
      <w:r w:rsidR="00EC06FD" w:rsidRPr="00183DD4">
        <w:t xml:space="preserve">egulators </w:t>
      </w:r>
      <w:r w:rsidRPr="00183DD4">
        <w:t xml:space="preserve">would implement </w:t>
      </w:r>
      <w:r w:rsidR="00EC06FD" w:rsidRPr="00183DD4">
        <w:t>a program of scheduled and unscheduled audits of licensees</w:t>
      </w:r>
      <w:r w:rsidRPr="00183DD4">
        <w:t xml:space="preserve"> to support the licensing scheme</w:t>
      </w:r>
      <w:r w:rsidR="00EC06FD" w:rsidRPr="00183DD4">
        <w:t>.</w:t>
      </w:r>
      <w:r w:rsidR="00901446">
        <w:t xml:space="preserve"> This option would also be accompanied by a national awareness campaign and the development of supporting guidance material for PCBUs and workers.</w:t>
      </w:r>
    </w:p>
    <w:p w14:paraId="344A78E9" w14:textId="62DE3C06" w:rsidR="0069326F" w:rsidRPr="00183DD4" w:rsidRDefault="006E674E" w:rsidP="006908F1">
      <w:pPr>
        <w:pStyle w:val="BodyText1"/>
        <w:spacing w:line="240" w:lineRule="auto"/>
        <w:jc w:val="both"/>
        <w:rPr>
          <w:rFonts w:asciiTheme="minorHAnsi" w:hAnsiTheme="minorHAnsi" w:cstheme="minorHAnsi"/>
          <w:szCs w:val="22"/>
        </w:rPr>
      </w:pPr>
      <w:r w:rsidRPr="00183DD4">
        <w:rPr>
          <w:rFonts w:asciiTheme="minorHAnsi" w:hAnsiTheme="minorHAnsi" w:cstheme="minorHAnsi"/>
          <w:szCs w:val="22"/>
        </w:rPr>
        <w:t>If implemented, this</w:t>
      </w:r>
      <w:r w:rsidR="0069326F" w:rsidRPr="00183DD4">
        <w:rPr>
          <w:rFonts w:asciiTheme="minorHAnsi" w:hAnsiTheme="minorHAnsi" w:cstheme="minorHAnsi"/>
          <w:szCs w:val="22"/>
        </w:rPr>
        <w:t xml:space="preserve"> licensing </w:t>
      </w:r>
      <w:r w:rsidRPr="00183DD4">
        <w:rPr>
          <w:rFonts w:asciiTheme="minorHAnsi" w:hAnsiTheme="minorHAnsi" w:cstheme="minorHAnsi"/>
          <w:szCs w:val="22"/>
        </w:rPr>
        <w:t>framework</w:t>
      </w:r>
      <w:r w:rsidR="0069326F" w:rsidRPr="00183DD4">
        <w:rPr>
          <w:rFonts w:asciiTheme="minorHAnsi" w:hAnsiTheme="minorHAnsi" w:cstheme="minorHAnsi"/>
          <w:szCs w:val="22"/>
        </w:rPr>
        <w:t xml:space="preserve"> would be expected to:</w:t>
      </w:r>
    </w:p>
    <w:p w14:paraId="57DBE998" w14:textId="6EDCAD3D" w:rsidR="0069326F" w:rsidRPr="00183DD4" w:rsidRDefault="00A429DE" w:rsidP="008B35E0">
      <w:pPr>
        <w:pStyle w:val="ListBullet"/>
        <w:rPr>
          <w:rFonts w:cstheme="minorHAnsi"/>
        </w:rPr>
      </w:pPr>
      <w:r w:rsidRPr="00183DD4">
        <w:t>i</w:t>
      </w:r>
      <w:r w:rsidR="0069326F" w:rsidRPr="00183DD4">
        <w:t>mprove identification of PCBUs working with engineered stone</w:t>
      </w:r>
    </w:p>
    <w:p w14:paraId="13176EB4" w14:textId="7C1DEAEA" w:rsidR="006B1738" w:rsidRPr="00183DD4" w:rsidRDefault="00A429DE" w:rsidP="008B35E0">
      <w:pPr>
        <w:pStyle w:val="ListBullet"/>
        <w:rPr>
          <w:rFonts w:cstheme="minorHAnsi"/>
        </w:rPr>
      </w:pPr>
      <w:r w:rsidRPr="00183DD4">
        <w:t>c</w:t>
      </w:r>
      <w:r w:rsidR="0069326F" w:rsidRPr="00183DD4">
        <w:t xml:space="preserve">larify the duties related to air and health </w:t>
      </w:r>
      <w:r w:rsidR="004E3629" w:rsidRPr="00183DD4">
        <w:t xml:space="preserve">monitoring </w:t>
      </w:r>
      <w:r w:rsidR="00527EC0" w:rsidRPr="00183DD4">
        <w:t>for P</w:t>
      </w:r>
      <w:r w:rsidR="00EB17F4" w:rsidRPr="00183DD4">
        <w:t>C</w:t>
      </w:r>
      <w:r w:rsidR="00527EC0" w:rsidRPr="00183DD4">
        <w:t>BUs working with engineered stone</w:t>
      </w:r>
      <w:r w:rsidR="00216BE4" w:rsidRPr="00183DD4">
        <w:t>, include when reports must be provided to the WHS regulator</w:t>
      </w:r>
      <w:r w:rsidR="006B1738" w:rsidRPr="00183DD4">
        <w:t xml:space="preserve">. This would allow identification of PCBUs </w:t>
      </w:r>
      <w:r w:rsidR="00473902" w:rsidRPr="00183DD4">
        <w:t xml:space="preserve">who </w:t>
      </w:r>
      <w:r w:rsidR="004473D3" w:rsidRPr="00183DD4">
        <w:t>may not be effectively controlling RCS exposures at their workplaces</w:t>
      </w:r>
    </w:p>
    <w:p w14:paraId="187F0459" w14:textId="22CA14DC" w:rsidR="00DB5B9A" w:rsidRPr="00183DD4" w:rsidRDefault="00DB5B9A" w:rsidP="008B35E0">
      <w:pPr>
        <w:pStyle w:val="ListBullet"/>
        <w:rPr>
          <w:rFonts w:cstheme="minorHAnsi"/>
        </w:rPr>
      </w:pPr>
      <w:r w:rsidRPr="00183DD4">
        <w:t xml:space="preserve">improve PCBUs’ and workers’ understanding of the risks and controls by requiring a risk </w:t>
      </w:r>
      <w:r w:rsidR="009B5F1A" w:rsidRPr="00183DD4">
        <w:t xml:space="preserve">assessment, engineered stone </w:t>
      </w:r>
      <w:r w:rsidRPr="00183DD4">
        <w:t xml:space="preserve">control plan and worker training, which is expected to </w:t>
      </w:r>
      <w:r w:rsidR="00827156" w:rsidRPr="00183DD4">
        <w:t xml:space="preserve">improve compliance and </w:t>
      </w:r>
      <w:r w:rsidRPr="00183DD4">
        <w:t>reduce the risk of exposure to RCS</w:t>
      </w:r>
    </w:p>
    <w:p w14:paraId="3A1F34C6" w14:textId="4C4422D1" w:rsidR="006B1738" w:rsidRPr="00183DD4" w:rsidRDefault="00A429DE" w:rsidP="008B35E0">
      <w:pPr>
        <w:pStyle w:val="ListBullet"/>
        <w:rPr>
          <w:rFonts w:cstheme="minorHAnsi"/>
        </w:rPr>
      </w:pPr>
      <w:r w:rsidRPr="00183DD4">
        <w:t>i</w:t>
      </w:r>
      <w:r w:rsidR="006B1738" w:rsidRPr="00183DD4">
        <w:t xml:space="preserve">mprove </w:t>
      </w:r>
      <w:r w:rsidR="00594693" w:rsidRPr="00183DD4">
        <w:t>uptake</w:t>
      </w:r>
      <w:r w:rsidR="006B1738" w:rsidRPr="00183DD4">
        <w:t xml:space="preserve"> of </w:t>
      </w:r>
      <w:r w:rsidR="00594693" w:rsidRPr="00183DD4">
        <w:t>engineering</w:t>
      </w:r>
      <w:r w:rsidR="006B1738" w:rsidRPr="00183DD4">
        <w:t xml:space="preserve"> controls</w:t>
      </w:r>
      <w:r w:rsidR="00594693" w:rsidRPr="00183DD4">
        <w:t xml:space="preserve"> through specific regulation</w:t>
      </w:r>
      <w:r w:rsidR="00AE7385" w:rsidRPr="00183DD4">
        <w:t xml:space="preserve">, </w:t>
      </w:r>
      <w:r w:rsidR="006B1738" w:rsidRPr="00183DD4">
        <w:t xml:space="preserve">noting that </w:t>
      </w:r>
      <w:r w:rsidR="00AE7385" w:rsidRPr="00183DD4">
        <w:t>amendments</w:t>
      </w:r>
      <w:r w:rsidR="00AA5739" w:rsidRPr="00183DD4">
        <w:t xml:space="preserve"> to the model WHS regulations</w:t>
      </w:r>
      <w:r w:rsidR="00AE7385" w:rsidRPr="00183DD4">
        <w:t xml:space="preserve"> </w:t>
      </w:r>
      <w:r w:rsidR="00CC692B" w:rsidRPr="00183DD4">
        <w:t>currently underway (see Option 1)</w:t>
      </w:r>
      <w:r w:rsidR="003614D7" w:rsidRPr="00183DD4">
        <w:t xml:space="preserve"> will</w:t>
      </w:r>
      <w:r w:rsidR="006B1738" w:rsidRPr="00183DD4">
        <w:t xml:space="preserve"> expressly </w:t>
      </w:r>
      <w:r w:rsidR="00AA5739" w:rsidRPr="00183DD4">
        <w:t xml:space="preserve">require the use </w:t>
      </w:r>
      <w:r w:rsidR="00EB17F4" w:rsidRPr="00183DD4">
        <w:t xml:space="preserve">of </w:t>
      </w:r>
      <w:r w:rsidR="00AA5739" w:rsidRPr="00183DD4">
        <w:t>engineering controls and RPE when</w:t>
      </w:r>
      <w:r w:rsidR="006B1738" w:rsidRPr="00183DD4">
        <w:t xml:space="preserve"> processing of engineered stone</w:t>
      </w:r>
      <w:r w:rsidRPr="00183DD4">
        <w:t xml:space="preserve">, and </w:t>
      </w:r>
    </w:p>
    <w:p w14:paraId="7EC94F18" w14:textId="0F05F643" w:rsidR="00594693" w:rsidRPr="00183DD4" w:rsidRDefault="00006211" w:rsidP="008B35E0">
      <w:pPr>
        <w:pStyle w:val="ListBullet"/>
        <w:rPr>
          <w:rFonts w:cstheme="minorHAnsi"/>
        </w:rPr>
      </w:pPr>
      <w:r w:rsidRPr="00183DD4">
        <w:t xml:space="preserve">improve compliance </w:t>
      </w:r>
      <w:r w:rsidR="004C404A" w:rsidRPr="00183DD4">
        <w:t>as a result of</w:t>
      </w:r>
      <w:r w:rsidR="003C25DE" w:rsidRPr="00183DD4">
        <w:t xml:space="preserve"> </w:t>
      </w:r>
      <w:r w:rsidR="00A429DE" w:rsidRPr="00183DD4">
        <w:t>scheduled and unscheduled audits.</w:t>
      </w:r>
      <w:r w:rsidR="00885F55" w:rsidRPr="00183DD4">
        <w:t xml:space="preserve"> </w:t>
      </w:r>
    </w:p>
    <w:p w14:paraId="15EC2350" w14:textId="65D1C6B6" w:rsidR="006C60B4" w:rsidRPr="000446A5" w:rsidRDefault="00885F55" w:rsidP="00234FEF">
      <w:pPr>
        <w:pStyle w:val="BodyText"/>
      </w:pPr>
      <w:r w:rsidRPr="000446A5">
        <w:t>The National Dust Disease Taskforce considered a licensing scheme for PCBUs working with engineered stone would improve compliance in that sector by “… restricting access to the product to those businesses able to demonstrate that they can eliminate or minimise risks associated with engineered stone.”</w:t>
      </w:r>
      <w:r w:rsidRPr="000446A5">
        <w:rPr>
          <w:rStyle w:val="FootnoteReference"/>
        </w:rPr>
        <w:footnoteReference w:id="12"/>
      </w:r>
      <w:r w:rsidRPr="000446A5">
        <w:t xml:space="preserve"> </w:t>
      </w:r>
      <w:r w:rsidRPr="000446A5">
        <w:fldChar w:fldCharType="begin"/>
      </w:r>
      <w:r w:rsidRPr="000446A5">
        <w:instrText xml:space="preserve"> ADDIN ZOTERO_ITEM CSL_CITATION {"citationID":"g3Efz2m9","properties":{"formattedCitation":"(Australian Government 2022)","plainCitation":"(Australian Government 2022)","noteIndex":0},"citationItems":[{"id":881,"uris":["http://zotero.org/users/6230888/items/MBL8JFFI"],"itemData":{"id":881,"type":"report","page":"64","title":"All of governments’ response to the National Dust Disease Taskforce Final Report","URL":"https://www1.health.gov.au/internet/main/publishing.nsf/Content/45748C2442F5BA74CA2587E4000F8600/$File/All-Govt-Response-Final-Report-Dust-Disease-Taskforce.pdf","author":[{"literal":"Australian Government"}],"accessed":{"date-parts":[["2022",6,30]]},"issued":{"date-parts":[["2022"]]}}}],"schema":"https://github.com/citation-style-language/schema/raw/master/csl-citation.json"} </w:instrText>
      </w:r>
      <w:r w:rsidRPr="000446A5">
        <w:fldChar w:fldCharType="separate"/>
      </w:r>
      <w:r w:rsidRPr="000446A5">
        <w:t>(Australian Government 2022)</w:t>
      </w:r>
      <w:r w:rsidRPr="000446A5">
        <w:fldChar w:fldCharType="end"/>
      </w:r>
      <w:r w:rsidRPr="000446A5">
        <w:t>.</w:t>
      </w:r>
      <w:r w:rsidR="00AF422B" w:rsidRPr="000446A5">
        <w:t xml:space="preserve">  </w:t>
      </w:r>
    </w:p>
    <w:p w14:paraId="658F245F" w14:textId="6250EB4A" w:rsidR="00105AEA" w:rsidRPr="000446A5" w:rsidDel="0038687D" w:rsidRDefault="00D565E8" w:rsidP="00234FEF">
      <w:pPr>
        <w:pStyle w:val="BodyText"/>
      </w:pPr>
      <w:r>
        <w:rPr>
          <w:rFonts w:cstheme="minorHAnsi"/>
        </w:rPr>
        <w:t xml:space="preserve">Of note, </w:t>
      </w:r>
      <w:r w:rsidR="00AA5739" w:rsidRPr="009D0A4A">
        <w:rPr>
          <w:rFonts w:cstheme="minorHAnsi"/>
        </w:rPr>
        <w:t>this option is only limited to engineered stone</w:t>
      </w:r>
      <w:r>
        <w:rPr>
          <w:rFonts w:cstheme="minorHAnsi"/>
        </w:rPr>
        <w:t xml:space="preserve">. </w:t>
      </w:r>
      <w:r w:rsidR="00105AEA" w:rsidRPr="000446A5">
        <w:t>As implementing this option would not address the significant risks of silicosis and silica-related diseases from other silica-containing materials, this option would be considered in combination with Option 5b.</w:t>
      </w:r>
    </w:p>
    <w:p w14:paraId="09AFB1DD" w14:textId="3F733212" w:rsidR="00AF422B" w:rsidRPr="009D0A4A" w:rsidRDefault="00AF422B" w:rsidP="00A01DC6">
      <w:pPr>
        <w:pStyle w:val="BodyText1"/>
        <w:spacing w:line="240" w:lineRule="auto"/>
        <w:jc w:val="both"/>
        <w:rPr>
          <w:rFonts w:asciiTheme="minorHAnsi" w:hAnsiTheme="minorHAnsi" w:cstheme="minorHAnsi"/>
          <w:sz w:val="20"/>
          <w:szCs w:val="20"/>
        </w:rPr>
      </w:pPr>
    </w:p>
    <w:p w14:paraId="4530E0C9" w14:textId="1BE19D62" w:rsidR="008E698E" w:rsidRPr="009D0A4A" w:rsidRDefault="77513FF5" w:rsidP="003A3B2B">
      <w:pPr>
        <w:pStyle w:val="Heading2"/>
      </w:pPr>
      <w:bookmarkStart w:id="613" w:name="_Toc92885117"/>
      <w:bookmarkStart w:id="614" w:name="_Toc92958868"/>
      <w:bookmarkStart w:id="615" w:name="_Toc126573216"/>
      <w:r>
        <w:lastRenderedPageBreak/>
        <w:t>Option 5a</w:t>
      </w:r>
      <w:r w:rsidR="00D14CC1">
        <w:t>:</w:t>
      </w:r>
      <w:r>
        <w:t xml:space="preserve"> </w:t>
      </w:r>
      <w:r w:rsidR="000C0F69">
        <w:t>R</w:t>
      </w:r>
      <w:r>
        <w:t xml:space="preserve">egulation of </w:t>
      </w:r>
      <w:r w:rsidR="008739C4">
        <w:t>high risk</w:t>
      </w:r>
      <w:r w:rsidR="00A65B41">
        <w:br/>
      </w:r>
      <w:r>
        <w:t xml:space="preserve"> crystalline silica processes </w:t>
      </w:r>
      <w:r w:rsidR="00F868BC">
        <w:t>for all materials</w:t>
      </w:r>
      <w:r w:rsidR="003B3AE1">
        <w:t xml:space="preserve"> </w:t>
      </w:r>
      <w:r>
        <w:t>including engineered stone</w:t>
      </w:r>
      <w:bookmarkEnd w:id="613"/>
      <w:bookmarkEnd w:id="614"/>
      <w:bookmarkEnd w:id="615"/>
    </w:p>
    <w:p w14:paraId="0337FAF3" w14:textId="5E7A532D" w:rsidR="00F1303A" w:rsidRPr="002213D2" w:rsidRDefault="00C447D4" w:rsidP="00234FEF">
      <w:pPr>
        <w:pStyle w:val="BodyText"/>
      </w:pPr>
      <w:r w:rsidRPr="002213D2">
        <w:t xml:space="preserve">Option 5a </w:t>
      </w:r>
      <w:r w:rsidR="00F1303A" w:rsidRPr="002213D2">
        <w:t xml:space="preserve">is based on the recent amendments </w:t>
      </w:r>
      <w:r w:rsidR="007F0022">
        <w:t>to</w:t>
      </w:r>
      <w:r w:rsidR="007F0022" w:rsidRPr="002213D2">
        <w:t xml:space="preserve"> </w:t>
      </w:r>
      <w:r w:rsidR="00F1303A" w:rsidRPr="002213D2">
        <w:t xml:space="preserve">the Victorian Occupational Health and Safety Regulations </w:t>
      </w:r>
      <w:r w:rsidR="00543EA3" w:rsidRPr="002213D2">
        <w:t>20</w:t>
      </w:r>
      <w:r w:rsidR="00543EA3">
        <w:t>17</w:t>
      </w:r>
      <w:r w:rsidR="00F1303A" w:rsidRPr="002213D2">
        <w:t>. It would specifically include</w:t>
      </w:r>
      <w:r w:rsidR="002F655C" w:rsidRPr="002213D2">
        <w:t xml:space="preserve"> d</w:t>
      </w:r>
      <w:r w:rsidR="00F1303A" w:rsidRPr="002213D2">
        <w:t xml:space="preserve">efinitions of </w:t>
      </w:r>
      <w:r w:rsidR="00F1303A" w:rsidRPr="002213D2">
        <w:rPr>
          <w:i/>
        </w:rPr>
        <w:t>crystalline silica substance</w:t>
      </w:r>
      <w:r w:rsidR="00F1303A" w:rsidRPr="002213D2">
        <w:t xml:space="preserve">, </w:t>
      </w:r>
      <w:r w:rsidR="00F1303A" w:rsidRPr="002213D2">
        <w:rPr>
          <w:i/>
        </w:rPr>
        <w:t>crystalline silica process</w:t>
      </w:r>
      <w:r w:rsidR="00F1303A" w:rsidRPr="002213D2">
        <w:t xml:space="preserve"> and </w:t>
      </w:r>
      <w:r w:rsidR="00F1303A" w:rsidRPr="002213D2">
        <w:rPr>
          <w:i/>
        </w:rPr>
        <w:t>high risk crystalline silica process</w:t>
      </w:r>
      <w:r w:rsidR="00F1303A" w:rsidRPr="002213D2">
        <w:t xml:space="preserve">. </w:t>
      </w:r>
    </w:p>
    <w:p w14:paraId="188F56AF" w14:textId="0BD3AEA7" w:rsidR="002F655C" w:rsidRPr="002213D2" w:rsidRDefault="002F655C" w:rsidP="008B35E0">
      <w:pPr>
        <w:pStyle w:val="ListBullet"/>
      </w:pPr>
      <w:r w:rsidRPr="002213D2">
        <w:t xml:space="preserve">The CRIS proposed the following </w:t>
      </w:r>
      <w:r w:rsidR="00CD32B1" w:rsidRPr="002213D2">
        <w:t>definitions</w:t>
      </w:r>
      <w:r w:rsidRPr="002213D2">
        <w:t xml:space="preserve"> for consideration:</w:t>
      </w:r>
    </w:p>
    <w:p w14:paraId="15A2F4ED" w14:textId="2CB69DF9" w:rsidR="00F1303A" w:rsidRPr="002213D2" w:rsidRDefault="00F1303A" w:rsidP="008B35E0">
      <w:pPr>
        <w:pStyle w:val="IAListbullet2"/>
        <w:numPr>
          <w:ilvl w:val="0"/>
          <w:numId w:val="8"/>
        </w:numPr>
      </w:pPr>
      <w:r w:rsidRPr="002213D2">
        <w:t xml:space="preserve">A </w:t>
      </w:r>
      <w:r w:rsidRPr="002213D2">
        <w:rPr>
          <w:i/>
        </w:rPr>
        <w:t>crystalline silica substance</w:t>
      </w:r>
      <w:r w:rsidRPr="002213D2">
        <w:t xml:space="preserve"> </w:t>
      </w:r>
      <w:r w:rsidR="00703FCD" w:rsidRPr="002213D2">
        <w:t>means</w:t>
      </w:r>
      <w:r w:rsidRPr="002213D2">
        <w:t xml:space="preserve"> materials containing over 1 per cent crystalline silica and would include engineered stone. </w:t>
      </w:r>
    </w:p>
    <w:p w14:paraId="279AE7DE" w14:textId="4F0038A9" w:rsidR="00F1303A" w:rsidRPr="002213D2" w:rsidRDefault="00F1303A" w:rsidP="008B35E0">
      <w:pPr>
        <w:pStyle w:val="ListBullet"/>
        <w:numPr>
          <w:ilvl w:val="0"/>
          <w:numId w:val="8"/>
        </w:numPr>
      </w:pPr>
      <w:r w:rsidRPr="002213D2">
        <w:t xml:space="preserve">A crystalline silica process </w:t>
      </w:r>
      <w:r w:rsidR="00703FCD" w:rsidRPr="002213D2">
        <w:t>means</w:t>
      </w:r>
      <w:r w:rsidR="00B2444C">
        <w:t>:</w:t>
      </w:r>
    </w:p>
    <w:p w14:paraId="7CBDE9DD" w14:textId="0379B24A" w:rsidR="00F1303A" w:rsidRPr="002213D2" w:rsidRDefault="00F1303A" w:rsidP="008B35E0">
      <w:pPr>
        <w:pStyle w:val="IAListbullet2"/>
      </w:pPr>
      <w:r w:rsidRPr="002213D2">
        <w:t>use of power tools and machinery involving material that is a crystalline silica substance</w:t>
      </w:r>
    </w:p>
    <w:p w14:paraId="1CC1C8A9" w14:textId="77777777" w:rsidR="00F1303A" w:rsidRPr="002213D2" w:rsidRDefault="00F1303A" w:rsidP="008B35E0">
      <w:pPr>
        <w:pStyle w:val="IAListbullet2"/>
      </w:pPr>
      <w:r w:rsidRPr="002213D2">
        <w:t>use of roadheaders</w:t>
      </w:r>
      <w:r w:rsidRPr="002213D2">
        <w:rPr>
          <w:rStyle w:val="FootnoteReference"/>
        </w:rPr>
        <w:footnoteReference w:id="13"/>
      </w:r>
      <w:r w:rsidRPr="002213D2">
        <w:t xml:space="preserve"> involving material that is a crystalline silica substance </w:t>
      </w:r>
    </w:p>
    <w:p w14:paraId="513BBB28" w14:textId="0379B24A" w:rsidR="00F1303A" w:rsidRPr="002213D2" w:rsidRDefault="00F1303A" w:rsidP="008B35E0">
      <w:pPr>
        <w:pStyle w:val="IAListbullet2"/>
      </w:pPr>
      <w:r w:rsidRPr="002213D2">
        <w:t>quarrying involving material that is a crystalline silica substance</w:t>
      </w:r>
    </w:p>
    <w:p w14:paraId="7B87DD79" w14:textId="0379B24A" w:rsidR="00F1303A" w:rsidRPr="002213D2" w:rsidRDefault="00F1303A" w:rsidP="008B35E0">
      <w:pPr>
        <w:pStyle w:val="IAListbullet2"/>
      </w:pPr>
      <w:r w:rsidRPr="002213D2">
        <w:t>mechanical screening involving material that is a crystalline silica substance</w:t>
      </w:r>
    </w:p>
    <w:p w14:paraId="26485309" w14:textId="0379B24A" w:rsidR="00F1303A" w:rsidRPr="002213D2" w:rsidRDefault="00F1303A" w:rsidP="008B35E0">
      <w:pPr>
        <w:pStyle w:val="IAListbullet2"/>
      </w:pPr>
      <w:r w:rsidRPr="002213D2">
        <w:t>tunnelling involving material that is a crystalline silica substance, or</w:t>
      </w:r>
    </w:p>
    <w:p w14:paraId="3FA63F49" w14:textId="0379B24A" w:rsidR="00F1303A" w:rsidRPr="002213D2" w:rsidRDefault="00F1303A" w:rsidP="008B35E0">
      <w:pPr>
        <w:pStyle w:val="IAListbullet2"/>
      </w:pPr>
      <w:r w:rsidRPr="002213D2">
        <w:t xml:space="preserve">a process that exposes or is reasonably likely to expose a person to crystalline silica dust during manufacture or handling of a crystalline silica substance. </w:t>
      </w:r>
    </w:p>
    <w:p w14:paraId="67D6A424" w14:textId="012980CF" w:rsidR="00F1303A" w:rsidRPr="002213D2" w:rsidRDefault="00F1303A" w:rsidP="008B35E0">
      <w:pPr>
        <w:pStyle w:val="IAListbullet2"/>
        <w:numPr>
          <w:ilvl w:val="0"/>
          <w:numId w:val="8"/>
        </w:numPr>
      </w:pPr>
      <w:r w:rsidRPr="006F642E">
        <w:t>A high risk crystalline silica process</w:t>
      </w:r>
      <w:r w:rsidRPr="002213D2">
        <w:t xml:space="preserve"> </w:t>
      </w:r>
      <w:r w:rsidR="00010384" w:rsidRPr="002213D2">
        <w:t>means a</w:t>
      </w:r>
      <w:r w:rsidRPr="002213D2">
        <w:t xml:space="preserve"> </w:t>
      </w:r>
      <w:r w:rsidRPr="006F642E">
        <w:t>crystalline silica process</w:t>
      </w:r>
      <w:r w:rsidRPr="002213D2">
        <w:t xml:space="preserve"> where:</w:t>
      </w:r>
    </w:p>
    <w:p w14:paraId="3063E401" w14:textId="0379B24A" w:rsidR="00F1303A" w:rsidRPr="002213D2" w:rsidRDefault="00F1303A" w:rsidP="008B35E0">
      <w:pPr>
        <w:pStyle w:val="IAListbullet2"/>
      </w:pPr>
      <w:r w:rsidRPr="002213D2">
        <w:t xml:space="preserve">it is reasonably likely that workplace exposure standard will be exceeded, or </w:t>
      </w:r>
    </w:p>
    <w:p w14:paraId="4A5BB34C" w14:textId="77777777" w:rsidR="00975865" w:rsidRPr="002213D2" w:rsidRDefault="00F1303A" w:rsidP="008B35E0">
      <w:pPr>
        <w:pStyle w:val="IAListbullet2"/>
        <w:rPr>
          <w:rFonts w:cstheme="minorHAnsi"/>
        </w:rPr>
      </w:pPr>
      <w:r w:rsidRPr="002213D2">
        <w:t>the PCBU is not certain on reasonable grounds that workplace exposure standard will be exceeded</w:t>
      </w:r>
      <w:r w:rsidR="00975865" w:rsidRPr="002213D2">
        <w:t>, or</w:t>
      </w:r>
    </w:p>
    <w:p w14:paraId="032EB590" w14:textId="601218C0" w:rsidR="00F1303A" w:rsidRPr="002213D2" w:rsidRDefault="00975865" w:rsidP="008B35E0">
      <w:pPr>
        <w:pStyle w:val="IAListbullet2"/>
        <w:rPr>
          <w:rFonts w:cstheme="minorHAnsi"/>
        </w:rPr>
      </w:pPr>
      <w:r w:rsidRPr="002213D2">
        <w:t>there is a health risk from exposure to silica dust</w:t>
      </w:r>
      <w:r w:rsidR="00F1303A" w:rsidRPr="002213D2">
        <w:t>.</w:t>
      </w:r>
    </w:p>
    <w:p w14:paraId="418879F6" w14:textId="5FD91F9F" w:rsidR="00EB1263" w:rsidRPr="002213D2" w:rsidRDefault="00975865" w:rsidP="00234FEF">
      <w:pPr>
        <w:pStyle w:val="BodyText"/>
        <w:rPr>
          <w:rFonts w:cstheme="minorHAnsi"/>
        </w:rPr>
      </w:pPr>
      <w:r w:rsidRPr="00234FEF">
        <w:t xml:space="preserve">Feedback on the CRIS </w:t>
      </w:r>
      <w:r w:rsidR="003B69D4" w:rsidRPr="00234FEF">
        <w:t>was supportive of</w:t>
      </w:r>
      <w:r w:rsidR="002F61C2" w:rsidRPr="00234FEF">
        <w:t xml:space="preserve"> </w:t>
      </w:r>
      <w:r w:rsidR="003B69D4" w:rsidRPr="00234FEF">
        <w:t xml:space="preserve">including </w:t>
      </w:r>
      <w:r w:rsidR="002F61C2" w:rsidRPr="00234FEF">
        <w:t>definition</w:t>
      </w:r>
      <w:r w:rsidR="001840B8">
        <w:t>s</w:t>
      </w:r>
      <w:r w:rsidR="002F61C2" w:rsidRPr="00234FEF">
        <w:t xml:space="preserve"> of </w:t>
      </w:r>
      <w:r w:rsidR="006F1D82">
        <w:t xml:space="preserve">crystalline silica substance, </w:t>
      </w:r>
      <w:r w:rsidR="001840B8">
        <w:t>crystalline sili</w:t>
      </w:r>
      <w:r w:rsidR="006F1D82">
        <w:t xml:space="preserve">ca process and </w:t>
      </w:r>
      <w:r w:rsidR="002F61C2" w:rsidRPr="00234FEF">
        <w:t xml:space="preserve">high risk crystalline silica process. </w:t>
      </w:r>
      <w:r w:rsidR="00172A38" w:rsidRPr="00234FEF">
        <w:t>T</w:t>
      </w:r>
      <w:r w:rsidR="002F61C2" w:rsidRPr="00234FEF">
        <w:t xml:space="preserve">here were some concerns </w:t>
      </w:r>
      <w:r w:rsidR="002D110A" w:rsidRPr="00234FEF">
        <w:t>with</w:t>
      </w:r>
      <w:r w:rsidR="001D4148" w:rsidRPr="00234FEF">
        <w:t xml:space="preserve"> the definition</w:t>
      </w:r>
      <w:r w:rsidR="00FC52F6">
        <w:t>s</w:t>
      </w:r>
      <w:r w:rsidR="00EB1263" w:rsidRPr="00234FEF">
        <w:t xml:space="preserve"> </w:t>
      </w:r>
      <w:r w:rsidR="00172A38" w:rsidRPr="00234FEF">
        <w:t>as proposed, however,</w:t>
      </w:r>
      <w:r w:rsidR="00EB1263" w:rsidRPr="00234FEF">
        <w:t xml:space="preserve"> n</w:t>
      </w:r>
      <w:r w:rsidR="003B69D4" w:rsidRPr="00234FEF">
        <w:t>o clear</w:t>
      </w:r>
      <w:r w:rsidR="003B69D4" w:rsidRPr="002213D2">
        <w:rPr>
          <w:rFonts w:cstheme="minorHAnsi"/>
        </w:rPr>
        <w:t xml:space="preserve"> alternative definition</w:t>
      </w:r>
      <w:r w:rsidR="00FC52F6">
        <w:rPr>
          <w:rFonts w:cstheme="minorHAnsi"/>
        </w:rPr>
        <w:t>s</w:t>
      </w:r>
      <w:r w:rsidR="003B69D4" w:rsidRPr="002213D2">
        <w:rPr>
          <w:rFonts w:cstheme="minorHAnsi"/>
        </w:rPr>
        <w:t xml:space="preserve"> </w:t>
      </w:r>
      <w:r w:rsidR="00FC52F6" w:rsidRPr="002213D2">
        <w:rPr>
          <w:rFonts w:cstheme="minorHAnsi"/>
        </w:rPr>
        <w:t>w</w:t>
      </w:r>
      <w:r w:rsidR="00FC52F6">
        <w:rPr>
          <w:rFonts w:cstheme="minorHAnsi"/>
        </w:rPr>
        <w:t>ere</w:t>
      </w:r>
      <w:r w:rsidR="00FC52F6" w:rsidRPr="002213D2">
        <w:rPr>
          <w:rFonts w:cstheme="minorHAnsi"/>
        </w:rPr>
        <w:t xml:space="preserve"> </w:t>
      </w:r>
      <w:r w:rsidR="003B69D4" w:rsidRPr="002213D2">
        <w:rPr>
          <w:rFonts w:cstheme="minorHAnsi"/>
        </w:rPr>
        <w:t xml:space="preserve">proposed. </w:t>
      </w:r>
    </w:p>
    <w:p w14:paraId="097F33BB" w14:textId="144CA81B" w:rsidR="007073DC" w:rsidRPr="0006113C" w:rsidRDefault="00ED479E" w:rsidP="00234FEF">
      <w:pPr>
        <w:pStyle w:val="BodyText"/>
      </w:pPr>
      <w:r w:rsidRPr="002213D2">
        <w:t>I</w:t>
      </w:r>
      <w:r w:rsidR="00EB1263" w:rsidRPr="002213D2">
        <w:t xml:space="preserve">f this option is preferred, </w:t>
      </w:r>
      <w:r w:rsidR="00E810B5" w:rsidRPr="002213D2">
        <w:t xml:space="preserve">further work in consultation with Safe Work Australia Members </w:t>
      </w:r>
      <w:r w:rsidR="00D27041">
        <w:t>would</w:t>
      </w:r>
      <w:r w:rsidR="00D27041" w:rsidRPr="002213D2">
        <w:t xml:space="preserve"> </w:t>
      </w:r>
      <w:r w:rsidR="00E810B5" w:rsidRPr="002213D2">
        <w:t xml:space="preserve">be undertaken to </w:t>
      </w:r>
      <w:r w:rsidR="00703FCD" w:rsidRPr="002213D2">
        <w:t>refine</w:t>
      </w:r>
      <w:r w:rsidR="00E810B5" w:rsidRPr="002213D2">
        <w:t xml:space="preserve"> the definition</w:t>
      </w:r>
      <w:r w:rsidR="00D27041">
        <w:t>s</w:t>
      </w:r>
      <w:r w:rsidR="0006113C">
        <w:t xml:space="preserve"> </w:t>
      </w:r>
      <w:r w:rsidR="0006113C" w:rsidRPr="0006113C">
        <w:t>to minimise any unintended consequences</w:t>
      </w:r>
      <w:r w:rsidR="00CC2611" w:rsidRPr="0006113C">
        <w:t>.</w:t>
      </w:r>
    </w:p>
    <w:p w14:paraId="31F7F575" w14:textId="31A841C3" w:rsidR="00F1303A" w:rsidRPr="002213D2" w:rsidRDefault="00F1303A" w:rsidP="00234FEF">
      <w:pPr>
        <w:pStyle w:val="BodyText"/>
      </w:pPr>
      <w:r w:rsidRPr="002213D2">
        <w:t xml:space="preserve">This </w:t>
      </w:r>
      <w:r w:rsidR="00C447D4" w:rsidRPr="002213D2">
        <w:t xml:space="preserve">option </w:t>
      </w:r>
      <w:r w:rsidRPr="002213D2">
        <w:t xml:space="preserve">would </w:t>
      </w:r>
      <w:r w:rsidR="00C447D4" w:rsidRPr="002213D2">
        <w:t>specify</w:t>
      </w:r>
      <w:r w:rsidR="00E810B5" w:rsidRPr="002213D2">
        <w:t xml:space="preserve"> </w:t>
      </w:r>
      <w:r w:rsidR="003F4A8A" w:rsidRPr="002213D2">
        <w:t xml:space="preserve">the following </w:t>
      </w:r>
      <w:r w:rsidR="00E810B5" w:rsidRPr="002213D2">
        <w:t xml:space="preserve">requirements for </w:t>
      </w:r>
      <w:r w:rsidR="003F4A8A" w:rsidRPr="002213D2">
        <w:t xml:space="preserve">PCBUs undertaking </w:t>
      </w:r>
      <w:r w:rsidR="00E810B5" w:rsidRPr="002213D2">
        <w:rPr>
          <w:i/>
        </w:rPr>
        <w:t>high risk crystalline silica processes</w:t>
      </w:r>
      <w:r w:rsidRPr="002213D2">
        <w:t>:</w:t>
      </w:r>
    </w:p>
    <w:p w14:paraId="3A8E677C" w14:textId="77791A01" w:rsidR="00EC06FD" w:rsidRPr="002213D2" w:rsidRDefault="006E674E" w:rsidP="008B35E0">
      <w:pPr>
        <w:pStyle w:val="ListBullet"/>
      </w:pPr>
      <w:r w:rsidRPr="002213D2">
        <w:t xml:space="preserve">PCBUs undertaking </w:t>
      </w:r>
      <w:r w:rsidRPr="002213D2">
        <w:rPr>
          <w:i/>
        </w:rPr>
        <w:t xml:space="preserve">high risk </w:t>
      </w:r>
      <w:r w:rsidR="00DD7401" w:rsidRPr="002213D2">
        <w:rPr>
          <w:i/>
        </w:rPr>
        <w:t xml:space="preserve">crystalline </w:t>
      </w:r>
      <w:r w:rsidRPr="002213D2">
        <w:rPr>
          <w:i/>
        </w:rPr>
        <w:t xml:space="preserve">silica </w:t>
      </w:r>
      <w:r w:rsidR="002403F2" w:rsidRPr="002213D2">
        <w:rPr>
          <w:i/>
        </w:rPr>
        <w:t>processes</w:t>
      </w:r>
      <w:r w:rsidR="002403F2" w:rsidRPr="002213D2">
        <w:t xml:space="preserve"> </w:t>
      </w:r>
      <w:r w:rsidRPr="002213D2">
        <w:t xml:space="preserve">would be required to </w:t>
      </w:r>
      <w:r w:rsidR="00CF36AB" w:rsidRPr="002213D2">
        <w:t>develop a</w:t>
      </w:r>
      <w:r w:rsidR="00EC06FD" w:rsidRPr="002213D2">
        <w:t xml:space="preserve"> silica risk control plan based on the outcomes of </w:t>
      </w:r>
      <w:r w:rsidR="00A270F5" w:rsidRPr="002213D2">
        <w:t xml:space="preserve">a </w:t>
      </w:r>
      <w:r w:rsidR="00EC06FD" w:rsidRPr="002213D2">
        <w:t>risk assessment. This would include</w:t>
      </w:r>
      <w:r w:rsidR="002D41C5" w:rsidRPr="002213D2">
        <w:t xml:space="preserve"> identifying and documenting</w:t>
      </w:r>
      <w:r w:rsidR="00EC06FD" w:rsidRPr="002213D2">
        <w:t>:</w:t>
      </w:r>
      <w:r w:rsidR="00CF36AB" w:rsidRPr="002213D2">
        <w:t xml:space="preserve"> </w:t>
      </w:r>
    </w:p>
    <w:p w14:paraId="68295FD4" w14:textId="2A7C807B" w:rsidR="004D23C9" w:rsidRPr="006872E8" w:rsidRDefault="004D23C9" w:rsidP="008B35E0">
      <w:pPr>
        <w:pStyle w:val="IAListbullet2"/>
      </w:pPr>
      <w:r w:rsidRPr="006872E8">
        <w:lastRenderedPageBreak/>
        <w:t>the specific tasks or processes required to be undertaken with crystalline silica substances that are high risk crystalline silica processes</w:t>
      </w:r>
    </w:p>
    <w:p w14:paraId="164E29CD" w14:textId="1055BB18" w:rsidR="004D23C9" w:rsidRPr="006872E8" w:rsidRDefault="004D23C9" w:rsidP="008B35E0">
      <w:pPr>
        <w:pStyle w:val="IAListbullet2"/>
      </w:pPr>
      <w:r w:rsidRPr="006872E8">
        <w:t>the form(s) of crystalline silica present in the crystalline silica substance(s)</w:t>
      </w:r>
    </w:p>
    <w:p w14:paraId="4FA65285" w14:textId="77777777" w:rsidR="004D23C9" w:rsidRPr="006872E8" w:rsidRDefault="004D23C9" w:rsidP="008B35E0">
      <w:pPr>
        <w:pStyle w:val="IAListbullet2"/>
      </w:pPr>
      <w:r w:rsidRPr="006872E8">
        <w:t>the proportion of crystalline silica contained in the crystalline silica substance</w:t>
      </w:r>
    </w:p>
    <w:p w14:paraId="2AF3F79F" w14:textId="201B037B" w:rsidR="00122DA8" w:rsidRPr="006872E8" w:rsidRDefault="00122DA8" w:rsidP="008B35E0">
      <w:pPr>
        <w:pStyle w:val="IAListbullet2"/>
      </w:pPr>
      <w:r w:rsidRPr="006872E8">
        <w:t xml:space="preserve">the hazards and the risks associated with that work, including the likely frequency and duration of exposure of workers to RCS </w:t>
      </w:r>
    </w:p>
    <w:p w14:paraId="627A24C6" w14:textId="339623F2" w:rsidR="00F45837" w:rsidRPr="006872E8" w:rsidRDefault="00F45837" w:rsidP="008B35E0">
      <w:pPr>
        <w:pStyle w:val="IAListbullet2"/>
      </w:pPr>
      <w:r w:rsidRPr="006872E8">
        <w:t>measures to control those risks</w:t>
      </w:r>
      <w:r w:rsidR="0004219C" w:rsidRPr="006872E8">
        <w:t>, and</w:t>
      </w:r>
      <w:r w:rsidRPr="006872E8">
        <w:t xml:space="preserve"> </w:t>
      </w:r>
    </w:p>
    <w:p w14:paraId="36028197" w14:textId="21EDD641" w:rsidR="00F45837" w:rsidRDefault="00F45837" w:rsidP="008B35E0">
      <w:pPr>
        <w:pStyle w:val="IAListbullet2"/>
      </w:pPr>
      <w:r w:rsidRPr="006872E8">
        <w:t xml:space="preserve">how the risk control measures </w:t>
      </w:r>
      <w:r w:rsidR="002A21C5" w:rsidRPr="006872E8">
        <w:t xml:space="preserve">will be or </w:t>
      </w:r>
      <w:r w:rsidRPr="006872E8">
        <w:t>are</w:t>
      </w:r>
      <w:r w:rsidRPr="009D0A4A">
        <w:t xml:space="preserve"> implemented</w:t>
      </w:r>
      <w:r w:rsidR="0004219C">
        <w:t>.</w:t>
      </w:r>
    </w:p>
    <w:p w14:paraId="3147AC67" w14:textId="5BD9D119" w:rsidR="003F4FEC" w:rsidRDefault="00B83A16" w:rsidP="008B35E0">
      <w:pPr>
        <w:pStyle w:val="ListBullet"/>
      </w:pPr>
      <w:r>
        <w:t xml:space="preserve">The silica risk control plan </w:t>
      </w:r>
      <w:r w:rsidR="001D409D">
        <w:t xml:space="preserve">would </w:t>
      </w:r>
      <w:r w:rsidR="0028349D">
        <w:t>also be required to</w:t>
      </w:r>
      <w:r w:rsidR="003F4FEC">
        <w:t>:</w:t>
      </w:r>
    </w:p>
    <w:p w14:paraId="2631414A" w14:textId="4E379C40" w:rsidR="003F4FEC" w:rsidRPr="00121F54" w:rsidRDefault="0028349D" w:rsidP="008B35E0">
      <w:pPr>
        <w:pStyle w:val="IAListbullet2"/>
      </w:pPr>
      <w:r w:rsidRPr="00121F54">
        <w:t xml:space="preserve">contain </w:t>
      </w:r>
      <w:r w:rsidR="004D23C9" w:rsidRPr="00121F54">
        <w:t>previous air monitoring and health monitoring results</w:t>
      </w:r>
      <w:r w:rsidR="003E0DB5" w:rsidRPr="00121F54">
        <w:t xml:space="preserve"> </w:t>
      </w:r>
    </w:p>
    <w:p w14:paraId="1F27A185" w14:textId="6EC07F0A" w:rsidR="00122DA8" w:rsidRPr="00121F54" w:rsidRDefault="00122DA8" w:rsidP="008B35E0">
      <w:pPr>
        <w:pStyle w:val="IAListbullet2"/>
      </w:pPr>
      <w:r w:rsidRPr="00121F54">
        <w:t>contain any other information about previous incidents, illnesses or diseases associated with exposure to RCS</w:t>
      </w:r>
      <w:r w:rsidR="004D23C9" w:rsidRPr="00121F54">
        <w:t xml:space="preserve"> at the workplace</w:t>
      </w:r>
      <w:r w:rsidRPr="00121F54">
        <w:t xml:space="preserve">, and </w:t>
      </w:r>
    </w:p>
    <w:p w14:paraId="11353B8E" w14:textId="392BE1A1" w:rsidR="00122DA8" w:rsidRPr="00121F54" w:rsidRDefault="00122DA8" w:rsidP="008B35E0">
      <w:pPr>
        <w:pStyle w:val="IAListbullet2"/>
      </w:pPr>
      <w:r w:rsidRPr="00121F54">
        <w:t>be set out and expressed in a way that is readily accessible and comprehensible to all people who use it.</w:t>
      </w:r>
    </w:p>
    <w:p w14:paraId="31289547" w14:textId="47FB7A15" w:rsidR="003440D4" w:rsidRPr="00121F54" w:rsidRDefault="00A60C2E" w:rsidP="008B35E0">
      <w:pPr>
        <w:pStyle w:val="ListBullet"/>
      </w:pPr>
      <w:r w:rsidRPr="00121F54">
        <w:t>Any construction work</w:t>
      </w:r>
      <w:r w:rsidRPr="001D409D">
        <w:rPr>
          <w:rStyle w:val="FootnoteReference"/>
        </w:rPr>
        <w:footnoteReference w:id="14"/>
      </w:r>
      <w:r w:rsidRPr="00121F54">
        <w:t xml:space="preserve"> that involves high risk crystalline silica processes would be considered high risk construction work and a Safe Work Method Statement must be produced, complied with, provided to the principal contractor (if any), reviewed and retained as per model WHS Regulations regs 299-303.  </w:t>
      </w:r>
      <w:r w:rsidR="003440D4" w:rsidRPr="00121F54">
        <w:t xml:space="preserve">Note for high risk crystalline silica </w:t>
      </w:r>
      <w:r w:rsidR="00926789" w:rsidRPr="00121F54">
        <w:t xml:space="preserve">processes </w:t>
      </w:r>
      <w:r w:rsidR="003440D4" w:rsidRPr="00121F54">
        <w:t xml:space="preserve">that </w:t>
      </w:r>
      <w:r w:rsidR="0006459B" w:rsidRPr="00121F54">
        <w:t xml:space="preserve">are </w:t>
      </w:r>
      <w:r w:rsidR="003440D4" w:rsidRPr="00121F54">
        <w:t xml:space="preserve">high risk construction work, preparation of a SWMS </w:t>
      </w:r>
      <w:r w:rsidR="00B4584A" w:rsidRPr="00121F54">
        <w:t>may</w:t>
      </w:r>
      <w:r w:rsidR="003440D4" w:rsidRPr="00121F54">
        <w:t xml:space="preserve"> be sufficient to meet the requirement for a silica risk control plan. </w:t>
      </w:r>
    </w:p>
    <w:p w14:paraId="3E0BEA4C" w14:textId="662F9EA8" w:rsidR="00FC3CA0" w:rsidRPr="00121F54" w:rsidRDefault="008349FA" w:rsidP="008B35E0">
      <w:pPr>
        <w:pStyle w:val="ListBullet"/>
      </w:pPr>
      <w:r w:rsidRPr="00121F54">
        <w:t>PCBUs</w:t>
      </w:r>
      <w:r w:rsidR="008851D7" w:rsidRPr="00121F54">
        <w:t xml:space="preserve"> </w:t>
      </w:r>
      <w:r w:rsidR="003440D4" w:rsidRPr="00121F54">
        <w:t xml:space="preserve">would also be required to </w:t>
      </w:r>
      <w:r w:rsidR="00FC3CA0" w:rsidRPr="00121F54">
        <w:t>provid</w:t>
      </w:r>
      <w:r w:rsidR="003440D4" w:rsidRPr="00121F54">
        <w:t>e</w:t>
      </w:r>
      <w:r w:rsidR="00FC3CA0" w:rsidRPr="00121F54">
        <w:t xml:space="preserve"> information to workers prior to commencing work. This includes instruction, information and training about the health risks associated with exposure to crystalline silica dust, the need for appropriate controls, and application of controls</w:t>
      </w:r>
    </w:p>
    <w:p w14:paraId="31D340D1" w14:textId="22573297" w:rsidR="007073DC" w:rsidRPr="00121F54" w:rsidRDefault="007073DC" w:rsidP="008B35E0">
      <w:pPr>
        <w:pStyle w:val="ListBullet"/>
      </w:pPr>
      <w:r w:rsidRPr="00121F54">
        <w:t xml:space="preserve">PCBUs </w:t>
      </w:r>
      <w:r w:rsidR="00CD5CA2">
        <w:t>would be required to</w:t>
      </w:r>
      <w:r w:rsidR="00CD5CA2" w:rsidRPr="00121F54">
        <w:t xml:space="preserve"> </w:t>
      </w:r>
      <w:r w:rsidRPr="00121F54">
        <w:t>undertake air monitoring when the work involves a high risk crystalline silica process</w:t>
      </w:r>
      <w:r w:rsidR="00987334" w:rsidRPr="00121F54">
        <w:t xml:space="preserve"> and </w:t>
      </w:r>
      <w:r w:rsidR="003F42C9" w:rsidRPr="00121F54">
        <w:t>provide air monitoring results to the WHS regulator where they indicate that the levels of RCS in the workplace exceed the WES</w:t>
      </w:r>
      <w:r w:rsidRPr="00121F54">
        <w:t xml:space="preserve">. </w:t>
      </w:r>
    </w:p>
    <w:p w14:paraId="106A6A1F" w14:textId="55D28A52" w:rsidR="007073DC" w:rsidRPr="00121F54" w:rsidRDefault="007073DC" w:rsidP="008B35E0">
      <w:pPr>
        <w:pStyle w:val="ListBullet"/>
      </w:pPr>
      <w:r w:rsidRPr="00121F54">
        <w:t xml:space="preserve">PCBUs </w:t>
      </w:r>
      <w:r w:rsidR="00CD5CA2">
        <w:t>would be required to</w:t>
      </w:r>
      <w:r w:rsidR="00CD5CA2" w:rsidRPr="00121F54">
        <w:t xml:space="preserve"> </w:t>
      </w:r>
      <w:r w:rsidRPr="00121F54">
        <w:t>provide and pay for health monitoring for</w:t>
      </w:r>
      <w:r w:rsidR="003800E8">
        <w:t xml:space="preserve"> all</w:t>
      </w:r>
      <w:r w:rsidRPr="00121F54">
        <w:t xml:space="preserve"> workers</w:t>
      </w:r>
      <w:r w:rsidR="003800E8" w:rsidRPr="003800E8">
        <w:t xml:space="preserve"> </w:t>
      </w:r>
      <w:r w:rsidR="003800E8" w:rsidRPr="00121F54">
        <w:t>undertaking a high risk crystalline silica process</w:t>
      </w:r>
      <w:r w:rsidR="003800E8">
        <w:t>. They would also be required to</w:t>
      </w:r>
      <w:r w:rsidR="000C38E2">
        <w:t xml:space="preserve"> </w:t>
      </w:r>
      <w:r w:rsidRPr="00121F54">
        <w:t xml:space="preserve">provide information to the registered medical practitioner undertaking health monitoring, obtain health monitoring reports, provide health monitoring reports to workers, </w:t>
      </w:r>
      <w:r w:rsidR="00F81A7A">
        <w:t xml:space="preserve">WHS </w:t>
      </w:r>
      <w:r w:rsidRPr="00121F54">
        <w:t>regulators</w:t>
      </w:r>
      <w:r w:rsidR="0003118C" w:rsidRPr="00121F54">
        <w:t xml:space="preserve"> (where required)</w:t>
      </w:r>
      <w:r w:rsidRPr="00121F54">
        <w:t xml:space="preserve"> and other relevant PCBUs</w:t>
      </w:r>
      <w:r w:rsidR="0003118C" w:rsidRPr="00121F54">
        <w:t>,</w:t>
      </w:r>
      <w:r w:rsidRPr="00121F54">
        <w:t xml:space="preserve"> and retain health monitoring records as per model WHS Regulations regs 369-378. </w:t>
      </w:r>
    </w:p>
    <w:p w14:paraId="0E146418" w14:textId="1E1DE66F" w:rsidR="007073DC" w:rsidRPr="0003118C" w:rsidRDefault="00901446" w:rsidP="00234FEF">
      <w:pPr>
        <w:pStyle w:val="BodyText"/>
      </w:pPr>
      <w:r>
        <w:t>This option would also be accompanied by a national awareness campaign and the development of supporting guidance material for PCBUs and workers.</w:t>
      </w:r>
    </w:p>
    <w:p w14:paraId="78D0C267" w14:textId="58271965" w:rsidR="00916B7E" w:rsidRPr="0003118C" w:rsidRDefault="00FC5219" w:rsidP="00234FEF">
      <w:pPr>
        <w:pStyle w:val="BodyText"/>
        <w:rPr>
          <w:rFonts w:cstheme="minorHAnsi"/>
        </w:rPr>
      </w:pPr>
      <w:r w:rsidRPr="0003118C">
        <w:t>If implemented</w:t>
      </w:r>
      <w:r w:rsidR="00916B7E" w:rsidRPr="0003118C">
        <w:t xml:space="preserve"> Option 5a</w:t>
      </w:r>
      <w:r w:rsidR="00FC5E98" w:rsidRPr="0003118C">
        <w:t xml:space="preserve"> would be expected to</w:t>
      </w:r>
      <w:r w:rsidR="00916B7E" w:rsidRPr="0003118C">
        <w:t>:</w:t>
      </w:r>
    </w:p>
    <w:p w14:paraId="04359F10" w14:textId="427097CB" w:rsidR="004B1D64" w:rsidRPr="0003118C" w:rsidRDefault="004B1D64" w:rsidP="008B35E0">
      <w:pPr>
        <w:pStyle w:val="ListBullet"/>
        <w:rPr>
          <w:rFonts w:cstheme="minorHAnsi"/>
        </w:rPr>
      </w:pPr>
      <w:r w:rsidRPr="0003118C">
        <w:lastRenderedPageBreak/>
        <w:t xml:space="preserve">clarify the duties related to air and health monitoring for PCBUs </w:t>
      </w:r>
      <w:r w:rsidR="002810BC" w:rsidRPr="0003118C">
        <w:t xml:space="preserve">undertaking </w:t>
      </w:r>
      <w:r w:rsidR="002810BC" w:rsidRPr="0003118C">
        <w:rPr>
          <w:i/>
        </w:rPr>
        <w:t>high risk crystalline silica processes</w:t>
      </w:r>
      <w:r w:rsidRPr="0003118C">
        <w:t xml:space="preserve">, </w:t>
      </w:r>
      <w:r w:rsidR="0067450C" w:rsidRPr="0003118C">
        <w:t xml:space="preserve">including </w:t>
      </w:r>
      <w:r w:rsidRPr="0003118C">
        <w:t>when reports must be provided to the WHS regulator. This would allow identification of PCBUs who may not be effectively controlling RCS exposures at their workplaces</w:t>
      </w:r>
      <w:r w:rsidR="0067450C" w:rsidRPr="0003118C">
        <w:t>, and</w:t>
      </w:r>
      <w:r w:rsidRPr="0003118C">
        <w:t xml:space="preserve"> </w:t>
      </w:r>
    </w:p>
    <w:p w14:paraId="0C5A21D6" w14:textId="52BEDE95" w:rsidR="00916B7E" w:rsidRPr="0003118C" w:rsidRDefault="00622759" w:rsidP="008B35E0">
      <w:pPr>
        <w:pStyle w:val="ListBullet"/>
        <w:rPr>
          <w:rFonts w:cstheme="minorHAnsi"/>
        </w:rPr>
      </w:pPr>
      <w:r w:rsidRPr="0003118C">
        <w:t xml:space="preserve">improve compliance and reduce the risk of exposure to RCS. </w:t>
      </w:r>
      <w:r w:rsidR="00916B7E" w:rsidRPr="0003118C">
        <w:t>PCBU</w:t>
      </w:r>
      <w:r w:rsidR="00DB5B9A" w:rsidRPr="0003118C">
        <w:t>s’</w:t>
      </w:r>
      <w:r w:rsidR="00916B7E" w:rsidRPr="0003118C">
        <w:t xml:space="preserve"> and workers’ understanding of the risks and controls </w:t>
      </w:r>
      <w:r w:rsidR="00B03E04">
        <w:t>would</w:t>
      </w:r>
      <w:r w:rsidR="00B03E04" w:rsidRPr="0003118C">
        <w:t xml:space="preserve"> </w:t>
      </w:r>
      <w:r w:rsidR="001075AB" w:rsidRPr="0003118C">
        <w:t xml:space="preserve">improve </w:t>
      </w:r>
      <w:r w:rsidR="00916B7E" w:rsidRPr="0003118C">
        <w:t>by requiring a risk assessment</w:t>
      </w:r>
      <w:r w:rsidR="00097766" w:rsidRPr="0003118C">
        <w:t xml:space="preserve"> and</w:t>
      </w:r>
      <w:r w:rsidR="00C02892" w:rsidRPr="0003118C">
        <w:t xml:space="preserve"> silica </w:t>
      </w:r>
      <w:r w:rsidR="00916B7E" w:rsidRPr="0003118C">
        <w:t>risk control plan</w:t>
      </w:r>
      <w:r w:rsidR="00097766" w:rsidRPr="0003118C">
        <w:t>,</w:t>
      </w:r>
      <w:r w:rsidR="00916B7E" w:rsidRPr="0003118C">
        <w:t xml:space="preserve"> </w:t>
      </w:r>
      <w:r w:rsidR="00D83926" w:rsidRPr="0003118C">
        <w:t>a</w:t>
      </w:r>
      <w:r w:rsidR="00936D40" w:rsidRPr="0003118C">
        <w:t xml:space="preserve">nd </w:t>
      </w:r>
      <w:r w:rsidR="00665CF7" w:rsidRPr="0003118C">
        <w:t>worker training</w:t>
      </w:r>
      <w:r w:rsidR="00104807" w:rsidRPr="0003118C">
        <w:t xml:space="preserve">. The requirement to </w:t>
      </w:r>
      <w:r w:rsidR="00C02892" w:rsidRPr="0003118C">
        <w:t xml:space="preserve">develop a silica risk control plan </w:t>
      </w:r>
      <w:r w:rsidR="00B03E04">
        <w:t>would</w:t>
      </w:r>
      <w:r w:rsidR="00B03E04" w:rsidRPr="0003118C">
        <w:t xml:space="preserve"> </w:t>
      </w:r>
      <w:r w:rsidR="001075AB" w:rsidRPr="0003118C">
        <w:t xml:space="preserve">also </w:t>
      </w:r>
      <w:r w:rsidR="005B4776" w:rsidRPr="0003118C">
        <w:t>ensure adequate control measures are implemented</w:t>
      </w:r>
      <w:r w:rsidR="00DB5B9A" w:rsidRPr="0003118C">
        <w:t>.</w:t>
      </w:r>
      <w:r w:rsidR="00916B7E" w:rsidRPr="0003118C">
        <w:t xml:space="preserve"> </w:t>
      </w:r>
    </w:p>
    <w:p w14:paraId="2941EA2F" w14:textId="395F81BB" w:rsidR="008E698E" w:rsidRPr="009D0A4A" w:rsidRDefault="77513FF5" w:rsidP="141F65A1">
      <w:pPr>
        <w:pStyle w:val="Heading2"/>
        <w:rPr>
          <w:u w:val="single"/>
        </w:rPr>
      </w:pPr>
      <w:bookmarkStart w:id="616" w:name="_Toc100323772"/>
      <w:bookmarkStart w:id="617" w:name="_Toc100240635"/>
      <w:bookmarkStart w:id="618" w:name="_Toc100240704"/>
      <w:bookmarkStart w:id="619" w:name="_Toc100323773"/>
      <w:bookmarkStart w:id="620" w:name="_Toc92885118"/>
      <w:bookmarkStart w:id="621" w:name="_Toc92958869"/>
      <w:bookmarkStart w:id="622" w:name="_Toc126573217"/>
      <w:bookmarkEnd w:id="616"/>
      <w:bookmarkEnd w:id="617"/>
      <w:bookmarkEnd w:id="618"/>
      <w:bookmarkEnd w:id="619"/>
      <w:r>
        <w:t>Option 5b</w:t>
      </w:r>
      <w:r w:rsidR="00D14CC1">
        <w:t>:</w:t>
      </w:r>
      <w:r>
        <w:t xml:space="preserve"> </w:t>
      </w:r>
      <w:r w:rsidR="000116DC">
        <w:t>Additional r</w:t>
      </w:r>
      <w:r>
        <w:t>egulation of high risk</w:t>
      </w:r>
      <w:r w:rsidR="003506DF">
        <w:t xml:space="preserve"> </w:t>
      </w:r>
      <w:r>
        <w:t xml:space="preserve">crystalline silica processes </w:t>
      </w:r>
      <w:r w:rsidR="00F868BC">
        <w:t xml:space="preserve">for all materials </w:t>
      </w:r>
      <w:r w:rsidRPr="141F65A1">
        <w:rPr>
          <w:u w:val="single"/>
        </w:rPr>
        <w:t>excluding engineered stone</w:t>
      </w:r>
      <w:bookmarkEnd w:id="620"/>
      <w:bookmarkEnd w:id="621"/>
      <w:bookmarkEnd w:id="622"/>
    </w:p>
    <w:p w14:paraId="72A61861" w14:textId="17C56B12" w:rsidR="003F4412" w:rsidRPr="008A6DA0" w:rsidRDefault="00EC06FD" w:rsidP="00234FEF">
      <w:pPr>
        <w:pStyle w:val="BodyText"/>
      </w:pPr>
      <w:r w:rsidRPr="009D0A4A">
        <w:t xml:space="preserve">Option 5b </w:t>
      </w:r>
      <w:r w:rsidR="00D46D67" w:rsidRPr="008A6DA0">
        <w:t>was developed so that it could operate</w:t>
      </w:r>
      <w:r w:rsidR="00D46D67" w:rsidRPr="008A6DA0" w:rsidDel="00F51E5D">
        <w:t xml:space="preserve"> </w:t>
      </w:r>
      <w:r w:rsidR="001A51E1" w:rsidRPr="008A6DA0">
        <w:t xml:space="preserve">in </w:t>
      </w:r>
      <w:r w:rsidR="001B57F5" w:rsidRPr="008A6DA0">
        <w:t>combination</w:t>
      </w:r>
      <w:r w:rsidR="001A51E1" w:rsidRPr="008A6DA0">
        <w:t xml:space="preserve"> with Option 4</w:t>
      </w:r>
      <w:r w:rsidR="001B57F5" w:rsidRPr="008A6DA0">
        <w:t xml:space="preserve"> </w:t>
      </w:r>
      <w:r w:rsidR="001A51E1" w:rsidRPr="008A6DA0">
        <w:t>(</w:t>
      </w:r>
      <w:r w:rsidR="00C20C57" w:rsidRPr="008A6DA0">
        <w:t xml:space="preserve">a national licensing framework for PCBUs working with engineered stone). Option 5b </w:t>
      </w:r>
      <w:r w:rsidRPr="008A6DA0">
        <w:t>is equivalent to Option 5a but would exclude engineered stone</w:t>
      </w:r>
      <w:r w:rsidR="00E3772B" w:rsidRPr="008A6DA0">
        <w:t xml:space="preserve">. </w:t>
      </w:r>
      <w:r w:rsidR="00723734" w:rsidRPr="008A6DA0">
        <w:t xml:space="preserve">This is because </w:t>
      </w:r>
      <w:r w:rsidR="006B59E1" w:rsidRPr="008A6DA0">
        <w:t xml:space="preserve">the proposed </w:t>
      </w:r>
      <w:r w:rsidR="00723734" w:rsidRPr="008A6DA0">
        <w:t xml:space="preserve">national </w:t>
      </w:r>
      <w:r w:rsidR="007C706E" w:rsidRPr="008A6DA0">
        <w:t>licensing</w:t>
      </w:r>
      <w:r w:rsidR="00723734" w:rsidRPr="008A6DA0">
        <w:t xml:space="preserve"> framework include</w:t>
      </w:r>
      <w:r w:rsidR="00A710A9" w:rsidRPr="008A6DA0">
        <w:t>s</w:t>
      </w:r>
      <w:r w:rsidR="00723734" w:rsidRPr="008A6DA0">
        <w:t xml:space="preserve"> </w:t>
      </w:r>
      <w:r w:rsidR="00A710A9" w:rsidRPr="008A6DA0">
        <w:t>overlapping</w:t>
      </w:r>
      <w:r w:rsidR="006F7B92" w:rsidRPr="008A6DA0">
        <w:t xml:space="preserve"> </w:t>
      </w:r>
      <w:r w:rsidR="00723734" w:rsidRPr="008A6DA0">
        <w:t xml:space="preserve">elements of Option </w:t>
      </w:r>
      <w:r w:rsidR="001C7588" w:rsidRPr="008A6DA0">
        <w:t>5</w:t>
      </w:r>
      <w:r w:rsidR="003F7A64" w:rsidRPr="008A6DA0">
        <w:t>a</w:t>
      </w:r>
      <w:r w:rsidR="00723734" w:rsidRPr="008A6DA0">
        <w:t xml:space="preserve">, such as requirements to undertake risk assessments, develop and implement </w:t>
      </w:r>
      <w:r w:rsidR="006F7B92" w:rsidRPr="008A6DA0">
        <w:t xml:space="preserve">risk </w:t>
      </w:r>
      <w:r w:rsidR="00723734" w:rsidRPr="008A6DA0">
        <w:t xml:space="preserve">control plans and </w:t>
      </w:r>
      <w:r w:rsidR="009877E4" w:rsidRPr="008A6DA0">
        <w:t>undertake and report results of</w:t>
      </w:r>
      <w:r w:rsidR="00723734" w:rsidRPr="008A6DA0">
        <w:t xml:space="preserve"> air and health monitoring.</w:t>
      </w:r>
    </w:p>
    <w:p w14:paraId="3D733095" w14:textId="2000C791" w:rsidR="007336AB" w:rsidRDefault="0004589B" w:rsidP="003A3B2B">
      <w:pPr>
        <w:pStyle w:val="Heading2"/>
      </w:pPr>
      <w:bookmarkStart w:id="623" w:name="_Ref121930422"/>
      <w:bookmarkStart w:id="624" w:name="_Ref125102348"/>
      <w:bookmarkStart w:id="625" w:name="_Toc126573218"/>
      <w:r>
        <w:t xml:space="preserve">Option 6: </w:t>
      </w:r>
      <w:r w:rsidR="00862AA2">
        <w:t>Prohibition o</w:t>
      </w:r>
      <w:r w:rsidR="0008577F">
        <w:t>n the</w:t>
      </w:r>
      <w:r w:rsidR="00862AA2">
        <w:t xml:space="preserve"> </w:t>
      </w:r>
      <w:r w:rsidR="0008577F">
        <w:t>use of</w:t>
      </w:r>
      <w:r w:rsidR="00B876A5">
        <w:t xml:space="preserve"> </w:t>
      </w:r>
      <w:r w:rsidR="00B84A85">
        <w:t>engineered</w:t>
      </w:r>
      <w:r w:rsidR="00581892">
        <w:t xml:space="preserve"> </w:t>
      </w:r>
      <w:r w:rsidR="00B84A85">
        <w:t>stone</w:t>
      </w:r>
      <w:bookmarkEnd w:id="623"/>
      <w:bookmarkEnd w:id="624"/>
      <w:bookmarkEnd w:id="625"/>
    </w:p>
    <w:p w14:paraId="31D80F44" w14:textId="21959470" w:rsidR="001808AB" w:rsidRDefault="00815EDD" w:rsidP="00234FEF">
      <w:pPr>
        <w:pStyle w:val="BodyText"/>
      </w:pPr>
      <w:r>
        <w:t>A ban on the use of engineered stone was not included in the CRIS.</w:t>
      </w:r>
      <w:r w:rsidR="001B6067">
        <w:t xml:space="preserve"> </w:t>
      </w:r>
      <w:r w:rsidR="00EB3196">
        <w:t xml:space="preserve">However, </w:t>
      </w:r>
      <w:r w:rsidR="001808AB" w:rsidRPr="001808AB">
        <w:t xml:space="preserve">a result of </w:t>
      </w:r>
      <w:r w:rsidR="00783CAD">
        <w:t xml:space="preserve">stakeholder feedback in </w:t>
      </w:r>
      <w:r w:rsidR="001808AB" w:rsidRPr="001808AB">
        <w:t xml:space="preserve">the consultation process, a new option has been included in this </w:t>
      </w:r>
      <w:r w:rsidR="0054756F">
        <w:t>DRIS</w:t>
      </w:r>
      <w:r w:rsidR="001808AB" w:rsidRPr="001808AB">
        <w:t xml:space="preserve"> for consideration by WHS </w:t>
      </w:r>
      <w:r w:rsidR="00BE7F75">
        <w:t>m</w:t>
      </w:r>
      <w:r w:rsidR="001808AB" w:rsidRPr="001808AB">
        <w:t xml:space="preserve">inisters. A </w:t>
      </w:r>
      <w:r w:rsidR="001808AB" w:rsidRPr="006F642E">
        <w:t>significant</w:t>
      </w:r>
      <w:r w:rsidR="001808AB" w:rsidRPr="001808AB">
        <w:t xml:space="preserve"> number of stakeholders (12 submissions, or 18</w:t>
      </w:r>
      <w:r w:rsidR="00BE7F75">
        <w:t xml:space="preserve"> per cent</w:t>
      </w:r>
      <w:r w:rsidR="001808AB" w:rsidRPr="001808AB">
        <w:t>) expressed support for a ban on engineered stone. Three submissions (4</w:t>
      </w:r>
      <w:r w:rsidR="00BE7F75">
        <w:t xml:space="preserve"> per cent</w:t>
      </w:r>
      <w:r w:rsidR="001808AB" w:rsidRPr="001808AB">
        <w:t>) opposed a ban on engineered stone</w:t>
      </w:r>
      <w:r w:rsidR="00AF71DF">
        <w:t>.</w:t>
      </w:r>
    </w:p>
    <w:p w14:paraId="0547CFE5" w14:textId="26CEBAC7" w:rsidR="00E116A8" w:rsidRDefault="00AF71DF" w:rsidP="00234FEF">
      <w:pPr>
        <w:pStyle w:val="BodyText"/>
      </w:pPr>
      <w:r>
        <w:t xml:space="preserve">Under this option </w:t>
      </w:r>
      <w:r w:rsidR="00F850B5">
        <w:t xml:space="preserve">the </w:t>
      </w:r>
      <w:r w:rsidR="00F850B5" w:rsidRPr="006F642E">
        <w:t>processing</w:t>
      </w:r>
      <w:r w:rsidR="00F850B5">
        <w:t xml:space="preserve"> of</w:t>
      </w:r>
      <w:r w:rsidR="00400351">
        <w:t xml:space="preserve"> engin</w:t>
      </w:r>
      <w:r w:rsidR="00F850B5">
        <w:t>eered stone</w:t>
      </w:r>
      <w:r w:rsidR="00FC13D3">
        <w:t xml:space="preserve"> would be prohibited</w:t>
      </w:r>
      <w:r w:rsidR="00FE204B">
        <w:t>,</w:t>
      </w:r>
      <w:r w:rsidR="00645CBF">
        <w:t xml:space="preserve"> </w:t>
      </w:r>
      <w:r w:rsidR="0047727C">
        <w:t xml:space="preserve">except under </w:t>
      </w:r>
      <w:r w:rsidR="00CA5808">
        <w:t xml:space="preserve">specific </w:t>
      </w:r>
      <w:r w:rsidR="00E74AC0">
        <w:t>circumstances</w:t>
      </w:r>
      <w:r w:rsidR="00FE204B">
        <w:t xml:space="preserve">. </w:t>
      </w:r>
    </w:p>
    <w:p w14:paraId="5B1DEDF0" w14:textId="6225BBFC" w:rsidR="00D86172" w:rsidRDefault="00E116A8" w:rsidP="00234FEF">
      <w:pPr>
        <w:pStyle w:val="BodyText"/>
      </w:pPr>
      <w:r w:rsidRPr="007C0ECB">
        <w:t xml:space="preserve">This </w:t>
      </w:r>
      <w:r w:rsidR="00E756E1" w:rsidRPr="007C0ECB">
        <w:t>option is mo</w:t>
      </w:r>
      <w:r w:rsidRPr="007C0ECB">
        <w:t xml:space="preserve">delled on Chapter 8 (Asbestos) of the model WHS Regulations. A PCBU </w:t>
      </w:r>
      <w:r w:rsidR="002B3383">
        <w:t>would</w:t>
      </w:r>
      <w:r w:rsidR="002B3383" w:rsidRPr="007C0ECB">
        <w:t xml:space="preserve"> </w:t>
      </w:r>
      <w:r w:rsidRPr="007C0ECB">
        <w:t xml:space="preserve">be prohibited from carrying out, or directing or allowing a worker to carry out, work involving the processing of engineered stone, including manufacture, manipulation, fabrication or installation. Processing </w:t>
      </w:r>
      <w:r w:rsidR="002B3383">
        <w:t>would include</w:t>
      </w:r>
      <w:r w:rsidR="002B3383" w:rsidRPr="007C0ECB">
        <w:t xml:space="preserve"> </w:t>
      </w:r>
      <w:r w:rsidRPr="007C0ECB">
        <w:t xml:space="preserve">using power tools or other mechanical plant to cut, grind, trim, sand, abrasive polish or drill the engineered stone. </w:t>
      </w:r>
      <w:r>
        <w:t>Th</w:t>
      </w:r>
      <w:r w:rsidR="00F3256B">
        <w:t>e</w:t>
      </w:r>
      <w:r>
        <w:t xml:space="preserve"> prohibition would</w:t>
      </w:r>
      <w:r w:rsidRPr="0037149B">
        <w:t xml:space="preserve"> apply to any product meeting the definition of engineered stone in the model WHS </w:t>
      </w:r>
      <w:r w:rsidR="00311A4C">
        <w:t>Regulations</w:t>
      </w:r>
      <w:r w:rsidRPr="0037149B">
        <w:t>.</w:t>
      </w:r>
      <w:r>
        <w:t xml:space="preserve"> </w:t>
      </w:r>
    </w:p>
    <w:p w14:paraId="7CF5943F" w14:textId="4193028C" w:rsidR="00A20285" w:rsidRDefault="009B746C" w:rsidP="00234FEF">
      <w:pPr>
        <w:pStyle w:val="BodyText"/>
      </w:pPr>
      <w:r>
        <w:t>Similar to those that are in place for asbestos, e</w:t>
      </w:r>
      <w:r w:rsidR="00E116A8">
        <w:t xml:space="preserve">xemptions would apply </w:t>
      </w:r>
      <w:r w:rsidR="00DA112A">
        <w:t xml:space="preserve">to PCBUs </w:t>
      </w:r>
      <w:r w:rsidR="00A20285">
        <w:t>undertaking</w:t>
      </w:r>
      <w:r w:rsidR="009C77F4">
        <w:t xml:space="preserve"> work with engineered stone for the purposes of</w:t>
      </w:r>
      <w:r w:rsidR="00A20285">
        <w:t>:</w:t>
      </w:r>
      <w:r w:rsidR="00E116A8" w:rsidRPr="00BD27E4">
        <w:t xml:space="preserve"> </w:t>
      </w:r>
    </w:p>
    <w:p w14:paraId="1DBC48FC" w14:textId="5CA99FB7" w:rsidR="00A20285" w:rsidRDefault="00E116A8" w:rsidP="008B35E0">
      <w:pPr>
        <w:pStyle w:val="IAListbullet2"/>
        <w:numPr>
          <w:ilvl w:val="0"/>
          <w:numId w:val="8"/>
        </w:numPr>
        <w:rPr>
          <w:rFonts w:ascii="Arial" w:hAnsi="Arial" w:cs="Arial"/>
          <w:lang w:eastAsia="en-AU"/>
        </w:rPr>
      </w:pPr>
      <w:r w:rsidRPr="00BD27E4">
        <w:rPr>
          <w:lang w:eastAsia="en-AU"/>
        </w:rPr>
        <w:t>sampling and identification</w:t>
      </w:r>
      <w:r w:rsidR="008F3AC1">
        <w:rPr>
          <w:rFonts w:ascii="Arial" w:hAnsi="Arial" w:cs="Arial"/>
          <w:lang w:eastAsia="en-AU"/>
        </w:rPr>
        <w:t xml:space="preserve"> </w:t>
      </w:r>
    </w:p>
    <w:p w14:paraId="31BD8403" w14:textId="77777777" w:rsidR="00A20285" w:rsidRDefault="00E116A8" w:rsidP="008B35E0">
      <w:pPr>
        <w:pStyle w:val="IAListbullet2"/>
        <w:numPr>
          <w:ilvl w:val="0"/>
          <w:numId w:val="8"/>
        </w:numPr>
        <w:rPr>
          <w:lang w:eastAsia="en-AU"/>
        </w:rPr>
      </w:pPr>
      <w:r w:rsidRPr="00BD27E4">
        <w:rPr>
          <w:lang w:eastAsia="en-AU"/>
        </w:rPr>
        <w:t>maintenance work on engineered stone surfaces installed before the date prohibition is enacted</w:t>
      </w:r>
    </w:p>
    <w:p w14:paraId="7E38B653" w14:textId="72612245" w:rsidR="009C77F4" w:rsidRDefault="00E116A8" w:rsidP="008B35E0">
      <w:pPr>
        <w:pStyle w:val="IAListbullet2"/>
        <w:numPr>
          <w:ilvl w:val="0"/>
          <w:numId w:val="8"/>
        </w:numPr>
        <w:rPr>
          <w:lang w:eastAsia="en-AU"/>
        </w:rPr>
      </w:pPr>
      <w:r>
        <w:rPr>
          <w:lang w:eastAsia="en-AU"/>
        </w:rPr>
        <w:lastRenderedPageBreak/>
        <w:t>removal</w:t>
      </w:r>
      <w:r w:rsidRPr="00BD27E4">
        <w:rPr>
          <w:lang w:eastAsia="en-AU"/>
        </w:rPr>
        <w:t xml:space="preserve"> or disposal of engineered stone (including transport for disposal)</w:t>
      </w:r>
    </w:p>
    <w:p w14:paraId="34DD73C4" w14:textId="07CD1843" w:rsidR="009C77F4" w:rsidRDefault="00421879" w:rsidP="008B35E0">
      <w:pPr>
        <w:pStyle w:val="IAListbullet2"/>
        <w:numPr>
          <w:ilvl w:val="0"/>
          <w:numId w:val="8"/>
        </w:numPr>
        <w:rPr>
          <w:lang w:eastAsia="en-AU"/>
        </w:rPr>
      </w:pPr>
      <w:r>
        <w:rPr>
          <w:lang w:eastAsia="en-AU"/>
        </w:rPr>
        <w:t>demonstrations, education pr practical training, and</w:t>
      </w:r>
    </w:p>
    <w:p w14:paraId="564B3047" w14:textId="7F107174" w:rsidR="00ED416B" w:rsidRDefault="00E116A8" w:rsidP="008B35E0">
      <w:pPr>
        <w:pStyle w:val="IAListbullet2"/>
        <w:numPr>
          <w:ilvl w:val="0"/>
          <w:numId w:val="8"/>
        </w:numPr>
        <w:rPr>
          <w:lang w:eastAsia="en-AU"/>
        </w:rPr>
      </w:pPr>
      <w:r>
        <w:rPr>
          <w:lang w:eastAsia="en-AU"/>
        </w:rPr>
        <w:t xml:space="preserve">genuine research and </w:t>
      </w:r>
      <w:r w:rsidR="00584D04">
        <w:rPr>
          <w:lang w:eastAsia="en-AU"/>
        </w:rPr>
        <w:t>analysis</w:t>
      </w:r>
      <w:r>
        <w:rPr>
          <w:lang w:eastAsia="en-AU"/>
        </w:rPr>
        <w:t xml:space="preserve">. </w:t>
      </w:r>
    </w:p>
    <w:p w14:paraId="1E54CAAB" w14:textId="73B7374A" w:rsidR="00E31D2D" w:rsidRDefault="00C67B82" w:rsidP="00234FEF">
      <w:pPr>
        <w:pStyle w:val="BodyText"/>
        <w:rPr>
          <w:lang w:eastAsia="en-AU"/>
        </w:rPr>
      </w:pPr>
      <w:r>
        <w:rPr>
          <w:lang w:eastAsia="en-AU"/>
        </w:rPr>
        <w:t xml:space="preserve">PCBUs </w:t>
      </w:r>
      <w:r w:rsidR="003F26A5">
        <w:rPr>
          <w:lang w:eastAsia="en-AU"/>
        </w:rPr>
        <w:t>wanting to undertake e</w:t>
      </w:r>
      <w:r w:rsidR="00E116A8">
        <w:rPr>
          <w:lang w:eastAsia="en-AU"/>
        </w:rPr>
        <w:t>xempt work with engineered stone would</w:t>
      </w:r>
      <w:r w:rsidR="00893421">
        <w:rPr>
          <w:lang w:eastAsia="en-AU"/>
        </w:rPr>
        <w:t xml:space="preserve"> require</w:t>
      </w:r>
      <w:r w:rsidR="00105AEA">
        <w:rPr>
          <w:lang w:eastAsia="en-AU"/>
        </w:rPr>
        <w:t xml:space="preserve"> </w:t>
      </w:r>
      <w:r w:rsidR="00E116A8">
        <w:rPr>
          <w:lang w:eastAsia="en-AU"/>
        </w:rPr>
        <w:t>a licence</w:t>
      </w:r>
      <w:r w:rsidR="00893421">
        <w:rPr>
          <w:lang w:eastAsia="en-AU"/>
        </w:rPr>
        <w:t xml:space="preserve"> </w:t>
      </w:r>
      <w:r w:rsidR="00E47F27">
        <w:rPr>
          <w:lang w:eastAsia="en-AU"/>
        </w:rPr>
        <w:t>as outlined in option 4, including</w:t>
      </w:r>
      <w:r w:rsidR="008C2775">
        <w:rPr>
          <w:lang w:eastAsia="en-AU"/>
        </w:rPr>
        <w:t>:</w:t>
      </w:r>
    </w:p>
    <w:p w14:paraId="63B7E343" w14:textId="136C9566" w:rsidR="00E31D2D" w:rsidRPr="00E31D2D" w:rsidRDefault="00E116A8" w:rsidP="008B35E0">
      <w:pPr>
        <w:pStyle w:val="IAListbullet2"/>
        <w:numPr>
          <w:ilvl w:val="0"/>
          <w:numId w:val="8"/>
        </w:numPr>
        <w:rPr>
          <w:lang w:eastAsia="en-AU"/>
        </w:rPr>
      </w:pPr>
      <w:r>
        <w:rPr>
          <w:lang w:eastAsia="en-AU"/>
        </w:rPr>
        <w:t>develop</w:t>
      </w:r>
      <w:r w:rsidR="00E47F27">
        <w:rPr>
          <w:lang w:eastAsia="en-AU"/>
        </w:rPr>
        <w:t>ing</w:t>
      </w:r>
      <w:r>
        <w:rPr>
          <w:lang w:eastAsia="en-AU"/>
        </w:rPr>
        <w:t xml:space="preserve"> and implement</w:t>
      </w:r>
      <w:r w:rsidR="00E47F27">
        <w:rPr>
          <w:lang w:eastAsia="en-AU"/>
        </w:rPr>
        <w:t>ing</w:t>
      </w:r>
      <w:r>
        <w:rPr>
          <w:lang w:eastAsia="en-AU"/>
        </w:rPr>
        <w:t xml:space="preserve"> an engineered stone control plan</w:t>
      </w:r>
    </w:p>
    <w:p w14:paraId="1A5A934B" w14:textId="7A62FD8A" w:rsidR="00E31D2D" w:rsidRPr="00E31D2D" w:rsidRDefault="00E116A8" w:rsidP="008B35E0">
      <w:pPr>
        <w:pStyle w:val="IAListbullet2"/>
        <w:numPr>
          <w:ilvl w:val="0"/>
          <w:numId w:val="8"/>
        </w:numPr>
        <w:rPr>
          <w:lang w:eastAsia="en-AU"/>
        </w:rPr>
      </w:pPr>
      <w:r>
        <w:rPr>
          <w:lang w:eastAsia="en-AU"/>
        </w:rPr>
        <w:t>ensur</w:t>
      </w:r>
      <w:r w:rsidR="00E47F27">
        <w:rPr>
          <w:lang w:eastAsia="en-AU"/>
        </w:rPr>
        <w:t>ing</w:t>
      </w:r>
      <w:r>
        <w:rPr>
          <w:lang w:eastAsia="en-AU"/>
        </w:rPr>
        <w:t xml:space="preserve"> appropriate controls are in place</w:t>
      </w:r>
      <w:r w:rsidR="009C6025">
        <w:rPr>
          <w:lang w:eastAsia="en-AU"/>
        </w:rPr>
        <w:t>,</w:t>
      </w:r>
      <w:r>
        <w:rPr>
          <w:lang w:eastAsia="en-AU"/>
        </w:rPr>
        <w:t xml:space="preserve"> and </w:t>
      </w:r>
    </w:p>
    <w:p w14:paraId="1108E66D" w14:textId="6B0E4253" w:rsidR="00E31D2D" w:rsidRPr="00E31D2D" w:rsidRDefault="00E116A8" w:rsidP="008B35E0">
      <w:pPr>
        <w:pStyle w:val="IAListbullet2"/>
        <w:numPr>
          <w:ilvl w:val="0"/>
          <w:numId w:val="8"/>
        </w:numPr>
        <w:rPr>
          <w:lang w:eastAsia="en-AU"/>
        </w:rPr>
      </w:pPr>
      <w:r>
        <w:rPr>
          <w:lang w:eastAsia="en-AU"/>
        </w:rPr>
        <w:t>undertak</w:t>
      </w:r>
      <w:r w:rsidR="00E47F27">
        <w:rPr>
          <w:lang w:eastAsia="en-AU"/>
        </w:rPr>
        <w:t>ing</w:t>
      </w:r>
      <w:r>
        <w:rPr>
          <w:lang w:eastAsia="en-AU"/>
        </w:rPr>
        <w:t xml:space="preserve"> air monitoring and health monitoring.  </w:t>
      </w:r>
    </w:p>
    <w:p w14:paraId="1AA07BB6" w14:textId="0784DCB1" w:rsidR="00EF45CD" w:rsidRDefault="00EE0728" w:rsidP="00234FEF">
      <w:pPr>
        <w:pStyle w:val="BodyText"/>
      </w:pPr>
      <w:r>
        <w:t>As implementing this option</w:t>
      </w:r>
      <w:r w:rsidR="00E116A8">
        <w:t xml:space="preserve"> would not </w:t>
      </w:r>
      <w:r w:rsidR="00E116A8" w:rsidRPr="0037149B">
        <w:t xml:space="preserve">address the </w:t>
      </w:r>
      <w:r w:rsidR="00E116A8">
        <w:t xml:space="preserve">significant </w:t>
      </w:r>
      <w:r w:rsidR="00E116A8" w:rsidRPr="0037149B">
        <w:t xml:space="preserve">risks of silicosis </w:t>
      </w:r>
      <w:r w:rsidR="00E116A8">
        <w:t xml:space="preserve">and silica-related diseases </w:t>
      </w:r>
      <w:r w:rsidR="006F267A">
        <w:t>from other silica-containing materials</w:t>
      </w:r>
      <w:r>
        <w:t xml:space="preserve">, </w:t>
      </w:r>
      <w:r w:rsidR="00562F28">
        <w:t xml:space="preserve">this option </w:t>
      </w:r>
      <w:r w:rsidR="00312290" w:rsidRPr="007C0ECB">
        <w:t>would</w:t>
      </w:r>
      <w:r w:rsidR="00312290">
        <w:t xml:space="preserve"> be considered </w:t>
      </w:r>
      <w:r w:rsidR="00203A35">
        <w:t>in combination with Option 5</w:t>
      </w:r>
      <w:r w:rsidR="00F20A11">
        <w:t>b</w:t>
      </w:r>
      <w:r w:rsidR="00E116A8">
        <w:t>.</w:t>
      </w:r>
    </w:p>
    <w:p w14:paraId="0F1339EF" w14:textId="77777777" w:rsidR="00EF45CD" w:rsidRDefault="00EF45CD">
      <w:r>
        <w:br w:type="page"/>
      </w:r>
    </w:p>
    <w:p w14:paraId="193F12BB" w14:textId="3E48BC1F" w:rsidR="006F1AF7" w:rsidRPr="009D0A4A" w:rsidRDefault="006F1AF7" w:rsidP="00E0510C">
      <w:pPr>
        <w:pStyle w:val="Heading1"/>
      </w:pPr>
      <w:bookmarkStart w:id="626" w:name="_Ref124686999"/>
      <w:bookmarkStart w:id="627" w:name="_Toc126573219"/>
      <w:r>
        <w:lastRenderedPageBreak/>
        <w:t>What is the likely impact of option</w:t>
      </w:r>
      <w:r w:rsidR="00A200EF">
        <w:t>s 2-5</w:t>
      </w:r>
      <w:r>
        <w:t>?</w:t>
      </w:r>
      <w:bookmarkEnd w:id="626"/>
      <w:bookmarkEnd w:id="627"/>
    </w:p>
    <w:p w14:paraId="23BE4A3B" w14:textId="13F0679D" w:rsidR="006F1AF7" w:rsidRPr="009D0A4A" w:rsidRDefault="003A3B2B" w:rsidP="003A3B2B">
      <w:pPr>
        <w:pStyle w:val="Heading2"/>
      </w:pPr>
      <w:bookmarkStart w:id="628" w:name="_Toc126573220"/>
      <w:r>
        <w:t>A</w:t>
      </w:r>
      <w:r w:rsidR="006F1AF7">
        <w:t>pproach to impact analysis</w:t>
      </w:r>
      <w:bookmarkEnd w:id="628"/>
    </w:p>
    <w:p w14:paraId="57DBA155" w14:textId="0DDDBD52" w:rsidR="00C95F04" w:rsidRPr="00C95F04" w:rsidRDefault="00C95F04" w:rsidP="00DC5182">
      <w:pPr>
        <w:pStyle w:val="BodyText"/>
      </w:pPr>
      <w:bookmarkStart w:id="629" w:name="_Hlk107326965"/>
      <w:r w:rsidRPr="00C95F04">
        <w:t xml:space="preserve">The </w:t>
      </w:r>
      <w:r w:rsidR="0054756F">
        <w:t>DRIS</w:t>
      </w:r>
      <w:r w:rsidRPr="00C95F04">
        <w:t xml:space="preserve"> process seeks to ensure that proposed regulatory and non-regulatory options are well-targeted, effective and appropriate, and any burden imposed on business and the community is comparatively appropriate to address the identified issue. A key part of this process is to compare the impact of the proposed options to industry</w:t>
      </w:r>
      <w:r w:rsidR="00990F24">
        <w:t xml:space="preserve"> and government</w:t>
      </w:r>
      <w:r w:rsidRPr="00C95F04">
        <w:t xml:space="preserve">. </w:t>
      </w:r>
    </w:p>
    <w:p w14:paraId="1FC9240E" w14:textId="452472D1" w:rsidR="00C95F04" w:rsidRPr="00C95F04" w:rsidRDefault="00C95F04" w:rsidP="00DC5182">
      <w:pPr>
        <w:pStyle w:val="BodyText"/>
      </w:pPr>
      <w:r w:rsidRPr="00C95F04">
        <w:t xml:space="preserve">Typically, costs imposed on business and government can be assessed quantitatively, while other costs and benefits can be more difficult to estimate in monetary terms. In this </w:t>
      </w:r>
      <w:r w:rsidR="0054756F">
        <w:t>DRIS</w:t>
      </w:r>
      <w:r w:rsidRPr="00C95F04">
        <w:t>, efforts are made to identify the monetary costs to business and government for the proposed options that are additional to the base case option.</w:t>
      </w:r>
    </w:p>
    <w:p w14:paraId="0278EF54" w14:textId="77777777" w:rsidR="00C95F04" w:rsidRPr="00C95F04" w:rsidRDefault="00C95F04" w:rsidP="00DC5182">
      <w:pPr>
        <w:pStyle w:val="BodyText"/>
      </w:pPr>
      <w:r w:rsidRPr="00C95F04">
        <w:t xml:space="preserve">Following consultation with OIA, a combination of multi-criteria analysis (MCA) and breakeven analysis (BEA) has been used to measure the impact of options 2, 4, 5a and 5b. </w:t>
      </w:r>
    </w:p>
    <w:p w14:paraId="74820C81" w14:textId="467C679A" w:rsidR="00C95F04" w:rsidRPr="00C95F04" w:rsidRDefault="00C95F04" w:rsidP="00DC5182">
      <w:pPr>
        <w:pStyle w:val="BodyText"/>
      </w:pPr>
      <w:r w:rsidRPr="00C95F04">
        <w:t xml:space="preserve">MCA can be used when it may not be feasible to fully quantify the impacts of an option and allows qualitative information to be used in decision-making. The criteria used to assess each option are described in Section 6.2. This </w:t>
      </w:r>
      <w:r w:rsidR="0054756F">
        <w:t>DRIS</w:t>
      </w:r>
      <w:r w:rsidRPr="00C95F04">
        <w:t xml:space="preserve"> includes detailed estimates of the estimated additional costs of Options 2, 4, 5a and 5b each option above the base case (Option 1) which has been included to demonstrate the potential direct costs associated with the proposed regulatory/non-regulatory changes over and above the current state.</w:t>
      </w:r>
    </w:p>
    <w:p w14:paraId="3C26AA66" w14:textId="77777777" w:rsidR="00C95F04" w:rsidRPr="00C95F04" w:rsidRDefault="00C95F04" w:rsidP="00DC5182">
      <w:pPr>
        <w:pStyle w:val="BodyText"/>
      </w:pPr>
      <w:r w:rsidRPr="00C95F04">
        <w:t xml:space="preserve">However, it was not feasible to quantify the benefits of the effectiveness of each of the proposed options to reduce exposures to RCS and reduce silicosis and silica-related diseases, in monetary terms. This is because there is insufficient data to estimate the benefits of a reduction in workplace exposure in RCS and a reduction in silicosis and silica-related disease for each of the regulatory and non-regulatory options. </w:t>
      </w:r>
    </w:p>
    <w:p w14:paraId="3263ED70" w14:textId="5551A65D" w:rsidR="00C95F04" w:rsidRPr="00C95F04" w:rsidRDefault="00C95F04" w:rsidP="00DC5182">
      <w:pPr>
        <w:pStyle w:val="BodyText"/>
        <w:rPr>
          <w:lang w:bidi="en-AU"/>
        </w:rPr>
      </w:pPr>
      <w:r w:rsidRPr="00C95F04">
        <w:rPr>
          <w:lang w:bidi="en-AU"/>
        </w:rPr>
        <w:t xml:space="preserve">This </w:t>
      </w:r>
      <w:r w:rsidR="0054756F">
        <w:rPr>
          <w:lang w:bidi="en-AU"/>
        </w:rPr>
        <w:t>DRIS</w:t>
      </w:r>
      <w:r w:rsidRPr="00C95F04">
        <w:rPr>
          <w:lang w:bidi="en-AU"/>
        </w:rPr>
        <w:t xml:space="preserve"> also includes a BEA, which quantifies the economic cost of each case of silicosis and assesses the number of silicosis cases which would need to be avoided under</w:t>
      </w:r>
      <w:r w:rsidRPr="00C95F04">
        <w:t xml:space="preserve"> Options 2, 4, 5a and 5b</w:t>
      </w:r>
      <w:r w:rsidRPr="00C95F04">
        <w:rPr>
          <w:lang w:bidi="en-AU"/>
        </w:rPr>
        <w:t xml:space="preserve"> for the benefits to outweigh the additional costs.</w:t>
      </w:r>
    </w:p>
    <w:p w14:paraId="01767D37" w14:textId="3539C5E3" w:rsidR="00C95F04" w:rsidRPr="00C95F04" w:rsidRDefault="00C95F04" w:rsidP="003A3B2B">
      <w:pPr>
        <w:pStyle w:val="Heading2"/>
      </w:pPr>
      <w:bookmarkStart w:id="630" w:name="_Toc107395331"/>
      <w:bookmarkStart w:id="631" w:name="_Toc126573221"/>
      <w:r>
        <w:t>Criteria development for multicriteria analysis</w:t>
      </w:r>
      <w:bookmarkEnd w:id="630"/>
      <w:bookmarkEnd w:id="631"/>
      <w:r>
        <w:t xml:space="preserve"> </w:t>
      </w:r>
    </w:p>
    <w:p w14:paraId="39AE5330" w14:textId="77777777" w:rsidR="00C95F04" w:rsidRPr="00C95F04" w:rsidRDefault="00C95F04" w:rsidP="00214BBB">
      <w:pPr>
        <w:pStyle w:val="BodyText"/>
      </w:pPr>
      <w:r w:rsidRPr="00C95F04">
        <w:t xml:space="preserve">In an MCA, it is important to clearly define </w:t>
      </w:r>
      <w:r w:rsidRPr="00214BBB">
        <w:t>the</w:t>
      </w:r>
      <w:r w:rsidRPr="00C95F04">
        <w:t xml:space="preserve"> criteria when assessing options to integrate quantitative and qualitative information in a way that allows options to be compared on a transparent and consistent basis. </w:t>
      </w:r>
    </w:p>
    <w:p w14:paraId="6FBA38B8" w14:textId="77777777" w:rsidR="00C95F04" w:rsidRPr="00C95F04" w:rsidRDefault="00C95F04" w:rsidP="00DC5182">
      <w:pPr>
        <w:pStyle w:val="BodyText"/>
      </w:pPr>
      <w:r w:rsidRPr="00C95F04">
        <w:t xml:space="preserve">This MCA uses the following criteria to assess each option: </w:t>
      </w:r>
    </w:p>
    <w:p w14:paraId="561EDFCE" w14:textId="77777777" w:rsidR="00C95F04" w:rsidRPr="00C95F04" w:rsidRDefault="00C95F04" w:rsidP="00DC5182">
      <w:pPr>
        <w:pStyle w:val="ListBullet"/>
      </w:pPr>
      <w:r w:rsidRPr="00C95F04">
        <w:lastRenderedPageBreak/>
        <w:t xml:space="preserve">the estimated additional costs to industry and government: quantitative estimates of the costs to industry of complying with the proposed regulations and the costs to government of implementing and administering the regulations above those of the base case (Option 1), and </w:t>
      </w:r>
    </w:p>
    <w:p w14:paraId="797CD080" w14:textId="77777777" w:rsidR="00C95F04" w:rsidRPr="00C95F04" w:rsidRDefault="00C95F04" w:rsidP="00DC5182">
      <w:pPr>
        <w:pStyle w:val="ListBullet"/>
      </w:pPr>
      <w:r w:rsidRPr="00C95F04">
        <w:t>the effectiveness: qualitative assessment of the effectiveness of each option in reducing occupational exposures to RCS and the number of cases of silicosis and silica-related diseases.</w:t>
      </w:r>
    </w:p>
    <w:p w14:paraId="4457C991" w14:textId="58F4B6FA" w:rsidR="00C95F04" w:rsidRPr="00C95F04" w:rsidRDefault="00C95F04" w:rsidP="003A3B2B">
      <w:pPr>
        <w:pStyle w:val="Heading2"/>
      </w:pPr>
      <w:bookmarkStart w:id="632" w:name="_Toc107395332"/>
      <w:bookmarkStart w:id="633" w:name="_Toc126573222"/>
      <w:r>
        <w:t>Defining the additional costs to industry and government</w:t>
      </w:r>
      <w:bookmarkStart w:id="634" w:name="_Toc97017619"/>
      <w:bookmarkEnd w:id="632"/>
      <w:bookmarkEnd w:id="633"/>
    </w:p>
    <w:bookmarkEnd w:id="634"/>
    <w:p w14:paraId="76DC9E4F" w14:textId="77777777" w:rsidR="00C95F04" w:rsidRPr="00C95F04" w:rsidRDefault="00C95F04" w:rsidP="00214BBB">
      <w:pPr>
        <w:pStyle w:val="BodyText"/>
      </w:pPr>
      <w:r w:rsidRPr="00C95F04">
        <w:t xml:space="preserve">Analysis of the estimated costs to industry and government for Options 2, 4 and 5 has been undertaken using information available at the time of drafting. The costs presented below area estimates only and do not include costs of controls associated with complying with the current requirements of the model WHS laws. </w:t>
      </w:r>
    </w:p>
    <w:p w14:paraId="08B2265A" w14:textId="734EC89D" w:rsidR="00C95F04" w:rsidRPr="00C95F04" w:rsidRDefault="00C95F04" w:rsidP="00214BBB">
      <w:pPr>
        <w:pStyle w:val="BodyText"/>
      </w:pPr>
      <w:r>
        <w:t xml:space="preserve">The following sections presented the estimated costs to industry and government for the proposed options, with the methodology and assumptions presented in Appendix </w:t>
      </w:r>
      <w:r w:rsidR="501A7426">
        <w:t>C</w:t>
      </w:r>
      <w:r>
        <w:t xml:space="preserve">. </w:t>
      </w:r>
    </w:p>
    <w:p w14:paraId="357602AB" w14:textId="77777777" w:rsidR="00C95F04" w:rsidRPr="00C95F04" w:rsidRDefault="00C95F04" w:rsidP="00DC5182">
      <w:pPr>
        <w:pStyle w:val="Heading3"/>
      </w:pPr>
      <w:r w:rsidRPr="00C95F04">
        <w:t>Additional costs to industry</w:t>
      </w:r>
    </w:p>
    <w:bookmarkStart w:id="635" w:name="_Ref103768711"/>
    <w:p w14:paraId="0B5127E6" w14:textId="64F3055E" w:rsidR="00C95F04" w:rsidRPr="00C95F04" w:rsidRDefault="00C95F04" w:rsidP="00C95F04">
      <w:pPr>
        <w:pStyle w:val="BodyText"/>
      </w:pPr>
      <w:r w:rsidRPr="00C95F04">
        <w:fldChar w:fldCharType="begin"/>
      </w:r>
      <w:r w:rsidRPr="00C95F04">
        <w:instrText xml:space="preserve"> REF _Ref124835140 \h </w:instrText>
      </w:r>
      <w:r w:rsidR="00076804">
        <w:instrText xml:space="preserve"> \* MERGEFORMAT </w:instrText>
      </w:r>
      <w:r w:rsidRPr="00C95F04">
        <w:fldChar w:fldCharType="separate"/>
      </w:r>
      <w:r w:rsidR="00076804" w:rsidRPr="00076804">
        <w:rPr>
          <w:bCs/>
          <w:iCs/>
        </w:rPr>
        <w:t xml:space="preserve">Table </w:t>
      </w:r>
      <w:r w:rsidR="00076804" w:rsidRPr="00076804">
        <w:rPr>
          <w:bCs/>
          <w:noProof/>
        </w:rPr>
        <w:t>1</w:t>
      </w:r>
      <w:r w:rsidR="00076804">
        <w:rPr>
          <w:noProof/>
        </w:rPr>
        <w:t>1</w:t>
      </w:r>
      <w:r w:rsidRPr="00C95F04">
        <w:fldChar w:fldCharType="end"/>
      </w:r>
      <w:r w:rsidRPr="00C95F04">
        <w:t xml:space="preserve"> summarises the additional costs to industry for Options 4 and 5 above the baseline option (Option 1). No additional costs to industry would be incurred for Option 2.</w:t>
      </w:r>
    </w:p>
    <w:p w14:paraId="43746ADC" w14:textId="6B8270CD" w:rsidR="00C95F04" w:rsidRPr="00C95F04" w:rsidRDefault="00C95F04" w:rsidP="00DC5182">
      <w:pPr>
        <w:pStyle w:val="Caption"/>
      </w:pPr>
      <w:bookmarkStart w:id="636" w:name="_Ref124835140"/>
      <w:bookmarkEnd w:id="635"/>
      <w:r w:rsidRPr="00C95F04">
        <w:t xml:space="preserve">Table </w:t>
      </w:r>
      <w:fldSimple w:instr=" SEQ Table \* ARABIC ">
        <w:r w:rsidR="00DF768D">
          <w:rPr>
            <w:noProof/>
          </w:rPr>
          <w:t>11</w:t>
        </w:r>
      </w:fldSimple>
      <w:bookmarkEnd w:id="636"/>
      <w:r w:rsidRPr="00C95F04">
        <w:t>: Description of additional costs to industry of Options 4 and 5</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9"/>
        <w:gridCol w:w="6017"/>
      </w:tblGrid>
      <w:tr w:rsidR="00C95F04" w:rsidRPr="00DC5182" w14:paraId="68204220" w14:textId="77777777" w:rsidTr="00A1473A">
        <w:trPr>
          <w:trHeight w:val="257"/>
          <w:tblHeader/>
        </w:trPr>
        <w:tc>
          <w:tcPr>
            <w:tcW w:w="1667" w:type="pct"/>
            <w:tcBorders>
              <w:bottom w:val="single" w:sz="4" w:space="0" w:color="auto"/>
            </w:tcBorders>
            <w:shd w:val="clear" w:color="auto" w:fill="D1D1D1" w:themeFill="background2"/>
            <w:vAlign w:val="center"/>
          </w:tcPr>
          <w:p w14:paraId="64345EA0" w14:textId="77777777" w:rsidR="00C95F04" w:rsidRPr="00DC5182" w:rsidRDefault="00C95F04" w:rsidP="000C215A">
            <w:pPr>
              <w:pStyle w:val="TableHeading"/>
            </w:pPr>
            <w:bookmarkStart w:id="637" w:name="_Hlk106791720"/>
            <w:r w:rsidRPr="00DC5182">
              <w:t xml:space="preserve">Cost to industry </w:t>
            </w:r>
          </w:p>
        </w:tc>
        <w:tc>
          <w:tcPr>
            <w:tcW w:w="3333" w:type="pct"/>
            <w:tcBorders>
              <w:bottom w:val="single" w:sz="4" w:space="0" w:color="auto"/>
            </w:tcBorders>
            <w:shd w:val="clear" w:color="auto" w:fill="D1D1D1" w:themeFill="background2"/>
            <w:vAlign w:val="center"/>
          </w:tcPr>
          <w:p w14:paraId="481EFEC2" w14:textId="77777777" w:rsidR="00C95F04" w:rsidRPr="00DC5182" w:rsidRDefault="00C95F04" w:rsidP="000C215A">
            <w:pPr>
              <w:pStyle w:val="TableHeading"/>
            </w:pPr>
            <w:r w:rsidRPr="00DC5182">
              <w:t>Description</w:t>
            </w:r>
          </w:p>
        </w:tc>
      </w:tr>
      <w:bookmarkEnd w:id="637"/>
      <w:tr w:rsidR="00C95F04" w:rsidRPr="00C95F04" w14:paraId="180D7CB0" w14:textId="77777777" w:rsidTr="00A1473A">
        <w:trPr>
          <w:trHeight w:val="257"/>
        </w:trPr>
        <w:tc>
          <w:tcPr>
            <w:tcW w:w="5000" w:type="pct"/>
            <w:gridSpan w:val="2"/>
            <w:tcBorders>
              <w:top w:val="single" w:sz="4" w:space="0" w:color="auto"/>
              <w:bottom w:val="single" w:sz="4" w:space="0" w:color="auto"/>
            </w:tcBorders>
            <w:shd w:val="clear" w:color="auto" w:fill="D1D1D1" w:themeFill="background2"/>
            <w:vAlign w:val="center"/>
          </w:tcPr>
          <w:p w14:paraId="02C699F8" w14:textId="77777777" w:rsidR="00C95F04" w:rsidRPr="00C95F04" w:rsidRDefault="00C95F04" w:rsidP="000C215A">
            <w:pPr>
              <w:pStyle w:val="TableHeading"/>
            </w:pPr>
            <w:r w:rsidRPr="00C95F04">
              <w:t>Option 4*</w:t>
            </w:r>
          </w:p>
        </w:tc>
      </w:tr>
      <w:tr w:rsidR="00C95F04" w:rsidRPr="00C95F04" w14:paraId="56F94C1F" w14:textId="77777777" w:rsidTr="004C687A">
        <w:trPr>
          <w:trHeight w:val="416"/>
        </w:trPr>
        <w:tc>
          <w:tcPr>
            <w:tcW w:w="1667" w:type="pct"/>
            <w:tcBorders>
              <w:top w:val="single" w:sz="4" w:space="0" w:color="auto"/>
              <w:bottom w:val="single" w:sz="4" w:space="0" w:color="auto"/>
            </w:tcBorders>
            <w:vAlign w:val="center"/>
          </w:tcPr>
          <w:p w14:paraId="58752B41" w14:textId="77777777" w:rsidR="00C95F04" w:rsidRPr="00C95F04" w:rsidRDefault="00C95F04" w:rsidP="00DC5182">
            <w:pPr>
              <w:pStyle w:val="TableBody"/>
            </w:pPr>
            <w:r w:rsidRPr="00C95F04">
              <w:t>Licence application</w:t>
            </w:r>
          </w:p>
        </w:tc>
        <w:tc>
          <w:tcPr>
            <w:tcW w:w="3333" w:type="pct"/>
            <w:tcBorders>
              <w:top w:val="single" w:sz="4" w:space="0" w:color="auto"/>
              <w:bottom w:val="single" w:sz="4" w:space="0" w:color="auto"/>
            </w:tcBorders>
            <w:vAlign w:val="center"/>
          </w:tcPr>
          <w:p w14:paraId="220939C0" w14:textId="71EFB16C" w:rsidR="00C95F04" w:rsidRPr="00C95F04" w:rsidRDefault="00C95F04" w:rsidP="00DC5182">
            <w:pPr>
              <w:pStyle w:val="TableBody"/>
            </w:pPr>
            <w:r w:rsidRPr="00C95F04">
              <w:t>Labour to prepare a licence application</w:t>
            </w:r>
            <w:r w:rsidR="00E64279">
              <w:t>.</w:t>
            </w:r>
            <w:r w:rsidRPr="00C95F04">
              <w:t xml:space="preserve"> </w:t>
            </w:r>
          </w:p>
        </w:tc>
      </w:tr>
      <w:tr w:rsidR="00C95F04" w:rsidRPr="00C95F04" w14:paraId="2AE773A3" w14:textId="77777777" w:rsidTr="004C687A">
        <w:trPr>
          <w:trHeight w:val="466"/>
        </w:trPr>
        <w:tc>
          <w:tcPr>
            <w:tcW w:w="1667" w:type="pct"/>
            <w:tcBorders>
              <w:top w:val="single" w:sz="4" w:space="0" w:color="auto"/>
              <w:bottom w:val="single" w:sz="4" w:space="0" w:color="auto"/>
            </w:tcBorders>
            <w:vAlign w:val="center"/>
          </w:tcPr>
          <w:p w14:paraId="34EA2524" w14:textId="77777777" w:rsidR="00C95F04" w:rsidRPr="00C95F04" w:rsidRDefault="00C95F04" w:rsidP="00DC5182">
            <w:pPr>
              <w:pStyle w:val="TableBody"/>
            </w:pPr>
            <w:r w:rsidRPr="00C95F04">
              <w:t xml:space="preserve">Licence fee </w:t>
            </w:r>
          </w:p>
        </w:tc>
        <w:tc>
          <w:tcPr>
            <w:tcW w:w="3333" w:type="pct"/>
            <w:tcBorders>
              <w:top w:val="single" w:sz="4" w:space="0" w:color="auto"/>
              <w:bottom w:val="single" w:sz="4" w:space="0" w:color="auto"/>
            </w:tcBorders>
            <w:vAlign w:val="center"/>
          </w:tcPr>
          <w:p w14:paraId="159FB4CA" w14:textId="77777777" w:rsidR="00C95F04" w:rsidRPr="00C95F04" w:rsidRDefault="00C95F04" w:rsidP="00DC5182">
            <w:pPr>
              <w:pStyle w:val="TableBody"/>
            </w:pPr>
            <w:r w:rsidRPr="00C95F04">
              <w:t>Licence fee paid by PCBUs to work with engineered stone for a period of 5 years. Note that this would be set in jurisdictional legislation and not under the model WHS laws.</w:t>
            </w:r>
          </w:p>
        </w:tc>
      </w:tr>
      <w:tr w:rsidR="00C95F04" w:rsidRPr="00C95F04" w14:paraId="3131298A" w14:textId="77777777" w:rsidTr="004C687A">
        <w:trPr>
          <w:trHeight w:val="491"/>
        </w:trPr>
        <w:tc>
          <w:tcPr>
            <w:tcW w:w="1667" w:type="pct"/>
            <w:tcBorders>
              <w:top w:val="single" w:sz="4" w:space="0" w:color="auto"/>
              <w:bottom w:val="single" w:sz="4" w:space="0" w:color="auto"/>
            </w:tcBorders>
            <w:vAlign w:val="center"/>
          </w:tcPr>
          <w:p w14:paraId="0C4C0E48" w14:textId="77777777" w:rsidR="00C95F04" w:rsidRPr="00C95F04" w:rsidRDefault="00C95F04" w:rsidP="00DC5182">
            <w:pPr>
              <w:pStyle w:val="TableBody"/>
            </w:pPr>
            <w:r w:rsidRPr="00C95F04">
              <w:t>Risk assessment (initial assessment)</w:t>
            </w:r>
          </w:p>
        </w:tc>
        <w:tc>
          <w:tcPr>
            <w:tcW w:w="3333" w:type="pct"/>
            <w:tcBorders>
              <w:top w:val="single" w:sz="4" w:space="0" w:color="auto"/>
              <w:bottom w:val="single" w:sz="4" w:space="0" w:color="auto"/>
            </w:tcBorders>
            <w:vAlign w:val="center"/>
          </w:tcPr>
          <w:p w14:paraId="5CCCA05E" w14:textId="13765F98" w:rsidR="00C95F04" w:rsidRPr="00C95F04" w:rsidRDefault="00C95F04" w:rsidP="00DC5182">
            <w:pPr>
              <w:pStyle w:val="TableBody"/>
            </w:pPr>
            <w:r w:rsidRPr="00C95F04">
              <w:t>Additional labour costs for the preparation of a risk assessment in year 1. This includes costs of seeking advice from experts, and may include baseline analytical tests/analysis of source materials</w:t>
            </w:r>
            <w:r w:rsidR="00E64279">
              <w:t>.</w:t>
            </w:r>
          </w:p>
        </w:tc>
      </w:tr>
      <w:tr w:rsidR="00C95F04" w:rsidRPr="00C95F04" w14:paraId="0ECE08B0" w14:textId="77777777" w:rsidTr="004C687A">
        <w:trPr>
          <w:trHeight w:val="491"/>
        </w:trPr>
        <w:tc>
          <w:tcPr>
            <w:tcW w:w="1667" w:type="pct"/>
            <w:tcBorders>
              <w:top w:val="single" w:sz="4" w:space="0" w:color="auto"/>
              <w:bottom w:val="single" w:sz="4" w:space="0" w:color="auto"/>
            </w:tcBorders>
            <w:vAlign w:val="center"/>
          </w:tcPr>
          <w:p w14:paraId="4613627B" w14:textId="77777777" w:rsidR="00C95F04" w:rsidRPr="00C95F04" w:rsidRDefault="00C95F04" w:rsidP="00DC5182">
            <w:pPr>
              <w:pStyle w:val="TableBody"/>
            </w:pPr>
            <w:r w:rsidRPr="00C95F04">
              <w:t>Risk assessment (annual assessment)</w:t>
            </w:r>
          </w:p>
        </w:tc>
        <w:tc>
          <w:tcPr>
            <w:tcW w:w="3333" w:type="pct"/>
            <w:tcBorders>
              <w:top w:val="single" w:sz="4" w:space="0" w:color="auto"/>
              <w:bottom w:val="single" w:sz="4" w:space="0" w:color="auto"/>
            </w:tcBorders>
            <w:vAlign w:val="center"/>
          </w:tcPr>
          <w:p w14:paraId="70B5F03B" w14:textId="3F3DF84D" w:rsidR="00C95F04" w:rsidRPr="00C95F04" w:rsidRDefault="00C95F04" w:rsidP="00DC5182">
            <w:pPr>
              <w:pStyle w:val="TableBody"/>
            </w:pPr>
            <w:r w:rsidRPr="00C95F04">
              <w:t>Additional labour costs for the annual review of risk assessment</w:t>
            </w:r>
            <w:r w:rsidR="00E64279">
              <w:t>.</w:t>
            </w:r>
          </w:p>
        </w:tc>
      </w:tr>
      <w:tr w:rsidR="00C95F04" w:rsidRPr="00C95F04" w14:paraId="21F68684" w14:textId="77777777" w:rsidTr="004C687A">
        <w:trPr>
          <w:trHeight w:val="491"/>
        </w:trPr>
        <w:tc>
          <w:tcPr>
            <w:tcW w:w="1667" w:type="pct"/>
            <w:tcBorders>
              <w:top w:val="single" w:sz="4" w:space="0" w:color="auto"/>
              <w:bottom w:val="single" w:sz="4" w:space="0" w:color="auto"/>
            </w:tcBorders>
            <w:vAlign w:val="center"/>
          </w:tcPr>
          <w:p w14:paraId="11300827" w14:textId="77777777" w:rsidR="00C95F04" w:rsidRPr="00C95F04" w:rsidRDefault="00C95F04" w:rsidP="00DC5182">
            <w:pPr>
              <w:pStyle w:val="TableBody"/>
            </w:pPr>
            <w:r w:rsidRPr="00C95F04">
              <w:t>Engineered stone control plan</w:t>
            </w:r>
          </w:p>
        </w:tc>
        <w:tc>
          <w:tcPr>
            <w:tcW w:w="3333" w:type="pct"/>
            <w:tcBorders>
              <w:top w:val="single" w:sz="4" w:space="0" w:color="auto"/>
              <w:bottom w:val="single" w:sz="4" w:space="0" w:color="auto"/>
            </w:tcBorders>
            <w:vAlign w:val="center"/>
          </w:tcPr>
          <w:p w14:paraId="7AB58D31" w14:textId="77777777" w:rsidR="00C95F04" w:rsidRPr="00C95F04" w:rsidRDefault="00C95F04" w:rsidP="00DC5182">
            <w:pPr>
              <w:pStyle w:val="TableBody"/>
            </w:pPr>
            <w:r w:rsidRPr="00C95F04">
              <w:t>Labour to develop an engineered stone control plan based on the outcomes of the risk assessment.</w:t>
            </w:r>
          </w:p>
        </w:tc>
      </w:tr>
      <w:tr w:rsidR="00C95F04" w:rsidRPr="00C95F04" w14:paraId="51A4661F" w14:textId="77777777" w:rsidTr="004C687A">
        <w:trPr>
          <w:trHeight w:val="590"/>
        </w:trPr>
        <w:tc>
          <w:tcPr>
            <w:tcW w:w="1667" w:type="pct"/>
            <w:tcBorders>
              <w:top w:val="single" w:sz="4" w:space="0" w:color="auto"/>
              <w:bottom w:val="single" w:sz="4" w:space="0" w:color="auto"/>
            </w:tcBorders>
            <w:vAlign w:val="center"/>
          </w:tcPr>
          <w:p w14:paraId="09933738" w14:textId="77777777" w:rsidR="00C95F04" w:rsidRPr="00C95F04" w:rsidRDefault="00C95F04" w:rsidP="00DC5182">
            <w:pPr>
              <w:pStyle w:val="TableBody"/>
            </w:pPr>
            <w:r w:rsidRPr="00C95F04">
              <w:t xml:space="preserve">Preparation for and participation in compliance audits </w:t>
            </w:r>
          </w:p>
        </w:tc>
        <w:tc>
          <w:tcPr>
            <w:tcW w:w="3333" w:type="pct"/>
            <w:tcBorders>
              <w:top w:val="single" w:sz="4" w:space="0" w:color="auto"/>
              <w:bottom w:val="single" w:sz="4" w:space="0" w:color="auto"/>
            </w:tcBorders>
            <w:vAlign w:val="center"/>
          </w:tcPr>
          <w:p w14:paraId="6FBA1AD6" w14:textId="476B70A6" w:rsidR="00C95F04" w:rsidRPr="00C95F04" w:rsidRDefault="00C95F04" w:rsidP="00DC5182">
            <w:pPr>
              <w:pStyle w:val="TableBody"/>
            </w:pPr>
            <w:r w:rsidRPr="00C95F04">
              <w:t>Labour to prepare for and participate in licence-specific compliance audits, additional to those currently in place for the sector</w:t>
            </w:r>
            <w:r w:rsidR="00E64279">
              <w:t>.</w:t>
            </w:r>
          </w:p>
        </w:tc>
      </w:tr>
      <w:tr w:rsidR="00C95F04" w:rsidRPr="00C95F04" w14:paraId="5B909884" w14:textId="77777777" w:rsidTr="004C687A">
        <w:trPr>
          <w:trHeight w:val="491"/>
        </w:trPr>
        <w:tc>
          <w:tcPr>
            <w:tcW w:w="1667" w:type="pct"/>
            <w:tcBorders>
              <w:top w:val="single" w:sz="4" w:space="0" w:color="auto"/>
              <w:bottom w:val="single" w:sz="4" w:space="0" w:color="auto"/>
            </w:tcBorders>
            <w:vAlign w:val="center"/>
          </w:tcPr>
          <w:p w14:paraId="2AEEA022" w14:textId="77777777" w:rsidR="00C95F04" w:rsidRPr="00C95F04" w:rsidRDefault="00C95F04" w:rsidP="00DC5182">
            <w:pPr>
              <w:pStyle w:val="TableBody"/>
            </w:pPr>
            <w:r w:rsidRPr="00C95F04">
              <w:t>Air monitoring – provision of report to regulators where WES exceedance detected</w:t>
            </w:r>
          </w:p>
        </w:tc>
        <w:tc>
          <w:tcPr>
            <w:tcW w:w="3333" w:type="pct"/>
            <w:tcBorders>
              <w:top w:val="single" w:sz="4" w:space="0" w:color="auto"/>
              <w:bottom w:val="single" w:sz="4" w:space="0" w:color="auto"/>
            </w:tcBorders>
            <w:vAlign w:val="center"/>
          </w:tcPr>
          <w:p w14:paraId="1F820F45" w14:textId="7FCD5F80" w:rsidR="00C95F04" w:rsidRPr="00C95F04" w:rsidRDefault="00C95F04" w:rsidP="00DC5182">
            <w:pPr>
              <w:pStyle w:val="TableBody"/>
            </w:pPr>
            <w:r w:rsidRPr="00C95F04">
              <w:t>Labour to submit air monitoring report to regulators where RCS values exceed WES</w:t>
            </w:r>
            <w:r w:rsidR="00E64279">
              <w:t>.</w:t>
            </w:r>
          </w:p>
        </w:tc>
      </w:tr>
      <w:tr w:rsidR="00C95F04" w:rsidRPr="00C95F04" w14:paraId="5BB0A6A6" w14:textId="77777777" w:rsidTr="004C687A">
        <w:trPr>
          <w:trHeight w:val="491"/>
        </w:trPr>
        <w:tc>
          <w:tcPr>
            <w:tcW w:w="5000" w:type="pct"/>
            <w:gridSpan w:val="2"/>
            <w:tcBorders>
              <w:top w:val="single" w:sz="4" w:space="0" w:color="auto"/>
              <w:bottom w:val="single" w:sz="4" w:space="0" w:color="auto"/>
            </w:tcBorders>
            <w:shd w:val="clear" w:color="auto" w:fill="D9D9D9" w:themeFill="background1" w:themeFillShade="D9"/>
            <w:vAlign w:val="center"/>
          </w:tcPr>
          <w:p w14:paraId="5537E09C" w14:textId="77777777" w:rsidR="00C95F04" w:rsidRPr="00C95F04" w:rsidRDefault="00C95F04" w:rsidP="005B62A7">
            <w:pPr>
              <w:pStyle w:val="TableHeading"/>
              <w:keepNext/>
            </w:pPr>
            <w:r w:rsidRPr="00C95F04">
              <w:lastRenderedPageBreak/>
              <w:t>Option 5a and 5b</w:t>
            </w:r>
          </w:p>
        </w:tc>
      </w:tr>
      <w:tr w:rsidR="00C95F04" w:rsidRPr="00C95F04" w14:paraId="2D9A5902" w14:textId="77777777" w:rsidTr="004C687A">
        <w:trPr>
          <w:trHeight w:val="515"/>
        </w:trPr>
        <w:tc>
          <w:tcPr>
            <w:tcW w:w="1667" w:type="pct"/>
            <w:tcBorders>
              <w:top w:val="single" w:sz="4" w:space="0" w:color="auto"/>
              <w:bottom w:val="single" w:sz="4" w:space="0" w:color="auto"/>
            </w:tcBorders>
            <w:vAlign w:val="center"/>
          </w:tcPr>
          <w:p w14:paraId="22F61050" w14:textId="77777777" w:rsidR="00C95F04" w:rsidRPr="00C95F04" w:rsidRDefault="00C95F04" w:rsidP="00DC5182">
            <w:pPr>
              <w:pStyle w:val="TableBody"/>
            </w:pPr>
            <w:r w:rsidRPr="00C95F04">
              <w:t>Risk assessment (initial assessment)</w:t>
            </w:r>
          </w:p>
        </w:tc>
        <w:tc>
          <w:tcPr>
            <w:tcW w:w="3333" w:type="pct"/>
            <w:tcBorders>
              <w:top w:val="single" w:sz="4" w:space="0" w:color="auto"/>
              <w:bottom w:val="single" w:sz="4" w:space="0" w:color="auto"/>
            </w:tcBorders>
            <w:vAlign w:val="center"/>
          </w:tcPr>
          <w:p w14:paraId="54DC9704" w14:textId="04D5B17B" w:rsidR="00C95F04" w:rsidRPr="00C95F04" w:rsidRDefault="00C95F04" w:rsidP="00DC5182">
            <w:pPr>
              <w:pStyle w:val="TableBody"/>
            </w:pPr>
            <w:r w:rsidRPr="00C95F04">
              <w:t>Additional labour costs for the preparation of a risk assessment in year 1. This includes costs of seeking advice from experts, and may include baseline analytical tests/analysis of source materials</w:t>
            </w:r>
            <w:r w:rsidR="00E64279">
              <w:t>.</w:t>
            </w:r>
          </w:p>
        </w:tc>
      </w:tr>
      <w:tr w:rsidR="00C95F04" w:rsidRPr="00C95F04" w14:paraId="2ACD2810" w14:textId="77777777" w:rsidTr="004C687A">
        <w:trPr>
          <w:trHeight w:val="515"/>
        </w:trPr>
        <w:tc>
          <w:tcPr>
            <w:tcW w:w="1667" w:type="pct"/>
            <w:tcBorders>
              <w:top w:val="single" w:sz="4" w:space="0" w:color="auto"/>
              <w:bottom w:val="single" w:sz="4" w:space="0" w:color="auto"/>
            </w:tcBorders>
            <w:vAlign w:val="center"/>
          </w:tcPr>
          <w:p w14:paraId="1555726D" w14:textId="77777777" w:rsidR="00C95F04" w:rsidRPr="00C95F04" w:rsidRDefault="00C95F04" w:rsidP="00DC5182">
            <w:pPr>
              <w:pStyle w:val="TableBody"/>
            </w:pPr>
            <w:r w:rsidRPr="00C95F04">
              <w:t>Risk assessment (annual assessment)</w:t>
            </w:r>
          </w:p>
        </w:tc>
        <w:tc>
          <w:tcPr>
            <w:tcW w:w="3333" w:type="pct"/>
            <w:tcBorders>
              <w:top w:val="single" w:sz="4" w:space="0" w:color="auto"/>
              <w:bottom w:val="single" w:sz="4" w:space="0" w:color="auto"/>
            </w:tcBorders>
            <w:vAlign w:val="center"/>
          </w:tcPr>
          <w:p w14:paraId="0A138B21" w14:textId="1BD0846D" w:rsidR="00C95F04" w:rsidRPr="00C95F04" w:rsidRDefault="00C95F04" w:rsidP="00DC5182">
            <w:pPr>
              <w:pStyle w:val="TableBody"/>
            </w:pPr>
            <w:r w:rsidRPr="00C95F04">
              <w:t xml:space="preserve">Additional labour costs for annual review </w:t>
            </w:r>
            <w:r w:rsidR="005F3014">
              <w:t>of</w:t>
            </w:r>
            <w:r w:rsidRPr="00C95F04">
              <w:t xml:space="preserve"> risk assessment</w:t>
            </w:r>
            <w:r w:rsidR="00E64279">
              <w:t>.</w:t>
            </w:r>
          </w:p>
        </w:tc>
      </w:tr>
      <w:tr w:rsidR="00C95F04" w:rsidRPr="00C95F04" w14:paraId="4C035690" w14:textId="77777777" w:rsidTr="004C687A">
        <w:trPr>
          <w:trHeight w:val="427"/>
        </w:trPr>
        <w:tc>
          <w:tcPr>
            <w:tcW w:w="1667" w:type="pct"/>
            <w:tcBorders>
              <w:top w:val="single" w:sz="4" w:space="0" w:color="auto"/>
              <w:bottom w:val="single" w:sz="4" w:space="0" w:color="auto"/>
            </w:tcBorders>
            <w:vAlign w:val="center"/>
          </w:tcPr>
          <w:p w14:paraId="1B86B4B2" w14:textId="77777777" w:rsidR="00C95F04" w:rsidRPr="00C95F04" w:rsidRDefault="00C95F04" w:rsidP="00DC5182">
            <w:pPr>
              <w:pStyle w:val="TableBody"/>
            </w:pPr>
            <w:r w:rsidRPr="00C95F04">
              <w:t xml:space="preserve">Silica risk control plan </w:t>
            </w:r>
          </w:p>
        </w:tc>
        <w:tc>
          <w:tcPr>
            <w:tcW w:w="3333" w:type="pct"/>
            <w:tcBorders>
              <w:top w:val="single" w:sz="4" w:space="0" w:color="auto"/>
              <w:bottom w:val="single" w:sz="4" w:space="0" w:color="auto"/>
            </w:tcBorders>
            <w:vAlign w:val="center"/>
          </w:tcPr>
          <w:p w14:paraId="19CEE410" w14:textId="77777777" w:rsidR="00C95F04" w:rsidRPr="00C95F04" w:rsidRDefault="00C95F04" w:rsidP="00DC5182">
            <w:pPr>
              <w:pStyle w:val="TableBody"/>
            </w:pPr>
            <w:r w:rsidRPr="00C95F04">
              <w:t>Labour to develop a silica risk control plan based on the outcomes of the risk assessment.</w:t>
            </w:r>
          </w:p>
          <w:p w14:paraId="310FF3A9" w14:textId="77777777" w:rsidR="00C95F04" w:rsidRPr="00C95F04" w:rsidRDefault="00C95F04" w:rsidP="00DC5182">
            <w:pPr>
              <w:pStyle w:val="TableBody"/>
              <w:rPr>
                <w:i/>
                <w:iCs/>
              </w:rPr>
            </w:pPr>
            <w:r w:rsidRPr="00C95F04">
              <w:t xml:space="preserve">Note: For construction work involving high risk crystalline silica processes that meets the definition of high risk construction work, preparation of a Safe work method statement (SWMS) may be sufficient to meet the requirement for a silica risk control plan. The preparation of SWMS for high risk construction work is an existing requirement of the model WHS laws. </w:t>
            </w:r>
          </w:p>
        </w:tc>
      </w:tr>
      <w:tr w:rsidR="00C95F04" w:rsidRPr="00C95F04" w14:paraId="0875507B" w14:textId="77777777" w:rsidTr="004C687A">
        <w:trPr>
          <w:trHeight w:val="652"/>
        </w:trPr>
        <w:tc>
          <w:tcPr>
            <w:tcW w:w="1667" w:type="pct"/>
            <w:tcBorders>
              <w:top w:val="single" w:sz="4" w:space="0" w:color="auto"/>
              <w:bottom w:val="single" w:sz="4" w:space="0" w:color="D1D1D1" w:themeColor="background2"/>
            </w:tcBorders>
            <w:vAlign w:val="center"/>
          </w:tcPr>
          <w:p w14:paraId="371CA6AF" w14:textId="77777777" w:rsidR="00C95F04" w:rsidRPr="00C95F04" w:rsidRDefault="00C95F04" w:rsidP="00DC5182">
            <w:pPr>
              <w:pStyle w:val="TableBody"/>
            </w:pPr>
            <w:bookmarkStart w:id="638" w:name="_Hlk106791739"/>
            <w:r w:rsidRPr="00C95F04">
              <w:t>Air monitoring – provision of report to regulators where RCS WES exceedance detected</w:t>
            </w:r>
          </w:p>
        </w:tc>
        <w:tc>
          <w:tcPr>
            <w:tcW w:w="3333" w:type="pct"/>
            <w:tcBorders>
              <w:top w:val="single" w:sz="4" w:space="0" w:color="auto"/>
              <w:bottom w:val="single" w:sz="4" w:space="0" w:color="D1D1D1" w:themeColor="background2"/>
            </w:tcBorders>
            <w:vAlign w:val="center"/>
          </w:tcPr>
          <w:p w14:paraId="61334F47" w14:textId="77777777" w:rsidR="00C95F04" w:rsidRPr="00C95F04" w:rsidRDefault="00C95F04" w:rsidP="00DC5182">
            <w:pPr>
              <w:pStyle w:val="TableBody"/>
            </w:pPr>
            <w:r w:rsidRPr="00C95F04">
              <w:t>Labour to submit air monitoring report to regulators where RCS values exceed WES.</w:t>
            </w:r>
          </w:p>
        </w:tc>
      </w:tr>
      <w:bookmarkEnd w:id="638"/>
    </w:tbl>
    <w:p w14:paraId="73EDFB1F" w14:textId="77777777" w:rsidR="00A84DC4" w:rsidRDefault="00A84DC4" w:rsidP="00DC5182">
      <w:pPr>
        <w:pStyle w:val="BodyText"/>
      </w:pPr>
    </w:p>
    <w:p w14:paraId="179D3190" w14:textId="190F1D91" w:rsidR="00C95F04" w:rsidRPr="00C95F04" w:rsidRDefault="00C95F04" w:rsidP="00DC5182">
      <w:pPr>
        <w:pStyle w:val="BodyText"/>
      </w:pPr>
      <w:r w:rsidRPr="00C95F04">
        <w:t>*Under Option 4, there would also be no additional cost to industry to provide instruction, information, and training to workers prior to commencing work with engineered stone, and to implement specific control measures as these are already required under the model WHS laws.</w:t>
      </w:r>
    </w:p>
    <w:p w14:paraId="0483219B" w14:textId="77777777" w:rsidR="00C95F04" w:rsidRPr="00C95F04" w:rsidRDefault="00C95F04" w:rsidP="00090F40">
      <w:pPr>
        <w:pStyle w:val="Heading3"/>
      </w:pPr>
      <w:r w:rsidRPr="00C95F04">
        <w:t>Additional costs to government</w:t>
      </w:r>
    </w:p>
    <w:p w14:paraId="35ACE4F1" w14:textId="1B22FEA6" w:rsidR="00C95F04" w:rsidRPr="00C95F04" w:rsidRDefault="00C95F04" w:rsidP="00C95F04">
      <w:pPr>
        <w:pStyle w:val="BodyText"/>
      </w:pPr>
      <w:r w:rsidRPr="00C95F04">
        <w:fldChar w:fldCharType="begin"/>
      </w:r>
      <w:r w:rsidRPr="00C95F04">
        <w:instrText xml:space="preserve"> REF _Ref124835124 \h </w:instrText>
      </w:r>
      <w:r w:rsidR="00076804">
        <w:instrText xml:space="preserve"> \* MERGEFORMAT </w:instrText>
      </w:r>
      <w:r w:rsidRPr="00C95F04">
        <w:fldChar w:fldCharType="separate"/>
      </w:r>
      <w:r w:rsidR="00076804" w:rsidRPr="00076804">
        <w:rPr>
          <w:bCs/>
          <w:iCs/>
        </w:rPr>
        <w:t>Table</w:t>
      </w:r>
      <w:r w:rsidR="00076804" w:rsidRPr="00C95F04">
        <w:rPr>
          <w:b/>
          <w:iCs/>
        </w:rPr>
        <w:t xml:space="preserve"> </w:t>
      </w:r>
      <w:r w:rsidR="00076804">
        <w:rPr>
          <w:noProof/>
        </w:rPr>
        <w:t>12</w:t>
      </w:r>
      <w:r w:rsidRPr="00C95F04">
        <w:fldChar w:fldCharType="end"/>
      </w:r>
      <w:r w:rsidRPr="00C95F04">
        <w:t xml:space="preserve"> summarises the additional costs to government for Options 2-5 above the baseline option (Option 1). </w:t>
      </w:r>
    </w:p>
    <w:p w14:paraId="44D7BCC7" w14:textId="165B2CE2" w:rsidR="00C95F04" w:rsidRPr="00C95F04" w:rsidRDefault="00C95F04" w:rsidP="00090F40">
      <w:pPr>
        <w:pStyle w:val="Caption"/>
      </w:pPr>
      <w:bookmarkStart w:id="639" w:name="_Ref124835124"/>
      <w:r w:rsidRPr="00C95F04">
        <w:t xml:space="preserve">Table </w:t>
      </w:r>
      <w:fldSimple w:instr=" SEQ Table \* ARABIC ">
        <w:r w:rsidR="00DF768D">
          <w:rPr>
            <w:noProof/>
          </w:rPr>
          <w:t>12</w:t>
        </w:r>
      </w:fldSimple>
      <w:bookmarkEnd w:id="639"/>
      <w:r w:rsidRPr="00C95F04">
        <w:t>: Description of additional costs to government of Options 2-5</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7"/>
        <w:gridCol w:w="5329"/>
      </w:tblGrid>
      <w:tr w:rsidR="00C95F04" w:rsidRPr="00C95F04" w14:paraId="15953D04" w14:textId="77777777" w:rsidTr="00A1473A">
        <w:trPr>
          <w:trHeight w:val="257"/>
          <w:tblHeader/>
        </w:trPr>
        <w:tc>
          <w:tcPr>
            <w:tcW w:w="2048" w:type="pct"/>
            <w:tcBorders>
              <w:bottom w:val="single" w:sz="4" w:space="0" w:color="auto"/>
            </w:tcBorders>
            <w:shd w:val="clear" w:color="auto" w:fill="D1D1D1" w:themeFill="background2"/>
            <w:vAlign w:val="center"/>
          </w:tcPr>
          <w:p w14:paraId="23720638" w14:textId="77777777" w:rsidR="00C95F04" w:rsidRPr="00C95F04" w:rsidRDefault="00C95F04" w:rsidP="000C215A">
            <w:pPr>
              <w:pStyle w:val="TableHeading"/>
            </w:pPr>
            <w:r w:rsidRPr="00C95F04">
              <w:t>Cost to government</w:t>
            </w:r>
          </w:p>
        </w:tc>
        <w:tc>
          <w:tcPr>
            <w:tcW w:w="2952" w:type="pct"/>
            <w:tcBorders>
              <w:bottom w:val="single" w:sz="4" w:space="0" w:color="auto"/>
            </w:tcBorders>
            <w:shd w:val="clear" w:color="auto" w:fill="D1D1D1" w:themeFill="background2"/>
            <w:vAlign w:val="center"/>
          </w:tcPr>
          <w:p w14:paraId="686569B5" w14:textId="77777777" w:rsidR="00C95F04" w:rsidRPr="00C95F04" w:rsidRDefault="00C95F04" w:rsidP="000C215A">
            <w:pPr>
              <w:pStyle w:val="TableHeading"/>
            </w:pPr>
            <w:r w:rsidRPr="00C95F04">
              <w:t>Description</w:t>
            </w:r>
          </w:p>
        </w:tc>
      </w:tr>
      <w:tr w:rsidR="00C95F04" w:rsidRPr="00C95F04" w14:paraId="0E93B9D5" w14:textId="77777777" w:rsidTr="00A1473A">
        <w:trPr>
          <w:trHeight w:val="257"/>
        </w:trPr>
        <w:tc>
          <w:tcPr>
            <w:tcW w:w="5000" w:type="pct"/>
            <w:gridSpan w:val="2"/>
            <w:tcBorders>
              <w:top w:val="single" w:sz="4" w:space="0" w:color="auto"/>
              <w:bottom w:val="single" w:sz="4" w:space="0" w:color="auto"/>
            </w:tcBorders>
            <w:shd w:val="clear" w:color="auto" w:fill="D9D9D9" w:themeFill="background1" w:themeFillShade="D9"/>
            <w:vAlign w:val="center"/>
          </w:tcPr>
          <w:p w14:paraId="19528A63" w14:textId="77777777" w:rsidR="00C95F04" w:rsidRPr="00C95F04" w:rsidRDefault="00C95F04" w:rsidP="000C215A">
            <w:pPr>
              <w:pStyle w:val="TableHeading"/>
            </w:pPr>
            <w:r w:rsidRPr="00C95F04">
              <w:t>Option 2</w:t>
            </w:r>
          </w:p>
        </w:tc>
      </w:tr>
      <w:tr w:rsidR="00C95F04" w:rsidRPr="00C95F04" w14:paraId="105F03BE" w14:textId="77777777" w:rsidTr="004C687A">
        <w:trPr>
          <w:trHeight w:val="257"/>
        </w:trPr>
        <w:tc>
          <w:tcPr>
            <w:tcW w:w="2048" w:type="pct"/>
            <w:tcBorders>
              <w:top w:val="single" w:sz="4" w:space="0" w:color="auto"/>
              <w:bottom w:val="single" w:sz="4" w:space="0" w:color="auto"/>
            </w:tcBorders>
            <w:vAlign w:val="center"/>
          </w:tcPr>
          <w:p w14:paraId="544CC6E4" w14:textId="77777777" w:rsidR="00C95F04" w:rsidRPr="00C95F04" w:rsidRDefault="00C95F04" w:rsidP="00090F40">
            <w:pPr>
              <w:pStyle w:val="TableBody"/>
            </w:pPr>
            <w:r w:rsidRPr="00C95F04">
              <w:t xml:space="preserve">Planning and design of awareness raising and behaviour change initiative </w:t>
            </w:r>
          </w:p>
        </w:tc>
        <w:tc>
          <w:tcPr>
            <w:tcW w:w="2952" w:type="pct"/>
            <w:tcBorders>
              <w:top w:val="single" w:sz="4" w:space="0" w:color="auto"/>
              <w:bottom w:val="single" w:sz="4" w:space="0" w:color="auto"/>
            </w:tcBorders>
            <w:vAlign w:val="center"/>
          </w:tcPr>
          <w:p w14:paraId="2077009B" w14:textId="68D6DFEC" w:rsidR="00C95F04" w:rsidRPr="00C95F04" w:rsidRDefault="00C95F04" w:rsidP="00090F40">
            <w:pPr>
              <w:pStyle w:val="TableBody"/>
            </w:pPr>
            <w:r w:rsidRPr="00C95F04">
              <w:t>Labour to plan and design behaviour change initiatives</w:t>
            </w:r>
            <w:r w:rsidR="00E64279">
              <w:t>.</w:t>
            </w:r>
          </w:p>
        </w:tc>
      </w:tr>
      <w:tr w:rsidR="00C95F04" w:rsidRPr="00C95F04" w14:paraId="00CFB3F1" w14:textId="77777777" w:rsidTr="004C687A">
        <w:trPr>
          <w:trHeight w:val="242"/>
        </w:trPr>
        <w:tc>
          <w:tcPr>
            <w:tcW w:w="2048" w:type="pct"/>
            <w:tcBorders>
              <w:top w:val="single" w:sz="4" w:space="0" w:color="auto"/>
              <w:bottom w:val="single" w:sz="4" w:space="0" w:color="auto"/>
            </w:tcBorders>
            <w:vAlign w:val="center"/>
          </w:tcPr>
          <w:p w14:paraId="281F43CD" w14:textId="77777777" w:rsidR="00C95F04" w:rsidRPr="00C95F04" w:rsidRDefault="00C95F04" w:rsidP="00090F40">
            <w:pPr>
              <w:pStyle w:val="TableBody"/>
            </w:pPr>
            <w:r w:rsidRPr="00C95F04">
              <w:t xml:space="preserve">Roll out across a range of industry sectors of awareness raising and behaviour change initiative </w:t>
            </w:r>
          </w:p>
        </w:tc>
        <w:tc>
          <w:tcPr>
            <w:tcW w:w="2952" w:type="pct"/>
            <w:tcBorders>
              <w:top w:val="single" w:sz="4" w:space="0" w:color="auto"/>
              <w:bottom w:val="single" w:sz="4" w:space="0" w:color="auto"/>
            </w:tcBorders>
            <w:vAlign w:val="center"/>
          </w:tcPr>
          <w:p w14:paraId="5278D6A7" w14:textId="1659625D" w:rsidR="00C95F04" w:rsidRPr="00C95F04" w:rsidRDefault="00C95F04" w:rsidP="00090F40">
            <w:pPr>
              <w:pStyle w:val="TableBody"/>
            </w:pPr>
            <w:r w:rsidRPr="00C95F04">
              <w:t>Roll out of awareness/behaviour change initiative across a range of industry sectors</w:t>
            </w:r>
            <w:r w:rsidR="00E64279">
              <w:t>.</w:t>
            </w:r>
          </w:p>
        </w:tc>
      </w:tr>
      <w:tr w:rsidR="00C95F04" w:rsidRPr="00C95F04" w14:paraId="408647AD" w14:textId="77777777" w:rsidTr="004C687A">
        <w:trPr>
          <w:trHeight w:val="257"/>
        </w:trPr>
        <w:tc>
          <w:tcPr>
            <w:tcW w:w="5000" w:type="pct"/>
            <w:gridSpan w:val="2"/>
            <w:tcBorders>
              <w:top w:val="single" w:sz="4" w:space="0" w:color="auto"/>
              <w:bottom w:val="single" w:sz="4" w:space="0" w:color="auto"/>
            </w:tcBorders>
            <w:shd w:val="clear" w:color="auto" w:fill="D9D9D9" w:themeFill="background1" w:themeFillShade="D9"/>
            <w:vAlign w:val="center"/>
          </w:tcPr>
          <w:p w14:paraId="3B36CDE9" w14:textId="77777777" w:rsidR="00C95F04" w:rsidRPr="00C95F04" w:rsidRDefault="00C95F04" w:rsidP="000C215A">
            <w:pPr>
              <w:pStyle w:val="TableHeading"/>
            </w:pPr>
            <w:r w:rsidRPr="00C95F04">
              <w:t>Option 4</w:t>
            </w:r>
          </w:p>
        </w:tc>
      </w:tr>
      <w:tr w:rsidR="00C95F04" w:rsidRPr="00C95F04" w14:paraId="1EA93406" w14:textId="77777777" w:rsidTr="004C687A">
        <w:trPr>
          <w:trHeight w:val="257"/>
        </w:trPr>
        <w:tc>
          <w:tcPr>
            <w:tcW w:w="2048" w:type="pct"/>
            <w:tcBorders>
              <w:top w:val="single" w:sz="4" w:space="0" w:color="auto"/>
              <w:bottom w:val="single" w:sz="4" w:space="0" w:color="auto"/>
            </w:tcBorders>
            <w:vAlign w:val="center"/>
          </w:tcPr>
          <w:p w14:paraId="7A788997" w14:textId="77777777" w:rsidR="00C95F04" w:rsidRPr="00C95F04" w:rsidRDefault="00C95F04" w:rsidP="00090F40">
            <w:pPr>
              <w:pStyle w:val="TableBody"/>
            </w:pPr>
            <w:bookmarkStart w:id="640" w:name="_Hlk125027934"/>
            <w:r w:rsidRPr="00C95F04">
              <w:t>Implementation of a national awareness campaign to support the regulatory change</w:t>
            </w:r>
            <w:bookmarkEnd w:id="640"/>
          </w:p>
        </w:tc>
        <w:tc>
          <w:tcPr>
            <w:tcW w:w="2952" w:type="pct"/>
            <w:tcBorders>
              <w:top w:val="single" w:sz="4" w:space="0" w:color="auto"/>
              <w:bottom w:val="single" w:sz="4" w:space="0" w:color="auto"/>
            </w:tcBorders>
            <w:vAlign w:val="center"/>
          </w:tcPr>
          <w:p w14:paraId="7D436C93" w14:textId="7E1F4666" w:rsidR="00C95F04" w:rsidRPr="00C95F04" w:rsidRDefault="00C95F04" w:rsidP="00090F40">
            <w:pPr>
              <w:pStyle w:val="TableBody"/>
            </w:pPr>
            <w:r w:rsidRPr="00C95F04">
              <w:t>Cost of campaign to inform PCBUs and other relevant duty holders of regulatory changes</w:t>
            </w:r>
            <w:r w:rsidR="00E64279">
              <w:t>.</w:t>
            </w:r>
          </w:p>
        </w:tc>
      </w:tr>
      <w:tr w:rsidR="00C95F04" w:rsidRPr="00C95F04" w14:paraId="6952E557" w14:textId="77777777" w:rsidTr="004C687A">
        <w:trPr>
          <w:trHeight w:val="257"/>
        </w:trPr>
        <w:tc>
          <w:tcPr>
            <w:tcW w:w="2048" w:type="pct"/>
            <w:tcBorders>
              <w:top w:val="single" w:sz="4" w:space="0" w:color="auto"/>
              <w:bottom w:val="single" w:sz="4" w:space="0" w:color="auto"/>
            </w:tcBorders>
            <w:vAlign w:val="center"/>
          </w:tcPr>
          <w:p w14:paraId="5C3D7DF4" w14:textId="77777777" w:rsidR="00C95F04" w:rsidRPr="00C95F04" w:rsidRDefault="00C95F04" w:rsidP="00090F40">
            <w:pPr>
              <w:pStyle w:val="TableBody"/>
            </w:pPr>
            <w:r w:rsidRPr="00C95F04">
              <w:t>Purchase of licencing software</w:t>
            </w:r>
          </w:p>
        </w:tc>
        <w:tc>
          <w:tcPr>
            <w:tcW w:w="2952" w:type="pct"/>
            <w:tcBorders>
              <w:top w:val="single" w:sz="4" w:space="0" w:color="auto"/>
              <w:bottom w:val="single" w:sz="4" w:space="0" w:color="auto"/>
            </w:tcBorders>
            <w:vAlign w:val="center"/>
          </w:tcPr>
          <w:p w14:paraId="3E15E730" w14:textId="77777777" w:rsidR="00C95F04" w:rsidRPr="00C95F04" w:rsidRDefault="00C95F04" w:rsidP="00090F40">
            <w:pPr>
              <w:pStyle w:val="TableBody"/>
            </w:pPr>
            <w:r w:rsidRPr="00C95F04">
              <w:t>Cost of developing of a licensing platform(s) and implementation across in each jurisdiction.</w:t>
            </w:r>
          </w:p>
        </w:tc>
      </w:tr>
      <w:tr w:rsidR="00C95F04" w:rsidRPr="00C95F04" w14:paraId="3887CE45" w14:textId="77777777" w:rsidTr="004C687A">
        <w:trPr>
          <w:trHeight w:val="257"/>
        </w:trPr>
        <w:tc>
          <w:tcPr>
            <w:tcW w:w="2048" w:type="pct"/>
            <w:tcBorders>
              <w:top w:val="single" w:sz="4" w:space="0" w:color="auto"/>
              <w:bottom w:val="single" w:sz="4" w:space="0" w:color="auto"/>
            </w:tcBorders>
            <w:vAlign w:val="center"/>
          </w:tcPr>
          <w:p w14:paraId="2C3530B2" w14:textId="77777777" w:rsidR="00C95F04" w:rsidRPr="00C95F04" w:rsidRDefault="00C95F04" w:rsidP="00090F40">
            <w:pPr>
              <w:pStyle w:val="TableBody"/>
            </w:pPr>
            <w:r w:rsidRPr="00C95F04">
              <w:t>Development, implementation, and maintenance of a system for administration of licensing framework</w:t>
            </w:r>
          </w:p>
        </w:tc>
        <w:tc>
          <w:tcPr>
            <w:tcW w:w="2952" w:type="pct"/>
            <w:tcBorders>
              <w:top w:val="single" w:sz="4" w:space="0" w:color="auto"/>
              <w:bottom w:val="single" w:sz="4" w:space="0" w:color="auto"/>
            </w:tcBorders>
            <w:vAlign w:val="center"/>
          </w:tcPr>
          <w:p w14:paraId="0F99DA55" w14:textId="77777777" w:rsidR="00C95F04" w:rsidRPr="00C95F04" w:rsidRDefault="00C95F04" w:rsidP="00090F40">
            <w:pPr>
              <w:pStyle w:val="TableBody"/>
            </w:pPr>
            <w:bookmarkStart w:id="641" w:name="_Hlk101014040"/>
            <w:r w:rsidRPr="00C95F04">
              <w:t xml:space="preserve">Labour to develop the administration system to support the licensing framework and implement in each jurisdiction </w:t>
            </w:r>
          </w:p>
          <w:p w14:paraId="1C59B52A" w14:textId="10DCB53D" w:rsidR="00C95F04" w:rsidRPr="00C95F04" w:rsidRDefault="00C95F04" w:rsidP="00090F40">
            <w:pPr>
              <w:pStyle w:val="TableBody"/>
            </w:pPr>
            <w:r w:rsidRPr="00C95F04">
              <w:t>Note: the system could also be used to collate health and air monitoring data</w:t>
            </w:r>
            <w:bookmarkEnd w:id="641"/>
            <w:r w:rsidR="00E64279">
              <w:t>.</w:t>
            </w:r>
          </w:p>
        </w:tc>
      </w:tr>
      <w:tr w:rsidR="00C95F04" w:rsidRPr="00C95F04" w14:paraId="5667A19C" w14:textId="77777777" w:rsidTr="004C687A">
        <w:trPr>
          <w:trHeight w:val="257"/>
        </w:trPr>
        <w:tc>
          <w:tcPr>
            <w:tcW w:w="2048" w:type="pct"/>
            <w:tcBorders>
              <w:top w:val="single" w:sz="4" w:space="0" w:color="auto"/>
              <w:bottom w:val="single" w:sz="4" w:space="0" w:color="auto"/>
            </w:tcBorders>
            <w:vAlign w:val="center"/>
          </w:tcPr>
          <w:p w14:paraId="4D0107E1" w14:textId="77777777" w:rsidR="00C95F04" w:rsidRPr="00C95F04" w:rsidRDefault="00C95F04" w:rsidP="00090F40">
            <w:pPr>
              <w:pStyle w:val="TableBody"/>
            </w:pPr>
            <w:r w:rsidRPr="00C95F04">
              <w:t>Processing of licences</w:t>
            </w:r>
          </w:p>
        </w:tc>
        <w:tc>
          <w:tcPr>
            <w:tcW w:w="2952" w:type="pct"/>
            <w:tcBorders>
              <w:top w:val="single" w:sz="4" w:space="0" w:color="auto"/>
              <w:bottom w:val="single" w:sz="4" w:space="0" w:color="auto"/>
            </w:tcBorders>
            <w:vAlign w:val="center"/>
          </w:tcPr>
          <w:p w14:paraId="3B982246" w14:textId="77777777" w:rsidR="00C95F04" w:rsidRPr="00C95F04" w:rsidRDefault="00C95F04" w:rsidP="00090F40">
            <w:pPr>
              <w:pStyle w:val="TableBody"/>
            </w:pPr>
            <w:r w:rsidRPr="00C95F04">
              <w:t>Labour to assess licence applications</w:t>
            </w:r>
          </w:p>
        </w:tc>
      </w:tr>
      <w:tr w:rsidR="00C95F04" w:rsidRPr="00C95F04" w14:paraId="2F431F92" w14:textId="77777777" w:rsidTr="004C687A">
        <w:trPr>
          <w:trHeight w:val="257"/>
        </w:trPr>
        <w:tc>
          <w:tcPr>
            <w:tcW w:w="2048" w:type="pct"/>
            <w:tcBorders>
              <w:top w:val="single" w:sz="4" w:space="0" w:color="auto"/>
              <w:bottom w:val="single" w:sz="4" w:space="0" w:color="auto"/>
            </w:tcBorders>
          </w:tcPr>
          <w:p w14:paraId="60AFB0C4" w14:textId="77777777" w:rsidR="00C95F04" w:rsidRPr="00C95F04" w:rsidRDefault="00C95F04" w:rsidP="00090F40">
            <w:pPr>
              <w:pStyle w:val="TableBody"/>
            </w:pPr>
            <w:r w:rsidRPr="00C95F04">
              <w:lastRenderedPageBreak/>
              <w:t>Preparation for and participation in compliance audits</w:t>
            </w:r>
          </w:p>
        </w:tc>
        <w:tc>
          <w:tcPr>
            <w:tcW w:w="2952" w:type="pct"/>
            <w:tcBorders>
              <w:top w:val="single" w:sz="4" w:space="0" w:color="auto"/>
              <w:bottom w:val="single" w:sz="4" w:space="0" w:color="auto"/>
            </w:tcBorders>
            <w:vAlign w:val="center"/>
          </w:tcPr>
          <w:p w14:paraId="4F1D39E7" w14:textId="7E219423" w:rsidR="00C95F04" w:rsidRPr="00C95F04" w:rsidRDefault="00C95F04" w:rsidP="00090F40">
            <w:pPr>
              <w:pStyle w:val="TableBody"/>
            </w:pPr>
            <w:r w:rsidRPr="00C95F04">
              <w:t>Labour to run</w:t>
            </w:r>
            <w:r w:rsidR="00EB5AE9">
              <w:t xml:space="preserve"> </w:t>
            </w:r>
            <w:r w:rsidRPr="00C95F04">
              <w:t>compliance audit programs specific to engineered stone licensing scheme</w:t>
            </w:r>
            <w:r w:rsidR="00E64279">
              <w:t>.</w:t>
            </w:r>
          </w:p>
        </w:tc>
      </w:tr>
      <w:tr w:rsidR="00C95F04" w:rsidRPr="00C95F04" w14:paraId="67F31E6F" w14:textId="77777777" w:rsidTr="004C687A">
        <w:trPr>
          <w:trHeight w:val="257"/>
        </w:trPr>
        <w:tc>
          <w:tcPr>
            <w:tcW w:w="5000" w:type="pct"/>
            <w:gridSpan w:val="2"/>
            <w:tcBorders>
              <w:top w:val="single" w:sz="4" w:space="0" w:color="auto"/>
              <w:bottom w:val="single" w:sz="4" w:space="0" w:color="auto"/>
            </w:tcBorders>
            <w:shd w:val="clear" w:color="auto" w:fill="D9D9D9" w:themeFill="background1" w:themeFillShade="D9"/>
            <w:vAlign w:val="center"/>
          </w:tcPr>
          <w:p w14:paraId="3D1EF6E9" w14:textId="77777777" w:rsidR="00C95F04" w:rsidRPr="00C95F04" w:rsidRDefault="00C95F04" w:rsidP="000C215A">
            <w:pPr>
              <w:pStyle w:val="TableHeading"/>
            </w:pPr>
            <w:r w:rsidRPr="00C95F04">
              <w:t xml:space="preserve">Options 5a and 5b </w:t>
            </w:r>
          </w:p>
        </w:tc>
      </w:tr>
      <w:tr w:rsidR="00C95F04" w:rsidRPr="00C95F04" w14:paraId="5AF8DD25" w14:textId="77777777" w:rsidTr="004C687A">
        <w:trPr>
          <w:trHeight w:val="257"/>
        </w:trPr>
        <w:tc>
          <w:tcPr>
            <w:tcW w:w="2048" w:type="pct"/>
            <w:tcBorders>
              <w:top w:val="single" w:sz="4" w:space="0" w:color="auto"/>
              <w:bottom w:val="single" w:sz="4" w:space="0" w:color="auto"/>
            </w:tcBorders>
            <w:vAlign w:val="center"/>
          </w:tcPr>
          <w:p w14:paraId="74E387B3" w14:textId="77777777" w:rsidR="00C95F04" w:rsidRPr="00C95F04" w:rsidRDefault="00C95F04" w:rsidP="00090F40">
            <w:pPr>
              <w:pStyle w:val="TableBody"/>
            </w:pPr>
            <w:r w:rsidRPr="00C95F04">
              <w:t>Implementation of a national awareness campaign to support the regulatory changes</w:t>
            </w:r>
          </w:p>
        </w:tc>
        <w:tc>
          <w:tcPr>
            <w:tcW w:w="2952" w:type="pct"/>
            <w:tcBorders>
              <w:top w:val="single" w:sz="4" w:space="0" w:color="auto"/>
              <w:bottom w:val="single" w:sz="4" w:space="0" w:color="auto"/>
            </w:tcBorders>
            <w:vAlign w:val="center"/>
          </w:tcPr>
          <w:p w14:paraId="57D9D623" w14:textId="28104FAF" w:rsidR="00C95F04" w:rsidRPr="00C95F04" w:rsidRDefault="00C95F04" w:rsidP="00090F40">
            <w:pPr>
              <w:pStyle w:val="TableBody"/>
            </w:pPr>
            <w:r w:rsidRPr="00C95F04">
              <w:t>Cost of campaign to inform PCBUs and other relevant duty holders of additional requirements resulting from regulatory changes</w:t>
            </w:r>
            <w:r w:rsidR="00CE6915">
              <w:t>.</w:t>
            </w:r>
          </w:p>
        </w:tc>
      </w:tr>
    </w:tbl>
    <w:p w14:paraId="33D8A31A" w14:textId="6D43FDC0" w:rsidR="00C95F04" w:rsidRPr="00C95F04" w:rsidRDefault="00284C4F" w:rsidP="003A3B2B">
      <w:pPr>
        <w:pStyle w:val="Heading2"/>
      </w:pPr>
      <w:bookmarkStart w:id="642" w:name="_Toc107395333"/>
      <w:bookmarkStart w:id="643" w:name="_Toc126573223"/>
      <w:r>
        <w:t>C</w:t>
      </w:r>
      <w:r w:rsidR="00C95F04">
        <w:t>ost of options</w:t>
      </w:r>
      <w:bookmarkEnd w:id="642"/>
      <w:r w:rsidR="00C95F04">
        <w:t xml:space="preserve"> 2, 4, 5a and 5b</w:t>
      </w:r>
      <w:bookmarkEnd w:id="643"/>
    </w:p>
    <w:p w14:paraId="18F5DE3C" w14:textId="77777777" w:rsidR="00C95F04" w:rsidRPr="00C95F04" w:rsidRDefault="00C95F04" w:rsidP="00090F40">
      <w:pPr>
        <w:pStyle w:val="Heading3"/>
      </w:pPr>
      <w:r w:rsidRPr="00C95F04">
        <w:t>Option 1: Base case</w:t>
      </w:r>
    </w:p>
    <w:p w14:paraId="2B5B69B5" w14:textId="77777777" w:rsidR="00C95F04" w:rsidRPr="00214BBB" w:rsidRDefault="00C95F04" w:rsidP="00214BBB">
      <w:pPr>
        <w:pStyle w:val="BodyText"/>
      </w:pPr>
      <w:r w:rsidRPr="00214BBB">
        <w:t>Option 1 has been included as a baseline option to demonstrate the direct costs of the proposed regulatory/non-regulatory changes over and above the status quo. While there are no direct costs associated with the drafting of regulatory and non</w:t>
      </w:r>
      <w:r w:rsidRPr="00214BBB">
        <w:noBreakHyphen/>
        <w:t xml:space="preserve">regulatory changes, there are a number of indirect costs that may result from an increase in silicosis and silicosis related illnesses such as: </w:t>
      </w:r>
    </w:p>
    <w:p w14:paraId="6CF30A49" w14:textId="45684721" w:rsidR="00C95F04" w:rsidRPr="00C95F04" w:rsidRDefault="00EB5AE9" w:rsidP="00214BBB">
      <w:pPr>
        <w:pStyle w:val="ListBullet"/>
      </w:pPr>
      <w:r>
        <w:t>a</w:t>
      </w:r>
      <w:r w:rsidR="00C95F04" w:rsidRPr="00C95F04">
        <w:t>n increase in silicosis and silica-related health care costs, including hospitalisations and treatment</w:t>
      </w:r>
    </w:p>
    <w:p w14:paraId="42DE81F0" w14:textId="6698CA20" w:rsidR="00C95F04" w:rsidRPr="00C95F04" w:rsidRDefault="00EB5AE9" w:rsidP="002E5A3A">
      <w:pPr>
        <w:pStyle w:val="BodyText"/>
        <w:numPr>
          <w:ilvl w:val="0"/>
          <w:numId w:val="22"/>
        </w:numPr>
      </w:pPr>
      <w:r>
        <w:t>s</w:t>
      </w:r>
      <w:r w:rsidR="00C95F04" w:rsidRPr="00C95F04">
        <w:t>ocial and psychological costs for the affected worker and family</w:t>
      </w:r>
      <w:r>
        <w:t>, and</w:t>
      </w:r>
    </w:p>
    <w:p w14:paraId="6D2BB1EC" w14:textId="280D6D52" w:rsidR="00C95F04" w:rsidRPr="00C95F04" w:rsidRDefault="00EB5AE9" w:rsidP="002E5A3A">
      <w:pPr>
        <w:pStyle w:val="BodyText"/>
        <w:numPr>
          <w:ilvl w:val="0"/>
          <w:numId w:val="22"/>
        </w:numPr>
      </w:pPr>
      <w:r>
        <w:t>f</w:t>
      </w:r>
      <w:r w:rsidR="00C95F04" w:rsidRPr="00C95F04">
        <w:t>uture worker’s compensation payments.</w:t>
      </w:r>
    </w:p>
    <w:p w14:paraId="40558D7D" w14:textId="77777777" w:rsidR="00C95F04" w:rsidRPr="00C95F04" w:rsidRDefault="00C95F04" w:rsidP="00214BBB">
      <w:pPr>
        <w:pStyle w:val="BodyText"/>
      </w:pPr>
      <w:r w:rsidRPr="00C95F04">
        <w:t xml:space="preserve">The cost of inaction to business may also be realised as increasing insurance premiums resulting from increased cases of silicosis and silicosis related diseases, and staff turnover for those diagnosed with silicosis or silica-related diseases. </w:t>
      </w:r>
    </w:p>
    <w:p w14:paraId="2D21DDD6" w14:textId="77777777" w:rsidR="00C95F04" w:rsidRPr="00C95F04" w:rsidRDefault="00C95F04" w:rsidP="00214BBB">
      <w:pPr>
        <w:pStyle w:val="Heading3"/>
      </w:pPr>
      <w:r w:rsidRPr="00C95F04">
        <w:t xml:space="preserve">Option 2: National awareness and behaviour change initiatives </w:t>
      </w:r>
    </w:p>
    <w:p w14:paraId="07482407" w14:textId="77777777" w:rsidR="00C95F04" w:rsidRPr="00C95F04" w:rsidRDefault="00C95F04" w:rsidP="00214BBB">
      <w:pPr>
        <w:pStyle w:val="Heading4"/>
      </w:pPr>
      <w:r w:rsidRPr="00C95F04">
        <w:t xml:space="preserve">Costs to industry </w:t>
      </w:r>
    </w:p>
    <w:p w14:paraId="759AC661" w14:textId="77777777" w:rsidR="00C95F04" w:rsidRPr="00214BBB" w:rsidRDefault="00C95F04" w:rsidP="00214BBB">
      <w:pPr>
        <w:pStyle w:val="BodyText"/>
      </w:pPr>
      <w:r w:rsidRPr="00214BBB">
        <w:t xml:space="preserve">Awareness campaigns and behaviour change initiatives would not present an additional cost to industry as the cost of development and distribution would be borne by government. While we acknowledge that workers will be required to interact and engage with materials produced for this purpose, we expect that workers would already interact with such materials as part of routine safety discussions in the workplace; and a specific costing is not required. </w:t>
      </w:r>
    </w:p>
    <w:p w14:paraId="4DB96D06" w14:textId="77777777" w:rsidR="00C95F04" w:rsidRPr="00C95F04" w:rsidRDefault="00C95F04" w:rsidP="00214BBB">
      <w:pPr>
        <w:pStyle w:val="Heading4"/>
      </w:pPr>
      <w:r w:rsidRPr="00C95F04">
        <w:t>Costs to government</w:t>
      </w:r>
    </w:p>
    <w:p w14:paraId="5D986DB3" w14:textId="77777777" w:rsidR="00C95F04" w:rsidRPr="00C95F04" w:rsidRDefault="00C95F04" w:rsidP="00214BBB">
      <w:pPr>
        <w:pStyle w:val="BodyText"/>
      </w:pPr>
      <w:r w:rsidRPr="00C95F04">
        <w:t xml:space="preserve">Compared to the base case, additional costs borne by government relate to the planning and design and the subsequent development and distribution of information for behaviour change and awareness initiatives on an annual basis. </w:t>
      </w:r>
    </w:p>
    <w:p w14:paraId="3BB542CB" w14:textId="0BEBB931" w:rsidR="00C95F04" w:rsidRPr="00C95F04" w:rsidRDefault="00C95F04" w:rsidP="00214BBB">
      <w:pPr>
        <w:pStyle w:val="BodyText"/>
      </w:pPr>
      <w:r w:rsidRPr="00C95F04">
        <w:t xml:space="preserve">The total estimated net present cost over a 10-year forecast period is presented in </w:t>
      </w:r>
      <w:r w:rsidRPr="00C95F04">
        <w:fldChar w:fldCharType="begin"/>
      </w:r>
      <w:r w:rsidRPr="00C95F04">
        <w:instrText xml:space="preserve"> REF _Ref124834964 \h </w:instrText>
      </w:r>
      <w:r w:rsidR="00214BBB">
        <w:instrText xml:space="preserve"> \* MERGEFORMAT </w:instrText>
      </w:r>
      <w:r w:rsidRPr="00C95F04">
        <w:fldChar w:fldCharType="separate"/>
      </w:r>
      <w:r w:rsidR="00E75FA2" w:rsidRPr="00E75FA2">
        <w:t xml:space="preserve">Table </w:t>
      </w:r>
      <w:r w:rsidR="00E75FA2">
        <w:t>13</w:t>
      </w:r>
      <w:r w:rsidRPr="00C95F04">
        <w:fldChar w:fldCharType="end"/>
      </w:r>
      <w:r w:rsidRPr="00C95F04">
        <w:t>.</w:t>
      </w:r>
    </w:p>
    <w:p w14:paraId="33D04CA0" w14:textId="323B6057" w:rsidR="00C95F04" w:rsidRPr="00C95F04" w:rsidRDefault="00C95F04" w:rsidP="00214BBB">
      <w:pPr>
        <w:pStyle w:val="Caption"/>
      </w:pPr>
      <w:bookmarkStart w:id="644" w:name="_Ref124834964"/>
      <w:r w:rsidRPr="00C95F04">
        <w:lastRenderedPageBreak/>
        <w:t xml:space="preserve">Table </w:t>
      </w:r>
      <w:fldSimple w:instr=" SEQ Table \* ARABIC ">
        <w:r w:rsidR="00DF768D">
          <w:rPr>
            <w:noProof/>
          </w:rPr>
          <w:t>13</w:t>
        </w:r>
      </w:fldSimple>
      <w:bookmarkEnd w:id="644"/>
      <w:r w:rsidRPr="00C95F04">
        <w:t>: Estimated net present cost to government of awareness and behaviour changes initiatives (Option 2) over 10 years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6"/>
        <w:gridCol w:w="3610"/>
      </w:tblGrid>
      <w:tr w:rsidR="00C95F04" w:rsidRPr="00C95F04" w14:paraId="396C2CD0" w14:textId="77777777" w:rsidTr="004C687A">
        <w:trPr>
          <w:trHeight w:val="188"/>
          <w:tblHeader/>
        </w:trPr>
        <w:tc>
          <w:tcPr>
            <w:tcW w:w="3000" w:type="pct"/>
            <w:shd w:val="clear" w:color="auto" w:fill="D1D1D1" w:themeFill="background2"/>
            <w:vAlign w:val="center"/>
          </w:tcPr>
          <w:p w14:paraId="591858A9" w14:textId="77777777" w:rsidR="00C95F04" w:rsidRPr="00C95F04" w:rsidRDefault="00C95F04" w:rsidP="000C215A">
            <w:pPr>
              <w:pStyle w:val="TableHeading"/>
              <w:rPr>
                <w:iCs/>
              </w:rPr>
            </w:pPr>
            <w:r w:rsidRPr="00C95F04">
              <w:t>Cost</w:t>
            </w:r>
          </w:p>
        </w:tc>
        <w:tc>
          <w:tcPr>
            <w:tcW w:w="2000" w:type="pct"/>
            <w:shd w:val="clear" w:color="auto" w:fill="D1D1D1" w:themeFill="background2"/>
            <w:vAlign w:val="center"/>
          </w:tcPr>
          <w:p w14:paraId="160E30A0" w14:textId="77777777" w:rsidR="00C95F04" w:rsidRPr="00C95F04" w:rsidRDefault="00C95F04" w:rsidP="000C215A">
            <w:pPr>
              <w:pStyle w:val="TableHeading"/>
            </w:pPr>
            <w:r w:rsidRPr="00C95F04">
              <w:t>Estimated net present cost over 10-year period ($m)</w:t>
            </w:r>
          </w:p>
        </w:tc>
      </w:tr>
      <w:tr w:rsidR="00C95F04" w:rsidRPr="00C95F04" w14:paraId="27DBB8C5" w14:textId="77777777" w:rsidTr="004C687A">
        <w:trPr>
          <w:trHeight w:val="355"/>
        </w:trPr>
        <w:tc>
          <w:tcPr>
            <w:tcW w:w="3000" w:type="pct"/>
            <w:tcBorders>
              <w:bottom w:val="single" w:sz="8" w:space="0" w:color="D1D1D1" w:themeColor="background2"/>
            </w:tcBorders>
            <w:vAlign w:val="center"/>
          </w:tcPr>
          <w:p w14:paraId="05FFF45E" w14:textId="77777777" w:rsidR="00C95F04" w:rsidRPr="00C95F04" w:rsidRDefault="00C95F04" w:rsidP="00214BBB">
            <w:pPr>
              <w:pStyle w:val="TableBody"/>
            </w:pPr>
            <w:r w:rsidRPr="00C95F04">
              <w:t>Awareness and behaviour change initiatives - planning and design</w:t>
            </w:r>
          </w:p>
        </w:tc>
        <w:tc>
          <w:tcPr>
            <w:tcW w:w="2000" w:type="pct"/>
            <w:tcBorders>
              <w:bottom w:val="single" w:sz="8" w:space="0" w:color="D1D1D1" w:themeColor="background2"/>
            </w:tcBorders>
            <w:vAlign w:val="center"/>
          </w:tcPr>
          <w:p w14:paraId="474E7498" w14:textId="77777777" w:rsidR="00C95F04" w:rsidRPr="00C95F04" w:rsidRDefault="00C95F04" w:rsidP="00214BBB">
            <w:pPr>
              <w:pStyle w:val="TableBody"/>
            </w:pPr>
            <w:r w:rsidRPr="00C95F04">
              <w:t>$0.1</w:t>
            </w:r>
          </w:p>
        </w:tc>
      </w:tr>
      <w:tr w:rsidR="00C95F04" w:rsidRPr="00C95F04" w14:paraId="51E56BA3" w14:textId="77777777" w:rsidTr="004C687A">
        <w:trPr>
          <w:trHeight w:val="355"/>
        </w:trPr>
        <w:tc>
          <w:tcPr>
            <w:tcW w:w="3000" w:type="pct"/>
            <w:tcBorders>
              <w:top w:val="single" w:sz="8" w:space="0" w:color="D1D1D1" w:themeColor="background2"/>
              <w:bottom w:val="single" w:sz="8" w:space="0" w:color="D1D1D1" w:themeColor="background2"/>
            </w:tcBorders>
            <w:vAlign w:val="center"/>
          </w:tcPr>
          <w:p w14:paraId="334C3755" w14:textId="77777777" w:rsidR="00C95F04" w:rsidRPr="00C95F04" w:rsidRDefault="00C95F04" w:rsidP="00214BBB">
            <w:pPr>
              <w:pStyle w:val="TableBody"/>
            </w:pPr>
            <w:r w:rsidRPr="00C95F04">
              <w:t>Awareness and behaviour change initiatives - roll out across all industry sectors</w:t>
            </w:r>
          </w:p>
        </w:tc>
        <w:tc>
          <w:tcPr>
            <w:tcW w:w="2000" w:type="pct"/>
            <w:tcBorders>
              <w:top w:val="single" w:sz="8" w:space="0" w:color="D1D1D1" w:themeColor="background2"/>
              <w:bottom w:val="single" w:sz="8" w:space="0" w:color="D1D1D1" w:themeColor="background2"/>
            </w:tcBorders>
            <w:vAlign w:val="center"/>
          </w:tcPr>
          <w:p w14:paraId="0DF38296" w14:textId="77777777" w:rsidR="00C95F04" w:rsidRPr="00C95F04" w:rsidRDefault="00C95F04" w:rsidP="00214BBB">
            <w:pPr>
              <w:pStyle w:val="TableBody"/>
            </w:pPr>
            <w:r w:rsidRPr="00C95F04">
              <w:t>$6.0</w:t>
            </w:r>
          </w:p>
        </w:tc>
      </w:tr>
      <w:tr w:rsidR="00C95F04" w:rsidRPr="00214BBB" w14:paraId="1BE55D62" w14:textId="77777777" w:rsidTr="004C687A">
        <w:trPr>
          <w:trHeight w:val="355"/>
        </w:trPr>
        <w:tc>
          <w:tcPr>
            <w:tcW w:w="3000"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695F406D" w14:textId="77777777" w:rsidR="00C95F04" w:rsidRPr="00214BBB" w:rsidRDefault="00C95F04" w:rsidP="00214BBB">
            <w:pPr>
              <w:pStyle w:val="TableBody"/>
              <w:rPr>
                <w:b/>
                <w:bCs/>
              </w:rPr>
            </w:pPr>
            <w:r w:rsidRPr="00214BBB">
              <w:rPr>
                <w:b/>
                <w:bCs/>
              </w:rPr>
              <w:t>Total</w:t>
            </w:r>
          </w:p>
        </w:tc>
        <w:tc>
          <w:tcPr>
            <w:tcW w:w="2000"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06378B3D" w14:textId="77777777" w:rsidR="00C95F04" w:rsidRPr="00214BBB" w:rsidRDefault="00C95F04" w:rsidP="00214BBB">
            <w:pPr>
              <w:pStyle w:val="TableBody"/>
              <w:rPr>
                <w:b/>
                <w:bCs/>
              </w:rPr>
            </w:pPr>
            <w:r w:rsidRPr="00214BBB">
              <w:rPr>
                <w:b/>
                <w:bCs/>
              </w:rPr>
              <w:t>$6.1</w:t>
            </w:r>
          </w:p>
        </w:tc>
      </w:tr>
    </w:tbl>
    <w:p w14:paraId="493C313F" w14:textId="77777777" w:rsidR="00C95F04" w:rsidRPr="00C95F04" w:rsidRDefault="00C95F04" w:rsidP="00214BBB">
      <w:pPr>
        <w:pStyle w:val="Heading3"/>
      </w:pPr>
      <w:r w:rsidRPr="00C95F04">
        <w:t xml:space="preserve">Option 4: Implementation of a national licensing framework for PCBUs working with engineered stone </w:t>
      </w:r>
    </w:p>
    <w:p w14:paraId="253A2404" w14:textId="77777777" w:rsidR="00C95F04" w:rsidRPr="00C95F04" w:rsidRDefault="00C95F04" w:rsidP="00214BBB">
      <w:pPr>
        <w:pStyle w:val="Heading4"/>
      </w:pPr>
      <w:r w:rsidRPr="00C95F04">
        <w:t xml:space="preserve">Costs to industry </w:t>
      </w:r>
    </w:p>
    <w:p w14:paraId="42847708" w14:textId="77777777" w:rsidR="00C95F04" w:rsidRPr="00C95F04" w:rsidRDefault="00C95F04" w:rsidP="00214BBB">
      <w:pPr>
        <w:pStyle w:val="BodyText"/>
      </w:pPr>
      <w:r w:rsidRPr="00C95F04">
        <w:t xml:space="preserve">Additional costs incurred by industry above the base case for Option 4 include the licensing fee and labour costs associated with preparation of a licence application every 5 years, the preparation and revision of risk assessments and control plans, preparation and participation in compliance audits, and submission of air monitoring reports to WHS regulators where WES exceedances have been detected. </w:t>
      </w:r>
    </w:p>
    <w:p w14:paraId="6ED755FB" w14:textId="1BD96DAC" w:rsidR="00C95F04" w:rsidRPr="00C95F04" w:rsidRDefault="00C95F04" w:rsidP="00214BBB">
      <w:pPr>
        <w:pStyle w:val="BodyText"/>
      </w:pPr>
      <w:r w:rsidRPr="00C95F04">
        <w:t xml:space="preserve">The total estimated net present cost over a 10-year period is presented in </w:t>
      </w:r>
      <w:r w:rsidRPr="00C95F04">
        <w:fldChar w:fldCharType="begin"/>
      </w:r>
      <w:r w:rsidRPr="00C95F04">
        <w:instrText xml:space="preserve"> REF _Ref124835575 \h </w:instrText>
      </w:r>
      <w:r w:rsidR="00214BBB">
        <w:instrText xml:space="preserve"> \* MERGEFORMAT </w:instrText>
      </w:r>
      <w:r w:rsidRPr="00C95F04">
        <w:fldChar w:fldCharType="separate"/>
      </w:r>
      <w:r w:rsidR="00E75FA2" w:rsidRPr="00E75FA2">
        <w:t xml:space="preserve">Table </w:t>
      </w:r>
      <w:r w:rsidR="00E75FA2">
        <w:t>14</w:t>
      </w:r>
      <w:r w:rsidRPr="00C95F04">
        <w:fldChar w:fldCharType="end"/>
      </w:r>
      <w:r w:rsidRPr="00C95F04">
        <w:t xml:space="preserve">. </w:t>
      </w:r>
    </w:p>
    <w:p w14:paraId="560A637C" w14:textId="3A10E417" w:rsidR="00C95F04" w:rsidRPr="00C95F04" w:rsidRDefault="00C95F04" w:rsidP="00214BBB">
      <w:pPr>
        <w:pStyle w:val="Caption"/>
      </w:pPr>
      <w:bookmarkStart w:id="645" w:name="_Ref124835575"/>
      <w:r w:rsidRPr="00C95F04">
        <w:t xml:space="preserve">Table </w:t>
      </w:r>
      <w:fldSimple w:instr=" SEQ Table \* ARABIC ">
        <w:r w:rsidR="00DF768D">
          <w:rPr>
            <w:noProof/>
          </w:rPr>
          <w:t>14</w:t>
        </w:r>
      </w:fldSimple>
      <w:bookmarkEnd w:id="645"/>
      <w:r w:rsidRPr="00C95F04">
        <w:t>: Estimated net present cost to industry of a national licensing framework for PCBUs working with engineered stone (Option 4) over 10 years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4087"/>
      </w:tblGrid>
      <w:tr w:rsidR="00C95F04" w:rsidRPr="00C95F04" w14:paraId="66B392BD" w14:textId="77777777" w:rsidTr="004C687A">
        <w:trPr>
          <w:trHeight w:val="324"/>
          <w:tblHeader/>
        </w:trPr>
        <w:tc>
          <w:tcPr>
            <w:tcW w:w="2736" w:type="pct"/>
            <w:shd w:val="clear" w:color="auto" w:fill="D1D1D1" w:themeFill="background2"/>
            <w:vAlign w:val="center"/>
          </w:tcPr>
          <w:p w14:paraId="67977C10" w14:textId="77777777" w:rsidR="00C95F04" w:rsidRPr="00C95F04" w:rsidRDefault="00C95F04" w:rsidP="000C215A">
            <w:pPr>
              <w:pStyle w:val="TableHeading"/>
              <w:rPr>
                <w:iCs/>
              </w:rPr>
            </w:pPr>
            <w:r w:rsidRPr="00C95F04">
              <w:t>Cost</w:t>
            </w:r>
          </w:p>
        </w:tc>
        <w:tc>
          <w:tcPr>
            <w:tcW w:w="2264" w:type="pct"/>
            <w:shd w:val="clear" w:color="auto" w:fill="D1D1D1" w:themeFill="background2"/>
            <w:vAlign w:val="center"/>
          </w:tcPr>
          <w:p w14:paraId="397F60DB" w14:textId="77777777" w:rsidR="00C95F04" w:rsidRPr="00C95F04" w:rsidRDefault="00C95F04" w:rsidP="000C215A">
            <w:pPr>
              <w:pStyle w:val="TableHeading"/>
            </w:pPr>
            <w:r w:rsidRPr="00C95F04">
              <w:t>Estimated net present cost over 10-year period ($m)</w:t>
            </w:r>
          </w:p>
        </w:tc>
      </w:tr>
      <w:tr w:rsidR="00C95F04" w:rsidRPr="00C95F04" w14:paraId="0CDF5878" w14:textId="77777777" w:rsidTr="004C687A">
        <w:trPr>
          <w:trHeight w:val="397"/>
        </w:trPr>
        <w:tc>
          <w:tcPr>
            <w:tcW w:w="2736" w:type="pct"/>
            <w:tcBorders>
              <w:top w:val="single" w:sz="8" w:space="0" w:color="D1D1D1" w:themeColor="background2"/>
              <w:bottom w:val="single" w:sz="8" w:space="0" w:color="D1D1D1" w:themeColor="background2"/>
            </w:tcBorders>
            <w:vAlign w:val="center"/>
          </w:tcPr>
          <w:p w14:paraId="12114D0E" w14:textId="77777777" w:rsidR="00C95F04" w:rsidRPr="00C95F04" w:rsidRDefault="00C95F04" w:rsidP="00214BBB">
            <w:pPr>
              <w:pStyle w:val="TableBody"/>
            </w:pPr>
            <w:r w:rsidRPr="00C95F04">
              <w:t>Licence application</w:t>
            </w:r>
          </w:p>
        </w:tc>
        <w:tc>
          <w:tcPr>
            <w:tcW w:w="2264" w:type="pct"/>
            <w:tcBorders>
              <w:top w:val="single" w:sz="8" w:space="0" w:color="D1D1D1" w:themeColor="background2"/>
              <w:bottom w:val="single" w:sz="8" w:space="0" w:color="D1D1D1" w:themeColor="background2"/>
            </w:tcBorders>
            <w:vAlign w:val="center"/>
          </w:tcPr>
          <w:p w14:paraId="3CC5D73F" w14:textId="77777777" w:rsidR="00C95F04" w:rsidRPr="00C95F04" w:rsidRDefault="00C95F04" w:rsidP="00214BBB">
            <w:pPr>
              <w:pStyle w:val="TableBody"/>
            </w:pPr>
            <w:r w:rsidRPr="00C95F04">
              <w:t>$1.6</w:t>
            </w:r>
          </w:p>
        </w:tc>
      </w:tr>
      <w:tr w:rsidR="00C95F04" w:rsidRPr="00C95F04" w14:paraId="668E1457" w14:textId="77777777" w:rsidTr="004C687A">
        <w:trPr>
          <w:trHeight w:val="403"/>
        </w:trPr>
        <w:tc>
          <w:tcPr>
            <w:tcW w:w="2736" w:type="pct"/>
            <w:tcBorders>
              <w:top w:val="single" w:sz="8" w:space="0" w:color="D1D1D1" w:themeColor="background2"/>
              <w:bottom w:val="single" w:sz="8" w:space="0" w:color="D1D1D1" w:themeColor="background2"/>
            </w:tcBorders>
            <w:vAlign w:val="center"/>
          </w:tcPr>
          <w:p w14:paraId="6F519921" w14:textId="77777777" w:rsidR="00C95F04" w:rsidRPr="00C95F04" w:rsidRDefault="00C95F04" w:rsidP="00214BBB">
            <w:pPr>
              <w:pStyle w:val="TableBody"/>
            </w:pPr>
            <w:r w:rsidRPr="00C95F04">
              <w:t xml:space="preserve">Licence fee </w:t>
            </w:r>
          </w:p>
        </w:tc>
        <w:tc>
          <w:tcPr>
            <w:tcW w:w="2264" w:type="pct"/>
            <w:tcBorders>
              <w:top w:val="single" w:sz="8" w:space="0" w:color="D1D1D1" w:themeColor="background2"/>
              <w:bottom w:val="single" w:sz="8" w:space="0" w:color="D1D1D1" w:themeColor="background2"/>
            </w:tcBorders>
            <w:vAlign w:val="center"/>
          </w:tcPr>
          <w:p w14:paraId="286C8744" w14:textId="77777777" w:rsidR="00C95F04" w:rsidRPr="00C95F04" w:rsidRDefault="00C95F04" w:rsidP="00214BBB">
            <w:pPr>
              <w:pStyle w:val="TableBody"/>
            </w:pPr>
            <w:r w:rsidRPr="00C95F04">
              <w:t>$0.6</w:t>
            </w:r>
          </w:p>
        </w:tc>
      </w:tr>
      <w:tr w:rsidR="00C95F04" w:rsidRPr="00C95F04" w14:paraId="68943C25" w14:textId="77777777" w:rsidTr="004C687A">
        <w:trPr>
          <w:trHeight w:val="408"/>
        </w:trPr>
        <w:tc>
          <w:tcPr>
            <w:tcW w:w="2736" w:type="pct"/>
            <w:tcBorders>
              <w:top w:val="single" w:sz="8" w:space="0" w:color="D1D1D1" w:themeColor="background2"/>
              <w:bottom w:val="single" w:sz="8" w:space="0" w:color="D1D1D1" w:themeColor="background2"/>
            </w:tcBorders>
            <w:vAlign w:val="center"/>
          </w:tcPr>
          <w:p w14:paraId="73AF493C" w14:textId="77777777" w:rsidR="00C95F04" w:rsidRPr="00C95F04" w:rsidRDefault="00C95F04" w:rsidP="00214BBB">
            <w:pPr>
              <w:pStyle w:val="TableBody"/>
            </w:pPr>
            <w:r w:rsidRPr="00C95F04">
              <w:t>Risk assessment (initial assessment)</w:t>
            </w:r>
          </w:p>
        </w:tc>
        <w:tc>
          <w:tcPr>
            <w:tcW w:w="2264" w:type="pct"/>
            <w:tcBorders>
              <w:top w:val="single" w:sz="8" w:space="0" w:color="D1D1D1" w:themeColor="background2"/>
              <w:bottom w:val="single" w:sz="8" w:space="0" w:color="D1D1D1" w:themeColor="background2"/>
            </w:tcBorders>
            <w:vAlign w:val="center"/>
          </w:tcPr>
          <w:p w14:paraId="269977C3" w14:textId="77777777" w:rsidR="00C95F04" w:rsidRPr="00C95F04" w:rsidRDefault="00C95F04" w:rsidP="00214BBB">
            <w:pPr>
              <w:pStyle w:val="TableBody"/>
            </w:pPr>
            <w:r w:rsidRPr="00C95F04">
              <w:t>$4.2</w:t>
            </w:r>
          </w:p>
        </w:tc>
      </w:tr>
      <w:tr w:rsidR="00C95F04" w:rsidRPr="00C95F04" w14:paraId="686B608D" w14:textId="77777777" w:rsidTr="004C687A">
        <w:trPr>
          <w:trHeight w:val="408"/>
        </w:trPr>
        <w:tc>
          <w:tcPr>
            <w:tcW w:w="2736" w:type="pct"/>
            <w:tcBorders>
              <w:top w:val="single" w:sz="8" w:space="0" w:color="D1D1D1" w:themeColor="background2"/>
              <w:bottom w:val="single" w:sz="8" w:space="0" w:color="D1D1D1" w:themeColor="background2"/>
            </w:tcBorders>
            <w:vAlign w:val="center"/>
          </w:tcPr>
          <w:p w14:paraId="19D43C26" w14:textId="77777777" w:rsidR="00C95F04" w:rsidRPr="00C95F04" w:rsidRDefault="00C95F04" w:rsidP="00214BBB">
            <w:pPr>
              <w:pStyle w:val="TableBody"/>
            </w:pPr>
            <w:r w:rsidRPr="00C95F04">
              <w:t>Risk assessment (annual assessment)</w:t>
            </w:r>
          </w:p>
        </w:tc>
        <w:tc>
          <w:tcPr>
            <w:tcW w:w="2264" w:type="pct"/>
            <w:tcBorders>
              <w:top w:val="single" w:sz="8" w:space="0" w:color="D1D1D1" w:themeColor="background2"/>
              <w:bottom w:val="single" w:sz="8" w:space="0" w:color="D1D1D1" w:themeColor="background2"/>
            </w:tcBorders>
            <w:vAlign w:val="center"/>
          </w:tcPr>
          <w:p w14:paraId="7E143613" w14:textId="77777777" w:rsidR="00C95F04" w:rsidRPr="00C95F04" w:rsidRDefault="00C95F04" w:rsidP="00214BBB">
            <w:pPr>
              <w:pStyle w:val="TableBody"/>
            </w:pPr>
            <w:r w:rsidRPr="00C95F04">
              <w:t>$1.9</w:t>
            </w:r>
          </w:p>
        </w:tc>
      </w:tr>
      <w:tr w:rsidR="00C95F04" w:rsidRPr="00C95F04" w14:paraId="40672E07" w14:textId="77777777" w:rsidTr="004C687A">
        <w:trPr>
          <w:trHeight w:val="408"/>
        </w:trPr>
        <w:tc>
          <w:tcPr>
            <w:tcW w:w="2736" w:type="pct"/>
            <w:tcBorders>
              <w:top w:val="single" w:sz="8" w:space="0" w:color="D1D1D1" w:themeColor="background2"/>
              <w:bottom w:val="single" w:sz="8" w:space="0" w:color="D1D1D1" w:themeColor="background2"/>
            </w:tcBorders>
            <w:vAlign w:val="center"/>
          </w:tcPr>
          <w:p w14:paraId="7A63DF8E" w14:textId="77777777" w:rsidR="00C95F04" w:rsidRPr="00C95F04" w:rsidRDefault="00C95F04" w:rsidP="00214BBB">
            <w:pPr>
              <w:pStyle w:val="TableBody"/>
            </w:pPr>
            <w:r w:rsidRPr="00C95F04">
              <w:t>Engineered stone control plan</w:t>
            </w:r>
          </w:p>
        </w:tc>
        <w:tc>
          <w:tcPr>
            <w:tcW w:w="2264" w:type="pct"/>
            <w:tcBorders>
              <w:top w:val="single" w:sz="8" w:space="0" w:color="D1D1D1" w:themeColor="background2"/>
              <w:bottom w:val="single" w:sz="8" w:space="0" w:color="D1D1D1" w:themeColor="background2"/>
            </w:tcBorders>
            <w:vAlign w:val="center"/>
          </w:tcPr>
          <w:p w14:paraId="64843EB9" w14:textId="77777777" w:rsidR="00C95F04" w:rsidRPr="00C95F04" w:rsidRDefault="00C95F04" w:rsidP="00214BBB">
            <w:pPr>
              <w:pStyle w:val="TableBody"/>
            </w:pPr>
            <w:r w:rsidRPr="00C95F04">
              <w:t>$1.3</w:t>
            </w:r>
          </w:p>
        </w:tc>
      </w:tr>
      <w:tr w:rsidR="00C95F04" w:rsidRPr="00C95F04" w14:paraId="741DD19B" w14:textId="77777777" w:rsidTr="004C687A">
        <w:trPr>
          <w:trHeight w:val="401"/>
        </w:trPr>
        <w:tc>
          <w:tcPr>
            <w:tcW w:w="2736" w:type="pct"/>
            <w:tcBorders>
              <w:top w:val="single" w:sz="8" w:space="0" w:color="D1D1D1" w:themeColor="background2"/>
              <w:bottom w:val="single" w:sz="8" w:space="0" w:color="D1D1D1" w:themeColor="background2"/>
            </w:tcBorders>
            <w:vAlign w:val="center"/>
          </w:tcPr>
          <w:p w14:paraId="515D8ED2" w14:textId="77777777" w:rsidR="00C95F04" w:rsidRPr="00C95F04" w:rsidRDefault="00C95F04" w:rsidP="00214BBB">
            <w:pPr>
              <w:pStyle w:val="TableBody"/>
            </w:pPr>
            <w:r w:rsidRPr="00C95F04">
              <w:t xml:space="preserve">Preparation for and participation in compliance audits </w:t>
            </w:r>
          </w:p>
        </w:tc>
        <w:tc>
          <w:tcPr>
            <w:tcW w:w="2264" w:type="pct"/>
            <w:tcBorders>
              <w:top w:val="single" w:sz="8" w:space="0" w:color="D1D1D1" w:themeColor="background2"/>
              <w:bottom w:val="single" w:sz="8" w:space="0" w:color="D1D1D1" w:themeColor="background2"/>
            </w:tcBorders>
            <w:vAlign w:val="center"/>
          </w:tcPr>
          <w:p w14:paraId="0D3CE4AF" w14:textId="77777777" w:rsidR="00C95F04" w:rsidRPr="00C95F04" w:rsidRDefault="00C95F04" w:rsidP="00214BBB">
            <w:pPr>
              <w:pStyle w:val="TableBody"/>
            </w:pPr>
            <w:r w:rsidRPr="00C95F04">
              <w:t>$6.0</w:t>
            </w:r>
          </w:p>
        </w:tc>
      </w:tr>
      <w:tr w:rsidR="00C95F04" w:rsidRPr="00C95F04" w14:paraId="6C2F4589" w14:textId="77777777" w:rsidTr="004C687A">
        <w:trPr>
          <w:trHeight w:val="401"/>
        </w:trPr>
        <w:tc>
          <w:tcPr>
            <w:tcW w:w="2736" w:type="pct"/>
            <w:tcBorders>
              <w:top w:val="single" w:sz="8" w:space="0" w:color="D1D1D1" w:themeColor="background2"/>
              <w:bottom w:val="single" w:sz="8" w:space="0" w:color="D1D1D1" w:themeColor="background2"/>
            </w:tcBorders>
            <w:vAlign w:val="center"/>
          </w:tcPr>
          <w:p w14:paraId="36FF24D0" w14:textId="77777777" w:rsidR="00C95F04" w:rsidRPr="00C95F04" w:rsidRDefault="00C95F04" w:rsidP="00214BBB">
            <w:pPr>
              <w:pStyle w:val="TableBody"/>
            </w:pPr>
            <w:r w:rsidRPr="00C95F04">
              <w:t>Air monitoring – provision of report to regulators where WES exceedance detected</w:t>
            </w:r>
          </w:p>
        </w:tc>
        <w:tc>
          <w:tcPr>
            <w:tcW w:w="2264" w:type="pct"/>
            <w:tcBorders>
              <w:top w:val="single" w:sz="8" w:space="0" w:color="D1D1D1" w:themeColor="background2"/>
              <w:bottom w:val="single" w:sz="8" w:space="0" w:color="D1D1D1" w:themeColor="background2"/>
            </w:tcBorders>
            <w:vAlign w:val="center"/>
          </w:tcPr>
          <w:p w14:paraId="753422FD" w14:textId="77777777" w:rsidR="00C95F04" w:rsidRPr="00C95F04" w:rsidRDefault="00C95F04" w:rsidP="00214BBB">
            <w:pPr>
              <w:pStyle w:val="TableBody"/>
            </w:pPr>
            <w:r w:rsidRPr="00C95F04">
              <w:t>$0.4</w:t>
            </w:r>
          </w:p>
        </w:tc>
      </w:tr>
      <w:tr w:rsidR="00C95F04" w:rsidRPr="00C95F04" w14:paraId="7B70DFBE" w14:textId="77777777" w:rsidTr="004C687A">
        <w:trPr>
          <w:trHeight w:val="401"/>
        </w:trPr>
        <w:tc>
          <w:tcPr>
            <w:tcW w:w="2736"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6C8B7BE6" w14:textId="77777777" w:rsidR="00C95F04" w:rsidRPr="00C95F04" w:rsidRDefault="00C95F04" w:rsidP="00214BBB">
            <w:pPr>
              <w:pStyle w:val="TableBody"/>
              <w:rPr>
                <w:b/>
                <w:bCs/>
              </w:rPr>
            </w:pPr>
            <w:r w:rsidRPr="00C95F04">
              <w:rPr>
                <w:b/>
                <w:bCs/>
              </w:rPr>
              <w:t xml:space="preserve">Total </w:t>
            </w:r>
          </w:p>
        </w:tc>
        <w:tc>
          <w:tcPr>
            <w:tcW w:w="2264"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3E1D0C62" w14:textId="77777777" w:rsidR="00C95F04" w:rsidRPr="00C95F04" w:rsidRDefault="00C95F04" w:rsidP="00214BBB">
            <w:pPr>
              <w:pStyle w:val="TableBody"/>
              <w:rPr>
                <w:b/>
                <w:bCs/>
              </w:rPr>
            </w:pPr>
            <w:r w:rsidRPr="00C95F04">
              <w:rPr>
                <w:b/>
                <w:bCs/>
              </w:rPr>
              <w:t>$16.0</w:t>
            </w:r>
          </w:p>
        </w:tc>
      </w:tr>
    </w:tbl>
    <w:p w14:paraId="4244B00E" w14:textId="77777777" w:rsidR="00C95F04" w:rsidRPr="00C95F04" w:rsidRDefault="00C95F04" w:rsidP="00214BBB">
      <w:pPr>
        <w:pStyle w:val="Heading4"/>
      </w:pPr>
      <w:r w:rsidRPr="00C95F04">
        <w:t>Costs to government</w:t>
      </w:r>
    </w:p>
    <w:p w14:paraId="6022EF23" w14:textId="77777777" w:rsidR="00C95F04" w:rsidRPr="00C95F04" w:rsidRDefault="00C95F04" w:rsidP="00214BBB">
      <w:pPr>
        <w:pStyle w:val="BodyText"/>
      </w:pPr>
      <w:r w:rsidRPr="00C95F04">
        <w:t xml:space="preserve">Additional costs incurred by government above the base case include labour costs associated establishing and implementing the national licensing framework, assessment of licence applications, and preparing for and conducting licence specific audits. Other costs include implementation of an awareness campaign to support implementation of the licensing scheme, and the development of a system for administering the licensing framework, which could also capture health and air monitoring data. </w:t>
      </w:r>
    </w:p>
    <w:p w14:paraId="373CFAB1" w14:textId="0989E0EF" w:rsidR="00C95F04" w:rsidRPr="00C95F04" w:rsidRDefault="00C95F04" w:rsidP="00214BBB">
      <w:pPr>
        <w:pStyle w:val="BodyText"/>
      </w:pPr>
      <w:r w:rsidRPr="00C95F04">
        <w:lastRenderedPageBreak/>
        <w:t xml:space="preserve">The total estimated net present cost over a 10-year period is presented in </w:t>
      </w:r>
      <w:r w:rsidRPr="00C95F04">
        <w:fldChar w:fldCharType="begin"/>
      </w:r>
      <w:r w:rsidRPr="00C95F04">
        <w:instrText xml:space="preserve"> REF _Ref124835764 \h </w:instrText>
      </w:r>
      <w:r w:rsidR="00E75FA2">
        <w:instrText xml:space="preserve"> \* MERGEFORMAT </w:instrText>
      </w:r>
      <w:r w:rsidRPr="00C95F04">
        <w:fldChar w:fldCharType="separate"/>
      </w:r>
      <w:r w:rsidR="00E75FA2" w:rsidRPr="00E75FA2">
        <w:rPr>
          <w:bCs/>
          <w:iCs/>
        </w:rPr>
        <w:t>Table</w:t>
      </w:r>
      <w:r w:rsidR="00E75FA2" w:rsidRPr="00C95F04">
        <w:rPr>
          <w:b/>
          <w:iCs/>
        </w:rPr>
        <w:t xml:space="preserve"> </w:t>
      </w:r>
      <w:r w:rsidR="00E75FA2">
        <w:rPr>
          <w:noProof/>
        </w:rPr>
        <w:t>15</w:t>
      </w:r>
      <w:r w:rsidRPr="00C95F04">
        <w:fldChar w:fldCharType="end"/>
      </w:r>
      <w:r w:rsidRPr="00C95F04">
        <w:t>.</w:t>
      </w:r>
    </w:p>
    <w:p w14:paraId="396A1E22" w14:textId="561EFB23" w:rsidR="00C95F04" w:rsidRPr="00C95F04" w:rsidRDefault="00C95F04" w:rsidP="00214BBB">
      <w:pPr>
        <w:pStyle w:val="Caption"/>
      </w:pPr>
      <w:bookmarkStart w:id="646" w:name="_Ref124835764"/>
      <w:r w:rsidRPr="00C95F04">
        <w:t xml:space="preserve">Table </w:t>
      </w:r>
      <w:fldSimple w:instr=" SEQ Table \* ARABIC ">
        <w:r w:rsidR="00DF768D">
          <w:rPr>
            <w:noProof/>
          </w:rPr>
          <w:t>15</w:t>
        </w:r>
      </w:fldSimple>
      <w:bookmarkEnd w:id="646"/>
      <w:r w:rsidRPr="00C95F04">
        <w:t>: Estimated net present cost to government of a national licensing framework for PCBUs working with engineered stone (Option 4) over 10 years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4087"/>
      </w:tblGrid>
      <w:tr w:rsidR="00C95F04" w:rsidRPr="00C95F04" w14:paraId="7F80B029" w14:textId="77777777" w:rsidTr="004C687A">
        <w:trPr>
          <w:trHeight w:val="324"/>
          <w:tblHeader/>
        </w:trPr>
        <w:tc>
          <w:tcPr>
            <w:tcW w:w="2736" w:type="pct"/>
            <w:shd w:val="clear" w:color="auto" w:fill="D1D1D1" w:themeFill="background2"/>
            <w:vAlign w:val="center"/>
          </w:tcPr>
          <w:p w14:paraId="3712E348" w14:textId="77777777" w:rsidR="00C95F04" w:rsidRPr="00C95F04" w:rsidRDefault="00C95F04" w:rsidP="000C215A">
            <w:pPr>
              <w:pStyle w:val="TableHeading"/>
              <w:rPr>
                <w:iCs/>
              </w:rPr>
            </w:pPr>
            <w:r w:rsidRPr="00C95F04">
              <w:t>Cost</w:t>
            </w:r>
          </w:p>
        </w:tc>
        <w:tc>
          <w:tcPr>
            <w:tcW w:w="2264" w:type="pct"/>
            <w:shd w:val="clear" w:color="auto" w:fill="D1D1D1" w:themeFill="background2"/>
            <w:vAlign w:val="center"/>
          </w:tcPr>
          <w:p w14:paraId="6AA60E55" w14:textId="77777777" w:rsidR="00C95F04" w:rsidRPr="00C95F04" w:rsidRDefault="00C95F04" w:rsidP="000C215A">
            <w:pPr>
              <w:pStyle w:val="TableHeading"/>
            </w:pPr>
            <w:r w:rsidRPr="00C95F04">
              <w:t>Estimated net present cost over 10-year period ($m)</w:t>
            </w:r>
          </w:p>
        </w:tc>
      </w:tr>
      <w:tr w:rsidR="00C95F04" w:rsidRPr="00C95F04" w14:paraId="6DFEC485" w14:textId="77777777" w:rsidTr="004C687A">
        <w:trPr>
          <w:trHeight w:val="397"/>
        </w:trPr>
        <w:tc>
          <w:tcPr>
            <w:tcW w:w="2736" w:type="pct"/>
            <w:tcBorders>
              <w:top w:val="single" w:sz="8" w:space="0" w:color="D1D1D1" w:themeColor="background2"/>
              <w:bottom w:val="single" w:sz="8" w:space="0" w:color="D1D1D1" w:themeColor="background2"/>
            </w:tcBorders>
            <w:vAlign w:val="center"/>
          </w:tcPr>
          <w:p w14:paraId="06F31A92" w14:textId="77777777" w:rsidR="00C95F04" w:rsidRPr="00C95F04" w:rsidRDefault="00C95F04" w:rsidP="00214BBB">
            <w:pPr>
              <w:pStyle w:val="TableBody"/>
            </w:pPr>
            <w:r w:rsidRPr="00C95F04">
              <w:t>Implementation of a national awareness campaign to support the regulatory change</w:t>
            </w:r>
          </w:p>
        </w:tc>
        <w:tc>
          <w:tcPr>
            <w:tcW w:w="2264" w:type="pct"/>
            <w:tcBorders>
              <w:top w:val="single" w:sz="8" w:space="0" w:color="D1D1D1" w:themeColor="background2"/>
              <w:bottom w:val="single" w:sz="8" w:space="0" w:color="D1D1D1" w:themeColor="background2"/>
            </w:tcBorders>
            <w:vAlign w:val="center"/>
          </w:tcPr>
          <w:p w14:paraId="374F0850" w14:textId="77777777" w:rsidR="00C95F04" w:rsidRPr="00C95F04" w:rsidRDefault="00C95F04" w:rsidP="00214BBB">
            <w:pPr>
              <w:pStyle w:val="TableBody"/>
            </w:pPr>
            <w:r w:rsidRPr="00C95F04">
              <w:t>$0.9</w:t>
            </w:r>
          </w:p>
        </w:tc>
      </w:tr>
      <w:tr w:rsidR="00C95F04" w:rsidRPr="00C95F04" w14:paraId="250ECD31" w14:textId="77777777" w:rsidTr="004C687A">
        <w:trPr>
          <w:trHeight w:val="403"/>
        </w:trPr>
        <w:tc>
          <w:tcPr>
            <w:tcW w:w="2736" w:type="pct"/>
            <w:tcBorders>
              <w:top w:val="single" w:sz="8" w:space="0" w:color="D1D1D1" w:themeColor="background2"/>
              <w:bottom w:val="single" w:sz="8" w:space="0" w:color="D1D1D1" w:themeColor="background2"/>
            </w:tcBorders>
            <w:vAlign w:val="center"/>
          </w:tcPr>
          <w:p w14:paraId="61C60BE3" w14:textId="77777777" w:rsidR="00C95F04" w:rsidRPr="00C95F04" w:rsidRDefault="00C95F04" w:rsidP="00214BBB">
            <w:pPr>
              <w:pStyle w:val="TableBody"/>
            </w:pPr>
            <w:r w:rsidRPr="00C95F04">
              <w:t>Purchasing of licensing software</w:t>
            </w:r>
          </w:p>
        </w:tc>
        <w:tc>
          <w:tcPr>
            <w:tcW w:w="2264" w:type="pct"/>
            <w:tcBorders>
              <w:top w:val="single" w:sz="8" w:space="0" w:color="D1D1D1" w:themeColor="background2"/>
              <w:bottom w:val="single" w:sz="8" w:space="0" w:color="D1D1D1" w:themeColor="background2"/>
            </w:tcBorders>
            <w:vAlign w:val="center"/>
          </w:tcPr>
          <w:p w14:paraId="05C30120" w14:textId="77777777" w:rsidR="00C95F04" w:rsidRPr="00C95F04" w:rsidRDefault="00C95F04" w:rsidP="00214BBB">
            <w:pPr>
              <w:pStyle w:val="TableBody"/>
            </w:pPr>
            <w:r w:rsidRPr="00C95F04">
              <w:t>$4.9</w:t>
            </w:r>
          </w:p>
        </w:tc>
      </w:tr>
      <w:tr w:rsidR="00C95F04" w:rsidRPr="00C95F04" w14:paraId="3C877FC2" w14:textId="77777777" w:rsidTr="004C687A">
        <w:trPr>
          <w:trHeight w:val="408"/>
        </w:trPr>
        <w:tc>
          <w:tcPr>
            <w:tcW w:w="2736" w:type="pct"/>
            <w:tcBorders>
              <w:top w:val="single" w:sz="8" w:space="0" w:color="D1D1D1" w:themeColor="background2"/>
              <w:bottom w:val="single" w:sz="8" w:space="0" w:color="D1D1D1" w:themeColor="background2"/>
            </w:tcBorders>
            <w:vAlign w:val="center"/>
          </w:tcPr>
          <w:p w14:paraId="43E29CDA" w14:textId="77777777" w:rsidR="00C95F04" w:rsidRPr="00C95F04" w:rsidRDefault="00C95F04" w:rsidP="00214BBB">
            <w:pPr>
              <w:pStyle w:val="TableBody"/>
            </w:pPr>
            <w:r w:rsidRPr="00C95F04">
              <w:t>Administration of licencing framework</w:t>
            </w:r>
          </w:p>
        </w:tc>
        <w:tc>
          <w:tcPr>
            <w:tcW w:w="2264" w:type="pct"/>
            <w:tcBorders>
              <w:top w:val="single" w:sz="8" w:space="0" w:color="D1D1D1" w:themeColor="background2"/>
              <w:bottom w:val="single" w:sz="8" w:space="0" w:color="D1D1D1" w:themeColor="background2"/>
            </w:tcBorders>
            <w:vAlign w:val="center"/>
          </w:tcPr>
          <w:p w14:paraId="67A83F0B" w14:textId="77777777" w:rsidR="00C95F04" w:rsidRPr="00C95F04" w:rsidRDefault="00C95F04" w:rsidP="00214BBB">
            <w:pPr>
              <w:pStyle w:val="TableBody"/>
            </w:pPr>
            <w:r w:rsidRPr="00C95F04">
              <w:t>$0.4</w:t>
            </w:r>
          </w:p>
        </w:tc>
      </w:tr>
      <w:tr w:rsidR="00C95F04" w:rsidRPr="00C95F04" w14:paraId="417C480C" w14:textId="77777777" w:rsidTr="004C687A">
        <w:trPr>
          <w:trHeight w:val="401"/>
        </w:trPr>
        <w:tc>
          <w:tcPr>
            <w:tcW w:w="2736" w:type="pct"/>
            <w:tcBorders>
              <w:top w:val="single" w:sz="8" w:space="0" w:color="D1D1D1" w:themeColor="background2"/>
              <w:bottom w:val="single" w:sz="8" w:space="0" w:color="D1D1D1" w:themeColor="background2"/>
            </w:tcBorders>
            <w:vAlign w:val="center"/>
          </w:tcPr>
          <w:p w14:paraId="353D0B7F" w14:textId="77777777" w:rsidR="00C95F04" w:rsidRPr="00C95F04" w:rsidRDefault="00C95F04" w:rsidP="00214BBB">
            <w:pPr>
              <w:pStyle w:val="TableBody"/>
            </w:pPr>
            <w:r w:rsidRPr="00C95F04">
              <w:t>Processing of licences</w:t>
            </w:r>
          </w:p>
        </w:tc>
        <w:tc>
          <w:tcPr>
            <w:tcW w:w="2264" w:type="pct"/>
            <w:tcBorders>
              <w:top w:val="single" w:sz="8" w:space="0" w:color="D1D1D1" w:themeColor="background2"/>
              <w:bottom w:val="single" w:sz="8" w:space="0" w:color="D1D1D1" w:themeColor="background2"/>
            </w:tcBorders>
            <w:vAlign w:val="center"/>
          </w:tcPr>
          <w:p w14:paraId="01EECEB3" w14:textId="77777777" w:rsidR="00C95F04" w:rsidRPr="00C95F04" w:rsidRDefault="00C95F04" w:rsidP="00214BBB">
            <w:pPr>
              <w:pStyle w:val="TableBody"/>
            </w:pPr>
            <w:r w:rsidRPr="00C95F04">
              <w:t>$6.0</w:t>
            </w:r>
          </w:p>
        </w:tc>
      </w:tr>
      <w:tr w:rsidR="00C95F04" w:rsidRPr="00C95F04" w14:paraId="0F43C311" w14:textId="77777777" w:rsidTr="004C687A">
        <w:trPr>
          <w:trHeight w:val="401"/>
        </w:trPr>
        <w:tc>
          <w:tcPr>
            <w:tcW w:w="2736" w:type="pct"/>
            <w:tcBorders>
              <w:top w:val="single" w:sz="8" w:space="0" w:color="D1D1D1" w:themeColor="background2"/>
              <w:bottom w:val="single" w:sz="8" w:space="0" w:color="D1D1D1" w:themeColor="background2"/>
            </w:tcBorders>
            <w:vAlign w:val="center"/>
          </w:tcPr>
          <w:p w14:paraId="57E4D5D8" w14:textId="77777777" w:rsidR="00C95F04" w:rsidRPr="00C95F04" w:rsidRDefault="00C95F04" w:rsidP="00214BBB">
            <w:pPr>
              <w:pStyle w:val="TableBody"/>
            </w:pPr>
            <w:r w:rsidRPr="00C95F04">
              <w:t>Compliance and enforcement</w:t>
            </w:r>
          </w:p>
        </w:tc>
        <w:tc>
          <w:tcPr>
            <w:tcW w:w="2264" w:type="pct"/>
            <w:tcBorders>
              <w:top w:val="single" w:sz="8" w:space="0" w:color="D1D1D1" w:themeColor="background2"/>
              <w:bottom w:val="single" w:sz="8" w:space="0" w:color="D1D1D1" w:themeColor="background2"/>
            </w:tcBorders>
            <w:vAlign w:val="center"/>
          </w:tcPr>
          <w:p w14:paraId="00EC9604" w14:textId="77777777" w:rsidR="00C95F04" w:rsidRPr="00C95F04" w:rsidRDefault="00C95F04" w:rsidP="00214BBB">
            <w:pPr>
              <w:pStyle w:val="TableBody"/>
            </w:pPr>
            <w:r w:rsidRPr="00C95F04">
              <w:t>$4.8</w:t>
            </w:r>
          </w:p>
        </w:tc>
      </w:tr>
      <w:tr w:rsidR="00C95F04" w:rsidRPr="00C95F04" w14:paraId="2AA07912" w14:textId="77777777" w:rsidTr="004C687A">
        <w:trPr>
          <w:trHeight w:val="401"/>
        </w:trPr>
        <w:tc>
          <w:tcPr>
            <w:tcW w:w="2736"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359F0BB7" w14:textId="77777777" w:rsidR="00C95F04" w:rsidRPr="00C95F04" w:rsidRDefault="00C95F04" w:rsidP="00214BBB">
            <w:pPr>
              <w:pStyle w:val="TableBody"/>
              <w:rPr>
                <w:b/>
                <w:bCs/>
              </w:rPr>
            </w:pPr>
            <w:r w:rsidRPr="00C95F04">
              <w:rPr>
                <w:b/>
                <w:bCs/>
              </w:rPr>
              <w:t>Total</w:t>
            </w:r>
          </w:p>
        </w:tc>
        <w:tc>
          <w:tcPr>
            <w:tcW w:w="2264"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319134B9" w14:textId="77777777" w:rsidR="00C95F04" w:rsidRPr="00C95F04" w:rsidRDefault="00C95F04" w:rsidP="00214BBB">
            <w:pPr>
              <w:pStyle w:val="TableBody"/>
              <w:rPr>
                <w:b/>
                <w:bCs/>
              </w:rPr>
            </w:pPr>
            <w:r w:rsidRPr="00C95F04">
              <w:rPr>
                <w:b/>
                <w:bCs/>
              </w:rPr>
              <w:t>$16.9</w:t>
            </w:r>
          </w:p>
        </w:tc>
      </w:tr>
    </w:tbl>
    <w:p w14:paraId="6951758A" w14:textId="77777777" w:rsidR="00C95F04" w:rsidRPr="00C95F04" w:rsidRDefault="00C95F04" w:rsidP="00214BBB">
      <w:pPr>
        <w:pStyle w:val="Heading3"/>
      </w:pPr>
      <w:r w:rsidRPr="00C95F04">
        <w:t xml:space="preserve">Option 5a: Additional regulation of defined high risk crystalline silica processes </w:t>
      </w:r>
    </w:p>
    <w:p w14:paraId="75170C57" w14:textId="77777777" w:rsidR="00C95F04" w:rsidRPr="00C95F04" w:rsidRDefault="00C95F04" w:rsidP="00214BBB">
      <w:pPr>
        <w:pStyle w:val="Heading4"/>
      </w:pPr>
      <w:r w:rsidRPr="00C95F04">
        <w:t xml:space="preserve">Costs to industry </w:t>
      </w:r>
    </w:p>
    <w:p w14:paraId="10416450" w14:textId="77777777" w:rsidR="00C95F04" w:rsidRPr="00C95F04" w:rsidRDefault="00C95F04" w:rsidP="00214BBB">
      <w:pPr>
        <w:pStyle w:val="BodyText"/>
      </w:pPr>
      <w:r w:rsidRPr="00C95F04">
        <w:t>Additional costs incurred by industry beyond the base case for Option 5a include labour for the preparation of risk assessments and a risk control plan, and submission of air monitoring reports to WHS regulators where results indicate the RCS WES has been exceeded.</w:t>
      </w:r>
    </w:p>
    <w:p w14:paraId="37B20A89" w14:textId="29039578" w:rsidR="00C95F04" w:rsidRPr="00C95F04" w:rsidRDefault="00C95F04" w:rsidP="00214BBB">
      <w:pPr>
        <w:pStyle w:val="BodyText"/>
      </w:pPr>
      <w:r w:rsidRPr="00C95F04">
        <w:t xml:space="preserve">The total estimated net present cost over a 10-year period is presented </w:t>
      </w:r>
      <w:r w:rsidRPr="00E75FA2">
        <w:t xml:space="preserve">in </w:t>
      </w:r>
      <w:r w:rsidRPr="00E75FA2">
        <w:fldChar w:fldCharType="begin"/>
      </w:r>
      <w:r w:rsidRPr="00E75FA2">
        <w:instrText xml:space="preserve"> REF _Ref124835751 \h </w:instrText>
      </w:r>
      <w:r w:rsidR="00E75FA2" w:rsidRPr="00E75FA2">
        <w:instrText xml:space="preserve"> \* MERGEFORMAT </w:instrText>
      </w:r>
      <w:r w:rsidRPr="00E75FA2">
        <w:fldChar w:fldCharType="separate"/>
      </w:r>
      <w:r w:rsidR="00E75FA2" w:rsidRPr="00E75FA2">
        <w:rPr>
          <w:iCs/>
        </w:rPr>
        <w:t xml:space="preserve">Table </w:t>
      </w:r>
      <w:r w:rsidR="00E75FA2" w:rsidRPr="00E75FA2">
        <w:rPr>
          <w:noProof/>
        </w:rPr>
        <w:t>16</w:t>
      </w:r>
      <w:r w:rsidRPr="00E75FA2">
        <w:fldChar w:fldCharType="end"/>
      </w:r>
      <w:r w:rsidRPr="00C95F04">
        <w:t>.</w:t>
      </w:r>
    </w:p>
    <w:p w14:paraId="444AE975" w14:textId="06852820" w:rsidR="00C95F04" w:rsidRPr="00C95F04" w:rsidRDefault="00C95F04" w:rsidP="00214BBB">
      <w:pPr>
        <w:pStyle w:val="Caption"/>
      </w:pPr>
      <w:bookmarkStart w:id="647" w:name="_Ref124835751"/>
      <w:r w:rsidRPr="00C95F04">
        <w:t xml:space="preserve">Table </w:t>
      </w:r>
      <w:fldSimple w:instr=" SEQ Table \* ARABIC ">
        <w:r w:rsidR="00DF768D">
          <w:rPr>
            <w:noProof/>
          </w:rPr>
          <w:t>16</w:t>
        </w:r>
      </w:fldSimple>
      <w:bookmarkEnd w:id="647"/>
      <w:r w:rsidRPr="00C95F04">
        <w:t>: Estimated net present cost to industry of additional regulation of defined high risk crystalline silica processes for industry (Option 5a) over 10 years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4087"/>
      </w:tblGrid>
      <w:tr w:rsidR="00C95F04" w:rsidRPr="00C95F04" w14:paraId="1100D6E2" w14:textId="77777777" w:rsidTr="004C687A">
        <w:trPr>
          <w:trHeight w:val="324"/>
          <w:tblHeader/>
        </w:trPr>
        <w:tc>
          <w:tcPr>
            <w:tcW w:w="2736" w:type="pct"/>
            <w:shd w:val="clear" w:color="auto" w:fill="D1D1D1" w:themeFill="background2"/>
            <w:vAlign w:val="center"/>
          </w:tcPr>
          <w:p w14:paraId="08EB167B" w14:textId="77777777" w:rsidR="00C95F04" w:rsidRPr="00214BBB" w:rsidRDefault="00C95F04" w:rsidP="000C215A">
            <w:pPr>
              <w:pStyle w:val="TableHeading"/>
            </w:pPr>
            <w:r w:rsidRPr="00C95F04">
              <w:t>Cost</w:t>
            </w:r>
          </w:p>
        </w:tc>
        <w:tc>
          <w:tcPr>
            <w:tcW w:w="2264" w:type="pct"/>
            <w:shd w:val="clear" w:color="auto" w:fill="D1D1D1" w:themeFill="background2"/>
            <w:vAlign w:val="center"/>
          </w:tcPr>
          <w:p w14:paraId="3DCA3284" w14:textId="77777777" w:rsidR="00C95F04" w:rsidRPr="005E469A" w:rsidRDefault="00C95F04" w:rsidP="005E469A">
            <w:pPr>
              <w:pStyle w:val="TableHeading"/>
            </w:pPr>
            <w:r w:rsidRPr="005E469A">
              <w:t>Estimated net present cost over 10-year period ($m)</w:t>
            </w:r>
          </w:p>
        </w:tc>
      </w:tr>
      <w:tr w:rsidR="00C95F04" w:rsidRPr="00C95F04" w14:paraId="2ED72C93" w14:textId="77777777" w:rsidTr="004C687A">
        <w:trPr>
          <w:trHeight w:val="397"/>
        </w:trPr>
        <w:tc>
          <w:tcPr>
            <w:tcW w:w="2736" w:type="pct"/>
            <w:tcBorders>
              <w:top w:val="single" w:sz="8" w:space="0" w:color="D1D1D1" w:themeColor="background2"/>
              <w:bottom w:val="single" w:sz="8" w:space="0" w:color="D1D1D1" w:themeColor="background2"/>
            </w:tcBorders>
            <w:vAlign w:val="center"/>
          </w:tcPr>
          <w:p w14:paraId="68406947" w14:textId="77777777" w:rsidR="00C95F04" w:rsidRPr="00C95F04" w:rsidRDefault="00C95F04" w:rsidP="00214BBB">
            <w:pPr>
              <w:pStyle w:val="TableBody"/>
            </w:pPr>
            <w:r w:rsidRPr="00C95F04">
              <w:t>Risk assessment - Initial assessment (Year 1)</w:t>
            </w:r>
          </w:p>
        </w:tc>
        <w:tc>
          <w:tcPr>
            <w:tcW w:w="2264" w:type="pct"/>
            <w:tcBorders>
              <w:top w:val="single" w:sz="8" w:space="0" w:color="D1D1D1" w:themeColor="background2"/>
              <w:bottom w:val="single" w:sz="8" w:space="0" w:color="D1D1D1" w:themeColor="background2"/>
            </w:tcBorders>
            <w:vAlign w:val="center"/>
          </w:tcPr>
          <w:p w14:paraId="0A13A615" w14:textId="77777777" w:rsidR="00C95F04" w:rsidRPr="00C95F04" w:rsidRDefault="00C95F04" w:rsidP="00214BBB">
            <w:pPr>
              <w:pStyle w:val="TableBody"/>
            </w:pPr>
            <w:r w:rsidRPr="00C95F04">
              <w:t>$94.0</w:t>
            </w:r>
          </w:p>
        </w:tc>
      </w:tr>
      <w:tr w:rsidR="00C95F04" w:rsidRPr="00C95F04" w14:paraId="46F1F5EE" w14:textId="77777777" w:rsidTr="004C687A">
        <w:trPr>
          <w:trHeight w:val="403"/>
        </w:trPr>
        <w:tc>
          <w:tcPr>
            <w:tcW w:w="2736" w:type="pct"/>
            <w:tcBorders>
              <w:top w:val="single" w:sz="8" w:space="0" w:color="D1D1D1" w:themeColor="background2"/>
              <w:bottom w:val="single" w:sz="8" w:space="0" w:color="D1D1D1" w:themeColor="background2"/>
            </w:tcBorders>
            <w:vAlign w:val="center"/>
          </w:tcPr>
          <w:p w14:paraId="0FD5DF0B" w14:textId="77777777" w:rsidR="00C95F04" w:rsidRPr="00C95F04" w:rsidRDefault="00C95F04" w:rsidP="00214BBB">
            <w:pPr>
              <w:pStyle w:val="TableBody"/>
            </w:pPr>
            <w:r w:rsidRPr="00C95F04">
              <w:t>Risk assessment - Annual assessment (Year 2 - 10)</w:t>
            </w:r>
          </w:p>
        </w:tc>
        <w:tc>
          <w:tcPr>
            <w:tcW w:w="2264" w:type="pct"/>
            <w:tcBorders>
              <w:top w:val="single" w:sz="8" w:space="0" w:color="D1D1D1" w:themeColor="background2"/>
              <w:bottom w:val="single" w:sz="8" w:space="0" w:color="D1D1D1" w:themeColor="background2"/>
            </w:tcBorders>
            <w:vAlign w:val="center"/>
          </w:tcPr>
          <w:p w14:paraId="1ADA6218" w14:textId="77777777" w:rsidR="00C95F04" w:rsidRPr="00C95F04" w:rsidRDefault="00C95F04" w:rsidP="00214BBB">
            <w:pPr>
              <w:pStyle w:val="TableBody"/>
            </w:pPr>
            <w:r w:rsidRPr="00C95F04">
              <w:t>$47.7</w:t>
            </w:r>
          </w:p>
        </w:tc>
      </w:tr>
      <w:tr w:rsidR="00C95F04" w:rsidRPr="00C95F04" w14:paraId="7C8D9527" w14:textId="77777777" w:rsidTr="004C687A">
        <w:trPr>
          <w:trHeight w:val="408"/>
        </w:trPr>
        <w:tc>
          <w:tcPr>
            <w:tcW w:w="2736" w:type="pct"/>
            <w:tcBorders>
              <w:top w:val="single" w:sz="8" w:space="0" w:color="D1D1D1" w:themeColor="background2"/>
              <w:bottom w:val="single" w:sz="8" w:space="0" w:color="D1D1D1" w:themeColor="background2"/>
            </w:tcBorders>
            <w:vAlign w:val="center"/>
          </w:tcPr>
          <w:p w14:paraId="4B7482AD" w14:textId="4C0DF533" w:rsidR="00C95F04" w:rsidRPr="00C95F04" w:rsidRDefault="00C95F04" w:rsidP="00214BBB">
            <w:pPr>
              <w:pStyle w:val="TableBody"/>
            </w:pPr>
            <w:r w:rsidRPr="00C95F04">
              <w:t>Silica risk control plan - preparation (all industries excluding construction)</w:t>
            </w:r>
          </w:p>
        </w:tc>
        <w:tc>
          <w:tcPr>
            <w:tcW w:w="2264" w:type="pct"/>
            <w:tcBorders>
              <w:top w:val="single" w:sz="8" w:space="0" w:color="D1D1D1" w:themeColor="background2"/>
              <w:bottom w:val="single" w:sz="8" w:space="0" w:color="D1D1D1" w:themeColor="background2"/>
            </w:tcBorders>
            <w:vAlign w:val="center"/>
          </w:tcPr>
          <w:p w14:paraId="4FC6112C" w14:textId="77777777" w:rsidR="00C95F04" w:rsidRPr="00C95F04" w:rsidRDefault="00C95F04" w:rsidP="00214BBB">
            <w:pPr>
              <w:pStyle w:val="TableBody"/>
            </w:pPr>
            <w:r w:rsidRPr="00C95F04">
              <w:t>$12.0</w:t>
            </w:r>
          </w:p>
        </w:tc>
      </w:tr>
      <w:tr w:rsidR="00C95F04" w:rsidRPr="00C95F04" w14:paraId="0B7DA370" w14:textId="77777777" w:rsidTr="004C687A">
        <w:trPr>
          <w:trHeight w:val="401"/>
        </w:trPr>
        <w:tc>
          <w:tcPr>
            <w:tcW w:w="2736" w:type="pct"/>
            <w:tcBorders>
              <w:top w:val="single" w:sz="8" w:space="0" w:color="D1D1D1" w:themeColor="background2"/>
              <w:bottom w:val="single" w:sz="8" w:space="0" w:color="D1D1D1" w:themeColor="background2"/>
            </w:tcBorders>
            <w:vAlign w:val="center"/>
          </w:tcPr>
          <w:p w14:paraId="5EA00701" w14:textId="77777777" w:rsidR="00C95F04" w:rsidRPr="00C95F04" w:rsidRDefault="00C95F04" w:rsidP="00214BBB">
            <w:pPr>
              <w:pStyle w:val="TableBody"/>
            </w:pPr>
            <w:r w:rsidRPr="00C95F04">
              <w:t>Air monitoring - provision of report to regulators where WES exceedance detected</w:t>
            </w:r>
          </w:p>
        </w:tc>
        <w:tc>
          <w:tcPr>
            <w:tcW w:w="2264" w:type="pct"/>
            <w:tcBorders>
              <w:top w:val="single" w:sz="8" w:space="0" w:color="D1D1D1" w:themeColor="background2"/>
              <w:bottom w:val="single" w:sz="8" w:space="0" w:color="D1D1D1" w:themeColor="background2"/>
            </w:tcBorders>
            <w:vAlign w:val="center"/>
          </w:tcPr>
          <w:p w14:paraId="3C39ABB9" w14:textId="77777777" w:rsidR="00C95F04" w:rsidRPr="00C95F04" w:rsidRDefault="00C95F04" w:rsidP="00214BBB">
            <w:pPr>
              <w:pStyle w:val="TableBody"/>
            </w:pPr>
            <w:r w:rsidRPr="00C95F04">
              <w:t>$15.0</w:t>
            </w:r>
          </w:p>
        </w:tc>
      </w:tr>
      <w:tr w:rsidR="00C95F04" w:rsidRPr="00C95F04" w14:paraId="0F7DFE73" w14:textId="77777777" w:rsidTr="004C687A">
        <w:trPr>
          <w:trHeight w:val="401"/>
        </w:trPr>
        <w:tc>
          <w:tcPr>
            <w:tcW w:w="2736"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6DF3C13F" w14:textId="77777777" w:rsidR="00C95F04" w:rsidRPr="00C95F04" w:rsidRDefault="00C95F04" w:rsidP="00214BBB">
            <w:pPr>
              <w:pStyle w:val="TableBody"/>
              <w:rPr>
                <w:b/>
                <w:bCs/>
              </w:rPr>
            </w:pPr>
            <w:r w:rsidRPr="00C95F04">
              <w:rPr>
                <w:b/>
                <w:bCs/>
              </w:rPr>
              <w:t>Total</w:t>
            </w:r>
          </w:p>
        </w:tc>
        <w:tc>
          <w:tcPr>
            <w:tcW w:w="2264"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3B498B9E" w14:textId="77777777" w:rsidR="00C95F04" w:rsidRPr="00C95F04" w:rsidRDefault="00C95F04" w:rsidP="00214BBB">
            <w:pPr>
              <w:pStyle w:val="TableBody"/>
              <w:rPr>
                <w:b/>
                <w:bCs/>
              </w:rPr>
            </w:pPr>
            <w:r w:rsidRPr="00C95F04">
              <w:rPr>
                <w:b/>
                <w:bCs/>
              </w:rPr>
              <w:t>$168.7</w:t>
            </w:r>
          </w:p>
        </w:tc>
      </w:tr>
    </w:tbl>
    <w:p w14:paraId="6F973148" w14:textId="77777777" w:rsidR="00C95F04" w:rsidRPr="00C95F04" w:rsidRDefault="00C95F04" w:rsidP="005173E7">
      <w:pPr>
        <w:pStyle w:val="Heading4"/>
      </w:pPr>
      <w:r w:rsidRPr="00C95F04">
        <w:t>Costs to government</w:t>
      </w:r>
    </w:p>
    <w:p w14:paraId="164A7724" w14:textId="77777777" w:rsidR="00C95F04" w:rsidRPr="00C95F04" w:rsidRDefault="00C95F04" w:rsidP="005173E7">
      <w:pPr>
        <w:pStyle w:val="BodyText"/>
      </w:pPr>
      <w:r w:rsidRPr="005173E7">
        <w:t>Additional</w:t>
      </w:r>
      <w:r w:rsidRPr="00C95F04">
        <w:t xml:space="preserve"> costs incurred by government over and above the requirements under the WHS laws for this option include funding for an awareness campaign on amendments to the model WHS laws.</w:t>
      </w:r>
    </w:p>
    <w:p w14:paraId="41C96DC7" w14:textId="0D3DA874" w:rsidR="00C95F04" w:rsidRPr="00C95F04" w:rsidRDefault="00C95F04" w:rsidP="00C95F04">
      <w:pPr>
        <w:pStyle w:val="BodyText"/>
      </w:pPr>
      <w:r w:rsidRPr="00C95F04">
        <w:t xml:space="preserve">The total estimated net present cost over a 10-year period is presented in </w:t>
      </w:r>
      <w:r w:rsidRPr="00C95F04">
        <w:fldChar w:fldCharType="begin"/>
      </w:r>
      <w:r w:rsidRPr="00C95F04">
        <w:instrText xml:space="preserve"> REF _Ref124835691 \h </w:instrText>
      </w:r>
      <w:r w:rsidR="00E75FA2" w:rsidRPr="00E75FA2">
        <w:instrText xml:space="preserve"> \* MERGEFORMAT </w:instrText>
      </w:r>
      <w:r w:rsidRPr="00C95F04">
        <w:fldChar w:fldCharType="separate"/>
      </w:r>
      <w:r w:rsidR="00E75FA2" w:rsidRPr="00E75FA2">
        <w:rPr>
          <w:iCs/>
        </w:rPr>
        <w:t xml:space="preserve">Table </w:t>
      </w:r>
      <w:r w:rsidR="00E75FA2" w:rsidRPr="00E75FA2">
        <w:rPr>
          <w:noProof/>
        </w:rPr>
        <w:t>17</w:t>
      </w:r>
      <w:r w:rsidRPr="00C95F04">
        <w:fldChar w:fldCharType="end"/>
      </w:r>
      <w:r w:rsidRPr="00C95F04">
        <w:t>.</w:t>
      </w:r>
    </w:p>
    <w:p w14:paraId="678552FE" w14:textId="67CC3F4A" w:rsidR="00C95F04" w:rsidRPr="00C95F04" w:rsidRDefault="00C95F04" w:rsidP="005173E7">
      <w:pPr>
        <w:pStyle w:val="Caption"/>
      </w:pPr>
      <w:bookmarkStart w:id="648" w:name="_Ref124835691"/>
      <w:r w:rsidRPr="00C95F04">
        <w:lastRenderedPageBreak/>
        <w:t xml:space="preserve">Table </w:t>
      </w:r>
      <w:fldSimple w:instr=" SEQ Table \* ARABIC ">
        <w:r w:rsidR="00DF768D">
          <w:rPr>
            <w:noProof/>
          </w:rPr>
          <w:t>17</w:t>
        </w:r>
      </w:fldSimple>
      <w:bookmarkEnd w:id="648"/>
      <w:r w:rsidRPr="00C95F04">
        <w:t>: Estimated net present cost to government of additional regulation of defined high risk crystalline silica processes for industry (Option 5a) over 10 years</w:t>
      </w:r>
    </w:p>
    <w:tbl>
      <w:tblPr>
        <w:tblStyle w:val="TableGrid"/>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9"/>
        <w:gridCol w:w="2881"/>
        <w:gridCol w:w="53"/>
      </w:tblGrid>
      <w:tr w:rsidR="00C95F04" w:rsidRPr="00C95F04" w14:paraId="6EF61AC6" w14:textId="77777777" w:rsidTr="004C687A">
        <w:trPr>
          <w:gridAfter w:val="1"/>
          <w:wAfter w:w="30" w:type="pct"/>
          <w:trHeight w:val="132"/>
          <w:tblHeader/>
        </w:trPr>
        <w:tc>
          <w:tcPr>
            <w:tcW w:w="3352" w:type="pct"/>
            <w:shd w:val="clear" w:color="auto" w:fill="D1D1D1" w:themeFill="background2"/>
            <w:vAlign w:val="center"/>
          </w:tcPr>
          <w:p w14:paraId="00CDC31A" w14:textId="77777777" w:rsidR="00C95F04" w:rsidRPr="00C95F04" w:rsidRDefault="00C95F04" w:rsidP="000C215A">
            <w:pPr>
              <w:pStyle w:val="TableHeading"/>
            </w:pPr>
            <w:r w:rsidRPr="00C95F04">
              <w:t>Cost</w:t>
            </w:r>
          </w:p>
        </w:tc>
        <w:tc>
          <w:tcPr>
            <w:tcW w:w="1618" w:type="pct"/>
            <w:shd w:val="clear" w:color="auto" w:fill="D1D1D1" w:themeFill="background2"/>
          </w:tcPr>
          <w:p w14:paraId="70C27457" w14:textId="77777777" w:rsidR="00C95F04" w:rsidRPr="00C95F04" w:rsidRDefault="00C95F04" w:rsidP="000C215A">
            <w:pPr>
              <w:pStyle w:val="TableHeading"/>
            </w:pPr>
            <w:r w:rsidRPr="00C95F04">
              <w:t>Estimated net present cost over 10-year period ($m)</w:t>
            </w:r>
          </w:p>
        </w:tc>
      </w:tr>
      <w:tr w:rsidR="00C95F04" w:rsidRPr="00C95F04" w14:paraId="49504223" w14:textId="77777777" w:rsidTr="004C687A">
        <w:trPr>
          <w:trHeight w:val="248"/>
        </w:trPr>
        <w:tc>
          <w:tcPr>
            <w:tcW w:w="3352" w:type="pct"/>
            <w:tcBorders>
              <w:top w:val="single" w:sz="8" w:space="0" w:color="D1D1D1" w:themeColor="background2"/>
              <w:bottom w:val="single" w:sz="8" w:space="0" w:color="D1D1D1" w:themeColor="background2"/>
            </w:tcBorders>
            <w:vAlign w:val="center"/>
          </w:tcPr>
          <w:p w14:paraId="726E1C55" w14:textId="77777777" w:rsidR="00C95F04" w:rsidRPr="00C95F04" w:rsidRDefault="00C95F04" w:rsidP="005173E7">
            <w:pPr>
              <w:pStyle w:val="TableBody"/>
            </w:pPr>
            <w:r w:rsidRPr="00C95F04">
              <w:t>Implementation of a national awareness campaign to support the regulatory change</w:t>
            </w:r>
          </w:p>
        </w:tc>
        <w:tc>
          <w:tcPr>
            <w:tcW w:w="1648" w:type="pct"/>
            <w:gridSpan w:val="2"/>
            <w:tcBorders>
              <w:top w:val="single" w:sz="8" w:space="0" w:color="D1D1D1" w:themeColor="background2"/>
              <w:bottom w:val="single" w:sz="8" w:space="0" w:color="D1D1D1" w:themeColor="background2"/>
            </w:tcBorders>
            <w:vAlign w:val="center"/>
          </w:tcPr>
          <w:p w14:paraId="0541D335" w14:textId="77777777" w:rsidR="00C95F04" w:rsidRPr="00C95F04" w:rsidRDefault="00C95F04" w:rsidP="005173E7">
            <w:pPr>
              <w:pStyle w:val="TableBody"/>
            </w:pPr>
            <w:r w:rsidRPr="00C95F04">
              <w:t>$0.9</w:t>
            </w:r>
          </w:p>
        </w:tc>
      </w:tr>
      <w:tr w:rsidR="00C95F04" w:rsidRPr="00C95F04" w14:paraId="08E1B44D" w14:textId="77777777" w:rsidTr="004C687A">
        <w:trPr>
          <w:trHeight w:val="248"/>
        </w:trPr>
        <w:tc>
          <w:tcPr>
            <w:tcW w:w="3352"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27062729" w14:textId="77777777" w:rsidR="00C95F04" w:rsidRPr="00C95F04" w:rsidRDefault="00C95F04" w:rsidP="005173E7">
            <w:pPr>
              <w:pStyle w:val="TableBody"/>
              <w:rPr>
                <w:b/>
                <w:bCs/>
              </w:rPr>
            </w:pPr>
            <w:r w:rsidRPr="00C95F04">
              <w:rPr>
                <w:b/>
                <w:bCs/>
              </w:rPr>
              <w:t>Total</w:t>
            </w:r>
          </w:p>
        </w:tc>
        <w:tc>
          <w:tcPr>
            <w:tcW w:w="1648" w:type="pct"/>
            <w:gridSpan w:val="2"/>
            <w:tcBorders>
              <w:top w:val="single" w:sz="8" w:space="0" w:color="D1D1D1" w:themeColor="background2"/>
              <w:bottom w:val="single" w:sz="8" w:space="0" w:color="D1D1D1" w:themeColor="background2"/>
            </w:tcBorders>
            <w:shd w:val="clear" w:color="auto" w:fill="D9D9D9" w:themeFill="background1" w:themeFillShade="D9"/>
            <w:vAlign w:val="center"/>
          </w:tcPr>
          <w:p w14:paraId="32191FB2" w14:textId="77777777" w:rsidR="00C95F04" w:rsidRPr="00C95F04" w:rsidRDefault="00C95F04" w:rsidP="005173E7">
            <w:pPr>
              <w:pStyle w:val="TableBody"/>
              <w:rPr>
                <w:b/>
                <w:bCs/>
              </w:rPr>
            </w:pPr>
            <w:r w:rsidRPr="00C95F04">
              <w:rPr>
                <w:b/>
                <w:bCs/>
              </w:rPr>
              <w:t>$0.9</w:t>
            </w:r>
          </w:p>
        </w:tc>
      </w:tr>
    </w:tbl>
    <w:p w14:paraId="55CEB022" w14:textId="77777777" w:rsidR="00C95F04" w:rsidRPr="00C95F04" w:rsidRDefault="00C95F04" w:rsidP="005173E7">
      <w:pPr>
        <w:pStyle w:val="Heading3"/>
      </w:pPr>
      <w:r w:rsidRPr="00C95F04">
        <w:t>Option 5b: Additional regulation of defined high risk crystalline silica processes (excluding engineered stone)</w:t>
      </w:r>
    </w:p>
    <w:p w14:paraId="7547F119" w14:textId="77777777" w:rsidR="00C95F04" w:rsidRPr="00C95F04" w:rsidRDefault="00C95F04" w:rsidP="005173E7">
      <w:pPr>
        <w:pStyle w:val="Heading4"/>
      </w:pPr>
      <w:r w:rsidRPr="00C95F04">
        <w:t xml:space="preserve">Costs to industry </w:t>
      </w:r>
    </w:p>
    <w:p w14:paraId="63F949BC" w14:textId="77777777" w:rsidR="00C95F04" w:rsidRPr="00C95F04" w:rsidRDefault="00C95F04" w:rsidP="005173E7">
      <w:pPr>
        <w:pStyle w:val="BodyText"/>
      </w:pPr>
      <w:r w:rsidRPr="00C95F04">
        <w:t>The costs to industry incurred under Option 5b are equivalent to Option 5a, with the exception that costs associated with PCBUs working with engineered stone are excluded from the analysis.</w:t>
      </w:r>
    </w:p>
    <w:p w14:paraId="6D8EA2A9" w14:textId="0878C463" w:rsidR="00C95F04" w:rsidRPr="00C95F04" w:rsidRDefault="00C95F04" w:rsidP="005173E7">
      <w:pPr>
        <w:pStyle w:val="BodyText"/>
      </w:pPr>
      <w:r w:rsidRPr="00C95F04">
        <w:t xml:space="preserve">The estimated net present cost to industry over a 10-year period is presented in </w:t>
      </w:r>
      <w:r w:rsidRPr="00C95F04">
        <w:fldChar w:fldCharType="begin"/>
      </w:r>
      <w:r w:rsidRPr="00C95F04">
        <w:instrText xml:space="preserve"> REF _Ref124835674 \h </w:instrText>
      </w:r>
      <w:r w:rsidR="005173E7">
        <w:instrText xml:space="preserve"> \* MERGEFORMAT </w:instrText>
      </w:r>
      <w:r w:rsidRPr="00C95F04">
        <w:fldChar w:fldCharType="separate"/>
      </w:r>
      <w:r w:rsidR="00E75FA2" w:rsidRPr="00E75FA2">
        <w:t xml:space="preserve">Table </w:t>
      </w:r>
      <w:r w:rsidR="00E75FA2">
        <w:t>18</w:t>
      </w:r>
      <w:r w:rsidRPr="00C95F04">
        <w:fldChar w:fldCharType="end"/>
      </w:r>
      <w:r w:rsidRPr="00C95F04">
        <w:t>.</w:t>
      </w:r>
    </w:p>
    <w:p w14:paraId="140326C8" w14:textId="2C50188A" w:rsidR="00C95F04" w:rsidRPr="00C95F04" w:rsidRDefault="00C95F04" w:rsidP="005173E7">
      <w:pPr>
        <w:pStyle w:val="Caption"/>
      </w:pPr>
      <w:bookmarkStart w:id="649" w:name="_Ref124835674"/>
      <w:r w:rsidRPr="00C95F04">
        <w:t xml:space="preserve">Table </w:t>
      </w:r>
      <w:fldSimple w:instr=" SEQ Table \* ARABIC ">
        <w:r w:rsidR="00DF768D">
          <w:rPr>
            <w:noProof/>
          </w:rPr>
          <w:t>18</w:t>
        </w:r>
      </w:fldSimple>
      <w:bookmarkEnd w:id="649"/>
      <w:r w:rsidRPr="00C95F04">
        <w:t>: Estimated net present cost to industry of additional regulation of defined high risk crystalline silica processes for industries (Option 5b) over 10 years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4087"/>
      </w:tblGrid>
      <w:tr w:rsidR="00C95F04" w:rsidRPr="00C95F04" w14:paraId="4AD72523" w14:textId="77777777" w:rsidTr="004C687A">
        <w:trPr>
          <w:trHeight w:val="324"/>
          <w:tblHeader/>
        </w:trPr>
        <w:tc>
          <w:tcPr>
            <w:tcW w:w="2736" w:type="pct"/>
            <w:shd w:val="clear" w:color="auto" w:fill="D1D1D1" w:themeFill="background2"/>
            <w:vAlign w:val="center"/>
          </w:tcPr>
          <w:p w14:paraId="57F38405" w14:textId="77777777" w:rsidR="00C95F04" w:rsidRPr="00C95F04" w:rsidRDefault="00C95F04" w:rsidP="000C215A">
            <w:pPr>
              <w:pStyle w:val="TableHeading"/>
              <w:rPr>
                <w:iCs/>
              </w:rPr>
            </w:pPr>
            <w:r w:rsidRPr="00C95F04">
              <w:t>Cost</w:t>
            </w:r>
          </w:p>
        </w:tc>
        <w:tc>
          <w:tcPr>
            <w:tcW w:w="2264" w:type="pct"/>
            <w:shd w:val="clear" w:color="auto" w:fill="D1D1D1" w:themeFill="background2"/>
            <w:vAlign w:val="center"/>
          </w:tcPr>
          <w:p w14:paraId="341CAAF4" w14:textId="77777777" w:rsidR="00C95F04" w:rsidRPr="00C95F04" w:rsidRDefault="00C95F04" w:rsidP="000C215A">
            <w:pPr>
              <w:pStyle w:val="TableHeading"/>
            </w:pPr>
            <w:r w:rsidRPr="00C95F04">
              <w:t>Estimated net present cost over 10-year period ($m)</w:t>
            </w:r>
          </w:p>
        </w:tc>
      </w:tr>
      <w:tr w:rsidR="00C95F04" w:rsidRPr="00C95F04" w14:paraId="114B7E22" w14:textId="77777777" w:rsidTr="004C687A">
        <w:trPr>
          <w:trHeight w:val="397"/>
        </w:trPr>
        <w:tc>
          <w:tcPr>
            <w:tcW w:w="2736" w:type="pct"/>
            <w:tcBorders>
              <w:top w:val="single" w:sz="8" w:space="0" w:color="D1D1D1" w:themeColor="background2"/>
              <w:bottom w:val="single" w:sz="8" w:space="0" w:color="D1D1D1" w:themeColor="background2"/>
            </w:tcBorders>
            <w:vAlign w:val="center"/>
          </w:tcPr>
          <w:p w14:paraId="3AB88908" w14:textId="77777777" w:rsidR="00C95F04" w:rsidRPr="00C95F04" w:rsidRDefault="00C95F04" w:rsidP="005173E7">
            <w:pPr>
              <w:pStyle w:val="TableBody"/>
            </w:pPr>
            <w:r w:rsidRPr="00C95F04">
              <w:t>Risk assessment - Initial assessment (Year 1)</w:t>
            </w:r>
          </w:p>
        </w:tc>
        <w:tc>
          <w:tcPr>
            <w:tcW w:w="2264" w:type="pct"/>
            <w:tcBorders>
              <w:top w:val="single" w:sz="8" w:space="0" w:color="D1D1D1" w:themeColor="background2"/>
              <w:bottom w:val="single" w:sz="8" w:space="0" w:color="D1D1D1" w:themeColor="background2"/>
            </w:tcBorders>
            <w:vAlign w:val="center"/>
          </w:tcPr>
          <w:p w14:paraId="546DBF2A" w14:textId="77777777" w:rsidR="00C95F04" w:rsidRPr="00C95F04" w:rsidRDefault="00C95F04" w:rsidP="005173E7">
            <w:pPr>
              <w:pStyle w:val="TableBody"/>
            </w:pPr>
            <w:r w:rsidRPr="00C95F04">
              <w:t>$89.8</w:t>
            </w:r>
          </w:p>
        </w:tc>
      </w:tr>
      <w:tr w:rsidR="00C95F04" w:rsidRPr="00C95F04" w14:paraId="50EFC11F" w14:textId="77777777" w:rsidTr="004C687A">
        <w:trPr>
          <w:trHeight w:val="403"/>
        </w:trPr>
        <w:tc>
          <w:tcPr>
            <w:tcW w:w="2736" w:type="pct"/>
            <w:tcBorders>
              <w:top w:val="single" w:sz="8" w:space="0" w:color="D1D1D1" w:themeColor="background2"/>
              <w:bottom w:val="single" w:sz="8" w:space="0" w:color="D1D1D1" w:themeColor="background2"/>
            </w:tcBorders>
            <w:vAlign w:val="center"/>
          </w:tcPr>
          <w:p w14:paraId="1832A9F5" w14:textId="77777777" w:rsidR="00C95F04" w:rsidRPr="00C95F04" w:rsidRDefault="00C95F04" w:rsidP="005173E7">
            <w:pPr>
              <w:pStyle w:val="TableBody"/>
            </w:pPr>
            <w:r w:rsidRPr="00C95F04">
              <w:t>Risk assessment - Annual assessment (Year 2 - 10)</w:t>
            </w:r>
          </w:p>
        </w:tc>
        <w:tc>
          <w:tcPr>
            <w:tcW w:w="2264" w:type="pct"/>
            <w:tcBorders>
              <w:top w:val="single" w:sz="8" w:space="0" w:color="D1D1D1" w:themeColor="background2"/>
              <w:bottom w:val="single" w:sz="8" w:space="0" w:color="D1D1D1" w:themeColor="background2"/>
            </w:tcBorders>
            <w:vAlign w:val="center"/>
          </w:tcPr>
          <w:p w14:paraId="6AAEDA0B" w14:textId="77777777" w:rsidR="00C95F04" w:rsidRPr="00C95F04" w:rsidRDefault="00C95F04" w:rsidP="005173E7">
            <w:pPr>
              <w:pStyle w:val="TableBody"/>
            </w:pPr>
            <w:r w:rsidRPr="00C95F04">
              <w:t>$44.2</w:t>
            </w:r>
          </w:p>
        </w:tc>
      </w:tr>
      <w:tr w:rsidR="00C95F04" w:rsidRPr="00C95F04" w14:paraId="69FCCE24" w14:textId="77777777" w:rsidTr="004C687A">
        <w:trPr>
          <w:trHeight w:val="408"/>
        </w:trPr>
        <w:tc>
          <w:tcPr>
            <w:tcW w:w="2736" w:type="pct"/>
            <w:tcBorders>
              <w:top w:val="single" w:sz="8" w:space="0" w:color="D1D1D1" w:themeColor="background2"/>
              <w:bottom w:val="single" w:sz="8" w:space="0" w:color="D1D1D1" w:themeColor="background2"/>
            </w:tcBorders>
            <w:vAlign w:val="center"/>
          </w:tcPr>
          <w:p w14:paraId="18D09609" w14:textId="77777777" w:rsidR="00C95F04" w:rsidRPr="00C95F04" w:rsidRDefault="00C95F04" w:rsidP="005173E7">
            <w:pPr>
              <w:pStyle w:val="TableBody"/>
            </w:pPr>
            <w:r w:rsidRPr="00C95F04">
              <w:t>Silica risk control plan - preparation (all industries excluding construction)</w:t>
            </w:r>
          </w:p>
        </w:tc>
        <w:tc>
          <w:tcPr>
            <w:tcW w:w="2264" w:type="pct"/>
            <w:tcBorders>
              <w:top w:val="single" w:sz="8" w:space="0" w:color="D1D1D1" w:themeColor="background2"/>
              <w:bottom w:val="single" w:sz="8" w:space="0" w:color="D1D1D1" w:themeColor="background2"/>
            </w:tcBorders>
            <w:vAlign w:val="center"/>
          </w:tcPr>
          <w:p w14:paraId="15188D98" w14:textId="77777777" w:rsidR="00C95F04" w:rsidRPr="00C95F04" w:rsidRDefault="00C95F04" w:rsidP="005173E7">
            <w:pPr>
              <w:pStyle w:val="TableBody"/>
            </w:pPr>
            <w:r w:rsidRPr="00C95F04">
              <w:t>$11.6</w:t>
            </w:r>
          </w:p>
        </w:tc>
      </w:tr>
      <w:tr w:rsidR="00C95F04" w:rsidRPr="00C95F04" w14:paraId="547065A7" w14:textId="77777777" w:rsidTr="004C687A">
        <w:trPr>
          <w:trHeight w:val="401"/>
        </w:trPr>
        <w:tc>
          <w:tcPr>
            <w:tcW w:w="2736" w:type="pct"/>
            <w:tcBorders>
              <w:top w:val="single" w:sz="8" w:space="0" w:color="D1D1D1" w:themeColor="background2"/>
              <w:bottom w:val="single" w:sz="8" w:space="0" w:color="D1D1D1" w:themeColor="background2"/>
            </w:tcBorders>
            <w:vAlign w:val="center"/>
          </w:tcPr>
          <w:p w14:paraId="227D37B0" w14:textId="77777777" w:rsidR="00C95F04" w:rsidRPr="00C95F04" w:rsidRDefault="00C95F04" w:rsidP="005173E7">
            <w:pPr>
              <w:pStyle w:val="TableBody"/>
            </w:pPr>
            <w:r w:rsidRPr="00C95F04">
              <w:t>Air monitoring - provision of report to regulators</w:t>
            </w:r>
          </w:p>
        </w:tc>
        <w:tc>
          <w:tcPr>
            <w:tcW w:w="2264" w:type="pct"/>
            <w:tcBorders>
              <w:top w:val="single" w:sz="8" w:space="0" w:color="D1D1D1" w:themeColor="background2"/>
              <w:bottom w:val="single" w:sz="8" w:space="0" w:color="D1D1D1" w:themeColor="background2"/>
            </w:tcBorders>
            <w:vAlign w:val="center"/>
          </w:tcPr>
          <w:p w14:paraId="38CE1109" w14:textId="77777777" w:rsidR="00C95F04" w:rsidRPr="00C95F04" w:rsidRDefault="00C95F04" w:rsidP="005173E7">
            <w:pPr>
              <w:pStyle w:val="TableBody"/>
            </w:pPr>
            <w:r w:rsidRPr="00C95F04">
              <w:t>$14.3</w:t>
            </w:r>
          </w:p>
        </w:tc>
      </w:tr>
      <w:tr w:rsidR="00C95F04" w:rsidRPr="00C95F04" w14:paraId="42982B3A" w14:textId="77777777" w:rsidTr="004C687A">
        <w:trPr>
          <w:trHeight w:val="401"/>
        </w:trPr>
        <w:tc>
          <w:tcPr>
            <w:tcW w:w="2736"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76F89A45" w14:textId="77777777" w:rsidR="00C95F04" w:rsidRPr="00C95F04" w:rsidRDefault="00C95F04" w:rsidP="005173E7">
            <w:pPr>
              <w:pStyle w:val="TableBody"/>
              <w:rPr>
                <w:b/>
                <w:bCs/>
              </w:rPr>
            </w:pPr>
            <w:r w:rsidRPr="00C95F04">
              <w:rPr>
                <w:b/>
                <w:bCs/>
              </w:rPr>
              <w:t>Total</w:t>
            </w:r>
          </w:p>
        </w:tc>
        <w:tc>
          <w:tcPr>
            <w:tcW w:w="2264"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3A434AC5" w14:textId="77777777" w:rsidR="00C95F04" w:rsidRPr="00C95F04" w:rsidRDefault="00C95F04" w:rsidP="005173E7">
            <w:pPr>
              <w:pStyle w:val="TableBody"/>
              <w:rPr>
                <w:b/>
                <w:bCs/>
              </w:rPr>
            </w:pPr>
            <w:r w:rsidRPr="00C95F04">
              <w:rPr>
                <w:b/>
                <w:bCs/>
              </w:rPr>
              <w:t>$159.9</w:t>
            </w:r>
          </w:p>
        </w:tc>
      </w:tr>
    </w:tbl>
    <w:p w14:paraId="62BF2ABB" w14:textId="77777777" w:rsidR="00C95F04" w:rsidRPr="00C95F04" w:rsidRDefault="00C95F04" w:rsidP="005173E7">
      <w:pPr>
        <w:pStyle w:val="Heading4"/>
      </w:pPr>
      <w:r w:rsidRPr="00C95F04">
        <w:t xml:space="preserve">Cost to government </w:t>
      </w:r>
    </w:p>
    <w:p w14:paraId="5AD73FE4" w14:textId="7145976C" w:rsidR="00C95F04" w:rsidRPr="00C95F04" w:rsidRDefault="00C95F04" w:rsidP="005173E7">
      <w:pPr>
        <w:pStyle w:val="BodyText"/>
      </w:pPr>
      <w:r w:rsidRPr="00C95F04">
        <w:t xml:space="preserve">The estimated net present cost to government over a 10-year period is presented </w:t>
      </w:r>
      <w:r w:rsidRPr="00E75FA2">
        <w:t xml:space="preserve">in </w:t>
      </w:r>
      <w:r w:rsidRPr="00E75FA2">
        <w:fldChar w:fldCharType="begin"/>
      </w:r>
      <w:r w:rsidRPr="00E75FA2">
        <w:instrText xml:space="preserve"> REF _Ref124943475 \h </w:instrText>
      </w:r>
      <w:r w:rsidR="00E75FA2" w:rsidRPr="00E75FA2">
        <w:instrText xml:space="preserve"> \* MERGEFORMAT </w:instrText>
      </w:r>
      <w:r w:rsidRPr="00E75FA2">
        <w:fldChar w:fldCharType="separate"/>
      </w:r>
      <w:r w:rsidR="00E75FA2" w:rsidRPr="00E75FA2">
        <w:rPr>
          <w:iCs/>
        </w:rPr>
        <w:t xml:space="preserve">Table </w:t>
      </w:r>
      <w:r w:rsidR="00E75FA2" w:rsidRPr="00E75FA2">
        <w:rPr>
          <w:noProof/>
        </w:rPr>
        <w:t>19</w:t>
      </w:r>
      <w:r w:rsidRPr="00E75FA2">
        <w:fldChar w:fldCharType="end"/>
      </w:r>
      <w:r w:rsidRPr="00C95F04">
        <w:t>.</w:t>
      </w:r>
    </w:p>
    <w:p w14:paraId="0EBB069E" w14:textId="0227E15E" w:rsidR="00C95F04" w:rsidRPr="00C95F04" w:rsidRDefault="00C95F04" w:rsidP="005173E7">
      <w:pPr>
        <w:pStyle w:val="Caption"/>
      </w:pPr>
      <w:bookmarkStart w:id="650" w:name="_Ref124943475"/>
      <w:r w:rsidRPr="00C95F04">
        <w:t xml:space="preserve">Table </w:t>
      </w:r>
      <w:fldSimple w:instr=" SEQ Table \* ARABIC ">
        <w:r w:rsidR="00DF768D">
          <w:rPr>
            <w:noProof/>
          </w:rPr>
          <w:t>19</w:t>
        </w:r>
      </w:fldSimple>
      <w:bookmarkEnd w:id="650"/>
      <w:r w:rsidRPr="00C95F04">
        <w:t>: Estimated net present cost to government of additional regulation of defined high risk crystalline silica processes for government (Option 5b) over 10 years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8"/>
        <w:gridCol w:w="2881"/>
        <w:gridCol w:w="177"/>
      </w:tblGrid>
      <w:tr w:rsidR="00C95F04" w:rsidRPr="00C95F04" w14:paraId="6CDFBDAE" w14:textId="77777777" w:rsidTr="004C687A">
        <w:trPr>
          <w:gridAfter w:val="1"/>
          <w:wAfter w:w="98" w:type="pct"/>
          <w:trHeight w:val="132"/>
          <w:tblHeader/>
        </w:trPr>
        <w:tc>
          <w:tcPr>
            <w:tcW w:w="3306" w:type="pct"/>
            <w:shd w:val="clear" w:color="auto" w:fill="D1D1D1" w:themeFill="background2"/>
            <w:vAlign w:val="center"/>
          </w:tcPr>
          <w:p w14:paraId="37F98762" w14:textId="77777777" w:rsidR="00C95F04" w:rsidRPr="00C95F04" w:rsidRDefault="00C95F04" w:rsidP="000C215A">
            <w:pPr>
              <w:pStyle w:val="TableHeading"/>
            </w:pPr>
            <w:r w:rsidRPr="00C95F04">
              <w:t>Cost</w:t>
            </w:r>
          </w:p>
        </w:tc>
        <w:tc>
          <w:tcPr>
            <w:tcW w:w="1596" w:type="pct"/>
            <w:shd w:val="clear" w:color="auto" w:fill="D1D1D1" w:themeFill="background2"/>
            <w:vAlign w:val="center"/>
          </w:tcPr>
          <w:p w14:paraId="7ACB85FA" w14:textId="77777777" w:rsidR="00C95F04" w:rsidRPr="00C95F04" w:rsidRDefault="00C95F04" w:rsidP="000C215A">
            <w:pPr>
              <w:pStyle w:val="TableHeading"/>
            </w:pPr>
            <w:r w:rsidRPr="00C95F04">
              <w:t>Estimated net present cost over 10-year period ($m)</w:t>
            </w:r>
          </w:p>
        </w:tc>
      </w:tr>
      <w:tr w:rsidR="00C95F04" w:rsidRPr="00C95F04" w14:paraId="16E8E180" w14:textId="77777777" w:rsidTr="004C687A">
        <w:trPr>
          <w:trHeight w:val="248"/>
        </w:trPr>
        <w:tc>
          <w:tcPr>
            <w:tcW w:w="3306" w:type="pct"/>
            <w:tcBorders>
              <w:top w:val="single" w:sz="8" w:space="0" w:color="D1D1D1" w:themeColor="background2"/>
              <w:bottom w:val="single" w:sz="8" w:space="0" w:color="D1D1D1" w:themeColor="background2"/>
            </w:tcBorders>
            <w:vAlign w:val="center"/>
          </w:tcPr>
          <w:p w14:paraId="5E7CB1C6" w14:textId="77777777" w:rsidR="00C95F04" w:rsidRPr="00C95F04" w:rsidRDefault="00C95F04" w:rsidP="005173E7">
            <w:pPr>
              <w:pStyle w:val="TableBody"/>
            </w:pPr>
            <w:r w:rsidRPr="00C95F04">
              <w:t>Implementation of a national awareness campaign to support the regulatory change</w:t>
            </w:r>
          </w:p>
        </w:tc>
        <w:tc>
          <w:tcPr>
            <w:tcW w:w="1694" w:type="pct"/>
            <w:gridSpan w:val="2"/>
            <w:tcBorders>
              <w:top w:val="single" w:sz="8" w:space="0" w:color="D1D1D1" w:themeColor="background2"/>
              <w:bottom w:val="single" w:sz="8" w:space="0" w:color="D1D1D1" w:themeColor="background2"/>
            </w:tcBorders>
            <w:vAlign w:val="center"/>
          </w:tcPr>
          <w:p w14:paraId="70BCD29E" w14:textId="77777777" w:rsidR="00C95F04" w:rsidRPr="00C95F04" w:rsidRDefault="00C95F04" w:rsidP="005173E7">
            <w:pPr>
              <w:pStyle w:val="TableBody"/>
            </w:pPr>
            <w:r w:rsidRPr="00C95F04">
              <w:t>$0.9</w:t>
            </w:r>
          </w:p>
        </w:tc>
      </w:tr>
      <w:tr w:rsidR="00C95F04" w:rsidRPr="00C95F04" w14:paraId="4927F5F1" w14:textId="77777777" w:rsidTr="004C687A">
        <w:trPr>
          <w:trHeight w:val="248"/>
        </w:trPr>
        <w:tc>
          <w:tcPr>
            <w:tcW w:w="3306"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7F1FA6C4" w14:textId="77777777" w:rsidR="00C95F04" w:rsidRPr="00C95F04" w:rsidRDefault="00C95F04" w:rsidP="005173E7">
            <w:pPr>
              <w:pStyle w:val="TableBody"/>
              <w:rPr>
                <w:b/>
                <w:bCs/>
              </w:rPr>
            </w:pPr>
            <w:r w:rsidRPr="00C95F04">
              <w:rPr>
                <w:b/>
                <w:bCs/>
              </w:rPr>
              <w:t xml:space="preserve">Total </w:t>
            </w:r>
          </w:p>
        </w:tc>
        <w:tc>
          <w:tcPr>
            <w:tcW w:w="1694" w:type="pct"/>
            <w:gridSpan w:val="2"/>
            <w:tcBorders>
              <w:top w:val="single" w:sz="8" w:space="0" w:color="D1D1D1" w:themeColor="background2"/>
              <w:bottom w:val="single" w:sz="8" w:space="0" w:color="D1D1D1" w:themeColor="background2"/>
            </w:tcBorders>
            <w:shd w:val="clear" w:color="auto" w:fill="D9D9D9" w:themeFill="background1" w:themeFillShade="D9"/>
            <w:vAlign w:val="center"/>
          </w:tcPr>
          <w:p w14:paraId="7C4DA10A" w14:textId="77777777" w:rsidR="00C95F04" w:rsidRPr="00C95F04" w:rsidRDefault="00C95F04" w:rsidP="005173E7">
            <w:pPr>
              <w:pStyle w:val="TableBody"/>
              <w:rPr>
                <w:b/>
                <w:bCs/>
              </w:rPr>
            </w:pPr>
            <w:r w:rsidRPr="00C95F04">
              <w:rPr>
                <w:b/>
                <w:bCs/>
              </w:rPr>
              <w:t>$0.9</w:t>
            </w:r>
          </w:p>
        </w:tc>
      </w:tr>
    </w:tbl>
    <w:p w14:paraId="1D12FB64" w14:textId="77777777" w:rsidR="00C95F04" w:rsidRPr="00C95F04" w:rsidRDefault="00C95F04" w:rsidP="005173E7">
      <w:pPr>
        <w:pStyle w:val="Heading3"/>
      </w:pPr>
      <w:bookmarkStart w:id="651" w:name="_Toc97017621"/>
      <w:bookmarkStart w:id="652" w:name="_Toc101019402"/>
      <w:r w:rsidRPr="00C95F04">
        <w:lastRenderedPageBreak/>
        <w:t xml:space="preserve">Summary assessment </w:t>
      </w:r>
    </w:p>
    <w:p w14:paraId="7C42E0D3" w14:textId="2A17D92C" w:rsidR="00C95F04" w:rsidRPr="00C95F04" w:rsidRDefault="00C95F04" w:rsidP="005173E7">
      <w:pPr>
        <w:pStyle w:val="BodyText"/>
        <w:keepNext/>
      </w:pPr>
      <w:r w:rsidRPr="00C95F04">
        <w:fldChar w:fldCharType="begin"/>
      </w:r>
      <w:r w:rsidRPr="00C95F04">
        <w:instrText xml:space="preserve"> REF _Ref124853380 \h  \* MERGEFORMAT </w:instrText>
      </w:r>
      <w:r w:rsidRPr="00C95F04">
        <w:fldChar w:fldCharType="separate"/>
      </w:r>
      <w:r w:rsidR="00E75FA2" w:rsidRPr="00E75FA2">
        <w:t xml:space="preserve">Table </w:t>
      </w:r>
      <w:r w:rsidR="00E75FA2">
        <w:t>20</w:t>
      </w:r>
      <w:r w:rsidRPr="00C95F04">
        <w:fldChar w:fldCharType="end"/>
      </w:r>
      <w:r w:rsidRPr="00C95F04">
        <w:t xml:space="preserve"> summarises the estimated net present cost to industry, government and total costs incurred for each option. </w:t>
      </w:r>
    </w:p>
    <w:p w14:paraId="2CB7F304" w14:textId="08DA279B" w:rsidR="00C95F04" w:rsidRPr="00C95F04" w:rsidRDefault="00C95F04" w:rsidP="005173E7">
      <w:pPr>
        <w:pStyle w:val="Caption"/>
      </w:pPr>
      <w:bookmarkStart w:id="653" w:name="_Ref124853380"/>
      <w:r w:rsidRPr="00C95F04">
        <w:t xml:space="preserve">Table </w:t>
      </w:r>
      <w:fldSimple w:instr=" SEQ Table \* ARABIC ">
        <w:r w:rsidR="00DF768D">
          <w:rPr>
            <w:noProof/>
          </w:rPr>
          <w:t>20</w:t>
        </w:r>
      </w:fldSimple>
      <w:bookmarkEnd w:id="653"/>
      <w:r w:rsidRPr="00C95F04">
        <w:t>: Comparison of the estimated net present cost for Options 2-5 over 10-year period ($m)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2"/>
        <w:gridCol w:w="1641"/>
        <w:gridCol w:w="1639"/>
        <w:gridCol w:w="1637"/>
        <w:gridCol w:w="1637"/>
      </w:tblGrid>
      <w:tr w:rsidR="005173E7" w:rsidRPr="00C95F04" w14:paraId="463B8622" w14:textId="77777777" w:rsidTr="004C687A">
        <w:trPr>
          <w:trHeight w:val="188"/>
          <w:tblHeader/>
        </w:trPr>
        <w:tc>
          <w:tcPr>
            <w:tcW w:w="1369" w:type="pct"/>
            <w:shd w:val="clear" w:color="auto" w:fill="D1D1D1" w:themeFill="background2"/>
            <w:vAlign w:val="center"/>
          </w:tcPr>
          <w:p w14:paraId="27F2BDBE" w14:textId="77777777" w:rsidR="00C95F04" w:rsidRPr="00C95F04" w:rsidRDefault="00C95F04" w:rsidP="000C215A">
            <w:pPr>
              <w:pStyle w:val="TableHeading"/>
            </w:pPr>
            <w:r w:rsidRPr="00C95F04">
              <w:t>Criterion</w:t>
            </w:r>
          </w:p>
        </w:tc>
        <w:tc>
          <w:tcPr>
            <w:tcW w:w="909" w:type="pct"/>
            <w:shd w:val="clear" w:color="auto" w:fill="D1D1D1" w:themeFill="background2"/>
          </w:tcPr>
          <w:p w14:paraId="2665DAF9" w14:textId="77777777" w:rsidR="00C95F04" w:rsidRPr="00C95F04" w:rsidRDefault="00C95F04" w:rsidP="000C215A">
            <w:pPr>
              <w:pStyle w:val="TableHeading"/>
            </w:pPr>
            <w:r w:rsidRPr="00C95F04">
              <w:t>Option 2</w:t>
            </w:r>
          </w:p>
        </w:tc>
        <w:tc>
          <w:tcPr>
            <w:tcW w:w="908" w:type="pct"/>
            <w:shd w:val="clear" w:color="auto" w:fill="D1D1D1" w:themeFill="background2"/>
          </w:tcPr>
          <w:p w14:paraId="2C8E37BC" w14:textId="77777777" w:rsidR="00C95F04" w:rsidRPr="00C95F04" w:rsidRDefault="00C95F04" w:rsidP="000C215A">
            <w:pPr>
              <w:pStyle w:val="TableHeading"/>
            </w:pPr>
            <w:r w:rsidRPr="00C95F04">
              <w:t>Option 4</w:t>
            </w:r>
          </w:p>
        </w:tc>
        <w:tc>
          <w:tcPr>
            <w:tcW w:w="907" w:type="pct"/>
            <w:shd w:val="clear" w:color="auto" w:fill="D1D1D1" w:themeFill="background2"/>
          </w:tcPr>
          <w:p w14:paraId="66FCE064" w14:textId="77777777" w:rsidR="00C95F04" w:rsidRPr="00C95F04" w:rsidRDefault="00C95F04" w:rsidP="000C215A">
            <w:pPr>
              <w:pStyle w:val="TableHeading"/>
            </w:pPr>
            <w:r w:rsidRPr="00C95F04">
              <w:t>Option 5a</w:t>
            </w:r>
          </w:p>
        </w:tc>
        <w:tc>
          <w:tcPr>
            <w:tcW w:w="907" w:type="pct"/>
            <w:shd w:val="clear" w:color="auto" w:fill="D1D1D1" w:themeFill="background2"/>
          </w:tcPr>
          <w:p w14:paraId="0E3945E8" w14:textId="77777777" w:rsidR="00C95F04" w:rsidRPr="00C95F04" w:rsidRDefault="00C95F04" w:rsidP="000C215A">
            <w:pPr>
              <w:pStyle w:val="TableHeading"/>
            </w:pPr>
            <w:r w:rsidRPr="00C95F04">
              <w:t>Option 5b</w:t>
            </w:r>
          </w:p>
        </w:tc>
      </w:tr>
      <w:tr w:rsidR="00C95F04" w:rsidRPr="00C95F04" w14:paraId="3E4D5E31" w14:textId="77777777" w:rsidTr="004C687A">
        <w:trPr>
          <w:trHeight w:val="355"/>
        </w:trPr>
        <w:tc>
          <w:tcPr>
            <w:tcW w:w="1369" w:type="pct"/>
            <w:tcBorders>
              <w:top w:val="single" w:sz="8" w:space="0" w:color="D1D1D1" w:themeColor="background2"/>
              <w:bottom w:val="single" w:sz="8" w:space="0" w:color="D1D1D1" w:themeColor="background2"/>
            </w:tcBorders>
            <w:vAlign w:val="center"/>
          </w:tcPr>
          <w:p w14:paraId="7495B0AC" w14:textId="77777777" w:rsidR="00C95F04" w:rsidRPr="00C95F04" w:rsidRDefault="00C95F04" w:rsidP="005173E7">
            <w:pPr>
              <w:pStyle w:val="TableBody"/>
            </w:pPr>
            <w:r w:rsidRPr="00C95F04">
              <w:t>Cost to industry</w:t>
            </w:r>
          </w:p>
        </w:tc>
        <w:tc>
          <w:tcPr>
            <w:tcW w:w="909" w:type="pct"/>
            <w:tcBorders>
              <w:top w:val="single" w:sz="8" w:space="0" w:color="D1D1D1" w:themeColor="background2"/>
              <w:bottom w:val="single" w:sz="8" w:space="0" w:color="D1D1D1" w:themeColor="background2"/>
            </w:tcBorders>
            <w:vAlign w:val="center"/>
          </w:tcPr>
          <w:p w14:paraId="2DA7AD06" w14:textId="242C4D86" w:rsidR="00C95F04" w:rsidRPr="00C95F04" w:rsidRDefault="00C95F04" w:rsidP="005173E7">
            <w:pPr>
              <w:pStyle w:val="TableBody"/>
            </w:pPr>
            <w:r w:rsidRPr="00C95F04">
              <w:t>$0</w:t>
            </w:r>
          </w:p>
        </w:tc>
        <w:tc>
          <w:tcPr>
            <w:tcW w:w="908" w:type="pct"/>
            <w:tcBorders>
              <w:top w:val="single" w:sz="8" w:space="0" w:color="D1D1D1" w:themeColor="background2"/>
              <w:bottom w:val="single" w:sz="8" w:space="0" w:color="D1D1D1" w:themeColor="background2"/>
            </w:tcBorders>
            <w:vAlign w:val="center"/>
          </w:tcPr>
          <w:p w14:paraId="14A58072" w14:textId="77777777" w:rsidR="00C95F04" w:rsidRPr="00C95F04" w:rsidRDefault="00C95F04" w:rsidP="005173E7">
            <w:pPr>
              <w:pStyle w:val="TableBody"/>
            </w:pPr>
            <w:r w:rsidRPr="00C95F04">
              <w:t>$16.0</w:t>
            </w:r>
          </w:p>
        </w:tc>
        <w:tc>
          <w:tcPr>
            <w:tcW w:w="907" w:type="pct"/>
            <w:tcBorders>
              <w:top w:val="single" w:sz="8" w:space="0" w:color="D1D1D1" w:themeColor="background2"/>
              <w:bottom w:val="single" w:sz="8" w:space="0" w:color="D1D1D1" w:themeColor="background2"/>
            </w:tcBorders>
            <w:vAlign w:val="center"/>
          </w:tcPr>
          <w:p w14:paraId="2C3D50E9" w14:textId="77777777" w:rsidR="00C95F04" w:rsidRPr="00C95F04" w:rsidRDefault="00C95F04" w:rsidP="005173E7">
            <w:pPr>
              <w:pStyle w:val="TableBody"/>
            </w:pPr>
            <w:r w:rsidRPr="00C95F04">
              <w:t>$168.7</w:t>
            </w:r>
          </w:p>
        </w:tc>
        <w:tc>
          <w:tcPr>
            <w:tcW w:w="907" w:type="pct"/>
            <w:tcBorders>
              <w:top w:val="single" w:sz="8" w:space="0" w:color="D1D1D1" w:themeColor="background2"/>
              <w:bottom w:val="single" w:sz="8" w:space="0" w:color="D1D1D1" w:themeColor="background2"/>
            </w:tcBorders>
            <w:vAlign w:val="center"/>
          </w:tcPr>
          <w:p w14:paraId="4755B6A9" w14:textId="77777777" w:rsidR="00C95F04" w:rsidRPr="00C95F04" w:rsidRDefault="00C95F04" w:rsidP="005173E7">
            <w:pPr>
              <w:pStyle w:val="TableBody"/>
            </w:pPr>
            <w:r w:rsidRPr="00C95F04">
              <w:t>$159.9</w:t>
            </w:r>
          </w:p>
        </w:tc>
      </w:tr>
      <w:tr w:rsidR="00C95F04" w:rsidRPr="00C95F04" w14:paraId="182E082F" w14:textId="77777777" w:rsidTr="004C687A">
        <w:trPr>
          <w:trHeight w:val="355"/>
        </w:trPr>
        <w:tc>
          <w:tcPr>
            <w:tcW w:w="1369" w:type="pct"/>
            <w:tcBorders>
              <w:top w:val="single" w:sz="8" w:space="0" w:color="D1D1D1" w:themeColor="background2"/>
              <w:bottom w:val="single" w:sz="8" w:space="0" w:color="D1D1D1" w:themeColor="background2"/>
            </w:tcBorders>
            <w:shd w:val="clear" w:color="auto" w:fill="auto"/>
            <w:vAlign w:val="center"/>
          </w:tcPr>
          <w:p w14:paraId="39234DC0" w14:textId="77777777" w:rsidR="00C95F04" w:rsidRPr="00C95F04" w:rsidRDefault="00C95F04" w:rsidP="005173E7">
            <w:pPr>
              <w:pStyle w:val="TableBody"/>
            </w:pPr>
            <w:r w:rsidRPr="00C95F04">
              <w:t>Cost to government</w:t>
            </w:r>
          </w:p>
        </w:tc>
        <w:tc>
          <w:tcPr>
            <w:tcW w:w="909" w:type="pct"/>
            <w:tcBorders>
              <w:top w:val="single" w:sz="8" w:space="0" w:color="D1D1D1" w:themeColor="background2"/>
              <w:bottom w:val="single" w:sz="8" w:space="0" w:color="D1D1D1" w:themeColor="background2"/>
            </w:tcBorders>
            <w:vAlign w:val="center"/>
          </w:tcPr>
          <w:p w14:paraId="1A6A9153" w14:textId="77777777" w:rsidR="00C95F04" w:rsidRPr="00C95F04" w:rsidRDefault="00C95F04" w:rsidP="005173E7">
            <w:pPr>
              <w:pStyle w:val="TableBody"/>
            </w:pPr>
            <w:r w:rsidRPr="00C95F04">
              <w:t>$6.1</w:t>
            </w:r>
          </w:p>
        </w:tc>
        <w:tc>
          <w:tcPr>
            <w:tcW w:w="908" w:type="pct"/>
            <w:tcBorders>
              <w:top w:val="single" w:sz="8" w:space="0" w:color="D1D1D1" w:themeColor="background2"/>
              <w:bottom w:val="single" w:sz="8" w:space="0" w:color="D1D1D1" w:themeColor="background2"/>
            </w:tcBorders>
            <w:vAlign w:val="center"/>
          </w:tcPr>
          <w:p w14:paraId="0555D713" w14:textId="77777777" w:rsidR="00C95F04" w:rsidRPr="00C95F04" w:rsidRDefault="00C95F04" w:rsidP="005173E7">
            <w:pPr>
              <w:pStyle w:val="TableBody"/>
            </w:pPr>
            <w:r w:rsidRPr="00C95F04">
              <w:t>$16.9</w:t>
            </w:r>
          </w:p>
        </w:tc>
        <w:tc>
          <w:tcPr>
            <w:tcW w:w="907" w:type="pct"/>
            <w:tcBorders>
              <w:top w:val="single" w:sz="8" w:space="0" w:color="D1D1D1" w:themeColor="background2"/>
              <w:bottom w:val="single" w:sz="8" w:space="0" w:color="D1D1D1" w:themeColor="background2"/>
            </w:tcBorders>
            <w:vAlign w:val="center"/>
          </w:tcPr>
          <w:p w14:paraId="4928B70A" w14:textId="77777777" w:rsidR="00C95F04" w:rsidRPr="00C95F04" w:rsidRDefault="00C95F04" w:rsidP="005173E7">
            <w:pPr>
              <w:pStyle w:val="TableBody"/>
            </w:pPr>
            <w:r w:rsidRPr="00C95F04">
              <w:t>$0.9</w:t>
            </w:r>
          </w:p>
        </w:tc>
        <w:tc>
          <w:tcPr>
            <w:tcW w:w="907" w:type="pct"/>
            <w:tcBorders>
              <w:top w:val="single" w:sz="8" w:space="0" w:color="D1D1D1" w:themeColor="background2"/>
              <w:bottom w:val="single" w:sz="8" w:space="0" w:color="D1D1D1" w:themeColor="background2"/>
            </w:tcBorders>
            <w:vAlign w:val="center"/>
          </w:tcPr>
          <w:p w14:paraId="3A02CAE2" w14:textId="77777777" w:rsidR="00C95F04" w:rsidRPr="00C95F04" w:rsidRDefault="00C95F04" w:rsidP="005173E7">
            <w:pPr>
              <w:pStyle w:val="TableBody"/>
            </w:pPr>
            <w:r w:rsidRPr="00C95F04">
              <w:t>$0.9</w:t>
            </w:r>
          </w:p>
        </w:tc>
      </w:tr>
      <w:tr w:rsidR="005173E7" w:rsidRPr="00C95F04" w14:paraId="116C3BEB" w14:textId="77777777" w:rsidTr="004C687A">
        <w:trPr>
          <w:trHeight w:val="355"/>
        </w:trPr>
        <w:tc>
          <w:tcPr>
            <w:tcW w:w="1369"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38FCC2E0" w14:textId="77777777" w:rsidR="00C95F04" w:rsidRPr="00C95F04" w:rsidRDefault="00C95F04" w:rsidP="005173E7">
            <w:pPr>
              <w:pStyle w:val="TableBody"/>
              <w:rPr>
                <w:b/>
                <w:bCs/>
              </w:rPr>
            </w:pPr>
            <w:r w:rsidRPr="00C95F04">
              <w:rPr>
                <w:b/>
                <w:bCs/>
              </w:rPr>
              <w:t>Total estimated cost</w:t>
            </w:r>
          </w:p>
        </w:tc>
        <w:tc>
          <w:tcPr>
            <w:tcW w:w="909"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53CCD002" w14:textId="77777777" w:rsidR="00C95F04" w:rsidRPr="00C95F04" w:rsidRDefault="00C95F04" w:rsidP="005173E7">
            <w:pPr>
              <w:pStyle w:val="TableBody"/>
              <w:rPr>
                <w:b/>
                <w:bCs/>
              </w:rPr>
            </w:pPr>
            <w:r w:rsidRPr="00C95F04">
              <w:rPr>
                <w:b/>
                <w:bCs/>
              </w:rPr>
              <w:t>$6.1</w:t>
            </w:r>
          </w:p>
        </w:tc>
        <w:tc>
          <w:tcPr>
            <w:tcW w:w="908"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7354C540" w14:textId="77777777" w:rsidR="00C95F04" w:rsidRPr="00C95F04" w:rsidRDefault="00C95F04" w:rsidP="005173E7">
            <w:pPr>
              <w:pStyle w:val="TableBody"/>
              <w:rPr>
                <w:b/>
                <w:bCs/>
              </w:rPr>
            </w:pPr>
            <w:r w:rsidRPr="00C95F04">
              <w:rPr>
                <w:b/>
                <w:bCs/>
              </w:rPr>
              <w:t>$32.9</w:t>
            </w:r>
          </w:p>
        </w:tc>
        <w:tc>
          <w:tcPr>
            <w:tcW w:w="907"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16201101" w14:textId="52A6CF04" w:rsidR="00C95F04" w:rsidRPr="00C95F04" w:rsidRDefault="00C95F04" w:rsidP="005173E7">
            <w:pPr>
              <w:pStyle w:val="TableBody"/>
              <w:rPr>
                <w:b/>
                <w:bCs/>
              </w:rPr>
            </w:pPr>
            <w:r w:rsidRPr="00C95F04">
              <w:rPr>
                <w:b/>
                <w:bCs/>
              </w:rPr>
              <w:t>$169.</w:t>
            </w:r>
            <w:r w:rsidR="00776FB9">
              <w:rPr>
                <w:b/>
                <w:bCs/>
              </w:rPr>
              <w:t>6</w:t>
            </w:r>
          </w:p>
        </w:tc>
        <w:tc>
          <w:tcPr>
            <w:tcW w:w="907"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67390470" w14:textId="77777777" w:rsidR="00C95F04" w:rsidRPr="00C95F04" w:rsidRDefault="00C95F04" w:rsidP="005173E7">
            <w:pPr>
              <w:pStyle w:val="TableBody"/>
              <w:rPr>
                <w:b/>
                <w:bCs/>
              </w:rPr>
            </w:pPr>
            <w:r w:rsidRPr="00C95F04">
              <w:rPr>
                <w:b/>
                <w:bCs/>
              </w:rPr>
              <w:t>$160.8</w:t>
            </w:r>
          </w:p>
        </w:tc>
      </w:tr>
    </w:tbl>
    <w:p w14:paraId="00436A2F" w14:textId="77777777" w:rsidR="00C95F04" w:rsidRPr="00C95F04" w:rsidRDefault="00C95F04" w:rsidP="003A3B2B">
      <w:pPr>
        <w:pStyle w:val="Heading2"/>
      </w:pPr>
      <w:bookmarkStart w:id="654" w:name="_Toc107395334"/>
      <w:bookmarkStart w:id="655" w:name="_Toc126573224"/>
      <w:bookmarkEnd w:id="651"/>
      <w:bookmarkEnd w:id="652"/>
      <w:r>
        <w:t>Effectiveness</w:t>
      </w:r>
      <w:bookmarkEnd w:id="654"/>
      <w:bookmarkEnd w:id="655"/>
    </w:p>
    <w:p w14:paraId="354D4F50" w14:textId="77777777" w:rsidR="00C95F04" w:rsidRPr="00C95F04" w:rsidRDefault="00C95F04" w:rsidP="005173E7">
      <w:pPr>
        <w:pStyle w:val="Heading3"/>
      </w:pPr>
      <w:r w:rsidRPr="00C95F04">
        <w:t>Option 1: Base case</w:t>
      </w:r>
    </w:p>
    <w:p w14:paraId="71E8796B" w14:textId="77777777" w:rsidR="00C95F04" w:rsidRPr="00D56500" w:rsidRDefault="00C95F04" w:rsidP="00D56500">
      <w:pPr>
        <w:pStyle w:val="BodyText"/>
      </w:pPr>
      <w:r w:rsidRPr="00D56500">
        <w:t>The base case describes the current regulatory and non-regulatory measures implemented to minimise the risks of RCS and consequently, reduce the number of cases of silicosis and other silica-related diseases (see Section 4.2). As outlined in Chapter 3, factors such as a lack of understanding of silica-related risks and current regulatory requirements, and levels of compliance and enforcement, have led to workplace exposure to RCS. As set out in Chapter 4, current experience indicates that due to the wide range of materials that contain crystalline silica, the range of affected industries, and the current levels of silicosis and silica-related diseases, it is unlikely that the market will effectively address this issue without government intervention. In many cases, it is not viable to substitute other materials (e.g., bricks and concrete) or alternative processes to minimise the risks of RCS.</w:t>
      </w:r>
    </w:p>
    <w:p w14:paraId="7E86DF6D" w14:textId="77777777" w:rsidR="00C95F04" w:rsidRPr="00C95F04" w:rsidRDefault="00C95F04" w:rsidP="00D56500">
      <w:pPr>
        <w:pStyle w:val="BodyText"/>
      </w:pPr>
      <w:r w:rsidRPr="00C95F04">
        <w:t>While not considered an acceptable option, the base case has been included for comparison to demonstrate the incremental impact of regulatory/non-regulatory changes over and above the baseline option.</w:t>
      </w:r>
    </w:p>
    <w:p w14:paraId="1736459F" w14:textId="77777777" w:rsidR="00C95F04" w:rsidRPr="00C95F04" w:rsidRDefault="00C95F04" w:rsidP="00D56500">
      <w:pPr>
        <w:pStyle w:val="Heading3"/>
      </w:pPr>
      <w:r w:rsidRPr="00C95F04">
        <w:t xml:space="preserve">Option 2: National awareness and behaviour change initiatives </w:t>
      </w:r>
    </w:p>
    <w:p w14:paraId="1819A354" w14:textId="77777777" w:rsidR="00C95F04" w:rsidRPr="00C95F04" w:rsidRDefault="00C95F04" w:rsidP="00D56500">
      <w:pPr>
        <w:pStyle w:val="BodyText"/>
      </w:pPr>
      <w:r w:rsidRPr="00C95F04">
        <w:t>As described in Section 4.3, Option 2 includes additional awareness and behaviour change initiatives targeted at workers, PCBUs and other duty holders in the construction, manufacturing, demolition, tunnelling, quarrying and mining industries.</w:t>
      </w:r>
    </w:p>
    <w:p w14:paraId="2A9B9AB2" w14:textId="77777777" w:rsidR="00C95F04" w:rsidRPr="00C95F04" w:rsidRDefault="00C95F04" w:rsidP="00D56500">
      <w:pPr>
        <w:pStyle w:val="BodyText"/>
      </w:pPr>
      <w:r w:rsidRPr="00C95F04">
        <w:t>Targeted and accessible awareness and behaviour change initiatives are expected to lead to increased compliance, a reduction in workplace exposure to RCS and reduced instances of silicosis and silica-related diseases compared with base case as this option would:</w:t>
      </w:r>
    </w:p>
    <w:p w14:paraId="2E8A5597" w14:textId="77777777" w:rsidR="00C95F04" w:rsidRPr="00C95F04" w:rsidRDefault="00C95F04" w:rsidP="00D56500">
      <w:pPr>
        <w:pStyle w:val="ListBullet"/>
      </w:pPr>
      <w:r w:rsidRPr="00C95F04">
        <w:t xml:space="preserve">provide industry specific information to workers and PCBUs and other duty holders, targeting changing compliance behaviours, and </w:t>
      </w:r>
    </w:p>
    <w:p w14:paraId="0C023ACE" w14:textId="77777777" w:rsidR="00C95F04" w:rsidRPr="00C95F04" w:rsidRDefault="00C95F04" w:rsidP="00D56500">
      <w:pPr>
        <w:pStyle w:val="ListBullet"/>
      </w:pPr>
      <w:r w:rsidRPr="00C95F04">
        <w:t xml:space="preserve">aim to reach a broad audience across a wider range of industries.  </w:t>
      </w:r>
    </w:p>
    <w:p w14:paraId="4C96A61C" w14:textId="6221A950" w:rsidR="00C95F04" w:rsidRPr="00C95F04" w:rsidRDefault="00C95F04" w:rsidP="00D56500">
      <w:pPr>
        <w:pStyle w:val="BodyText"/>
      </w:pPr>
      <w:r w:rsidRPr="00C95F04">
        <w:t xml:space="preserve">Awareness and behaviour change initiatives are expected to improve compliance with the model WHS laws, particularly for those who are less aware of the risks of RCS and the appropriate control measures. Improved compliance is expected to result in a reduction in the risks to workers. </w:t>
      </w:r>
      <w:r w:rsidRPr="00C95F04">
        <w:lastRenderedPageBreak/>
        <w:t>However, these initiatives may be less effective at improving compliance if they are not combined with regulatory options, all of which would provide greater additional clarity about what is specifically required to reduce the risk of exposure to RCS and reduce the number of cases of silicosis and silica-related diseases.  The non-regulatory nature of awareness and behaviour change initiatives may create a sense that RCS exposure is not a serious issue and reduce effectiveness.</w:t>
      </w:r>
    </w:p>
    <w:p w14:paraId="4A6F5FA1" w14:textId="77777777" w:rsidR="00C95F04" w:rsidRPr="00C95F04" w:rsidRDefault="00C95F04" w:rsidP="00D56500">
      <w:pPr>
        <w:pStyle w:val="BodyText"/>
      </w:pPr>
      <w:r w:rsidRPr="00C95F04">
        <w:t>The initiatives would need to cover a broad range of industries and workers and may need to be tailored to be most effective. Ongoing and varied behaviour change strategies may be required for a long-lasting change.</w:t>
      </w:r>
    </w:p>
    <w:p w14:paraId="2DB48D10" w14:textId="77777777" w:rsidR="00C95F04" w:rsidRPr="00C95F04" w:rsidRDefault="00C95F04" w:rsidP="00D56500">
      <w:pPr>
        <w:pStyle w:val="Heading3"/>
      </w:pPr>
      <w:r w:rsidRPr="00C95F04">
        <w:t xml:space="preserve">Option 4: Implementation of a national licensing framework for PCBUs working with engineered stone </w:t>
      </w:r>
    </w:p>
    <w:p w14:paraId="02947608" w14:textId="06A32705" w:rsidR="00C95F04" w:rsidRPr="00C95F04" w:rsidRDefault="00C95F04" w:rsidP="00D56500">
      <w:pPr>
        <w:pStyle w:val="BodyText"/>
      </w:pPr>
      <w:r w:rsidRPr="00C95F04">
        <w:t xml:space="preserve">This option involves development and implementation of a national licensing framework for PCBUs working with engineered stone, based on the recent amendments related to licensing of employers working with engineered stone </w:t>
      </w:r>
      <w:r w:rsidR="00DD7E5D">
        <w:t>set out in</w:t>
      </w:r>
      <w:r w:rsidRPr="00C95F04">
        <w:t xml:space="preserve"> the Victorian Occupational Health and Safety Amendment (Crystalline Silica) Regulations 2021.</w:t>
      </w:r>
    </w:p>
    <w:p w14:paraId="1480D4DF" w14:textId="77777777" w:rsidR="00C95F04" w:rsidRPr="00C95F04" w:rsidRDefault="00C95F04" w:rsidP="00D56500">
      <w:pPr>
        <w:pStyle w:val="BodyText"/>
      </w:pPr>
      <w:r w:rsidRPr="00C95F04">
        <w:t xml:space="preserve">Compared with the base case, Option 4 is likely to result in increased compliance, a reduction in workplace exposure to RCS and reduced number of cases of silicosis and silica-related diseases in the engineered stone sector as it would: </w:t>
      </w:r>
    </w:p>
    <w:p w14:paraId="2D7318D3" w14:textId="77777777" w:rsidR="00C95F04" w:rsidRPr="00C95F04" w:rsidRDefault="00C95F04" w:rsidP="00D56500">
      <w:pPr>
        <w:pStyle w:val="ListBullet"/>
      </w:pPr>
      <w:r w:rsidRPr="00C95F04">
        <w:t>provide an incentive for PCBUs working with engineered stone to become licensed as supply of engineered stone to unlicensed PCBUs will be prohibited</w:t>
      </w:r>
    </w:p>
    <w:p w14:paraId="338C2EC5" w14:textId="77777777" w:rsidR="00C95F04" w:rsidRPr="00C95F04" w:rsidRDefault="00C95F04" w:rsidP="00D56500">
      <w:pPr>
        <w:pStyle w:val="ListBullet"/>
      </w:pPr>
      <w:r w:rsidRPr="00C95F04">
        <w:t>provide an incentive for PCBUs who do not want to become licensed to work with alternative products with no crystalline silica content</w:t>
      </w:r>
    </w:p>
    <w:p w14:paraId="23EB066C" w14:textId="77777777" w:rsidR="00C95F04" w:rsidRPr="00C95F04" w:rsidRDefault="00C95F04" w:rsidP="00D56500">
      <w:pPr>
        <w:pStyle w:val="ListBullet"/>
      </w:pPr>
      <w:r w:rsidRPr="00C95F04">
        <w:t>ensure that licensees assess the risk of processes involving engineered stone through risk assessments and the development of engineered stone control plans</w:t>
      </w:r>
    </w:p>
    <w:p w14:paraId="0A622252" w14:textId="77777777" w:rsidR="00C95F04" w:rsidRPr="00C95F04" w:rsidRDefault="00C95F04" w:rsidP="00D56500">
      <w:pPr>
        <w:pStyle w:val="ListBullet"/>
      </w:pPr>
      <w:r w:rsidRPr="00C95F04">
        <w:t>increase the likelihood of adoption of appropriate control measures, and implementation of air monitoring and health monitoring programs among PCBUs working with engineered stone</w:t>
      </w:r>
    </w:p>
    <w:p w14:paraId="71CB6965" w14:textId="06DC051C" w:rsidR="00C95F04" w:rsidRPr="00C95F04" w:rsidRDefault="00C95F04" w:rsidP="00D56500">
      <w:pPr>
        <w:pStyle w:val="ListBullet"/>
      </w:pPr>
      <w:r w:rsidRPr="00C95F04">
        <w:t>result in greater compliance and enforcement of WHS laws through scheduled and unscheduled visits of licensees’ workplaces and the imposition of financial penalties for non-compliance</w:t>
      </w:r>
    </w:p>
    <w:p w14:paraId="23973E15" w14:textId="77777777" w:rsidR="00C95F04" w:rsidRPr="00C95F04" w:rsidRDefault="00C95F04" w:rsidP="00D56500">
      <w:pPr>
        <w:pStyle w:val="ListBullet"/>
      </w:pPr>
      <w:r w:rsidRPr="00C95F04">
        <w:t>provide regulators with greater information on the number and location of workplaces where engineered stone is processed</w:t>
      </w:r>
    </w:p>
    <w:p w14:paraId="7C355ECD" w14:textId="234EB169" w:rsidR="00C95F04" w:rsidRPr="00C95F04" w:rsidRDefault="00C95F04" w:rsidP="00D56500">
      <w:pPr>
        <w:pStyle w:val="ListBullet"/>
      </w:pPr>
      <w:r w:rsidRPr="00C95F04">
        <w:t xml:space="preserve">allow </w:t>
      </w:r>
      <w:r w:rsidR="00B06C44">
        <w:t>WHS</w:t>
      </w:r>
      <w:r w:rsidRPr="00C95F04">
        <w:t xml:space="preserve"> regulators to analyse air monitoring exceedances and health monitoring data to: </w:t>
      </w:r>
    </w:p>
    <w:p w14:paraId="2682E100" w14:textId="77777777" w:rsidR="00C95F04" w:rsidRPr="00C95F04" w:rsidRDefault="00C95F04" w:rsidP="00D56500">
      <w:pPr>
        <w:pStyle w:val="IAListbullet2"/>
      </w:pPr>
      <w:r w:rsidRPr="00C95F04">
        <w:t>draw insights into trends of RCS exposure for workers processing engineered stone</w:t>
      </w:r>
    </w:p>
    <w:p w14:paraId="05FE80AA" w14:textId="77777777" w:rsidR="00C95F04" w:rsidRPr="00C95F04" w:rsidRDefault="00C95F04" w:rsidP="00D56500">
      <w:pPr>
        <w:pStyle w:val="IAListbullet2"/>
      </w:pPr>
      <w:r w:rsidRPr="00C95F04">
        <w:t>make an initial assessment into a PCBU’s ability to manage RCS exposure, and</w:t>
      </w:r>
    </w:p>
    <w:p w14:paraId="0F9AAE10" w14:textId="77777777" w:rsidR="00C95F04" w:rsidRPr="00C95F04" w:rsidRDefault="00C95F04" w:rsidP="00D56500">
      <w:pPr>
        <w:pStyle w:val="IAListbullet2"/>
      </w:pPr>
      <w:r w:rsidRPr="00C95F04">
        <w:t xml:space="preserve">better target enforcement and compliance actions where required. </w:t>
      </w:r>
    </w:p>
    <w:p w14:paraId="3C14470C" w14:textId="77777777" w:rsidR="00C95F04" w:rsidRPr="00C95F04" w:rsidRDefault="00C95F04" w:rsidP="00D56500">
      <w:pPr>
        <w:pStyle w:val="BodyText"/>
      </w:pPr>
      <w:r w:rsidRPr="00C95F04">
        <w:t xml:space="preserve">While initiatives under this policy option should reduce engineered stone workers exposure to RCS, they are unlikely to be effective in reducing the overall level of workplace exposure to RCS and the number of cases of silicosis and silica-related diseases. Unlike Option 5a and 5b, this option focuses solely on PCBUs working with engineered stone, which are small subset of the estimated number of workers exposed to RCS. </w:t>
      </w:r>
    </w:p>
    <w:p w14:paraId="70F669C7" w14:textId="77777777" w:rsidR="00C95F04" w:rsidRPr="00C95F04" w:rsidRDefault="00C95F04" w:rsidP="00D56500">
      <w:pPr>
        <w:pStyle w:val="BodyText"/>
      </w:pPr>
      <w:r w:rsidRPr="00C95F04">
        <w:lastRenderedPageBreak/>
        <w:t xml:space="preserve">Another disadvantage of this option is that it would place a greater financial burden on small to medium size businesses (which form a large portion of the engineered stone industry) who may lack the economies of scale to absorb licensing costs. This may have negative effects on market competition. </w:t>
      </w:r>
    </w:p>
    <w:p w14:paraId="3844F001" w14:textId="77777777" w:rsidR="00C95F04" w:rsidRPr="00C95F04" w:rsidRDefault="00C95F04" w:rsidP="00D56500">
      <w:pPr>
        <w:pStyle w:val="BodyText"/>
      </w:pPr>
      <w:r w:rsidRPr="00C95F04">
        <w:t xml:space="preserve">It is also possible that some PCBUs, instead of seeking alternative products, could seek engineered stone from unregulated sources, such as repurposing engineered stone from the second-hand market. This could result in engineered stone workers still being exposed to the risks of RCS. </w:t>
      </w:r>
    </w:p>
    <w:p w14:paraId="47B821D1" w14:textId="77777777" w:rsidR="00C95F04" w:rsidRPr="00C95F04" w:rsidRDefault="00C95F04" w:rsidP="00D56500">
      <w:pPr>
        <w:pStyle w:val="Heading3"/>
      </w:pPr>
      <w:r w:rsidRPr="00C95F04">
        <w:t xml:space="preserve">Option 5a: Additional regulation of defined high risk crystalline silica processes </w:t>
      </w:r>
    </w:p>
    <w:p w14:paraId="7DF62564" w14:textId="77777777" w:rsidR="00C95F04" w:rsidRPr="00C95F04" w:rsidRDefault="00C95F04" w:rsidP="00C95F04">
      <w:pPr>
        <w:pStyle w:val="BodyText"/>
      </w:pPr>
      <w:r w:rsidRPr="00C95F04">
        <w:t xml:space="preserve">Option 5a would include amendments to the model WHS Regulations applying to all </w:t>
      </w:r>
      <w:r w:rsidRPr="00C95F04">
        <w:rPr>
          <w:i/>
          <w:iCs/>
        </w:rPr>
        <w:t>crystalline silica substance</w:t>
      </w:r>
      <w:r w:rsidRPr="00C95F04">
        <w:t xml:space="preserve">s, including engineered stone, and provide additional regulation for </w:t>
      </w:r>
      <w:r w:rsidRPr="00C95F04">
        <w:rPr>
          <w:i/>
          <w:iCs/>
        </w:rPr>
        <w:t>high risk crystalline silica processes</w:t>
      </w:r>
      <w:r w:rsidRPr="00C95F04">
        <w:t xml:space="preserve">. </w:t>
      </w:r>
    </w:p>
    <w:p w14:paraId="67055EB1" w14:textId="77777777" w:rsidR="00C95F04" w:rsidRPr="00C95F04" w:rsidRDefault="00C95F04" w:rsidP="00C95F04">
      <w:pPr>
        <w:pStyle w:val="BodyText"/>
      </w:pPr>
      <w:r w:rsidRPr="00C95F04">
        <w:t>Under this option, specific regulations would be developed to:</w:t>
      </w:r>
    </w:p>
    <w:p w14:paraId="540EA5C2" w14:textId="77777777" w:rsidR="00C95F04" w:rsidRPr="00C95F04" w:rsidRDefault="00C95F04" w:rsidP="00D56500">
      <w:pPr>
        <w:pStyle w:val="ListBullet"/>
      </w:pPr>
      <w:r w:rsidRPr="00C95F04">
        <w:t>define crystalline silica substances, crystalline silica processes, and high risk crystalline silica processes</w:t>
      </w:r>
    </w:p>
    <w:p w14:paraId="50F9EE2C" w14:textId="5F4864A2" w:rsidR="00C95F04" w:rsidRPr="00C95F04" w:rsidRDefault="00C95F04" w:rsidP="00D56500">
      <w:pPr>
        <w:pStyle w:val="ListBullet"/>
      </w:pPr>
      <w:r w:rsidRPr="00C95F04">
        <w:t>consolidate and clarify existing requirements as they apply to these definitions</w:t>
      </w:r>
      <w:r w:rsidR="00D05840">
        <w:t>, and</w:t>
      </w:r>
    </w:p>
    <w:p w14:paraId="1F330100" w14:textId="77777777" w:rsidR="00C95F04" w:rsidRPr="00C95F04" w:rsidRDefault="00C95F04" w:rsidP="00D56500">
      <w:pPr>
        <w:pStyle w:val="ListBullet"/>
      </w:pPr>
      <w:r w:rsidRPr="00C95F04">
        <w:t>introduce additional regulation of high risk crystalline silica processes.</w:t>
      </w:r>
    </w:p>
    <w:p w14:paraId="02BA2FE0" w14:textId="7FB83091" w:rsidR="00C95F04" w:rsidRPr="00C95F04" w:rsidRDefault="00C95F04" w:rsidP="00C95F04">
      <w:pPr>
        <w:pStyle w:val="BodyText"/>
      </w:pPr>
      <w:r w:rsidRPr="00C95F04">
        <w:t xml:space="preserve">Clarification of existing requirements in </w:t>
      </w:r>
      <w:r w:rsidR="005C73C7">
        <w:t>the</w:t>
      </w:r>
      <w:r w:rsidRPr="00C95F04">
        <w:t xml:space="preserve"> model WHS laws will lead to increased compliance, a reduction in workplace exposure to RCS and a reduced number of cases of silicosis and other silica-related diseases beyond the base case,</w:t>
      </w:r>
      <w:r w:rsidRPr="00C95F04">
        <w:rPr>
          <w:b/>
          <w:bCs/>
        </w:rPr>
        <w:t xml:space="preserve"> </w:t>
      </w:r>
      <w:r w:rsidRPr="00C95F04">
        <w:t>as this option would</w:t>
      </w:r>
      <w:r w:rsidRPr="00C95F04">
        <w:rPr>
          <w:b/>
          <w:bCs/>
        </w:rPr>
        <w:t>:</w:t>
      </w:r>
    </w:p>
    <w:p w14:paraId="3BCB53CE" w14:textId="3C5405DF" w:rsidR="00C95F04" w:rsidRPr="00C95F04" w:rsidRDefault="00C95F04" w:rsidP="004F46DD">
      <w:pPr>
        <w:pStyle w:val="ListBullet"/>
      </w:pPr>
      <w:r w:rsidRPr="00C95F04">
        <w:t>improve awareness of the risks of RCS and appropriate controls</w:t>
      </w:r>
      <w:r w:rsidR="000D63E2">
        <w:t>,</w:t>
      </w:r>
      <w:r w:rsidR="000D63E2" w:rsidRPr="000D63E2">
        <w:t xml:space="preserve"> </w:t>
      </w:r>
      <w:r w:rsidR="000D63E2" w:rsidRPr="00C95F04">
        <w:t>if combined with an associated communication campaign</w:t>
      </w:r>
    </w:p>
    <w:p w14:paraId="025ADEDB" w14:textId="6623BD2F" w:rsidR="00C95F04" w:rsidRPr="00C95F04" w:rsidRDefault="00C95F04" w:rsidP="004F46DD">
      <w:pPr>
        <w:pStyle w:val="ListBullet"/>
      </w:pPr>
      <w:r w:rsidRPr="00C95F04">
        <w:t xml:space="preserve">provide greater certainty and understanding </w:t>
      </w:r>
      <w:r w:rsidR="000D63E2">
        <w:t>of the</w:t>
      </w:r>
      <w:r w:rsidRPr="00C95F04">
        <w:t xml:space="preserve"> regulatory requirements </w:t>
      </w:r>
      <w:r w:rsidR="0022578D" w:rsidRPr="00C95F04">
        <w:t xml:space="preserve">for PCBUs and other duty holders </w:t>
      </w:r>
      <w:r w:rsidR="00B22DAE">
        <w:t>regarding</w:t>
      </w:r>
      <w:r w:rsidRPr="00C95F04">
        <w:t xml:space="preserve"> </w:t>
      </w:r>
      <w:r w:rsidR="0022578D">
        <w:t>minimis</w:t>
      </w:r>
      <w:r w:rsidR="00B22DAE">
        <w:t>ing</w:t>
      </w:r>
      <w:r w:rsidRPr="00C95F04">
        <w:t xml:space="preserve"> RCS exposure, and</w:t>
      </w:r>
    </w:p>
    <w:p w14:paraId="732439F1" w14:textId="38A547D6" w:rsidR="00C95F04" w:rsidRPr="00C95F04" w:rsidRDefault="00C95F04" w:rsidP="004F46DD">
      <w:pPr>
        <w:pStyle w:val="ListBullet"/>
      </w:pPr>
      <w:r w:rsidRPr="00C95F04">
        <w:t xml:space="preserve">address concerns among stakeholders about the subjective thresholds that are included in the model WHS </w:t>
      </w:r>
      <w:r w:rsidR="00B22DAE">
        <w:t>Regulations</w:t>
      </w:r>
      <w:r w:rsidRPr="00C95F04">
        <w:t xml:space="preserve">. For example, this would clarify the circumstances under which air monitoring and health monitoring are required. </w:t>
      </w:r>
    </w:p>
    <w:p w14:paraId="4FCFD035" w14:textId="77777777" w:rsidR="00C95F04" w:rsidRPr="00C95F04" w:rsidRDefault="00C95F04" w:rsidP="00C95F04">
      <w:pPr>
        <w:pStyle w:val="BodyText"/>
      </w:pPr>
      <w:r w:rsidRPr="00C95F04">
        <w:t xml:space="preserve">Additional regulation of defined </w:t>
      </w:r>
      <w:r w:rsidRPr="00C95F04">
        <w:rPr>
          <w:i/>
          <w:iCs/>
        </w:rPr>
        <w:t>high risk crystalline silica processes</w:t>
      </w:r>
      <w:r w:rsidRPr="00C95F04">
        <w:t xml:space="preserve"> would lead to increased compliance, a reduction in workplace exposure to RCS and reduced instances of silicosis and other silica-related diseases over and above the base case (Option 1)</w:t>
      </w:r>
      <w:r w:rsidRPr="00C95F04">
        <w:rPr>
          <w:b/>
          <w:bCs/>
        </w:rPr>
        <w:t xml:space="preserve"> </w:t>
      </w:r>
      <w:r w:rsidRPr="00C95F04">
        <w:t>as this option would</w:t>
      </w:r>
      <w:r w:rsidRPr="00C95F04">
        <w:rPr>
          <w:b/>
          <w:bCs/>
        </w:rPr>
        <w:t xml:space="preserve">: </w:t>
      </w:r>
    </w:p>
    <w:p w14:paraId="7273632F" w14:textId="77777777" w:rsidR="00C95F04" w:rsidRPr="00C95F04" w:rsidRDefault="00C95F04" w:rsidP="004F46DD">
      <w:pPr>
        <w:pStyle w:val="ListBullet"/>
      </w:pPr>
      <w:r w:rsidRPr="00C95F04">
        <w:t xml:space="preserve">increase the likelihood of PCBUs being aware of the risks of </w:t>
      </w:r>
      <w:r w:rsidRPr="00C95F04">
        <w:rPr>
          <w:i/>
          <w:iCs/>
        </w:rPr>
        <w:t>high risk crystalline silica processes</w:t>
      </w:r>
      <w:r w:rsidRPr="00C95F04">
        <w:t xml:space="preserve"> and the need to implement appropriate controls to eliminate or minimise these risks</w:t>
      </w:r>
    </w:p>
    <w:p w14:paraId="4FB0EB6C" w14:textId="77777777" w:rsidR="00C95F04" w:rsidRPr="00C95F04" w:rsidRDefault="00C95F04" w:rsidP="004F46DD">
      <w:pPr>
        <w:pStyle w:val="ListBullet"/>
      </w:pPr>
      <w:r w:rsidRPr="00C95F04">
        <w:t xml:space="preserve">impose greater accountability on PCBUs undertaking </w:t>
      </w:r>
      <w:r w:rsidRPr="00C95F04">
        <w:rPr>
          <w:i/>
          <w:iCs/>
        </w:rPr>
        <w:t>high risk crystalline silica processes</w:t>
      </w:r>
      <w:r w:rsidRPr="00C95F04">
        <w:t xml:space="preserve"> as they would be required to conduct risk assessments and develop silica risk control plans and report any air monitoring showing a WES exceedance, and </w:t>
      </w:r>
    </w:p>
    <w:p w14:paraId="5144770F" w14:textId="5ED57FF8" w:rsidR="00C95F04" w:rsidRPr="00C95F04" w:rsidRDefault="00C95F04" w:rsidP="004F46DD">
      <w:pPr>
        <w:pStyle w:val="ListBullet"/>
      </w:pPr>
      <w:r w:rsidRPr="00C95F04">
        <w:t xml:space="preserve">allow </w:t>
      </w:r>
      <w:r w:rsidR="00B821C8">
        <w:t>WHS</w:t>
      </w:r>
      <w:r w:rsidRPr="00C95F04">
        <w:t xml:space="preserve"> regulators to analyse air monitoring exceedance data and health monitoring data to: </w:t>
      </w:r>
    </w:p>
    <w:p w14:paraId="4A9858B5" w14:textId="77777777" w:rsidR="00C95F04" w:rsidRPr="00C95F04" w:rsidRDefault="00C95F04" w:rsidP="004F46DD">
      <w:pPr>
        <w:pStyle w:val="IAListbullet2"/>
      </w:pPr>
      <w:r w:rsidRPr="00C95F04">
        <w:t>draw insights into trends of RCS exposure</w:t>
      </w:r>
    </w:p>
    <w:p w14:paraId="519004EC" w14:textId="77777777" w:rsidR="00C95F04" w:rsidRPr="00C95F04" w:rsidRDefault="00C95F04" w:rsidP="004F46DD">
      <w:pPr>
        <w:pStyle w:val="IAListbullet2"/>
      </w:pPr>
      <w:r w:rsidRPr="00C95F04">
        <w:lastRenderedPageBreak/>
        <w:t>make an initial assessment into a PCBU’s ability to manage RCS exposure, and</w:t>
      </w:r>
    </w:p>
    <w:p w14:paraId="1D19C487" w14:textId="77777777" w:rsidR="00C95F04" w:rsidRPr="00C95F04" w:rsidRDefault="00C95F04" w:rsidP="004F46DD">
      <w:pPr>
        <w:pStyle w:val="IAListbullet2"/>
      </w:pPr>
      <w:r w:rsidRPr="00C95F04">
        <w:t xml:space="preserve">better target enforcement and compliance actions where required. </w:t>
      </w:r>
    </w:p>
    <w:p w14:paraId="00952D03" w14:textId="77777777" w:rsidR="00C95F04" w:rsidRPr="00C95F04" w:rsidRDefault="00C95F04" w:rsidP="004F46DD">
      <w:pPr>
        <w:pStyle w:val="Heading3"/>
      </w:pPr>
      <w:r w:rsidRPr="00C95F04">
        <w:t>Option 5b: Additional regulation of defined high risk crystalline silica processes (excluding engineered stone)</w:t>
      </w:r>
    </w:p>
    <w:p w14:paraId="75EC87E1" w14:textId="77777777" w:rsidR="00C95F04" w:rsidRPr="00C95F04" w:rsidRDefault="00C95F04" w:rsidP="004F46DD">
      <w:pPr>
        <w:pStyle w:val="BodyText"/>
      </w:pPr>
      <w:bookmarkStart w:id="656" w:name="_Hlk103246550"/>
      <w:r w:rsidRPr="00C95F04">
        <w:t>As noted in Section 4.7, Option 5b is equivalent to Option 5a with the exclusion of PCBUs working with engineered stone.</w:t>
      </w:r>
    </w:p>
    <w:bookmarkEnd w:id="656"/>
    <w:p w14:paraId="0E25C0FF" w14:textId="77777777" w:rsidR="00C95F04" w:rsidRPr="00C95F04" w:rsidRDefault="00C95F04" w:rsidP="004F46DD">
      <w:pPr>
        <w:pStyle w:val="BodyText"/>
      </w:pPr>
      <w:r w:rsidRPr="00C95F04">
        <w:t>This option would exclude engineered stone so that the costs and impacts of this option can be considered in combination with Option 4.</w:t>
      </w:r>
    </w:p>
    <w:p w14:paraId="5969B833" w14:textId="77777777" w:rsidR="00C95F04" w:rsidRPr="00C95F04" w:rsidRDefault="00C95F04" w:rsidP="004F46DD">
      <w:pPr>
        <w:pStyle w:val="BodyText"/>
      </w:pPr>
      <w:r w:rsidRPr="00C95F04">
        <w:t>The effectiveness of this option is presented in Option 5a with key findings applicable to all industry sectors excluding engineered stone.</w:t>
      </w:r>
    </w:p>
    <w:p w14:paraId="47CC53E5" w14:textId="77777777" w:rsidR="00C95F04" w:rsidRPr="00C95F04" w:rsidRDefault="00C95F04" w:rsidP="004F46DD">
      <w:pPr>
        <w:pStyle w:val="Heading2"/>
      </w:pPr>
      <w:bookmarkStart w:id="657" w:name="_Toc107395335"/>
      <w:bookmarkStart w:id="658" w:name="_Toc126573225"/>
      <w:r>
        <w:t>Benefits assessment</w:t>
      </w:r>
      <w:bookmarkEnd w:id="657"/>
      <w:bookmarkEnd w:id="658"/>
    </w:p>
    <w:p w14:paraId="04BB4A18" w14:textId="77777777" w:rsidR="00C95F04" w:rsidRPr="00C95F04" w:rsidRDefault="00C95F04" w:rsidP="00C95F04">
      <w:pPr>
        <w:pStyle w:val="BodyText"/>
      </w:pPr>
      <w:r w:rsidRPr="00C95F04">
        <w:t xml:space="preserve">The qualitative assessment undertaken in Section 6.5 demonstrates that to varying extents, Options 2, 4 and 5 would be likely to lead to increased compliance, reduced workplace exposure to RCS and a reduction in silicosis and silica-related diseases. This will result in direct and indirect benefits including: </w:t>
      </w:r>
    </w:p>
    <w:p w14:paraId="20161C4A" w14:textId="77777777" w:rsidR="00C95F04" w:rsidRPr="00C95F04" w:rsidRDefault="00C95F04" w:rsidP="004F46DD">
      <w:pPr>
        <w:pStyle w:val="ListBullet"/>
      </w:pPr>
      <w:r w:rsidRPr="00C95F04">
        <w:t xml:space="preserve">reduction in premature death from silicosis and silica-related diseases </w:t>
      </w:r>
    </w:p>
    <w:p w14:paraId="0B4804C0" w14:textId="77777777" w:rsidR="00C95F04" w:rsidRPr="00C95F04" w:rsidRDefault="00C95F04" w:rsidP="004F46DD">
      <w:pPr>
        <w:pStyle w:val="ListBullet"/>
      </w:pPr>
      <w:r w:rsidRPr="00C95F04">
        <w:t xml:space="preserve">reduced number of workers living with silicosis and silica-related diseases </w:t>
      </w:r>
    </w:p>
    <w:p w14:paraId="64EAE043" w14:textId="77777777" w:rsidR="00C95F04" w:rsidRPr="00C95F04" w:rsidRDefault="00C95F04" w:rsidP="004F46DD">
      <w:pPr>
        <w:pStyle w:val="ListBullet"/>
      </w:pPr>
      <w:r w:rsidRPr="00C95F04">
        <w:t xml:space="preserve">reduced health care costs, including hospitalisations and treatment, for silicosis and silica-related diseases </w:t>
      </w:r>
    </w:p>
    <w:p w14:paraId="21AA521E" w14:textId="77777777" w:rsidR="00C95F04" w:rsidRPr="00C95F04" w:rsidRDefault="00C95F04" w:rsidP="004F46DD">
      <w:pPr>
        <w:pStyle w:val="ListBullet"/>
      </w:pPr>
      <w:r w:rsidRPr="00C95F04">
        <w:t>improved worker productivity by extending working life, and</w:t>
      </w:r>
    </w:p>
    <w:p w14:paraId="1E1D1255" w14:textId="77777777" w:rsidR="00C95F04" w:rsidRPr="00C95F04" w:rsidRDefault="00C95F04" w:rsidP="004F46DD">
      <w:pPr>
        <w:pStyle w:val="ListBullet"/>
      </w:pPr>
      <w:r w:rsidRPr="00C95F04">
        <w:t>avoided mental health and quality of life effects for workers, family and friends.</w:t>
      </w:r>
    </w:p>
    <w:p w14:paraId="5C54FAA7" w14:textId="77777777" w:rsidR="00C95F04" w:rsidRPr="004F46DD" w:rsidRDefault="00C95F04" w:rsidP="004F46DD">
      <w:pPr>
        <w:pStyle w:val="BodyText"/>
      </w:pPr>
      <w:r w:rsidRPr="004F46DD">
        <w:t xml:space="preserve">A further benefit of capturing and analysing outlined air and health monitoring data is that it will allow a national assessment on the effectiveness of initiatives to reduce exposure to RCS at the workplace and inform assessments about the ongoing risks to workers. </w:t>
      </w:r>
    </w:p>
    <w:p w14:paraId="4320C637" w14:textId="77777777" w:rsidR="00C95F04" w:rsidRPr="004F46DD" w:rsidRDefault="00C95F04" w:rsidP="004F46DD">
      <w:pPr>
        <w:pStyle w:val="BodyText"/>
      </w:pPr>
      <w:r w:rsidRPr="004F46DD">
        <w:t xml:space="preserve">Due to uncertainty and insufficient data, it is not possible to assess effectiveness of each option in monetary terms. </w:t>
      </w:r>
    </w:p>
    <w:p w14:paraId="5B60F4E2" w14:textId="77777777" w:rsidR="00C95F04" w:rsidRPr="00C95F04" w:rsidRDefault="00C95F04" w:rsidP="004F46DD">
      <w:pPr>
        <w:pStyle w:val="Heading3"/>
      </w:pPr>
      <w:r w:rsidRPr="00C95F04">
        <w:t>Assessing the benefits of silicosis and silica-related disease prevention</w:t>
      </w:r>
    </w:p>
    <w:p w14:paraId="319F7831" w14:textId="77777777" w:rsidR="00C95F04" w:rsidRPr="00C95F04" w:rsidRDefault="00C95F04" w:rsidP="004F46DD">
      <w:pPr>
        <w:pStyle w:val="BodyText"/>
      </w:pPr>
      <w:r w:rsidRPr="00C95F04">
        <w:t xml:space="preserve">The economic impact associated with a worker developing silicosis or a silica-related disease can occur across many years, from the time the disease is diagnosed through to the end of the worker’s life. In most cases, silicosis and silica-related diseases will worsen over time. This means that workers who receive an early diagnosis are required to live with this burden and the increased likelihood of premature death. </w:t>
      </w:r>
    </w:p>
    <w:p w14:paraId="4DD2AD77" w14:textId="77777777" w:rsidR="00C95F04" w:rsidRPr="00C95F04" w:rsidRDefault="00C95F04" w:rsidP="004F46DD">
      <w:pPr>
        <w:pStyle w:val="BodyText"/>
      </w:pPr>
      <w:r w:rsidRPr="00C95F04">
        <w:t xml:space="preserve">These health benefits are typically estimated through the quantification of value of lives saved and illness avoided. This is an accepted economic method for analysing and comparing policy options for reducing fatalities and illness. The following section outlines the key concepts underpinning this analysis. </w:t>
      </w:r>
    </w:p>
    <w:p w14:paraId="26559AE1" w14:textId="77777777" w:rsidR="00C95F04" w:rsidRPr="00C95F04" w:rsidRDefault="00C95F04" w:rsidP="004F46DD">
      <w:pPr>
        <w:pStyle w:val="Heading4"/>
      </w:pPr>
      <w:r w:rsidRPr="00C95F04">
        <w:lastRenderedPageBreak/>
        <w:t>Value of lives saved and illness avoided</w:t>
      </w:r>
    </w:p>
    <w:p w14:paraId="3D236BC0" w14:textId="77777777" w:rsidR="00C95F04" w:rsidRPr="00C95F04" w:rsidRDefault="00C95F04" w:rsidP="004F46DD">
      <w:pPr>
        <w:pStyle w:val="BodyText"/>
      </w:pPr>
      <w:r w:rsidRPr="00C95F04">
        <w:t>The value of lives saved and illness avoided is estimated by comparing the duration an individual life with silicosis or silica-related disease and the number of years lost due to premature death before the average life expectancy. These concepts are outlined below.</w:t>
      </w:r>
    </w:p>
    <w:p w14:paraId="12E97F91" w14:textId="77777777" w:rsidR="00C95F04" w:rsidRPr="00C95F04" w:rsidRDefault="00C95F04" w:rsidP="00DB28F5">
      <w:pPr>
        <w:pStyle w:val="Heading5"/>
      </w:pPr>
      <w:r w:rsidRPr="00C95F04">
        <w:t>Value of a statistical life (VSL)</w:t>
      </w:r>
    </w:p>
    <w:p w14:paraId="22CF96D9" w14:textId="77777777" w:rsidR="00C95F04" w:rsidRPr="00C95F04" w:rsidRDefault="00C95F04" w:rsidP="00C95F04">
      <w:pPr>
        <w:pStyle w:val="BodyText"/>
      </w:pPr>
      <w:r w:rsidRPr="00C95F04">
        <w:t>A key concept used to measure the value of lives saved is the value of a statistical life (VSL) which is an estimate of the value society places on reducing the risk of dying. The value of a statistical life is most appropriately measured by estimating how much society is willing to pay to reduce the risk of death. Based on empirical domestic and international research, Office of Impact Analysis (OIA) guidance indicates that the value of a statistical life is $3.5 million in 2022 dollars and the value of a statistical life year (VSLY) IS $227,000.</w:t>
      </w:r>
      <w:r w:rsidRPr="00C95F04">
        <w:rPr>
          <w:vertAlign w:val="superscript"/>
        </w:rPr>
        <w:footnoteReference w:id="15"/>
      </w:r>
    </w:p>
    <w:p w14:paraId="10DACD04" w14:textId="77777777" w:rsidR="00C95F04" w:rsidRPr="00C95F04" w:rsidRDefault="00C95F04" w:rsidP="00DB28F5">
      <w:pPr>
        <w:pStyle w:val="Heading5"/>
      </w:pPr>
      <w:r w:rsidRPr="00C95F04">
        <w:t xml:space="preserve">Value of a disability adjusted life year (DALY) </w:t>
      </w:r>
    </w:p>
    <w:p w14:paraId="34F7BF30" w14:textId="77777777" w:rsidR="00C95F04" w:rsidRPr="00C95F04" w:rsidRDefault="00C95F04" w:rsidP="00DB28F5">
      <w:pPr>
        <w:pStyle w:val="BodyText"/>
      </w:pPr>
      <w:r w:rsidRPr="00C95F04">
        <w:t xml:space="preserve">Regulatory and non-regulatory changes can have the benefit of reducing the risk of injury, disease or disability. A method to value these benefits is to adjust the value of statistical life year (which could be interpreted as the value of a year of life free of injury, disease and disability) by a factor that accounts for the type of injury, disease or disability. </w:t>
      </w:r>
    </w:p>
    <w:p w14:paraId="1F6E58C6" w14:textId="77777777" w:rsidR="00C95F04" w:rsidRPr="00C95F04" w:rsidRDefault="00C95F04" w:rsidP="00DB28F5">
      <w:pPr>
        <w:pStyle w:val="BodyText"/>
      </w:pPr>
      <w:r w:rsidRPr="00C95F04">
        <w:t>The value of an individual living with the disease is measured using a disability adjusted life year (DALY) factor, representing the loss of one year of full health. Using the disability weighting for chronic obstructive lung disease (0.43) provided by the Australian Institute of Health and Welfare, the value of a DALY is $94,338 per annum.</w:t>
      </w:r>
      <w:r w:rsidRPr="00F94925">
        <w:rPr>
          <w:vertAlign w:val="superscript"/>
        </w:rPr>
        <w:footnoteReference w:id="16"/>
      </w:r>
    </w:p>
    <w:p w14:paraId="67507094" w14:textId="77777777" w:rsidR="00C95F04" w:rsidRPr="00C95F04" w:rsidRDefault="00C95F04" w:rsidP="00DB28F5">
      <w:pPr>
        <w:pStyle w:val="BodyText"/>
      </w:pPr>
      <w:r w:rsidRPr="00C95F04">
        <w:t>Key assumptions used in the Victorian Occupational Health and Safety Amendment (Crystalline Silica) Regulations 2021</w:t>
      </w:r>
      <w:r w:rsidRPr="00C95F04" w:rsidDel="00581F3F">
        <w:t xml:space="preserve"> </w:t>
      </w:r>
      <w:r w:rsidRPr="00C95F04">
        <w:t xml:space="preserve">Regulatory Impact Statement commissioned by WorkSafe Victoria </w:t>
      </w:r>
      <w:r w:rsidRPr="00C95F04">
        <w:fldChar w:fldCharType="begin"/>
      </w:r>
      <w:r w:rsidRPr="00C95F04">
        <w:instrText xml:space="preserve"> ADDIN ZOTERO_ITEM CSL_CITATION {"citationID":"aUqD5hIM","properties":{"formattedCitation":"(Deloitte 2021)","plainCitation":"(Deloitte 2021)","noteIndex":0},"citationItems":[{"id":917,"uris":["http://zotero.org/users/6230888/items/DDIZNKBY"],"itemData":{"id":917,"type":"article-journal","language":"en","page":"75","source":"Zotero","title":"Occupational Health and Safety Amendment (Crystalline Silica) Regulations 2021","author":[{"literal":"Deloitte"}],"issued":{"date-parts":[["2021"]]}}}],"schema":"https://github.com/citation-style-language/schema/raw/master/csl-citation.json"} </w:instrText>
      </w:r>
      <w:r w:rsidRPr="00C95F04">
        <w:fldChar w:fldCharType="separate"/>
      </w:r>
      <w:r w:rsidRPr="00C95F04">
        <w:t>(Deloitte 2021)</w:t>
      </w:r>
      <w:r w:rsidRPr="00C95F04">
        <w:fldChar w:fldCharType="end"/>
      </w:r>
      <w:r w:rsidRPr="00C95F04">
        <w:t xml:space="preserve"> have been used to estimate average value of life saved and illness avoided per person as presented below. </w:t>
      </w:r>
    </w:p>
    <w:p w14:paraId="13FBD701" w14:textId="77777777" w:rsidR="00C95F04" w:rsidRPr="00C95F04" w:rsidRDefault="00C95F04" w:rsidP="00DB28F5">
      <w:pPr>
        <w:pStyle w:val="Heading4"/>
      </w:pPr>
      <w:r w:rsidRPr="00C95F04">
        <w:t>Estimating the average value of life saved</w:t>
      </w:r>
    </w:p>
    <w:p w14:paraId="3F73F0CB" w14:textId="77777777" w:rsidR="00C95F04" w:rsidRPr="00C95F04" w:rsidRDefault="00C95F04" w:rsidP="00C95F04">
      <w:pPr>
        <w:pStyle w:val="BodyText"/>
      </w:pPr>
      <w:r w:rsidRPr="00C95F04">
        <w:t xml:space="preserve">The average value of life saved is calculated in three steps as presented below. </w:t>
      </w:r>
    </w:p>
    <w:p w14:paraId="5DE974C2" w14:textId="77777777" w:rsidR="00C95F04" w:rsidRPr="00C95F04" w:rsidRDefault="00C95F04" w:rsidP="00DB28F5">
      <w:pPr>
        <w:pStyle w:val="Heading5"/>
      </w:pPr>
      <w:r w:rsidRPr="00C95F04">
        <w:t>Step 1: Estimate the average age of death due to silicosis or silica-related disease</w:t>
      </w:r>
    </w:p>
    <w:p w14:paraId="60312E96" w14:textId="5CB654FE" w:rsidR="00C95F04" w:rsidRPr="00C95F04" w:rsidRDefault="00C95F04" w:rsidP="00C95F04">
      <w:pPr>
        <w:pStyle w:val="BodyText"/>
      </w:pPr>
      <w:r w:rsidRPr="00C95F04">
        <w:t xml:space="preserve">The approach used to estimate the average age of death due to silicosis or silica-related disease is presented below, with key assumptions underpinning the estimated outlined in </w:t>
      </w:r>
      <w:r w:rsidRPr="00C95F04">
        <w:fldChar w:fldCharType="begin"/>
      </w:r>
      <w:r w:rsidRPr="00C95F04">
        <w:instrText xml:space="preserve"> REF _Ref124835567 \h </w:instrText>
      </w:r>
      <w:r w:rsidR="00E75FA2" w:rsidRPr="00E75FA2">
        <w:instrText xml:space="preserve"> \* MERGEFORMAT </w:instrText>
      </w:r>
      <w:r w:rsidRPr="00C95F04">
        <w:fldChar w:fldCharType="separate"/>
      </w:r>
      <w:r w:rsidR="00E75FA2" w:rsidRPr="00E75FA2">
        <w:rPr>
          <w:iCs/>
        </w:rPr>
        <w:t xml:space="preserve">Table </w:t>
      </w:r>
      <w:r w:rsidR="00E75FA2" w:rsidRPr="00E75FA2">
        <w:rPr>
          <w:noProof/>
        </w:rPr>
        <w:t>21</w:t>
      </w:r>
      <w:r w:rsidRPr="00C95F04">
        <w:fldChar w:fldCharType="end"/>
      </w:r>
      <w:r w:rsidRPr="00C95F04">
        <w:t>.</w:t>
      </w:r>
    </w:p>
    <w:p w14:paraId="59D510D9" w14:textId="77777777" w:rsidR="00C95F04" w:rsidRPr="00C95F04" w:rsidRDefault="00C95F04" w:rsidP="00DB28F5">
      <w:pPr>
        <w:pStyle w:val="BodyText"/>
        <w:jc w:val="center"/>
        <w:rPr>
          <w:b/>
          <w:bCs/>
          <w:i/>
          <w:iCs/>
        </w:rPr>
      </w:pPr>
      <w:r w:rsidRPr="00C95F04">
        <w:rPr>
          <w:b/>
          <w:bCs/>
          <w:i/>
          <w:iCs/>
        </w:rPr>
        <w:t>Estimated average age of death due to silicosis or silica-related disease</w:t>
      </w:r>
    </w:p>
    <w:p w14:paraId="5DF4454C" w14:textId="35EB6A36" w:rsidR="00C95F04" w:rsidRPr="00C95F04" w:rsidRDefault="00C95F04" w:rsidP="00DB28F5">
      <w:pPr>
        <w:pStyle w:val="BodyText"/>
        <w:jc w:val="center"/>
        <w:rPr>
          <w:b/>
          <w:bCs/>
          <w:i/>
          <w:iCs/>
        </w:rPr>
      </w:pPr>
      <w:r w:rsidRPr="00C95F04">
        <w:rPr>
          <w:b/>
          <w:bCs/>
          <w:i/>
          <w:iCs/>
        </w:rPr>
        <w:t>=</w:t>
      </w:r>
    </w:p>
    <w:p w14:paraId="7F136719" w14:textId="23567734" w:rsidR="00C95F04" w:rsidRPr="00C95F04" w:rsidRDefault="00C95F04" w:rsidP="00DB28F5">
      <w:pPr>
        <w:pStyle w:val="BodyText"/>
        <w:jc w:val="center"/>
        <w:rPr>
          <w:b/>
          <w:bCs/>
          <w:i/>
          <w:iCs/>
        </w:rPr>
      </w:pPr>
      <w:r w:rsidRPr="00C95F04">
        <w:rPr>
          <w:i/>
          <w:iCs/>
        </w:rPr>
        <w:t>Average age of diagnosis with silicosis or silica-related disease</w:t>
      </w:r>
    </w:p>
    <w:p w14:paraId="266718E7" w14:textId="4727DAB6" w:rsidR="00C95F04" w:rsidRPr="00C95F04" w:rsidRDefault="00C95F04" w:rsidP="00DB28F5">
      <w:pPr>
        <w:pStyle w:val="BodyText"/>
        <w:jc w:val="center"/>
        <w:rPr>
          <w:b/>
          <w:bCs/>
          <w:i/>
          <w:iCs/>
        </w:rPr>
      </w:pPr>
      <w:r w:rsidRPr="00C95F04">
        <w:rPr>
          <w:b/>
          <w:bCs/>
          <w:i/>
          <w:iCs/>
        </w:rPr>
        <w:t>+</w:t>
      </w:r>
    </w:p>
    <w:p w14:paraId="5C332245" w14:textId="77777777" w:rsidR="00C95F04" w:rsidRPr="00C95F04" w:rsidRDefault="00C95F04" w:rsidP="00DB28F5">
      <w:pPr>
        <w:pStyle w:val="BodyText"/>
        <w:jc w:val="center"/>
        <w:rPr>
          <w:i/>
          <w:iCs/>
        </w:rPr>
      </w:pPr>
      <w:r w:rsidRPr="00C95F04">
        <w:rPr>
          <w:i/>
          <w:iCs/>
        </w:rPr>
        <w:t>Average time between diagnosis of silicosis or silica-related disease and death</w:t>
      </w:r>
      <w:r w:rsidRPr="00C95F04">
        <w:rPr>
          <w:i/>
          <w:iCs/>
        </w:rPr>
        <w:br/>
      </w:r>
    </w:p>
    <w:p w14:paraId="30B68E6E" w14:textId="26328609" w:rsidR="00C95F04" w:rsidRPr="00C95F04" w:rsidRDefault="00C95F04" w:rsidP="00DB28F5">
      <w:pPr>
        <w:pStyle w:val="Caption"/>
      </w:pPr>
      <w:bookmarkStart w:id="659" w:name="_Ref124835567"/>
      <w:r w:rsidRPr="00C95F04">
        <w:lastRenderedPageBreak/>
        <w:t xml:space="preserve">Table </w:t>
      </w:r>
      <w:fldSimple w:instr=" SEQ Table \* ARABIC ">
        <w:r w:rsidR="00DF768D">
          <w:rPr>
            <w:noProof/>
          </w:rPr>
          <w:t>21</w:t>
        </w:r>
      </w:fldSimple>
      <w:bookmarkEnd w:id="659"/>
      <w:r w:rsidRPr="00C95F04">
        <w:t xml:space="preserve">: Estimated average age of death due to silicosis or silica-related disease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5"/>
        <w:gridCol w:w="3511"/>
      </w:tblGrid>
      <w:tr w:rsidR="00C95F04" w:rsidRPr="00C95F04" w14:paraId="5E7DEBA9" w14:textId="77777777" w:rsidTr="004C687A">
        <w:trPr>
          <w:trHeight w:val="104"/>
          <w:tblHeader/>
        </w:trPr>
        <w:tc>
          <w:tcPr>
            <w:tcW w:w="3055" w:type="pct"/>
            <w:shd w:val="clear" w:color="auto" w:fill="D1D1D1" w:themeFill="background2"/>
            <w:vAlign w:val="center"/>
          </w:tcPr>
          <w:p w14:paraId="6682D1DF" w14:textId="77777777" w:rsidR="00C95F04" w:rsidRPr="00C95F04" w:rsidRDefault="00C95F04" w:rsidP="000C215A">
            <w:pPr>
              <w:pStyle w:val="TableHeading"/>
              <w:rPr>
                <w:iCs/>
              </w:rPr>
            </w:pPr>
            <w:r w:rsidRPr="00C95F04">
              <w:t xml:space="preserve">Assumption </w:t>
            </w:r>
          </w:p>
        </w:tc>
        <w:tc>
          <w:tcPr>
            <w:tcW w:w="1945" w:type="pct"/>
            <w:shd w:val="clear" w:color="auto" w:fill="D1D1D1" w:themeFill="background2"/>
            <w:vAlign w:val="center"/>
          </w:tcPr>
          <w:p w14:paraId="43BA55E4" w14:textId="77777777" w:rsidR="00C95F04" w:rsidRPr="00C95F04" w:rsidRDefault="00C95F04" w:rsidP="000C215A">
            <w:pPr>
              <w:pStyle w:val="TableHeading"/>
            </w:pPr>
            <w:r w:rsidRPr="00C95F04">
              <w:t>Value</w:t>
            </w:r>
          </w:p>
        </w:tc>
      </w:tr>
      <w:tr w:rsidR="00C95F04" w:rsidRPr="00C95F04" w14:paraId="61DA6029" w14:textId="77777777" w:rsidTr="004C687A">
        <w:trPr>
          <w:trHeight w:val="196"/>
        </w:trPr>
        <w:tc>
          <w:tcPr>
            <w:tcW w:w="3055" w:type="pct"/>
            <w:tcBorders>
              <w:bottom w:val="single" w:sz="8" w:space="0" w:color="D1D1D1" w:themeColor="background2"/>
            </w:tcBorders>
            <w:vAlign w:val="center"/>
          </w:tcPr>
          <w:p w14:paraId="1FC69873" w14:textId="77777777" w:rsidR="00C95F04" w:rsidRPr="00C95F04" w:rsidRDefault="00C95F04" w:rsidP="00DB28F5">
            <w:pPr>
              <w:pStyle w:val="TableBody"/>
            </w:pPr>
            <w:r w:rsidRPr="00C95F04">
              <w:t xml:space="preserve">Average age of diagnosis with silicosis or silica-related disease </w:t>
            </w:r>
          </w:p>
        </w:tc>
        <w:tc>
          <w:tcPr>
            <w:tcW w:w="1945" w:type="pct"/>
            <w:tcBorders>
              <w:bottom w:val="single" w:sz="8" w:space="0" w:color="D1D1D1" w:themeColor="background2"/>
            </w:tcBorders>
            <w:vAlign w:val="center"/>
          </w:tcPr>
          <w:p w14:paraId="20D33664" w14:textId="77777777" w:rsidR="00C95F04" w:rsidRPr="00C95F04" w:rsidRDefault="00C95F04" w:rsidP="00DB28F5">
            <w:pPr>
              <w:pStyle w:val="TableBody"/>
            </w:pPr>
            <w:r w:rsidRPr="00C95F04">
              <w:t xml:space="preserve">43.30 years </w:t>
            </w:r>
            <w:r w:rsidRPr="00C95F04">
              <w:fldChar w:fldCharType="begin"/>
            </w:r>
            <w:r w:rsidRPr="00C95F04">
              <w:instrText xml:space="preserve"> ADDIN ZOTERO_ITEM CSL_CITATION {"citationID":"HruToubF","properties":{"formattedCitation":"(Deloitte 2021)","plainCitation":"(Deloitte 2021)","noteIndex":0},"citationItems":[{"id":917,"uris":["http://zotero.org/users/6230888/items/DDIZNKBY"],"itemData":{"id":917,"type":"article-journal","language":"en","page":"75","source":"Zotero","title":"Occupational Health and Safety Amendment (Crystalline Silica) Regulations 2021","author":[{"literal":"Deloitte"}],"issued":{"date-parts":[["2021"]]}}}],"schema":"https://github.com/citation-style-language/schema/raw/master/csl-citation.json"} </w:instrText>
            </w:r>
            <w:r w:rsidRPr="00C95F04">
              <w:fldChar w:fldCharType="separate"/>
            </w:r>
            <w:r w:rsidRPr="00C95F04">
              <w:t>(Deloitte 2021)</w:t>
            </w:r>
            <w:r w:rsidRPr="00C95F04">
              <w:fldChar w:fldCharType="end"/>
            </w:r>
          </w:p>
        </w:tc>
      </w:tr>
      <w:tr w:rsidR="00C95F04" w:rsidRPr="00C95F04" w14:paraId="3D0C724D" w14:textId="77777777" w:rsidTr="004C687A">
        <w:trPr>
          <w:trHeight w:val="196"/>
        </w:trPr>
        <w:tc>
          <w:tcPr>
            <w:tcW w:w="3055" w:type="pct"/>
            <w:tcBorders>
              <w:top w:val="single" w:sz="8" w:space="0" w:color="D1D1D1" w:themeColor="background2"/>
              <w:bottom w:val="single" w:sz="8" w:space="0" w:color="D1D1D1" w:themeColor="background2"/>
            </w:tcBorders>
            <w:vAlign w:val="center"/>
          </w:tcPr>
          <w:p w14:paraId="11A7E9D3" w14:textId="77777777" w:rsidR="00C95F04" w:rsidRPr="00C95F04" w:rsidRDefault="00C95F04" w:rsidP="00DB28F5">
            <w:pPr>
              <w:pStyle w:val="TableBody"/>
            </w:pPr>
            <w:r w:rsidRPr="00C95F04">
              <w:t xml:space="preserve">Average time between diagnosis of silicosis or silica-related disease and death </w:t>
            </w:r>
          </w:p>
        </w:tc>
        <w:tc>
          <w:tcPr>
            <w:tcW w:w="1945" w:type="pct"/>
            <w:tcBorders>
              <w:top w:val="single" w:sz="8" w:space="0" w:color="D1D1D1" w:themeColor="background2"/>
              <w:bottom w:val="single" w:sz="8" w:space="0" w:color="D1D1D1" w:themeColor="background2"/>
            </w:tcBorders>
            <w:vAlign w:val="center"/>
          </w:tcPr>
          <w:p w14:paraId="71C210D3" w14:textId="77777777" w:rsidR="00C95F04" w:rsidRPr="00C95F04" w:rsidRDefault="00C95F04" w:rsidP="00DB28F5">
            <w:pPr>
              <w:pStyle w:val="TableBody"/>
            </w:pPr>
            <w:r w:rsidRPr="00C95F04">
              <w:t xml:space="preserve">9.30 years </w:t>
            </w:r>
            <w:r w:rsidRPr="00C95F04">
              <w:fldChar w:fldCharType="begin"/>
            </w:r>
            <w:r w:rsidRPr="00C95F04">
              <w:instrText xml:space="preserve"> ADDIN ZOTERO_ITEM CSL_CITATION {"citationID":"YT7TFsi2","properties":{"formattedCitation":"(Deloitte 2021)","plainCitation":"(Deloitte 2021)","noteIndex":0},"citationItems":[{"id":917,"uris":["http://zotero.org/users/6230888/items/DDIZNKBY"],"itemData":{"id":917,"type":"article-journal","language":"en","page":"75","source":"Zotero","title":"Occupational Health and Safety Amendment (Crystalline Silica) Regulations 2021","author":[{"literal":"Deloitte"}],"issued":{"date-parts":[["2021"]]}}}],"schema":"https://github.com/citation-style-language/schema/raw/master/csl-citation.json"} </w:instrText>
            </w:r>
            <w:r w:rsidRPr="00C95F04">
              <w:fldChar w:fldCharType="separate"/>
            </w:r>
            <w:r w:rsidRPr="00C95F04">
              <w:t>(Deloitte 2021)</w:t>
            </w:r>
            <w:r w:rsidRPr="00C95F04">
              <w:fldChar w:fldCharType="end"/>
            </w:r>
          </w:p>
        </w:tc>
      </w:tr>
      <w:tr w:rsidR="00C95F04" w:rsidRPr="00C95F04" w14:paraId="66845118" w14:textId="77777777" w:rsidTr="004C687A">
        <w:trPr>
          <w:trHeight w:val="196"/>
        </w:trPr>
        <w:tc>
          <w:tcPr>
            <w:tcW w:w="3055"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2189D35C" w14:textId="77777777" w:rsidR="00C95F04" w:rsidRPr="00C95F04" w:rsidRDefault="00C95F04" w:rsidP="00DB28F5">
            <w:pPr>
              <w:pStyle w:val="TableBody"/>
              <w:rPr>
                <w:b/>
                <w:bCs/>
              </w:rPr>
            </w:pPr>
            <w:r w:rsidRPr="00C95F04">
              <w:rPr>
                <w:b/>
                <w:bCs/>
                <w:i/>
                <w:iCs/>
              </w:rPr>
              <w:t xml:space="preserve">Estimated average age of death due to silicosis or silicate related disease </w:t>
            </w:r>
          </w:p>
        </w:tc>
        <w:tc>
          <w:tcPr>
            <w:tcW w:w="1945"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3F7E2CAA" w14:textId="77777777" w:rsidR="00C95F04" w:rsidRPr="00C95F04" w:rsidRDefault="00C95F04" w:rsidP="00DB28F5">
            <w:pPr>
              <w:pStyle w:val="TableBody"/>
              <w:rPr>
                <w:b/>
                <w:bCs/>
              </w:rPr>
            </w:pPr>
            <w:r w:rsidRPr="00C95F04">
              <w:rPr>
                <w:b/>
                <w:bCs/>
              </w:rPr>
              <w:t>52.6 years</w:t>
            </w:r>
          </w:p>
        </w:tc>
      </w:tr>
    </w:tbl>
    <w:p w14:paraId="002246D2" w14:textId="77777777" w:rsidR="00C95F04" w:rsidRPr="00C95F04" w:rsidRDefault="00C95F04" w:rsidP="00DB28F5">
      <w:pPr>
        <w:pStyle w:val="Heading5"/>
      </w:pPr>
      <w:r w:rsidRPr="00C95F04">
        <w:t xml:space="preserve">Step 2: Weighted average life expectancy of people with silicosis or silica-related disease </w:t>
      </w:r>
    </w:p>
    <w:p w14:paraId="3E0395B8" w14:textId="3B08F5CF" w:rsidR="00C95F04" w:rsidRPr="00C95F04" w:rsidRDefault="00C95F04" w:rsidP="00C95F04">
      <w:pPr>
        <w:pStyle w:val="BodyText"/>
      </w:pPr>
      <w:r w:rsidRPr="00C95F04">
        <w:t xml:space="preserve">The approach used to estimate the weighted average life expectancy of people with silicosis or silica-related disease is presented below, with key assumptions underpinning the estimated outlined in </w:t>
      </w:r>
      <w:r w:rsidRPr="00C95F04">
        <w:fldChar w:fldCharType="begin"/>
      </w:r>
      <w:r w:rsidRPr="00C95F04">
        <w:instrText xml:space="preserve"> REF _Ref124836176 \h </w:instrText>
      </w:r>
      <w:r w:rsidR="00E75FA2">
        <w:instrText xml:space="preserve"> \* MERGEFORMAT </w:instrText>
      </w:r>
      <w:r w:rsidRPr="00C95F04">
        <w:fldChar w:fldCharType="separate"/>
      </w:r>
      <w:r w:rsidR="00E75FA2" w:rsidRPr="00E75FA2">
        <w:rPr>
          <w:bCs/>
          <w:iCs/>
        </w:rPr>
        <w:t xml:space="preserve">Table </w:t>
      </w:r>
      <w:r w:rsidR="00E75FA2">
        <w:rPr>
          <w:noProof/>
        </w:rPr>
        <w:t>22</w:t>
      </w:r>
      <w:r w:rsidRPr="00C95F04">
        <w:fldChar w:fldCharType="end"/>
      </w:r>
      <w:r w:rsidRPr="00C95F04">
        <w:t xml:space="preserve"> below.</w:t>
      </w:r>
    </w:p>
    <w:p w14:paraId="2A938CDD" w14:textId="5EFE4345" w:rsidR="00C95F04" w:rsidRPr="00C95F04" w:rsidRDefault="00C95F04" w:rsidP="00DB28F5">
      <w:pPr>
        <w:pStyle w:val="BodyText"/>
        <w:jc w:val="center"/>
        <w:rPr>
          <w:i/>
          <w:iCs/>
        </w:rPr>
      </w:pPr>
      <w:r w:rsidRPr="00C95F04">
        <w:br/>
      </w:r>
      <w:r w:rsidRPr="00C95F04">
        <w:rPr>
          <w:i/>
          <w:iCs/>
        </w:rPr>
        <w:t>Weighted average life expectancy of people with silicosis or silica-related disease</w:t>
      </w:r>
    </w:p>
    <w:p w14:paraId="798FB40D" w14:textId="77777777" w:rsidR="00C95F04" w:rsidRPr="00C95F04" w:rsidRDefault="00C95F04" w:rsidP="00DB28F5">
      <w:pPr>
        <w:pStyle w:val="BodyText"/>
        <w:jc w:val="center"/>
        <w:rPr>
          <w:i/>
          <w:iCs/>
        </w:rPr>
      </w:pPr>
      <w:r w:rsidRPr="00C95F04">
        <w:rPr>
          <w:i/>
          <w:iCs/>
        </w:rPr>
        <w:t>=</w:t>
      </w:r>
    </w:p>
    <w:p w14:paraId="18FB58A7" w14:textId="5B678F06" w:rsidR="00C95F04" w:rsidRPr="00C95F04" w:rsidRDefault="00C95F04" w:rsidP="00DB28F5">
      <w:pPr>
        <w:pStyle w:val="BodyText"/>
        <w:jc w:val="center"/>
        <w:rPr>
          <w:i/>
          <w:iCs/>
        </w:rPr>
      </w:pPr>
      <w:r w:rsidRPr="00C95F04">
        <w:rPr>
          <w:i/>
          <w:iCs/>
        </w:rPr>
        <w:t>(Proportion of silica-related diagnoses that led to a fatality x estimated average life expectancy of an Australian with silicosis or silica-related disease)</w:t>
      </w:r>
      <w:r w:rsidRPr="00C95F04">
        <w:rPr>
          <w:i/>
          <w:iCs/>
        </w:rPr>
        <w:br/>
        <w:t>+</w:t>
      </w:r>
      <w:r w:rsidRPr="00C95F04">
        <w:rPr>
          <w:i/>
          <w:iCs/>
        </w:rPr>
        <w:br/>
        <w:t>(Proportion of silicosis or silica-related diagnoses that did not lead to a fatality</w:t>
      </w:r>
    </w:p>
    <w:p w14:paraId="7D84B0F1" w14:textId="2EE6B4AB" w:rsidR="00C95F04" w:rsidRPr="00C95F04" w:rsidRDefault="00C95F04" w:rsidP="00DB28F5">
      <w:pPr>
        <w:pStyle w:val="BodyText"/>
        <w:jc w:val="center"/>
        <w:rPr>
          <w:i/>
          <w:iCs/>
        </w:rPr>
      </w:pPr>
      <w:r w:rsidRPr="00C95F04">
        <w:rPr>
          <w:i/>
          <w:iCs/>
        </w:rPr>
        <w:t>x</w:t>
      </w:r>
    </w:p>
    <w:p w14:paraId="6685092E" w14:textId="63ADD5A4" w:rsidR="00C95F04" w:rsidRPr="00C95F04" w:rsidRDefault="00C95F04" w:rsidP="00DB28F5">
      <w:pPr>
        <w:pStyle w:val="BodyText"/>
        <w:jc w:val="center"/>
        <w:rPr>
          <w:i/>
          <w:iCs/>
        </w:rPr>
      </w:pPr>
      <w:r w:rsidRPr="00C95F04">
        <w:rPr>
          <w:i/>
          <w:iCs/>
        </w:rPr>
        <w:t>Average life expectancy of an Australian)</w:t>
      </w:r>
    </w:p>
    <w:p w14:paraId="18BE1ED4" w14:textId="7CAD173A" w:rsidR="00C95F04" w:rsidRPr="00C95F04" w:rsidRDefault="00C95F04" w:rsidP="00DB28F5">
      <w:pPr>
        <w:pStyle w:val="Caption"/>
      </w:pPr>
      <w:bookmarkStart w:id="660" w:name="_Ref124836176"/>
      <w:r w:rsidRPr="00C95F04">
        <w:t xml:space="preserve">Table </w:t>
      </w:r>
      <w:fldSimple w:instr=" SEQ Table \* ARABIC ">
        <w:r w:rsidR="00DF768D">
          <w:rPr>
            <w:noProof/>
          </w:rPr>
          <w:t>22</w:t>
        </w:r>
      </w:fldSimple>
      <w:bookmarkEnd w:id="660"/>
      <w:r w:rsidRPr="00C95F04">
        <w:t xml:space="preserve">: Weighted average life expectancy of people with silicosis or silica-related disease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5"/>
        <w:gridCol w:w="3511"/>
      </w:tblGrid>
      <w:tr w:rsidR="00C95F04" w:rsidRPr="00C95F04" w14:paraId="7E627F28" w14:textId="77777777" w:rsidTr="004C687A">
        <w:trPr>
          <w:trHeight w:val="104"/>
          <w:tblHeader/>
        </w:trPr>
        <w:tc>
          <w:tcPr>
            <w:tcW w:w="3055" w:type="pct"/>
            <w:shd w:val="clear" w:color="auto" w:fill="D1D1D1" w:themeFill="background2"/>
            <w:vAlign w:val="center"/>
          </w:tcPr>
          <w:p w14:paraId="50B15AD2" w14:textId="77777777" w:rsidR="00C95F04" w:rsidRPr="00C95F04" w:rsidRDefault="00C95F04" w:rsidP="000C215A">
            <w:pPr>
              <w:pStyle w:val="TableHeading"/>
              <w:rPr>
                <w:iCs/>
              </w:rPr>
            </w:pPr>
            <w:r w:rsidRPr="00C95F04">
              <w:t xml:space="preserve">Assumption </w:t>
            </w:r>
          </w:p>
        </w:tc>
        <w:tc>
          <w:tcPr>
            <w:tcW w:w="1945" w:type="pct"/>
            <w:shd w:val="clear" w:color="auto" w:fill="D1D1D1" w:themeFill="background2"/>
            <w:vAlign w:val="center"/>
          </w:tcPr>
          <w:p w14:paraId="3EF5FFC8" w14:textId="77777777" w:rsidR="00C95F04" w:rsidRPr="00C95F04" w:rsidRDefault="00C95F04" w:rsidP="000C215A">
            <w:pPr>
              <w:pStyle w:val="TableHeading"/>
            </w:pPr>
            <w:r w:rsidRPr="00C95F04">
              <w:t>Value</w:t>
            </w:r>
          </w:p>
        </w:tc>
      </w:tr>
      <w:tr w:rsidR="00C95F04" w:rsidRPr="00C95F04" w14:paraId="2F09091C" w14:textId="77777777" w:rsidTr="004C687A">
        <w:trPr>
          <w:trHeight w:val="196"/>
        </w:trPr>
        <w:tc>
          <w:tcPr>
            <w:tcW w:w="3055" w:type="pct"/>
            <w:tcBorders>
              <w:bottom w:val="single" w:sz="8" w:space="0" w:color="D1D1D1" w:themeColor="background2"/>
            </w:tcBorders>
            <w:vAlign w:val="center"/>
          </w:tcPr>
          <w:p w14:paraId="23B52A21" w14:textId="77777777" w:rsidR="00C95F04" w:rsidRPr="00C95F04" w:rsidRDefault="00C95F04" w:rsidP="00DB28F5">
            <w:pPr>
              <w:pStyle w:val="TableBody"/>
            </w:pPr>
            <w:r w:rsidRPr="00C95F04">
              <w:t>Proportion of silicosis or silica-related diagnoses that led to a fatality</w:t>
            </w:r>
          </w:p>
        </w:tc>
        <w:tc>
          <w:tcPr>
            <w:tcW w:w="1945" w:type="pct"/>
            <w:tcBorders>
              <w:bottom w:val="single" w:sz="8" w:space="0" w:color="D1D1D1" w:themeColor="background2"/>
            </w:tcBorders>
            <w:vAlign w:val="center"/>
          </w:tcPr>
          <w:p w14:paraId="781DEC8E" w14:textId="77777777" w:rsidR="00C95F04" w:rsidRPr="00C95F04" w:rsidRDefault="00C95F04" w:rsidP="00DB28F5">
            <w:pPr>
              <w:pStyle w:val="TableBody"/>
            </w:pPr>
            <w:r w:rsidRPr="00C95F04">
              <w:t xml:space="preserve">28% </w:t>
            </w:r>
            <w:r w:rsidRPr="00C95F04">
              <w:fldChar w:fldCharType="begin"/>
            </w:r>
            <w:r w:rsidRPr="00C95F04">
              <w:instrText xml:space="preserve"> ADDIN ZOTERO_ITEM CSL_CITATION {"citationID":"U5kyctjd","properties":{"formattedCitation":"(Deloitte 2021)","plainCitation":"(Deloitte 2021)","noteIndex":0},"citationItems":[{"id":917,"uris":["http://zotero.org/users/6230888/items/DDIZNKBY"],"itemData":{"id":917,"type":"article-journal","language":"en","page":"75","source":"Zotero","title":"Occupational Health and Safety Amendment (Crystalline Silica) Regulations 2021","author":[{"literal":"Deloitte"}],"issued":{"date-parts":[["2021"]]}}}],"schema":"https://github.com/citation-style-language/schema/raw/master/csl-citation.json"} </w:instrText>
            </w:r>
            <w:r w:rsidRPr="00C95F04">
              <w:fldChar w:fldCharType="separate"/>
            </w:r>
            <w:r w:rsidRPr="00C95F04">
              <w:t>(Deloitte 2021)</w:t>
            </w:r>
            <w:r w:rsidRPr="00C95F04">
              <w:fldChar w:fldCharType="end"/>
            </w:r>
          </w:p>
        </w:tc>
      </w:tr>
      <w:tr w:rsidR="00C95F04" w:rsidRPr="00C95F04" w14:paraId="2A8530BA" w14:textId="77777777" w:rsidTr="004C687A">
        <w:trPr>
          <w:trHeight w:val="196"/>
        </w:trPr>
        <w:tc>
          <w:tcPr>
            <w:tcW w:w="3055" w:type="pct"/>
            <w:tcBorders>
              <w:top w:val="single" w:sz="8" w:space="0" w:color="D1D1D1" w:themeColor="background2"/>
              <w:bottom w:val="single" w:sz="8" w:space="0" w:color="D1D1D1" w:themeColor="background2"/>
            </w:tcBorders>
            <w:vAlign w:val="center"/>
          </w:tcPr>
          <w:p w14:paraId="08AF4507" w14:textId="77777777" w:rsidR="00C95F04" w:rsidRPr="00C95F04" w:rsidRDefault="00C95F04" w:rsidP="00DB28F5">
            <w:pPr>
              <w:pStyle w:val="TableBody"/>
            </w:pPr>
            <w:r w:rsidRPr="00C95F04">
              <w:rPr>
                <w:b/>
                <w:bCs/>
              </w:rPr>
              <w:t xml:space="preserve">Estimated average age of death due to silicosis or silica-related disease </w:t>
            </w:r>
          </w:p>
        </w:tc>
        <w:tc>
          <w:tcPr>
            <w:tcW w:w="1945" w:type="pct"/>
            <w:tcBorders>
              <w:top w:val="single" w:sz="8" w:space="0" w:color="D1D1D1" w:themeColor="background2"/>
              <w:bottom w:val="single" w:sz="8" w:space="0" w:color="D1D1D1" w:themeColor="background2"/>
            </w:tcBorders>
            <w:vAlign w:val="center"/>
          </w:tcPr>
          <w:p w14:paraId="46F7C674" w14:textId="77777777" w:rsidR="00C95F04" w:rsidRPr="00C95F04" w:rsidRDefault="00C95F04" w:rsidP="00DB28F5">
            <w:pPr>
              <w:pStyle w:val="TableBody"/>
            </w:pPr>
            <w:r w:rsidRPr="00C95F04">
              <w:t>52.6 years</w:t>
            </w:r>
          </w:p>
        </w:tc>
      </w:tr>
      <w:tr w:rsidR="00C95F04" w:rsidRPr="00C95F04" w14:paraId="3A4857C1" w14:textId="77777777" w:rsidTr="004C687A">
        <w:trPr>
          <w:trHeight w:val="196"/>
        </w:trPr>
        <w:tc>
          <w:tcPr>
            <w:tcW w:w="3055" w:type="pct"/>
            <w:tcBorders>
              <w:top w:val="single" w:sz="8" w:space="0" w:color="D1D1D1" w:themeColor="background2"/>
              <w:bottom w:val="single" w:sz="8" w:space="0" w:color="D1D1D1" w:themeColor="background2"/>
            </w:tcBorders>
            <w:vAlign w:val="center"/>
          </w:tcPr>
          <w:p w14:paraId="52AB0837" w14:textId="77777777" w:rsidR="00C95F04" w:rsidRPr="00C95F04" w:rsidRDefault="00C95F04" w:rsidP="00DB28F5">
            <w:pPr>
              <w:pStyle w:val="TableBody"/>
            </w:pPr>
            <w:r w:rsidRPr="00C95F04">
              <w:t>Proportion of silicosis or silica-related diagnoses that do not lead to a fatality</w:t>
            </w:r>
          </w:p>
        </w:tc>
        <w:tc>
          <w:tcPr>
            <w:tcW w:w="1945" w:type="pct"/>
            <w:tcBorders>
              <w:top w:val="single" w:sz="8" w:space="0" w:color="D1D1D1" w:themeColor="background2"/>
              <w:bottom w:val="single" w:sz="8" w:space="0" w:color="D1D1D1" w:themeColor="background2"/>
            </w:tcBorders>
            <w:vAlign w:val="center"/>
          </w:tcPr>
          <w:p w14:paraId="06670C1D" w14:textId="77777777" w:rsidR="00C95F04" w:rsidRPr="00C95F04" w:rsidRDefault="00C95F04" w:rsidP="00DB28F5">
            <w:pPr>
              <w:pStyle w:val="TableBody"/>
            </w:pPr>
            <w:r w:rsidRPr="00C95F04">
              <w:t xml:space="preserve">72% </w:t>
            </w:r>
            <w:r w:rsidRPr="00C95F04">
              <w:fldChar w:fldCharType="begin"/>
            </w:r>
            <w:r w:rsidRPr="00C95F04">
              <w:instrText xml:space="preserve"> ADDIN ZOTERO_ITEM CSL_CITATION {"citationID":"s6KlDljS","properties":{"formattedCitation":"(Deloitte 2021)","plainCitation":"(Deloitte 2021)","noteIndex":0},"citationItems":[{"id":917,"uris":["http://zotero.org/users/6230888/items/DDIZNKBY"],"itemData":{"id":917,"type":"article-journal","language":"en","page":"75","source":"Zotero","title":"Occupational Health and Safety Amendment (Crystalline Silica) Regulations 2021","author":[{"literal":"Deloitte"}],"issued":{"date-parts":[["2021"]]}}}],"schema":"https://github.com/citation-style-language/schema/raw/master/csl-citation.json"} </w:instrText>
            </w:r>
            <w:r w:rsidRPr="00C95F04">
              <w:fldChar w:fldCharType="separate"/>
            </w:r>
            <w:r w:rsidRPr="00C95F04">
              <w:t>(Deloitte 2021)</w:t>
            </w:r>
            <w:r w:rsidRPr="00C95F04">
              <w:fldChar w:fldCharType="end"/>
            </w:r>
          </w:p>
        </w:tc>
      </w:tr>
      <w:tr w:rsidR="00C95F04" w:rsidRPr="00C95F04" w14:paraId="1DA29FA9" w14:textId="77777777" w:rsidTr="004C687A">
        <w:trPr>
          <w:trHeight w:val="196"/>
        </w:trPr>
        <w:tc>
          <w:tcPr>
            <w:tcW w:w="3055" w:type="pct"/>
            <w:tcBorders>
              <w:top w:val="single" w:sz="8" w:space="0" w:color="D1D1D1" w:themeColor="background2"/>
              <w:bottom w:val="single" w:sz="8" w:space="0" w:color="D1D1D1" w:themeColor="background2"/>
            </w:tcBorders>
            <w:vAlign w:val="center"/>
          </w:tcPr>
          <w:p w14:paraId="045B48D4" w14:textId="77777777" w:rsidR="00C95F04" w:rsidRPr="00C95F04" w:rsidRDefault="00C95F04" w:rsidP="00DB28F5">
            <w:pPr>
              <w:pStyle w:val="TableBody"/>
            </w:pPr>
            <w:r w:rsidRPr="00C95F04">
              <w:t>Average life expectancy of an Australian</w:t>
            </w:r>
          </w:p>
        </w:tc>
        <w:tc>
          <w:tcPr>
            <w:tcW w:w="1945" w:type="pct"/>
            <w:tcBorders>
              <w:top w:val="single" w:sz="8" w:space="0" w:color="D1D1D1" w:themeColor="background2"/>
              <w:bottom w:val="single" w:sz="8" w:space="0" w:color="D1D1D1" w:themeColor="background2"/>
            </w:tcBorders>
            <w:vAlign w:val="center"/>
          </w:tcPr>
          <w:p w14:paraId="3D05ABF5" w14:textId="77777777" w:rsidR="00C95F04" w:rsidRPr="00C95F04" w:rsidRDefault="00C95F04" w:rsidP="00DB28F5">
            <w:pPr>
              <w:pStyle w:val="TableBody"/>
            </w:pPr>
            <w:r w:rsidRPr="00C95F04">
              <w:t xml:space="preserve">82.30 years </w:t>
            </w:r>
            <w:r w:rsidRPr="00C95F04">
              <w:fldChar w:fldCharType="begin"/>
            </w:r>
            <w:r w:rsidRPr="00C95F04">
              <w:instrText xml:space="preserve"> ADDIN ZOTERO_ITEM CSL_CITATION {"citationID":"8E1yaRBN","properties":{"formattedCitation":"(Australian Institute of Health and Welfare 2022)","plainCitation":"(Australian Institute of Health and Welfare 2022)","noteIndex":0},"citationItems":[{"id":934,"uris":["http://zotero.org/users/6230888/items/KRFHT8IG"],"itemData":{"id":934,"type":"report","page":"27","title":"Deaths in Australia","URL":"https://www.aihw.gov.au/getmedia/743dd325-7e96-4674-bb87-9f77420a7ef5/Deaths-in-Australia.pdf","author":[{"literal":"Australian Institute of Health and Welfare"}],"accessed":{"date-parts":[["2022",6,30]]},"issued":{"date-parts":[["2022"]]}}}],"schema":"https://github.com/citation-style-language/schema/raw/master/csl-citation.json"} </w:instrText>
            </w:r>
            <w:r w:rsidRPr="00C95F04">
              <w:fldChar w:fldCharType="separate"/>
            </w:r>
            <w:r w:rsidRPr="00C95F04">
              <w:t>(Australian Institute of Health and Welfare 2022)</w:t>
            </w:r>
            <w:r w:rsidRPr="00C95F04">
              <w:fldChar w:fldCharType="end"/>
            </w:r>
          </w:p>
        </w:tc>
      </w:tr>
      <w:tr w:rsidR="00C95F04" w:rsidRPr="00DB28F5" w14:paraId="4A5FBF06" w14:textId="77777777" w:rsidTr="004C687A">
        <w:trPr>
          <w:trHeight w:val="196"/>
        </w:trPr>
        <w:tc>
          <w:tcPr>
            <w:tcW w:w="3055"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02D3DF14" w14:textId="77777777" w:rsidR="00C95F04" w:rsidRPr="00DB28F5" w:rsidRDefault="00C95F04" w:rsidP="00DB28F5">
            <w:pPr>
              <w:pStyle w:val="TableBody"/>
              <w:rPr>
                <w:b/>
                <w:bCs/>
              </w:rPr>
            </w:pPr>
            <w:r w:rsidRPr="00DB28F5">
              <w:rPr>
                <w:b/>
                <w:bCs/>
              </w:rPr>
              <w:t xml:space="preserve">Weighted average life expectancy of people with a silicosis or silica-related disease </w:t>
            </w:r>
          </w:p>
        </w:tc>
        <w:tc>
          <w:tcPr>
            <w:tcW w:w="1945"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1521BD16" w14:textId="77777777" w:rsidR="00C95F04" w:rsidRPr="00DB28F5" w:rsidRDefault="00C95F04" w:rsidP="00DB28F5">
            <w:pPr>
              <w:pStyle w:val="TableBody"/>
              <w:rPr>
                <w:b/>
                <w:bCs/>
              </w:rPr>
            </w:pPr>
            <w:r w:rsidRPr="00DB28F5">
              <w:rPr>
                <w:b/>
                <w:bCs/>
              </w:rPr>
              <w:t>73.9 years</w:t>
            </w:r>
          </w:p>
        </w:tc>
      </w:tr>
    </w:tbl>
    <w:p w14:paraId="56302557" w14:textId="71DD9A00" w:rsidR="00C95F04" w:rsidRPr="00C95F04" w:rsidRDefault="00C95F04" w:rsidP="00960C7B">
      <w:pPr>
        <w:pStyle w:val="Heading5"/>
        <w:rPr>
          <w:b/>
          <w:bCs/>
        </w:rPr>
      </w:pPr>
      <w:r w:rsidRPr="00C95F04">
        <w:t>Step 3: Estimate the average value of life saved</w:t>
      </w:r>
    </w:p>
    <w:p w14:paraId="1015647B" w14:textId="6FB52C5F" w:rsidR="00C95F04" w:rsidRPr="00C95F04" w:rsidRDefault="00C95F04" w:rsidP="00C95F04">
      <w:pPr>
        <w:pStyle w:val="BodyText"/>
      </w:pPr>
      <w:r w:rsidRPr="00C95F04">
        <w:t xml:space="preserve">The approach used to estimate the average value of life saved for people with silicosis or a silica-related disease is presented in the formula below, with key assumptions underpinning the estimated outlined in </w:t>
      </w:r>
      <w:r w:rsidRPr="00C95F04">
        <w:fldChar w:fldCharType="begin"/>
      </w:r>
      <w:r w:rsidRPr="00C95F04">
        <w:instrText xml:space="preserve"> REF _Ref124855429 \h </w:instrText>
      </w:r>
      <w:r w:rsidR="00E75FA2" w:rsidRPr="00E75FA2">
        <w:instrText xml:space="preserve"> \* MERGEFORMAT </w:instrText>
      </w:r>
      <w:r w:rsidRPr="00C95F04">
        <w:fldChar w:fldCharType="separate"/>
      </w:r>
      <w:r w:rsidR="00E75FA2" w:rsidRPr="00E75FA2">
        <w:rPr>
          <w:iCs/>
        </w:rPr>
        <w:t xml:space="preserve">Table </w:t>
      </w:r>
      <w:r w:rsidR="00E75FA2" w:rsidRPr="00E75FA2">
        <w:rPr>
          <w:noProof/>
        </w:rPr>
        <w:t>23</w:t>
      </w:r>
      <w:r w:rsidRPr="00C95F04">
        <w:fldChar w:fldCharType="end"/>
      </w:r>
      <w:r w:rsidRPr="00C95F04">
        <w:t xml:space="preserve"> below. </w:t>
      </w:r>
    </w:p>
    <w:p w14:paraId="1FBC8F6A" w14:textId="77777777" w:rsidR="00C95F04" w:rsidRPr="00C95F04" w:rsidRDefault="00C95F04" w:rsidP="00C95F04">
      <w:pPr>
        <w:pStyle w:val="BodyText"/>
      </w:pPr>
    </w:p>
    <w:p w14:paraId="1FD688FC" w14:textId="77777777" w:rsidR="00C95F04" w:rsidRPr="00C95F04" w:rsidRDefault="00C95F04" w:rsidP="00384B68">
      <w:pPr>
        <w:pStyle w:val="BodyText"/>
        <w:keepNext/>
        <w:jc w:val="center"/>
        <w:rPr>
          <w:i/>
          <w:iCs/>
        </w:rPr>
      </w:pPr>
      <w:r w:rsidRPr="00C95F04">
        <w:rPr>
          <w:i/>
          <w:iCs/>
        </w:rPr>
        <w:lastRenderedPageBreak/>
        <w:t>Estimated average value of life saved</w:t>
      </w:r>
    </w:p>
    <w:p w14:paraId="0451FD39" w14:textId="77777777" w:rsidR="00C95F04" w:rsidRPr="00C95F04" w:rsidRDefault="00C95F04" w:rsidP="00960C7B">
      <w:pPr>
        <w:pStyle w:val="BodyText"/>
        <w:jc w:val="center"/>
        <w:rPr>
          <w:i/>
          <w:iCs/>
        </w:rPr>
      </w:pPr>
      <w:r w:rsidRPr="00C95F04">
        <w:rPr>
          <w:i/>
          <w:iCs/>
        </w:rPr>
        <w:t>=</w:t>
      </w:r>
    </w:p>
    <w:p w14:paraId="586C26BB" w14:textId="77777777" w:rsidR="00C95F04" w:rsidRPr="00C95F04" w:rsidRDefault="00C95F04" w:rsidP="00960C7B">
      <w:pPr>
        <w:pStyle w:val="BodyText"/>
        <w:jc w:val="center"/>
        <w:rPr>
          <w:i/>
          <w:iCs/>
        </w:rPr>
      </w:pPr>
      <w:r w:rsidRPr="00C95F04">
        <w:rPr>
          <w:i/>
          <w:iCs/>
        </w:rPr>
        <w:t>Value of a statistical life year (VSLY)</w:t>
      </w:r>
    </w:p>
    <w:p w14:paraId="4816C886" w14:textId="77777777" w:rsidR="00C95F04" w:rsidRPr="00C95F04" w:rsidRDefault="00C95F04" w:rsidP="00960C7B">
      <w:pPr>
        <w:pStyle w:val="BodyText"/>
        <w:jc w:val="center"/>
        <w:rPr>
          <w:i/>
          <w:iCs/>
        </w:rPr>
      </w:pPr>
      <w:r w:rsidRPr="00C95F04">
        <w:rPr>
          <w:i/>
          <w:iCs/>
        </w:rPr>
        <w:t>x</w:t>
      </w:r>
    </w:p>
    <w:p w14:paraId="2D17886F" w14:textId="78839FCE" w:rsidR="00C95F04" w:rsidRPr="00C95F04" w:rsidRDefault="00C95F04" w:rsidP="00960C7B">
      <w:pPr>
        <w:pStyle w:val="BodyText"/>
        <w:jc w:val="center"/>
        <w:rPr>
          <w:i/>
          <w:iCs/>
        </w:rPr>
      </w:pPr>
      <w:r w:rsidRPr="00C95F04">
        <w:rPr>
          <w:i/>
          <w:iCs/>
        </w:rPr>
        <w:t>(Average life expectancy of an Australian  - Weighted average life expectancy)</w:t>
      </w:r>
    </w:p>
    <w:p w14:paraId="7AD9D64C" w14:textId="77777777" w:rsidR="00C95F04" w:rsidRPr="00C95F04" w:rsidRDefault="00C95F04" w:rsidP="00960C7B">
      <w:pPr>
        <w:pStyle w:val="BodyText"/>
        <w:jc w:val="center"/>
        <w:rPr>
          <w:i/>
          <w:iCs/>
        </w:rPr>
      </w:pPr>
    </w:p>
    <w:p w14:paraId="11FF28DC" w14:textId="60EF7290" w:rsidR="00C95F04" w:rsidRPr="00C95F04" w:rsidRDefault="00C95F04" w:rsidP="00960C7B">
      <w:pPr>
        <w:pStyle w:val="Caption"/>
      </w:pPr>
      <w:bookmarkStart w:id="661" w:name="_Ref124855429"/>
      <w:r w:rsidRPr="00C95F04">
        <w:t xml:space="preserve">Table </w:t>
      </w:r>
      <w:fldSimple w:instr=" SEQ Table \* ARABIC ">
        <w:r w:rsidR="00DF768D">
          <w:rPr>
            <w:noProof/>
          </w:rPr>
          <w:t>23</w:t>
        </w:r>
      </w:fldSimple>
      <w:bookmarkEnd w:id="661"/>
      <w:r w:rsidRPr="00C95F04">
        <w:t>: Average value of life saved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5"/>
        <w:gridCol w:w="3511"/>
      </w:tblGrid>
      <w:tr w:rsidR="00C95F04" w:rsidRPr="00C95F04" w14:paraId="454F419D" w14:textId="77777777" w:rsidTr="004C687A">
        <w:trPr>
          <w:trHeight w:val="104"/>
          <w:tblHeader/>
        </w:trPr>
        <w:tc>
          <w:tcPr>
            <w:tcW w:w="3055" w:type="pct"/>
            <w:shd w:val="clear" w:color="auto" w:fill="D1D1D1" w:themeFill="background2"/>
            <w:vAlign w:val="center"/>
          </w:tcPr>
          <w:p w14:paraId="04CF2E28" w14:textId="77777777" w:rsidR="00C95F04" w:rsidRPr="00C95F04" w:rsidRDefault="00C95F04" w:rsidP="000C215A">
            <w:pPr>
              <w:pStyle w:val="TableHeading"/>
              <w:rPr>
                <w:iCs/>
              </w:rPr>
            </w:pPr>
            <w:r w:rsidRPr="00C95F04">
              <w:t xml:space="preserve">Assumption </w:t>
            </w:r>
          </w:p>
        </w:tc>
        <w:tc>
          <w:tcPr>
            <w:tcW w:w="1945" w:type="pct"/>
            <w:shd w:val="clear" w:color="auto" w:fill="D1D1D1" w:themeFill="background2"/>
            <w:vAlign w:val="center"/>
          </w:tcPr>
          <w:p w14:paraId="1B2A6AC8" w14:textId="77777777" w:rsidR="00C95F04" w:rsidRPr="00C95F04" w:rsidRDefault="00C95F04" w:rsidP="000C215A">
            <w:pPr>
              <w:pStyle w:val="TableHeading"/>
            </w:pPr>
            <w:r w:rsidRPr="00C95F04">
              <w:t>Value</w:t>
            </w:r>
          </w:p>
        </w:tc>
      </w:tr>
      <w:tr w:rsidR="00C95F04" w:rsidRPr="00C95F04" w14:paraId="044B26FD" w14:textId="77777777" w:rsidTr="004C687A">
        <w:trPr>
          <w:trHeight w:val="196"/>
        </w:trPr>
        <w:tc>
          <w:tcPr>
            <w:tcW w:w="3055" w:type="pct"/>
            <w:tcBorders>
              <w:bottom w:val="single" w:sz="8" w:space="0" w:color="D1D1D1" w:themeColor="background2"/>
            </w:tcBorders>
            <w:vAlign w:val="center"/>
          </w:tcPr>
          <w:p w14:paraId="0C94FE67" w14:textId="77777777" w:rsidR="00C95F04" w:rsidRPr="00C95F04" w:rsidRDefault="00C95F04" w:rsidP="00960C7B">
            <w:pPr>
              <w:pStyle w:val="TableBody"/>
              <w:keepNext/>
            </w:pPr>
            <w:r w:rsidRPr="00C95F04">
              <w:t xml:space="preserve">Value of a statistical life year (VSL) </w:t>
            </w:r>
          </w:p>
        </w:tc>
        <w:tc>
          <w:tcPr>
            <w:tcW w:w="1945" w:type="pct"/>
            <w:tcBorders>
              <w:bottom w:val="single" w:sz="8" w:space="0" w:color="D1D1D1" w:themeColor="background2"/>
            </w:tcBorders>
            <w:vAlign w:val="center"/>
          </w:tcPr>
          <w:p w14:paraId="4AF06B24" w14:textId="77777777" w:rsidR="00C95F04" w:rsidRPr="00C95F04" w:rsidRDefault="00C95F04" w:rsidP="00960C7B">
            <w:pPr>
              <w:pStyle w:val="TableBody"/>
              <w:keepNext/>
            </w:pPr>
            <w:r w:rsidRPr="00C95F04">
              <w:t xml:space="preserve"> $222,000 </w:t>
            </w:r>
            <w:r w:rsidRPr="00C95F04">
              <w:fldChar w:fldCharType="begin"/>
            </w:r>
            <w:r w:rsidRPr="00C95F04">
              <w:instrText xml:space="preserve"> ADDIN ZOTERO_ITEM CSL_CITATION {"citationID":"QsDABkZ9","properties":{"formattedCitation":"(Department of Prime Minister and Cabinet 2021b)","plainCitation":"(Department of Prime Minister and Cabinet 2021b)","noteIndex":0},"citationItems":[{"id":935,"uris":["http://zotero.org/users/6230888/items/85UH9XC3"],"itemData":{"id":935,"type":"webpage","title":"Guidance note: value of statistical life","URL":"https://obpr.pmc.gov.au/resources/guidance-assessing-impacts/value-statistical-life","author":[{"literal":"Department of Prime Minister and Cabinet"}],"accessed":{"date-parts":[["2022",6,30]]},"issued":{"date-parts":[["2021"]]}}}],"schema":"https://github.com/citation-style-language/schema/raw/master/csl-citation.json"} </w:instrText>
            </w:r>
            <w:r w:rsidRPr="00C95F04">
              <w:fldChar w:fldCharType="separate"/>
            </w:r>
            <w:r w:rsidRPr="00C95F04">
              <w:t>(Department of Prime Minister and Cabinet 2021b)</w:t>
            </w:r>
            <w:r w:rsidRPr="00C95F04">
              <w:fldChar w:fldCharType="end"/>
            </w:r>
          </w:p>
        </w:tc>
      </w:tr>
      <w:tr w:rsidR="00C95F04" w:rsidRPr="00C95F04" w14:paraId="56C751B9" w14:textId="77777777" w:rsidTr="004C687A">
        <w:trPr>
          <w:trHeight w:val="196"/>
        </w:trPr>
        <w:tc>
          <w:tcPr>
            <w:tcW w:w="3055" w:type="pct"/>
            <w:tcBorders>
              <w:top w:val="single" w:sz="8" w:space="0" w:color="D1D1D1" w:themeColor="background2"/>
              <w:bottom w:val="single" w:sz="8" w:space="0" w:color="D1D1D1" w:themeColor="background2"/>
            </w:tcBorders>
            <w:vAlign w:val="center"/>
          </w:tcPr>
          <w:p w14:paraId="52236265" w14:textId="77777777" w:rsidR="00C95F04" w:rsidRPr="00C95F04" w:rsidRDefault="00C95F04" w:rsidP="00960C7B">
            <w:pPr>
              <w:pStyle w:val="TableBody"/>
            </w:pPr>
            <w:r w:rsidRPr="00C95F04">
              <w:t>Average life expectancy of an Australian</w:t>
            </w:r>
          </w:p>
        </w:tc>
        <w:tc>
          <w:tcPr>
            <w:tcW w:w="1945" w:type="pct"/>
            <w:tcBorders>
              <w:top w:val="single" w:sz="8" w:space="0" w:color="D1D1D1" w:themeColor="background2"/>
              <w:bottom w:val="single" w:sz="8" w:space="0" w:color="D1D1D1" w:themeColor="background2"/>
            </w:tcBorders>
            <w:vAlign w:val="center"/>
          </w:tcPr>
          <w:p w14:paraId="32829628" w14:textId="77777777" w:rsidR="00C95F04" w:rsidRPr="00C95F04" w:rsidRDefault="00C95F04" w:rsidP="00960C7B">
            <w:pPr>
              <w:pStyle w:val="TableBody"/>
              <w:rPr>
                <w:b/>
                <w:bCs/>
              </w:rPr>
            </w:pPr>
            <w:r w:rsidRPr="00C95F04">
              <w:t xml:space="preserve">82.30 years </w:t>
            </w:r>
            <w:r w:rsidRPr="00C95F04">
              <w:fldChar w:fldCharType="begin"/>
            </w:r>
            <w:r w:rsidRPr="00C95F04">
              <w:instrText xml:space="preserve"> ADDIN ZOTERO_ITEM CSL_CITATION {"citationID":"8E1yaRBN","properties":{"formattedCitation":"(Australian Institute of Health and Welfare 2022)","plainCitation":"(Australian Institute of Health and Welfare 2022)","noteIndex":0},"citationItems":[{"id":934,"uris":["http://zotero.org/users/6230888/items/KRFHT8IG"],"itemData":{"id":934,"type":"report","page":"27","title":"Deaths in Australia","URL":"https://www.aihw.gov.au/getmedia/743dd325-7e96-4674-bb87-9f77420a7ef5/Deaths-in-Australia.pdf","author":[{"literal":"Australian Institute of Health and Welfare"}],"accessed":{"date-parts":[["2022",6,30]]},"issued":{"date-parts":[["2022"]]}}}],"schema":"https://github.com/citation-style-language/schema/raw/master/csl-citation.json"} </w:instrText>
            </w:r>
            <w:r w:rsidRPr="00C95F04">
              <w:fldChar w:fldCharType="separate"/>
            </w:r>
            <w:r w:rsidRPr="00C95F04">
              <w:t>(Australian Institute of Health and Welfare 2022)</w:t>
            </w:r>
            <w:r w:rsidRPr="00C95F04">
              <w:fldChar w:fldCharType="end"/>
            </w:r>
          </w:p>
        </w:tc>
      </w:tr>
      <w:tr w:rsidR="00C95F04" w:rsidRPr="00C95F04" w14:paraId="1B5DB6E3" w14:textId="77777777" w:rsidTr="004C687A">
        <w:trPr>
          <w:trHeight w:val="196"/>
        </w:trPr>
        <w:tc>
          <w:tcPr>
            <w:tcW w:w="3055" w:type="pct"/>
            <w:tcBorders>
              <w:top w:val="single" w:sz="8" w:space="0" w:color="D1D1D1" w:themeColor="background2"/>
              <w:bottom w:val="single" w:sz="8" w:space="0" w:color="D1D1D1" w:themeColor="background2"/>
            </w:tcBorders>
            <w:vAlign w:val="center"/>
          </w:tcPr>
          <w:p w14:paraId="37971434" w14:textId="77777777" w:rsidR="00C95F04" w:rsidRPr="00C95F04" w:rsidRDefault="00C95F04" w:rsidP="00960C7B">
            <w:pPr>
              <w:pStyle w:val="TableBody"/>
            </w:pPr>
            <w:r w:rsidRPr="00C95F04">
              <w:t xml:space="preserve">Weighted average life expectancy of people with silicosis or a silica-related disease </w:t>
            </w:r>
          </w:p>
        </w:tc>
        <w:tc>
          <w:tcPr>
            <w:tcW w:w="1945" w:type="pct"/>
            <w:tcBorders>
              <w:top w:val="single" w:sz="8" w:space="0" w:color="D1D1D1" w:themeColor="background2"/>
              <w:bottom w:val="single" w:sz="8" w:space="0" w:color="D1D1D1" w:themeColor="background2"/>
            </w:tcBorders>
            <w:vAlign w:val="center"/>
          </w:tcPr>
          <w:p w14:paraId="39EEDB3E" w14:textId="77777777" w:rsidR="00C95F04" w:rsidRPr="00C95F04" w:rsidRDefault="00C95F04" w:rsidP="00960C7B">
            <w:pPr>
              <w:pStyle w:val="TableBody"/>
            </w:pPr>
            <w:r w:rsidRPr="00C95F04">
              <w:rPr>
                <w:b/>
                <w:bCs/>
              </w:rPr>
              <w:t>73.9 years</w:t>
            </w:r>
          </w:p>
        </w:tc>
      </w:tr>
      <w:tr w:rsidR="00C95F04" w:rsidRPr="00C95F04" w14:paraId="5FCC1DF2" w14:textId="77777777" w:rsidTr="004C687A">
        <w:trPr>
          <w:trHeight w:val="196"/>
        </w:trPr>
        <w:tc>
          <w:tcPr>
            <w:tcW w:w="3055"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753DE260" w14:textId="77777777" w:rsidR="00C95F04" w:rsidRPr="00C95F04" w:rsidRDefault="00C95F04" w:rsidP="00960C7B">
            <w:pPr>
              <w:pStyle w:val="TableBody"/>
              <w:rPr>
                <w:b/>
                <w:bCs/>
              </w:rPr>
            </w:pPr>
            <w:r w:rsidRPr="00C95F04">
              <w:rPr>
                <w:b/>
                <w:bCs/>
              </w:rPr>
              <w:t xml:space="preserve">Estimated average value of life saved </w:t>
            </w:r>
          </w:p>
        </w:tc>
        <w:tc>
          <w:tcPr>
            <w:tcW w:w="1945"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62227AC1" w14:textId="77777777" w:rsidR="00C95F04" w:rsidRPr="00C95F04" w:rsidRDefault="00C95F04" w:rsidP="00960C7B">
            <w:pPr>
              <w:pStyle w:val="TableBody"/>
              <w:rPr>
                <w:b/>
                <w:bCs/>
              </w:rPr>
            </w:pPr>
            <w:r w:rsidRPr="00C95F04">
              <w:rPr>
                <w:b/>
                <w:bCs/>
              </w:rPr>
              <w:t xml:space="preserve">$1.8 million </w:t>
            </w:r>
          </w:p>
        </w:tc>
      </w:tr>
    </w:tbl>
    <w:p w14:paraId="34A5B2F8" w14:textId="77777777" w:rsidR="00C95F04" w:rsidRPr="00C95F04" w:rsidRDefault="00C95F04" w:rsidP="00960C7B">
      <w:pPr>
        <w:pStyle w:val="Heading4"/>
      </w:pPr>
      <w:r w:rsidRPr="00C95F04">
        <w:t>The average value of illness avoided from silicosis or silica-related disease</w:t>
      </w:r>
    </w:p>
    <w:p w14:paraId="53CF96B4" w14:textId="5463D668" w:rsidR="00C95F04" w:rsidRPr="00C95F04" w:rsidRDefault="00C95F04" w:rsidP="00C95F04">
      <w:pPr>
        <w:pStyle w:val="BodyText"/>
      </w:pPr>
      <w:r w:rsidRPr="00C95F04">
        <w:t xml:space="preserve">The approach used to estimate the average value of illness avoided due to silicosis or silica-related disease is presented in the formula below, with key assumptions underpinning the estimated outlined in </w:t>
      </w:r>
      <w:r w:rsidRPr="00C95F04">
        <w:fldChar w:fldCharType="begin"/>
      </w:r>
      <w:r w:rsidRPr="00C95F04">
        <w:instrText xml:space="preserve"> REF _Ref124836234 \h </w:instrText>
      </w:r>
      <w:r w:rsidR="00E75FA2" w:rsidRPr="00E75FA2">
        <w:instrText xml:space="preserve"> \* MERGEFORMAT </w:instrText>
      </w:r>
      <w:r w:rsidRPr="00C95F04">
        <w:fldChar w:fldCharType="separate"/>
      </w:r>
      <w:r w:rsidR="00E75FA2" w:rsidRPr="00E75FA2">
        <w:rPr>
          <w:iCs/>
        </w:rPr>
        <w:t xml:space="preserve">Table </w:t>
      </w:r>
      <w:r w:rsidR="00E75FA2" w:rsidRPr="00E75FA2">
        <w:rPr>
          <w:noProof/>
        </w:rPr>
        <w:t>24</w:t>
      </w:r>
      <w:r w:rsidRPr="00C95F04">
        <w:fldChar w:fldCharType="end"/>
      </w:r>
      <w:r w:rsidRPr="00C95F04">
        <w:t xml:space="preserve"> below. </w:t>
      </w:r>
    </w:p>
    <w:p w14:paraId="5DD56396" w14:textId="77777777" w:rsidR="00C95F04" w:rsidRPr="00C95F04" w:rsidRDefault="00C95F04" w:rsidP="00960C7B">
      <w:pPr>
        <w:pStyle w:val="BodyText"/>
        <w:jc w:val="center"/>
        <w:rPr>
          <w:i/>
          <w:iCs/>
        </w:rPr>
      </w:pPr>
      <w:r w:rsidRPr="00C95F04">
        <w:rPr>
          <w:i/>
          <w:iCs/>
        </w:rPr>
        <w:t>Value of illness avoided</w:t>
      </w:r>
    </w:p>
    <w:p w14:paraId="5E5A566B" w14:textId="77777777" w:rsidR="00C95F04" w:rsidRPr="00C95F04" w:rsidRDefault="00C95F04" w:rsidP="00960C7B">
      <w:pPr>
        <w:pStyle w:val="BodyText"/>
        <w:jc w:val="center"/>
        <w:rPr>
          <w:i/>
          <w:iCs/>
        </w:rPr>
      </w:pPr>
      <w:r w:rsidRPr="00C95F04">
        <w:rPr>
          <w:i/>
          <w:iCs/>
        </w:rPr>
        <w:t>=</w:t>
      </w:r>
    </w:p>
    <w:p w14:paraId="4AB23A69" w14:textId="77777777" w:rsidR="00C95F04" w:rsidRPr="00C95F04" w:rsidRDefault="00C95F04" w:rsidP="00960C7B">
      <w:pPr>
        <w:pStyle w:val="BodyText"/>
        <w:jc w:val="center"/>
        <w:rPr>
          <w:i/>
          <w:iCs/>
        </w:rPr>
      </w:pPr>
      <w:r w:rsidRPr="00C95F04">
        <w:rPr>
          <w:i/>
          <w:iCs/>
        </w:rPr>
        <w:t>Disability adjusted life year (DALY)</w:t>
      </w:r>
    </w:p>
    <w:p w14:paraId="3277AB6E" w14:textId="77777777" w:rsidR="00C95F04" w:rsidRPr="00C95F04" w:rsidRDefault="00C95F04" w:rsidP="00960C7B">
      <w:pPr>
        <w:pStyle w:val="BodyText"/>
        <w:jc w:val="center"/>
      </w:pPr>
      <w:r w:rsidRPr="00C95F04">
        <w:t>x</w:t>
      </w:r>
    </w:p>
    <w:p w14:paraId="33F87A45" w14:textId="77777777" w:rsidR="00C95F04" w:rsidRPr="00C95F04" w:rsidRDefault="00C95F04" w:rsidP="00960C7B">
      <w:pPr>
        <w:pStyle w:val="BodyText"/>
        <w:jc w:val="center"/>
        <w:rPr>
          <w:i/>
          <w:iCs/>
        </w:rPr>
      </w:pPr>
      <w:r w:rsidRPr="00C95F04">
        <w:rPr>
          <w:i/>
          <w:iCs/>
        </w:rPr>
        <w:t>(Weighted average life expectancy of people with silicosis or silica-related disease - Average age of diagnosis with silica-related disease)</w:t>
      </w:r>
      <w:r w:rsidRPr="00C95F04">
        <w:rPr>
          <w:i/>
          <w:iCs/>
        </w:rPr>
        <w:br/>
      </w:r>
    </w:p>
    <w:p w14:paraId="5E7784B4" w14:textId="3286748C" w:rsidR="00C95F04" w:rsidRPr="00C95F04" w:rsidRDefault="00C95F04" w:rsidP="00960C7B">
      <w:pPr>
        <w:pStyle w:val="Caption"/>
      </w:pPr>
      <w:bookmarkStart w:id="662" w:name="_Ref124836234"/>
      <w:r w:rsidRPr="00C95F04">
        <w:t xml:space="preserve">Table </w:t>
      </w:r>
      <w:fldSimple w:instr=" SEQ Table \* ARABIC ">
        <w:r w:rsidR="00DF768D">
          <w:rPr>
            <w:noProof/>
          </w:rPr>
          <w:t>24</w:t>
        </w:r>
      </w:fldSimple>
      <w:bookmarkEnd w:id="662"/>
      <w:r w:rsidRPr="00C95F04">
        <w:t xml:space="preserve">: Average value of illness avoided from silica-related disease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5"/>
        <w:gridCol w:w="3511"/>
      </w:tblGrid>
      <w:tr w:rsidR="00C95F04" w:rsidRPr="00C95F04" w14:paraId="21278F00" w14:textId="77777777" w:rsidTr="004C687A">
        <w:trPr>
          <w:trHeight w:val="104"/>
          <w:tblHeader/>
        </w:trPr>
        <w:tc>
          <w:tcPr>
            <w:tcW w:w="3055" w:type="pct"/>
            <w:shd w:val="clear" w:color="auto" w:fill="D1D1D1" w:themeFill="background2"/>
            <w:vAlign w:val="center"/>
          </w:tcPr>
          <w:p w14:paraId="2A2ACCDA" w14:textId="77777777" w:rsidR="00C95F04" w:rsidRPr="00C95F04" w:rsidRDefault="00C95F04" w:rsidP="000C215A">
            <w:pPr>
              <w:pStyle w:val="TableHeading"/>
              <w:rPr>
                <w:iCs/>
              </w:rPr>
            </w:pPr>
            <w:r w:rsidRPr="00C95F04">
              <w:t xml:space="preserve">Assumption </w:t>
            </w:r>
          </w:p>
        </w:tc>
        <w:tc>
          <w:tcPr>
            <w:tcW w:w="1945" w:type="pct"/>
            <w:shd w:val="clear" w:color="auto" w:fill="D1D1D1" w:themeFill="background2"/>
            <w:vAlign w:val="center"/>
          </w:tcPr>
          <w:p w14:paraId="47018A68" w14:textId="77777777" w:rsidR="00C95F04" w:rsidRPr="00C95F04" w:rsidRDefault="00C95F04" w:rsidP="000C215A">
            <w:pPr>
              <w:pStyle w:val="TableHeading"/>
            </w:pPr>
            <w:r w:rsidRPr="00C95F04">
              <w:t>Value</w:t>
            </w:r>
          </w:p>
        </w:tc>
      </w:tr>
      <w:tr w:rsidR="00C95F04" w:rsidRPr="00C95F04" w14:paraId="6C55549B" w14:textId="77777777" w:rsidTr="004C687A">
        <w:trPr>
          <w:trHeight w:val="196"/>
        </w:trPr>
        <w:tc>
          <w:tcPr>
            <w:tcW w:w="3055" w:type="pct"/>
            <w:tcBorders>
              <w:bottom w:val="single" w:sz="8" w:space="0" w:color="D1D1D1" w:themeColor="background2"/>
            </w:tcBorders>
            <w:vAlign w:val="center"/>
          </w:tcPr>
          <w:p w14:paraId="05A5B6F7" w14:textId="77777777" w:rsidR="00C95F04" w:rsidRPr="00C95F04" w:rsidRDefault="00C95F04" w:rsidP="00960C7B">
            <w:pPr>
              <w:pStyle w:val="TableBody"/>
            </w:pPr>
            <w:r w:rsidRPr="00C95F04">
              <w:t>Disability adjusted life year (DALY)</w:t>
            </w:r>
          </w:p>
        </w:tc>
        <w:tc>
          <w:tcPr>
            <w:tcW w:w="1945" w:type="pct"/>
            <w:tcBorders>
              <w:bottom w:val="single" w:sz="8" w:space="0" w:color="D1D1D1" w:themeColor="background2"/>
            </w:tcBorders>
            <w:vAlign w:val="center"/>
          </w:tcPr>
          <w:p w14:paraId="4168CB8A" w14:textId="77777777" w:rsidR="00C95F04" w:rsidRPr="00C95F04" w:rsidRDefault="00C95F04" w:rsidP="00960C7B">
            <w:pPr>
              <w:pStyle w:val="TableBody"/>
            </w:pPr>
            <w:r w:rsidRPr="00C95F04">
              <w:t>$94,338</w:t>
            </w:r>
            <w:r w:rsidRPr="00C95F04">
              <w:rPr>
                <w:vertAlign w:val="superscript"/>
              </w:rPr>
              <w:t xml:space="preserve"> </w:t>
            </w:r>
            <w:r w:rsidRPr="00C95F04">
              <w:fldChar w:fldCharType="begin"/>
            </w:r>
            <w:r w:rsidRPr="00C95F04">
              <w:instrText xml:space="preserve"> ADDIN ZOTERO_ITEM CSL_CITATION {"citationID":"sp6Gdfik","properties":{"formattedCitation":"(Department of Prime Minister and Cabinet 2021b)","plainCitation":"(Department of Prime Minister and Cabinet 2021b)","noteIndex":0},"citationItems":[{"id":935,"uris":["http://zotero.org/users/6230888/items/85UH9XC3"],"itemData":{"id":935,"type":"webpage","title":"Guidance note: value of statistical life","URL":"https://obpr.pmc.gov.au/resources/guidance-assessing-impacts/value-statistical-life","author":[{"literal":"Department of Prime Minister and Cabinet"}],"accessed":{"date-parts":[["2022",6,30]]},"issued":{"date-parts":[["2021"]]}}}],"schema":"https://github.com/citation-style-language/schema/raw/master/csl-citation.json"} </w:instrText>
            </w:r>
            <w:r w:rsidRPr="00C95F04">
              <w:fldChar w:fldCharType="separate"/>
            </w:r>
            <w:r w:rsidRPr="00C95F04">
              <w:t>(Department of Prime Minister and Cabinet 2021b)</w:t>
            </w:r>
            <w:r w:rsidRPr="00C95F04">
              <w:fldChar w:fldCharType="end"/>
            </w:r>
          </w:p>
        </w:tc>
      </w:tr>
      <w:tr w:rsidR="00C95F04" w:rsidRPr="00C95F04" w14:paraId="16C62B5F" w14:textId="77777777" w:rsidTr="004C687A">
        <w:trPr>
          <w:trHeight w:val="196"/>
        </w:trPr>
        <w:tc>
          <w:tcPr>
            <w:tcW w:w="3055" w:type="pct"/>
            <w:tcBorders>
              <w:top w:val="single" w:sz="8" w:space="0" w:color="D1D1D1" w:themeColor="background2"/>
              <w:bottom w:val="single" w:sz="8" w:space="0" w:color="D1D1D1" w:themeColor="background2"/>
            </w:tcBorders>
            <w:vAlign w:val="center"/>
          </w:tcPr>
          <w:p w14:paraId="209BB898" w14:textId="77777777" w:rsidR="00C95F04" w:rsidRPr="00C95F04" w:rsidRDefault="00C95F04" w:rsidP="00960C7B">
            <w:pPr>
              <w:pStyle w:val="TableBody"/>
            </w:pPr>
            <w:r w:rsidRPr="00C95F04">
              <w:rPr>
                <w:b/>
                <w:bCs/>
              </w:rPr>
              <w:t xml:space="preserve">Weighted average life expectancy of people with silicosis or silica-related disease </w:t>
            </w:r>
          </w:p>
        </w:tc>
        <w:tc>
          <w:tcPr>
            <w:tcW w:w="1945" w:type="pct"/>
            <w:tcBorders>
              <w:top w:val="single" w:sz="8" w:space="0" w:color="D1D1D1" w:themeColor="background2"/>
              <w:bottom w:val="single" w:sz="8" w:space="0" w:color="D1D1D1" w:themeColor="background2"/>
            </w:tcBorders>
            <w:vAlign w:val="center"/>
          </w:tcPr>
          <w:p w14:paraId="1105637B" w14:textId="77777777" w:rsidR="00C95F04" w:rsidRPr="00C95F04" w:rsidRDefault="00C95F04" w:rsidP="00960C7B">
            <w:pPr>
              <w:pStyle w:val="TableBody"/>
              <w:rPr>
                <w:b/>
                <w:bCs/>
              </w:rPr>
            </w:pPr>
            <w:r w:rsidRPr="00C95F04">
              <w:rPr>
                <w:b/>
                <w:bCs/>
              </w:rPr>
              <w:t>73.9 years</w:t>
            </w:r>
          </w:p>
        </w:tc>
      </w:tr>
      <w:tr w:rsidR="00C95F04" w:rsidRPr="00C95F04" w14:paraId="55EEE2AC" w14:textId="77777777" w:rsidTr="004C687A">
        <w:trPr>
          <w:trHeight w:val="196"/>
        </w:trPr>
        <w:tc>
          <w:tcPr>
            <w:tcW w:w="3055" w:type="pct"/>
            <w:tcBorders>
              <w:top w:val="single" w:sz="8" w:space="0" w:color="D1D1D1" w:themeColor="background2"/>
              <w:bottom w:val="single" w:sz="8" w:space="0" w:color="D1D1D1" w:themeColor="background2"/>
            </w:tcBorders>
            <w:vAlign w:val="center"/>
          </w:tcPr>
          <w:p w14:paraId="4B7A8C24" w14:textId="77777777" w:rsidR="00C95F04" w:rsidRPr="00C95F04" w:rsidRDefault="00C95F04" w:rsidP="00960C7B">
            <w:pPr>
              <w:pStyle w:val="TableBody"/>
            </w:pPr>
            <w:r w:rsidRPr="00C95F04">
              <w:t xml:space="preserve">Average age of diagnosis with silica-related disease </w:t>
            </w:r>
          </w:p>
        </w:tc>
        <w:tc>
          <w:tcPr>
            <w:tcW w:w="1945" w:type="pct"/>
            <w:tcBorders>
              <w:top w:val="single" w:sz="8" w:space="0" w:color="D1D1D1" w:themeColor="background2"/>
              <w:bottom w:val="single" w:sz="8" w:space="0" w:color="D1D1D1" w:themeColor="background2"/>
            </w:tcBorders>
            <w:vAlign w:val="center"/>
          </w:tcPr>
          <w:p w14:paraId="375F167F" w14:textId="77777777" w:rsidR="00C95F04" w:rsidRPr="00C95F04" w:rsidRDefault="00C95F04" w:rsidP="00960C7B">
            <w:pPr>
              <w:pStyle w:val="TableBody"/>
            </w:pPr>
            <w:r w:rsidRPr="00C95F04">
              <w:t xml:space="preserve">43.30 years </w:t>
            </w:r>
            <w:r w:rsidRPr="00C95F04">
              <w:fldChar w:fldCharType="begin"/>
            </w:r>
            <w:r w:rsidRPr="00C95F04">
              <w:instrText xml:space="preserve"> ADDIN ZOTERO_ITEM CSL_CITATION {"citationID":"HruToubF","properties":{"formattedCitation":"(Deloitte 2021)","plainCitation":"(Deloitte 2021)","noteIndex":0},"citationItems":[{"id":917,"uris":["http://zotero.org/users/6230888/items/DDIZNKBY"],"itemData":{"id":917,"type":"article-journal","language":"en","page":"75","source":"Zotero","title":"Occupational Health and Safety Amendment (Crystalline Silica) Regulations 2021","author":[{"literal":"Deloitte"}],"issued":{"date-parts":[["2021"]]}}}],"schema":"https://github.com/citation-style-language/schema/raw/master/csl-citation.json"} </w:instrText>
            </w:r>
            <w:r w:rsidRPr="00C95F04">
              <w:fldChar w:fldCharType="separate"/>
            </w:r>
            <w:r w:rsidRPr="00C95F04">
              <w:t>(Deloitte 2021)</w:t>
            </w:r>
            <w:r w:rsidRPr="00C95F04">
              <w:fldChar w:fldCharType="end"/>
            </w:r>
          </w:p>
        </w:tc>
      </w:tr>
      <w:tr w:rsidR="00C95F04" w:rsidRPr="00C95F04" w14:paraId="6C9C32C8" w14:textId="77777777" w:rsidTr="004C687A">
        <w:trPr>
          <w:trHeight w:val="196"/>
        </w:trPr>
        <w:tc>
          <w:tcPr>
            <w:tcW w:w="3055"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487AC6D6" w14:textId="77777777" w:rsidR="00C95F04" w:rsidRPr="00C95F04" w:rsidRDefault="00C95F04" w:rsidP="00960C7B">
            <w:pPr>
              <w:pStyle w:val="TableBody"/>
              <w:rPr>
                <w:b/>
                <w:bCs/>
              </w:rPr>
            </w:pPr>
            <w:r w:rsidRPr="00C95F04">
              <w:rPr>
                <w:b/>
                <w:bCs/>
              </w:rPr>
              <w:t>Estimated</w:t>
            </w:r>
            <w:r w:rsidRPr="00C95F04">
              <w:t xml:space="preserve"> </w:t>
            </w:r>
            <w:r w:rsidRPr="00C95F04">
              <w:rPr>
                <w:b/>
                <w:bCs/>
              </w:rPr>
              <w:t xml:space="preserve">average value of illness avoided </w:t>
            </w:r>
          </w:p>
        </w:tc>
        <w:tc>
          <w:tcPr>
            <w:tcW w:w="1945"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292ADE3A" w14:textId="77777777" w:rsidR="00C95F04" w:rsidRPr="00C95F04" w:rsidRDefault="00C95F04" w:rsidP="00960C7B">
            <w:pPr>
              <w:pStyle w:val="TableBody"/>
              <w:rPr>
                <w:b/>
                <w:bCs/>
              </w:rPr>
            </w:pPr>
            <w:r w:rsidRPr="00C95F04">
              <w:rPr>
                <w:b/>
                <w:bCs/>
              </w:rPr>
              <w:t>$2.8m</w:t>
            </w:r>
          </w:p>
        </w:tc>
      </w:tr>
    </w:tbl>
    <w:p w14:paraId="3F550915" w14:textId="77777777" w:rsidR="00C95F04" w:rsidRPr="00C95F04" w:rsidRDefault="00C95F04" w:rsidP="00960C7B">
      <w:pPr>
        <w:pStyle w:val="Heading4"/>
      </w:pPr>
      <w:r w:rsidRPr="00C95F04">
        <w:t xml:space="preserve">The estimated expected value of life saved and illness avoided </w:t>
      </w:r>
    </w:p>
    <w:p w14:paraId="3C4A5028" w14:textId="44EA1950" w:rsidR="00C95F04" w:rsidRPr="00C95F04" w:rsidRDefault="00C95F04" w:rsidP="00C95F04">
      <w:pPr>
        <w:pStyle w:val="BodyText"/>
      </w:pPr>
      <w:r w:rsidRPr="00C95F04">
        <w:t xml:space="preserve">The approach used to estimate the expected value of life saved and illness avoided is presented in the formula below, with key assumptions underpinning the estimated outlined in </w:t>
      </w:r>
      <w:r w:rsidRPr="00C95F04">
        <w:fldChar w:fldCharType="begin"/>
      </w:r>
      <w:r w:rsidRPr="00C95F04">
        <w:instrText xml:space="preserve"> REF _Ref124938400 \h </w:instrText>
      </w:r>
      <w:r w:rsidR="00E75FA2" w:rsidRPr="00E75FA2">
        <w:instrText xml:space="preserve"> \* MERGEFORMAT </w:instrText>
      </w:r>
      <w:r w:rsidRPr="00C95F04">
        <w:fldChar w:fldCharType="separate"/>
      </w:r>
      <w:r w:rsidR="00E75FA2" w:rsidRPr="00E75FA2">
        <w:rPr>
          <w:iCs/>
        </w:rPr>
        <w:t xml:space="preserve">Table </w:t>
      </w:r>
      <w:r w:rsidR="00E75FA2" w:rsidRPr="00E75FA2">
        <w:rPr>
          <w:noProof/>
        </w:rPr>
        <w:t>25</w:t>
      </w:r>
      <w:r w:rsidRPr="00C95F04">
        <w:fldChar w:fldCharType="end"/>
      </w:r>
      <w:r w:rsidRPr="00C95F04">
        <w:t xml:space="preserve"> below. </w:t>
      </w:r>
    </w:p>
    <w:p w14:paraId="09F1ED18" w14:textId="08DA2A0D" w:rsidR="00C95F04" w:rsidRPr="00C95F04" w:rsidRDefault="00C95F04" w:rsidP="00960C7B">
      <w:pPr>
        <w:pStyle w:val="Caption"/>
      </w:pPr>
      <w:bookmarkStart w:id="663" w:name="_Ref124938400"/>
      <w:r w:rsidRPr="00C95F04">
        <w:lastRenderedPageBreak/>
        <w:t xml:space="preserve">Table </w:t>
      </w:r>
      <w:fldSimple w:instr=" SEQ Table \* ARABIC ">
        <w:r w:rsidR="00DF768D">
          <w:rPr>
            <w:noProof/>
          </w:rPr>
          <w:t>25</w:t>
        </w:r>
      </w:fldSimple>
      <w:bookmarkEnd w:id="663"/>
      <w:r w:rsidRPr="00C95F04">
        <w:t>: Estimated expected value of life saved and illness avoided ($m)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5"/>
        <w:gridCol w:w="3511"/>
      </w:tblGrid>
      <w:tr w:rsidR="00C95F04" w:rsidRPr="00C95F04" w14:paraId="4F85BA3B" w14:textId="77777777" w:rsidTr="004C687A">
        <w:trPr>
          <w:trHeight w:val="104"/>
          <w:tblHeader/>
        </w:trPr>
        <w:tc>
          <w:tcPr>
            <w:tcW w:w="3055" w:type="pct"/>
            <w:shd w:val="clear" w:color="auto" w:fill="D1D1D1" w:themeFill="background2"/>
            <w:vAlign w:val="center"/>
          </w:tcPr>
          <w:p w14:paraId="21216E0A" w14:textId="77777777" w:rsidR="00C95F04" w:rsidRPr="00C95F04" w:rsidRDefault="00C95F04" w:rsidP="000C215A">
            <w:pPr>
              <w:pStyle w:val="TableHeading"/>
              <w:rPr>
                <w:iCs/>
              </w:rPr>
            </w:pPr>
            <w:r w:rsidRPr="00C95F04">
              <w:t xml:space="preserve">Assumption </w:t>
            </w:r>
          </w:p>
        </w:tc>
        <w:tc>
          <w:tcPr>
            <w:tcW w:w="1945" w:type="pct"/>
            <w:shd w:val="clear" w:color="auto" w:fill="D1D1D1" w:themeFill="background2"/>
            <w:vAlign w:val="center"/>
          </w:tcPr>
          <w:p w14:paraId="1A873194" w14:textId="77777777" w:rsidR="00C95F04" w:rsidRPr="00C95F04" w:rsidRDefault="00C95F04" w:rsidP="000C215A">
            <w:pPr>
              <w:pStyle w:val="TableHeading"/>
            </w:pPr>
            <w:r w:rsidRPr="00C95F04">
              <w:t>Value ($m)</w:t>
            </w:r>
          </w:p>
        </w:tc>
      </w:tr>
      <w:tr w:rsidR="00C95F04" w:rsidRPr="00C95F04" w14:paraId="68B63340" w14:textId="77777777" w:rsidTr="004C687A">
        <w:trPr>
          <w:trHeight w:val="196"/>
        </w:trPr>
        <w:tc>
          <w:tcPr>
            <w:tcW w:w="3055" w:type="pct"/>
            <w:tcBorders>
              <w:bottom w:val="single" w:sz="8" w:space="0" w:color="D1D1D1" w:themeColor="background2"/>
            </w:tcBorders>
            <w:vAlign w:val="center"/>
          </w:tcPr>
          <w:p w14:paraId="58463D81" w14:textId="77777777" w:rsidR="00C95F04" w:rsidRPr="00C95F04" w:rsidRDefault="00C95F04" w:rsidP="00960C7B">
            <w:pPr>
              <w:pStyle w:val="TableBody"/>
            </w:pPr>
            <w:r w:rsidRPr="00C95F04">
              <w:t xml:space="preserve">Estimated average value of life saved </w:t>
            </w:r>
          </w:p>
        </w:tc>
        <w:tc>
          <w:tcPr>
            <w:tcW w:w="1945" w:type="pct"/>
            <w:tcBorders>
              <w:bottom w:val="single" w:sz="8" w:space="0" w:color="D1D1D1" w:themeColor="background2"/>
            </w:tcBorders>
            <w:vAlign w:val="center"/>
          </w:tcPr>
          <w:p w14:paraId="19B25010" w14:textId="77777777" w:rsidR="00C95F04" w:rsidRPr="00C95F04" w:rsidRDefault="00C95F04" w:rsidP="00960C7B">
            <w:pPr>
              <w:pStyle w:val="TableBody"/>
            </w:pPr>
            <w:r w:rsidRPr="00C95F04">
              <w:t xml:space="preserve">$1.8m </w:t>
            </w:r>
          </w:p>
        </w:tc>
      </w:tr>
      <w:tr w:rsidR="00C95F04" w:rsidRPr="00C95F04" w14:paraId="68A18503" w14:textId="77777777" w:rsidTr="004C687A">
        <w:trPr>
          <w:trHeight w:val="196"/>
        </w:trPr>
        <w:tc>
          <w:tcPr>
            <w:tcW w:w="3055" w:type="pct"/>
            <w:tcBorders>
              <w:top w:val="single" w:sz="8" w:space="0" w:color="D1D1D1" w:themeColor="background2"/>
              <w:bottom w:val="single" w:sz="8" w:space="0" w:color="D1D1D1" w:themeColor="background2"/>
            </w:tcBorders>
            <w:vAlign w:val="center"/>
          </w:tcPr>
          <w:p w14:paraId="30D91C5B" w14:textId="77777777" w:rsidR="00C95F04" w:rsidRPr="00C95F04" w:rsidRDefault="00C95F04" w:rsidP="00960C7B">
            <w:pPr>
              <w:pStyle w:val="TableBody"/>
            </w:pPr>
            <w:r w:rsidRPr="00C95F04">
              <w:t>Estimated average value of illness avoided</w:t>
            </w:r>
          </w:p>
        </w:tc>
        <w:tc>
          <w:tcPr>
            <w:tcW w:w="1945" w:type="pct"/>
            <w:tcBorders>
              <w:top w:val="single" w:sz="8" w:space="0" w:color="D1D1D1" w:themeColor="background2"/>
              <w:bottom w:val="single" w:sz="8" w:space="0" w:color="D1D1D1" w:themeColor="background2"/>
            </w:tcBorders>
            <w:vAlign w:val="center"/>
          </w:tcPr>
          <w:p w14:paraId="14219D70" w14:textId="77777777" w:rsidR="00C95F04" w:rsidRPr="00C95F04" w:rsidRDefault="00C95F04" w:rsidP="00960C7B">
            <w:pPr>
              <w:pStyle w:val="TableBody"/>
            </w:pPr>
            <w:r w:rsidRPr="00C95F04">
              <w:t>$2.8m</w:t>
            </w:r>
          </w:p>
        </w:tc>
      </w:tr>
      <w:tr w:rsidR="00C95F04" w:rsidRPr="00C95F04" w14:paraId="44630504" w14:textId="77777777" w:rsidTr="004C687A">
        <w:trPr>
          <w:trHeight w:val="196"/>
        </w:trPr>
        <w:tc>
          <w:tcPr>
            <w:tcW w:w="3055"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1778AE31" w14:textId="77777777" w:rsidR="00C95F04" w:rsidRPr="00C95F04" w:rsidRDefault="00C95F04" w:rsidP="00960C7B">
            <w:pPr>
              <w:pStyle w:val="TableBody"/>
            </w:pPr>
            <w:r w:rsidRPr="00C95F04">
              <w:t>Estimated expected value of life saved and illness avoided</w:t>
            </w:r>
          </w:p>
        </w:tc>
        <w:tc>
          <w:tcPr>
            <w:tcW w:w="1945"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0BBF4913" w14:textId="77777777" w:rsidR="00C95F04" w:rsidRPr="00C95F04" w:rsidRDefault="00C95F04" w:rsidP="00960C7B">
            <w:pPr>
              <w:pStyle w:val="TableBody"/>
            </w:pPr>
            <w:r w:rsidRPr="00C95F04">
              <w:t>$4.6m</w:t>
            </w:r>
          </w:p>
        </w:tc>
      </w:tr>
    </w:tbl>
    <w:p w14:paraId="25C43D40" w14:textId="77777777" w:rsidR="00C95F04" w:rsidRPr="00C95F04" w:rsidRDefault="00C95F04" w:rsidP="00960C7B">
      <w:pPr>
        <w:pStyle w:val="Heading3"/>
      </w:pPr>
      <w:bookmarkStart w:id="664" w:name="_Toc107395336"/>
      <w:r w:rsidRPr="00C95F04">
        <w:t>Breakeven analysis</w:t>
      </w:r>
      <w:bookmarkEnd w:id="664"/>
    </w:p>
    <w:p w14:paraId="746E8F12" w14:textId="77777777" w:rsidR="00C95F04" w:rsidRPr="00C95F04" w:rsidRDefault="00C95F04" w:rsidP="00C95F04">
      <w:pPr>
        <w:pStyle w:val="BodyText"/>
      </w:pPr>
      <w:r w:rsidRPr="00C95F04">
        <w:t xml:space="preserve">Breakeven analysis measures how effective an option needs to be so that the benefits outweigh the costs. In this analysis, the breakeven point expresses how many cases of silicosis would need to be prevented to justify the cost of each of the proposed options. </w:t>
      </w:r>
    </w:p>
    <w:p w14:paraId="5073A90A" w14:textId="28A0417F" w:rsidR="00C95F04" w:rsidRPr="00C95F04" w:rsidRDefault="00C95F04" w:rsidP="00C95F04">
      <w:pPr>
        <w:pStyle w:val="BodyText"/>
      </w:pPr>
      <w:r w:rsidRPr="00C95F04">
        <w:fldChar w:fldCharType="begin"/>
      </w:r>
      <w:r w:rsidRPr="00C95F04">
        <w:instrText xml:space="preserve"> REF _Ref124938451 \h </w:instrText>
      </w:r>
      <w:r w:rsidR="00E75FA2" w:rsidRPr="00E75FA2">
        <w:instrText xml:space="preserve"> \* MERGEFORMAT </w:instrText>
      </w:r>
      <w:r w:rsidRPr="00C95F04">
        <w:fldChar w:fldCharType="separate"/>
      </w:r>
      <w:r w:rsidR="00E75FA2" w:rsidRPr="00E75FA2">
        <w:t xml:space="preserve">Table </w:t>
      </w:r>
      <w:r w:rsidR="00E75FA2">
        <w:t>26</w:t>
      </w:r>
      <w:r w:rsidRPr="00C95F04">
        <w:fldChar w:fldCharType="end"/>
      </w:r>
      <w:r w:rsidRPr="00C95F04">
        <w:t xml:space="preserve"> lists the net present cost of each of the options over the ten-year reporting period. The number of cases of silicosis that would need to be prevented for each option to breakeven is determined by dividing the net present cost of each option by the costs of illness and death due to silicosis.  </w:t>
      </w:r>
    </w:p>
    <w:p w14:paraId="0028B616" w14:textId="233DF81E" w:rsidR="00C95F04" w:rsidRPr="00C95F04" w:rsidRDefault="00C95F04" w:rsidP="00960C7B">
      <w:pPr>
        <w:pStyle w:val="Caption"/>
      </w:pPr>
      <w:bookmarkStart w:id="665" w:name="_Ref124938451"/>
      <w:r w:rsidRPr="00C95F04">
        <w:t xml:space="preserve">Table </w:t>
      </w:r>
      <w:fldSimple w:instr=" SEQ Table \* ARABIC ">
        <w:r w:rsidR="00DF768D">
          <w:rPr>
            <w:noProof/>
          </w:rPr>
          <w:t>26</w:t>
        </w:r>
      </w:fldSimple>
      <w:bookmarkEnd w:id="665"/>
      <w:r w:rsidRPr="00C95F04">
        <w:t>: Estimated breakeven analysis results over ten years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7"/>
        <w:gridCol w:w="2850"/>
        <w:gridCol w:w="2849"/>
      </w:tblGrid>
      <w:tr w:rsidR="00C95F04" w:rsidRPr="00C95F04" w14:paraId="25A42C54" w14:textId="77777777" w:rsidTr="004C687A">
        <w:trPr>
          <w:trHeight w:val="104"/>
          <w:tblHeader/>
        </w:trPr>
        <w:tc>
          <w:tcPr>
            <w:tcW w:w="1843" w:type="pct"/>
            <w:shd w:val="clear" w:color="auto" w:fill="D1D1D1" w:themeFill="background2"/>
            <w:vAlign w:val="center"/>
          </w:tcPr>
          <w:p w14:paraId="34DE081D" w14:textId="77777777" w:rsidR="00C95F04" w:rsidRPr="00C95F04" w:rsidRDefault="00C95F04" w:rsidP="000C215A">
            <w:pPr>
              <w:pStyle w:val="TableHeading"/>
              <w:rPr>
                <w:iCs/>
              </w:rPr>
            </w:pPr>
            <w:bookmarkStart w:id="666" w:name="_Hlk107217157"/>
            <w:r w:rsidRPr="00C95F04">
              <w:t>Option</w:t>
            </w:r>
          </w:p>
        </w:tc>
        <w:tc>
          <w:tcPr>
            <w:tcW w:w="1579" w:type="pct"/>
            <w:shd w:val="clear" w:color="auto" w:fill="D1D1D1" w:themeFill="background2"/>
            <w:vAlign w:val="center"/>
          </w:tcPr>
          <w:p w14:paraId="44EA1B20" w14:textId="77777777" w:rsidR="00C95F04" w:rsidRPr="00C95F04" w:rsidRDefault="00C95F04" w:rsidP="000C215A">
            <w:pPr>
              <w:pStyle w:val="TableHeading"/>
            </w:pPr>
            <w:r w:rsidRPr="00C95F04">
              <w:t>Net present cost ($m)</w:t>
            </w:r>
          </w:p>
        </w:tc>
        <w:tc>
          <w:tcPr>
            <w:tcW w:w="1578" w:type="pct"/>
            <w:shd w:val="clear" w:color="auto" w:fill="D1D1D1" w:themeFill="background2"/>
          </w:tcPr>
          <w:p w14:paraId="641F73A3" w14:textId="6AD090A9" w:rsidR="00C95F04" w:rsidRPr="00C95F04" w:rsidRDefault="00C95F04" w:rsidP="000C215A">
            <w:pPr>
              <w:pStyle w:val="TableHeading"/>
            </w:pPr>
            <w:r w:rsidRPr="00C95F04">
              <w:t>Estimated number of cases prevented required to</w:t>
            </w:r>
            <w:r w:rsidR="00BD593B">
              <w:t xml:space="preserve"> </w:t>
            </w:r>
            <w:r w:rsidRPr="00C95F04">
              <w:t>breakeven*</w:t>
            </w:r>
          </w:p>
        </w:tc>
      </w:tr>
      <w:tr w:rsidR="00C95F04" w:rsidRPr="00C95F04" w14:paraId="6B7F4B33" w14:textId="77777777" w:rsidTr="004C687A">
        <w:trPr>
          <w:trHeight w:val="196"/>
        </w:trPr>
        <w:tc>
          <w:tcPr>
            <w:tcW w:w="1843" w:type="pct"/>
            <w:tcBorders>
              <w:bottom w:val="single" w:sz="8" w:space="0" w:color="D1D1D1" w:themeColor="background2"/>
            </w:tcBorders>
          </w:tcPr>
          <w:p w14:paraId="26454C83" w14:textId="77777777" w:rsidR="00C95F04" w:rsidRPr="00C95F04" w:rsidRDefault="00C95F04" w:rsidP="00960C7B">
            <w:pPr>
              <w:pStyle w:val="TableBody"/>
            </w:pPr>
            <w:r w:rsidRPr="00C95F04">
              <w:t>Option 2</w:t>
            </w:r>
          </w:p>
        </w:tc>
        <w:tc>
          <w:tcPr>
            <w:tcW w:w="1579" w:type="pct"/>
            <w:tcBorders>
              <w:bottom w:val="single" w:sz="8" w:space="0" w:color="D1D1D1" w:themeColor="background2"/>
            </w:tcBorders>
            <w:vAlign w:val="center"/>
          </w:tcPr>
          <w:p w14:paraId="4B9507B2" w14:textId="77777777" w:rsidR="00C95F04" w:rsidRPr="00C95F04" w:rsidRDefault="00C95F04" w:rsidP="00960C7B">
            <w:pPr>
              <w:pStyle w:val="TableBody"/>
            </w:pPr>
            <w:r w:rsidRPr="00C95F04">
              <w:t>$6.1</w:t>
            </w:r>
          </w:p>
        </w:tc>
        <w:tc>
          <w:tcPr>
            <w:tcW w:w="1578" w:type="pct"/>
            <w:tcBorders>
              <w:bottom w:val="single" w:sz="8" w:space="0" w:color="D1D1D1" w:themeColor="background2"/>
            </w:tcBorders>
            <w:vAlign w:val="center"/>
          </w:tcPr>
          <w:p w14:paraId="2F5503CB" w14:textId="77777777" w:rsidR="00C95F04" w:rsidRPr="00C95F04" w:rsidRDefault="00C95F04" w:rsidP="00960C7B">
            <w:pPr>
              <w:pStyle w:val="TableBody"/>
            </w:pPr>
            <w:r w:rsidRPr="00C95F04">
              <w:t>1</w:t>
            </w:r>
          </w:p>
        </w:tc>
      </w:tr>
      <w:tr w:rsidR="00C95F04" w:rsidRPr="00C95F04" w14:paraId="6A18E555" w14:textId="77777777" w:rsidTr="004C687A">
        <w:trPr>
          <w:trHeight w:val="196"/>
        </w:trPr>
        <w:tc>
          <w:tcPr>
            <w:tcW w:w="1843" w:type="pct"/>
            <w:tcBorders>
              <w:top w:val="single" w:sz="8" w:space="0" w:color="D1D1D1" w:themeColor="background2"/>
              <w:bottom w:val="single" w:sz="8" w:space="0" w:color="D1D1D1" w:themeColor="background2"/>
            </w:tcBorders>
          </w:tcPr>
          <w:p w14:paraId="0D74D62C" w14:textId="77777777" w:rsidR="00C95F04" w:rsidRPr="00C95F04" w:rsidRDefault="00C95F04" w:rsidP="00960C7B">
            <w:pPr>
              <w:pStyle w:val="TableBody"/>
            </w:pPr>
            <w:r w:rsidRPr="00C95F04">
              <w:t>Option 4</w:t>
            </w:r>
          </w:p>
        </w:tc>
        <w:tc>
          <w:tcPr>
            <w:tcW w:w="1579" w:type="pct"/>
            <w:tcBorders>
              <w:top w:val="single" w:sz="8" w:space="0" w:color="D1D1D1" w:themeColor="background2"/>
              <w:bottom w:val="single" w:sz="8" w:space="0" w:color="D1D1D1" w:themeColor="background2"/>
            </w:tcBorders>
            <w:vAlign w:val="center"/>
          </w:tcPr>
          <w:p w14:paraId="5649062A" w14:textId="77777777" w:rsidR="00C95F04" w:rsidRPr="00C95F04" w:rsidRDefault="00C95F04" w:rsidP="00960C7B">
            <w:pPr>
              <w:pStyle w:val="TableBody"/>
            </w:pPr>
            <w:r w:rsidRPr="00C95F04">
              <w:t>$32.9</w:t>
            </w:r>
          </w:p>
        </w:tc>
        <w:tc>
          <w:tcPr>
            <w:tcW w:w="1578" w:type="pct"/>
            <w:tcBorders>
              <w:top w:val="single" w:sz="8" w:space="0" w:color="D1D1D1" w:themeColor="background2"/>
              <w:bottom w:val="single" w:sz="8" w:space="0" w:color="D1D1D1" w:themeColor="background2"/>
            </w:tcBorders>
            <w:vAlign w:val="center"/>
          </w:tcPr>
          <w:p w14:paraId="4A7E4B3B" w14:textId="77777777" w:rsidR="00C95F04" w:rsidRPr="00C95F04" w:rsidRDefault="00C95F04" w:rsidP="00960C7B">
            <w:pPr>
              <w:pStyle w:val="TableBody"/>
            </w:pPr>
            <w:r w:rsidRPr="00C95F04">
              <w:t>7</w:t>
            </w:r>
          </w:p>
        </w:tc>
      </w:tr>
      <w:tr w:rsidR="00C95F04" w:rsidRPr="00C95F04" w14:paraId="3B61CDF9" w14:textId="77777777" w:rsidTr="004C687A">
        <w:trPr>
          <w:trHeight w:val="196"/>
        </w:trPr>
        <w:tc>
          <w:tcPr>
            <w:tcW w:w="1843" w:type="pct"/>
            <w:tcBorders>
              <w:top w:val="single" w:sz="8" w:space="0" w:color="D1D1D1" w:themeColor="background2"/>
              <w:bottom w:val="single" w:sz="8" w:space="0" w:color="D1D1D1" w:themeColor="background2"/>
            </w:tcBorders>
          </w:tcPr>
          <w:p w14:paraId="5822D1FB" w14:textId="77777777" w:rsidR="00C95F04" w:rsidRPr="00C95F04" w:rsidRDefault="00C95F04" w:rsidP="00960C7B">
            <w:pPr>
              <w:pStyle w:val="TableBody"/>
            </w:pPr>
            <w:r w:rsidRPr="00C95F04">
              <w:t>Option 5a</w:t>
            </w:r>
          </w:p>
        </w:tc>
        <w:tc>
          <w:tcPr>
            <w:tcW w:w="1579" w:type="pct"/>
            <w:tcBorders>
              <w:top w:val="single" w:sz="8" w:space="0" w:color="D1D1D1" w:themeColor="background2"/>
              <w:bottom w:val="single" w:sz="8" w:space="0" w:color="D1D1D1" w:themeColor="background2"/>
            </w:tcBorders>
            <w:vAlign w:val="center"/>
          </w:tcPr>
          <w:p w14:paraId="4ADE7DCC" w14:textId="77777777" w:rsidR="00C95F04" w:rsidRPr="00C95F04" w:rsidRDefault="00C95F04" w:rsidP="00960C7B">
            <w:pPr>
              <w:pStyle w:val="TableBody"/>
            </w:pPr>
            <w:r w:rsidRPr="00C95F04">
              <w:t>$169.5</w:t>
            </w:r>
          </w:p>
        </w:tc>
        <w:tc>
          <w:tcPr>
            <w:tcW w:w="1578" w:type="pct"/>
            <w:tcBorders>
              <w:top w:val="single" w:sz="8" w:space="0" w:color="D1D1D1" w:themeColor="background2"/>
              <w:bottom w:val="single" w:sz="8" w:space="0" w:color="D1D1D1" w:themeColor="background2"/>
            </w:tcBorders>
            <w:vAlign w:val="center"/>
          </w:tcPr>
          <w:p w14:paraId="548CDF5D" w14:textId="77777777" w:rsidR="00C95F04" w:rsidRPr="00C95F04" w:rsidRDefault="00C95F04" w:rsidP="00960C7B">
            <w:pPr>
              <w:pStyle w:val="TableBody"/>
            </w:pPr>
            <w:r w:rsidRPr="00C95F04">
              <w:t>37</w:t>
            </w:r>
          </w:p>
        </w:tc>
      </w:tr>
      <w:tr w:rsidR="00C95F04" w:rsidRPr="00C95F04" w14:paraId="4FCFE1F7" w14:textId="77777777" w:rsidTr="004C687A">
        <w:trPr>
          <w:trHeight w:val="196"/>
        </w:trPr>
        <w:tc>
          <w:tcPr>
            <w:tcW w:w="1843" w:type="pct"/>
            <w:tcBorders>
              <w:top w:val="single" w:sz="8" w:space="0" w:color="D1D1D1" w:themeColor="background2"/>
              <w:bottom w:val="single" w:sz="8" w:space="0" w:color="D1D1D1" w:themeColor="background2"/>
            </w:tcBorders>
          </w:tcPr>
          <w:p w14:paraId="3227A578" w14:textId="77777777" w:rsidR="00C95F04" w:rsidRPr="00C95F04" w:rsidRDefault="00C95F04" w:rsidP="00960C7B">
            <w:pPr>
              <w:pStyle w:val="TableBody"/>
            </w:pPr>
            <w:r w:rsidRPr="00C95F04">
              <w:t>Option 5b</w:t>
            </w:r>
          </w:p>
        </w:tc>
        <w:tc>
          <w:tcPr>
            <w:tcW w:w="1579" w:type="pct"/>
            <w:tcBorders>
              <w:top w:val="single" w:sz="8" w:space="0" w:color="D1D1D1" w:themeColor="background2"/>
              <w:bottom w:val="single" w:sz="8" w:space="0" w:color="D1D1D1" w:themeColor="background2"/>
            </w:tcBorders>
            <w:vAlign w:val="center"/>
          </w:tcPr>
          <w:p w14:paraId="3603C888" w14:textId="77777777" w:rsidR="00C95F04" w:rsidRPr="00C95F04" w:rsidRDefault="00C95F04" w:rsidP="00960C7B">
            <w:pPr>
              <w:pStyle w:val="TableBody"/>
            </w:pPr>
            <w:r w:rsidRPr="00C95F04">
              <w:t>$160.8</w:t>
            </w:r>
          </w:p>
        </w:tc>
        <w:tc>
          <w:tcPr>
            <w:tcW w:w="1578" w:type="pct"/>
            <w:tcBorders>
              <w:top w:val="single" w:sz="8" w:space="0" w:color="D1D1D1" w:themeColor="background2"/>
              <w:bottom w:val="single" w:sz="8" w:space="0" w:color="D1D1D1" w:themeColor="background2"/>
            </w:tcBorders>
            <w:vAlign w:val="center"/>
          </w:tcPr>
          <w:p w14:paraId="4A30DE60" w14:textId="77777777" w:rsidR="00C95F04" w:rsidRPr="00C95F04" w:rsidRDefault="00C95F04" w:rsidP="00960C7B">
            <w:pPr>
              <w:pStyle w:val="TableBody"/>
            </w:pPr>
            <w:r w:rsidRPr="00C95F04">
              <w:t>35</w:t>
            </w:r>
          </w:p>
        </w:tc>
      </w:tr>
    </w:tbl>
    <w:bookmarkEnd w:id="666"/>
    <w:p w14:paraId="751C9971" w14:textId="77777777" w:rsidR="00C95F04" w:rsidRPr="00C95F04" w:rsidRDefault="00C95F04" w:rsidP="00C95F04">
      <w:pPr>
        <w:pStyle w:val="BodyText"/>
      </w:pPr>
      <w:r w:rsidRPr="00C95F04">
        <w:t xml:space="preserve">*Estimated number of cases required to break even rounded to the nearest whole number </w:t>
      </w:r>
    </w:p>
    <w:p w14:paraId="653786A6" w14:textId="6B7FBDF9" w:rsidR="00C95F04" w:rsidRPr="00C95F04" w:rsidRDefault="00C95F04" w:rsidP="00C95F04">
      <w:pPr>
        <w:pStyle w:val="BodyText"/>
      </w:pPr>
      <w:r w:rsidRPr="00C95F04">
        <w:t>It is difficult to forecast the effectiveness of each option. Options 4 and 5 have been developed based on the Victorian Occupational Health and Safety Amendment (Crystalline Silica) Regulations 2021</w:t>
      </w:r>
      <w:r w:rsidR="00035C5F">
        <w:t>, which</w:t>
      </w:r>
      <w:r w:rsidRPr="00C95F04">
        <w:t xml:space="preserve"> </w:t>
      </w:r>
      <w:r w:rsidR="00025F7C">
        <w:t>were implemented</w:t>
      </w:r>
      <w:r w:rsidRPr="00C95F04">
        <w:t xml:space="preserve"> in May 2022</w:t>
      </w:r>
      <w:r w:rsidR="00035C5F">
        <w:t xml:space="preserve">. </w:t>
      </w:r>
      <w:r w:rsidR="00025F7C">
        <w:t>T</w:t>
      </w:r>
      <w:r w:rsidRPr="00C95F04">
        <w:t xml:space="preserve">he licensing scheme for employers working with engineered stone </w:t>
      </w:r>
      <w:r w:rsidR="00035C5F">
        <w:t xml:space="preserve">only </w:t>
      </w:r>
      <w:r w:rsidRPr="00C95F04">
        <w:t>commenced in November 2022. There has not been sufficient time to assess the effectiveness of these options.</w:t>
      </w:r>
    </w:p>
    <w:p w14:paraId="1E357F39" w14:textId="77777777" w:rsidR="00C95F04" w:rsidRPr="00C95F04" w:rsidRDefault="00C95F04" w:rsidP="00960C7B">
      <w:pPr>
        <w:pStyle w:val="Heading5"/>
      </w:pPr>
      <w:r w:rsidRPr="00C95F04">
        <w:t xml:space="preserve">Limitations </w:t>
      </w:r>
    </w:p>
    <w:p w14:paraId="055E7D49" w14:textId="610FE114" w:rsidR="00C95F04" w:rsidRPr="00C95F04" w:rsidRDefault="00C95F04" w:rsidP="00C95F04">
      <w:pPr>
        <w:pStyle w:val="BodyText"/>
      </w:pPr>
      <w:r w:rsidRPr="00C95F04">
        <w:t xml:space="preserve">This analysis is conservative and is likely to underestimate the full costs of silicosis to the Australian economy. It does not assess the costs associated with other silica-related diseases </w:t>
      </w:r>
      <w:r w:rsidRPr="00C95F04">
        <w:rPr>
          <w:lang w:val="en-US"/>
        </w:rPr>
        <w:t>(such as lung cancer, silicosis, and progressive massive fibrosis)</w:t>
      </w:r>
      <w:r w:rsidRPr="00C95F04">
        <w:t xml:space="preserve">, nor the difference in the progression of acute or accelerated silicosis that is associated with higher exposures to RCS. It does not consider the significant burden placed on the health system </w:t>
      </w:r>
      <w:r w:rsidR="003E2332">
        <w:t>by</w:t>
      </w:r>
      <w:r w:rsidRPr="00C95F04">
        <w:t xml:space="preserve"> avoidable diseases. It also does not consider other significant benefits that are associated with not having silicosis such as:</w:t>
      </w:r>
    </w:p>
    <w:p w14:paraId="14F90940" w14:textId="77777777" w:rsidR="00C95F04" w:rsidRPr="00C4572E" w:rsidRDefault="00C95F04" w:rsidP="00C4572E">
      <w:pPr>
        <w:pStyle w:val="ListBullet"/>
      </w:pPr>
      <w:r w:rsidRPr="00C4572E">
        <w:t>improved mental health and wellbeing benefits for affected workers and their families</w:t>
      </w:r>
    </w:p>
    <w:p w14:paraId="30E4AAC7" w14:textId="77777777" w:rsidR="00C95F04" w:rsidRPr="00C4572E" w:rsidRDefault="00C95F04" w:rsidP="00C4572E">
      <w:pPr>
        <w:pStyle w:val="ListBullet"/>
      </w:pPr>
      <w:r w:rsidRPr="00C4572E">
        <w:t>reduced costs to the public health and workers’ compensation systems, and</w:t>
      </w:r>
    </w:p>
    <w:p w14:paraId="666EFE3D" w14:textId="40A0FB6D" w:rsidR="00610F56" w:rsidRDefault="00C95F04" w:rsidP="00610F56">
      <w:pPr>
        <w:pStyle w:val="ListBullet"/>
      </w:pPr>
      <w:r w:rsidRPr="00C4572E">
        <w:t>improved productivity and efficiency resulting from reduced absenteeism</w:t>
      </w:r>
      <w:r w:rsidR="00B45A95" w:rsidRPr="00C4572E">
        <w:t>.</w:t>
      </w:r>
      <w:r w:rsidR="00C4572E" w:rsidRPr="00C4572E">
        <w:t xml:space="preserve">  </w:t>
      </w:r>
      <w:bookmarkEnd w:id="629"/>
      <w:r w:rsidR="00610F56">
        <w:br w:type="page"/>
      </w:r>
    </w:p>
    <w:p w14:paraId="25B8547D" w14:textId="002A00D8" w:rsidR="00960C7B" w:rsidRDefault="005B171A" w:rsidP="00610F56">
      <w:pPr>
        <w:pStyle w:val="Heading1"/>
      </w:pPr>
      <w:bookmarkStart w:id="667" w:name="_Toc126573226"/>
      <w:r>
        <w:lastRenderedPageBreak/>
        <w:t xml:space="preserve">What is the likely </w:t>
      </w:r>
      <w:r w:rsidRPr="00610F56">
        <w:t>impact</w:t>
      </w:r>
      <w:r>
        <w:t xml:space="preserve"> of Option 6</w:t>
      </w:r>
      <w:bookmarkEnd w:id="667"/>
    </w:p>
    <w:p w14:paraId="132943BB" w14:textId="1AD7D630" w:rsidR="002E5A3A" w:rsidRPr="005A3867" w:rsidRDefault="007C52EE" w:rsidP="002E5A3A">
      <w:pPr>
        <w:pStyle w:val="Heading2"/>
        <w:rPr>
          <w:lang w:eastAsia="en-AU"/>
        </w:rPr>
      </w:pPr>
      <w:bookmarkStart w:id="668" w:name="_Toc126573227"/>
      <w:r w:rsidRPr="141F65A1">
        <w:rPr>
          <w:lang w:eastAsia="en-AU"/>
        </w:rPr>
        <w:t>Approach</w:t>
      </w:r>
      <w:bookmarkEnd w:id="668"/>
    </w:p>
    <w:p w14:paraId="31181ECC" w14:textId="0CAFA32E" w:rsidR="002E5A3A" w:rsidRDefault="002E5A3A" w:rsidP="002E5A3A">
      <w:pPr>
        <w:pStyle w:val="BodyText"/>
      </w:pPr>
      <w:r w:rsidRPr="00767C70">
        <w:t>F</w:t>
      </w:r>
      <w:r w:rsidRPr="00667556">
        <w:t xml:space="preserve">ollowing stakeholder feedback on the options presented in the CRIS, an additional option that considers a prohibition on </w:t>
      </w:r>
      <w:r>
        <w:t xml:space="preserve">the </w:t>
      </w:r>
      <w:r w:rsidRPr="00667556">
        <w:t xml:space="preserve">use of engineered stone </w:t>
      </w:r>
      <w:r>
        <w:t>(</w:t>
      </w:r>
      <w:r w:rsidRPr="00667556">
        <w:t>with specific exemptions for removal, repair and minor modifications of engineered stone already in</w:t>
      </w:r>
      <w:r>
        <w:t xml:space="preserve">stalled) has been developed for consideration in this </w:t>
      </w:r>
      <w:r w:rsidR="0054756F">
        <w:t>DRIS</w:t>
      </w:r>
      <w:r w:rsidRPr="00667556">
        <w:t>.</w:t>
      </w:r>
    </w:p>
    <w:p w14:paraId="056244FD" w14:textId="1E2BD3A0" w:rsidR="002E5A3A" w:rsidRPr="000D2897" w:rsidRDefault="002E5A3A" w:rsidP="002E5A3A">
      <w:pPr>
        <w:pStyle w:val="BodyText"/>
      </w:pPr>
      <w:r>
        <w:t>A high level</w:t>
      </w:r>
      <w:r w:rsidRPr="007955BF">
        <w:t xml:space="preserve"> assessment of the costs associated with a prohibition on working with engineered stone </w:t>
      </w:r>
      <w:r>
        <w:t xml:space="preserve">has been developed to assist with the evaluation of this option. </w:t>
      </w:r>
      <w:r w:rsidR="00232A45">
        <w:t xml:space="preserve">However, this assessment is preliminary only and further analysis and consultation is required. </w:t>
      </w:r>
      <w:r>
        <w:t xml:space="preserve">A summary of the methodology used to define these costs, undertake scenario analysis and define the next steps required to estimate the cost to government and industry is presented in </w:t>
      </w:r>
      <w:r>
        <w:fldChar w:fldCharType="begin"/>
      </w:r>
      <w:r>
        <w:instrText xml:space="preserve"> REF _Ref124152934 \h  \* MERGEFORMAT </w:instrText>
      </w:r>
      <w:r>
        <w:fldChar w:fldCharType="separate"/>
      </w:r>
      <w:r w:rsidR="00E75FA2" w:rsidRPr="002E5A3A">
        <w:t xml:space="preserve">Table </w:t>
      </w:r>
      <w:r w:rsidR="00E75FA2">
        <w:t>27</w:t>
      </w:r>
      <w:r>
        <w:fldChar w:fldCharType="end"/>
      </w:r>
      <w:r>
        <w:t>.</w:t>
      </w:r>
    </w:p>
    <w:p w14:paraId="25FD5F53" w14:textId="7D62BD5A" w:rsidR="002E5A3A" w:rsidRPr="002E5A3A" w:rsidRDefault="002E5A3A" w:rsidP="002E5A3A">
      <w:pPr>
        <w:pStyle w:val="Caption"/>
      </w:pPr>
      <w:bookmarkStart w:id="669" w:name="_Ref124152934"/>
      <w:r w:rsidRPr="002E5A3A">
        <w:t xml:space="preserve">Table </w:t>
      </w:r>
      <w:fldSimple w:instr=" SEQ Table \* ARABIC ">
        <w:r w:rsidR="00DF768D">
          <w:rPr>
            <w:noProof/>
          </w:rPr>
          <w:t>27</w:t>
        </w:r>
      </w:fldSimple>
      <w:bookmarkEnd w:id="669"/>
      <w:r w:rsidRPr="002E5A3A">
        <w:t xml:space="preserve">: Cost analysis methodology </w:t>
      </w:r>
    </w:p>
    <w:tbl>
      <w:tblPr>
        <w:tblStyle w:val="TableGrid"/>
        <w:tblW w:w="5000" w:type="pct"/>
        <w:tblLook w:val="04A0" w:firstRow="1" w:lastRow="0" w:firstColumn="1" w:lastColumn="0" w:noHBand="0" w:noVBand="1"/>
      </w:tblPr>
      <w:tblGrid>
        <w:gridCol w:w="3680"/>
        <w:gridCol w:w="5336"/>
      </w:tblGrid>
      <w:tr w:rsidR="002E5A3A" w:rsidRPr="009E07AE" w14:paraId="19C07040" w14:textId="77777777" w:rsidTr="0089485E">
        <w:trPr>
          <w:trHeight w:val="315"/>
        </w:trPr>
        <w:tc>
          <w:tcPr>
            <w:tcW w:w="2041" w:type="pct"/>
            <w:shd w:val="clear" w:color="auto" w:fill="D1D1D1" w:themeFill="background2"/>
          </w:tcPr>
          <w:p w14:paraId="043EBC96" w14:textId="77777777" w:rsidR="002E5A3A" w:rsidRPr="009E07AE" w:rsidRDefault="002E5A3A" w:rsidP="000C215A">
            <w:pPr>
              <w:pStyle w:val="TableHeading"/>
              <w:rPr>
                <w:lang w:eastAsia="en-AU"/>
              </w:rPr>
            </w:pPr>
            <w:r>
              <w:rPr>
                <w:lang w:eastAsia="en-AU"/>
              </w:rPr>
              <w:t xml:space="preserve">Step </w:t>
            </w:r>
          </w:p>
        </w:tc>
        <w:tc>
          <w:tcPr>
            <w:tcW w:w="2959" w:type="pct"/>
            <w:shd w:val="clear" w:color="auto" w:fill="D1D1D1" w:themeFill="background2"/>
          </w:tcPr>
          <w:p w14:paraId="75D57A44" w14:textId="77777777" w:rsidR="002E5A3A" w:rsidRPr="009E07AE" w:rsidRDefault="002E5A3A" w:rsidP="000C215A">
            <w:pPr>
              <w:pStyle w:val="TableHeading"/>
              <w:rPr>
                <w:lang w:eastAsia="en-AU"/>
              </w:rPr>
            </w:pPr>
            <w:r w:rsidRPr="009E07AE">
              <w:rPr>
                <w:lang w:eastAsia="en-AU"/>
              </w:rPr>
              <w:t>Description</w:t>
            </w:r>
          </w:p>
        </w:tc>
      </w:tr>
      <w:tr w:rsidR="002E5A3A" w:rsidRPr="009E07AE" w14:paraId="29BFDB6D" w14:textId="77777777" w:rsidTr="0089485E">
        <w:trPr>
          <w:trHeight w:val="675"/>
        </w:trPr>
        <w:tc>
          <w:tcPr>
            <w:tcW w:w="2041" w:type="pct"/>
          </w:tcPr>
          <w:p w14:paraId="069F104F" w14:textId="77777777" w:rsidR="002E5A3A" w:rsidRPr="004D677E" w:rsidRDefault="002E5A3A" w:rsidP="002E5A3A">
            <w:pPr>
              <w:pStyle w:val="TableBody"/>
              <w:rPr>
                <w:lang w:eastAsia="en-AU"/>
              </w:rPr>
            </w:pPr>
            <w:r w:rsidRPr="004D677E">
              <w:rPr>
                <w:b/>
                <w:bCs/>
                <w:lang w:eastAsia="en-AU"/>
              </w:rPr>
              <w:t>Step 1</w:t>
            </w:r>
            <w:r w:rsidRPr="004D677E">
              <w:rPr>
                <w:lang w:eastAsia="en-AU"/>
              </w:rPr>
              <w:t>: Define the market</w:t>
            </w:r>
          </w:p>
        </w:tc>
        <w:tc>
          <w:tcPr>
            <w:tcW w:w="2959" w:type="pct"/>
          </w:tcPr>
          <w:p w14:paraId="1F415E00" w14:textId="77777777" w:rsidR="002E5A3A" w:rsidRPr="00453A35" w:rsidRDefault="002E5A3A" w:rsidP="002E5A3A">
            <w:pPr>
              <w:pStyle w:val="TableBody"/>
              <w:rPr>
                <w:lang w:eastAsia="en-AU"/>
              </w:rPr>
            </w:pPr>
            <w:r w:rsidRPr="004D677E">
              <w:rPr>
                <w:lang w:eastAsia="en-AU"/>
              </w:rPr>
              <w:t xml:space="preserve">Conduct </w:t>
            </w:r>
            <w:r>
              <w:rPr>
                <w:lang w:eastAsia="en-AU"/>
              </w:rPr>
              <w:t>desktop analysis to estimate the total number of sole traders, small and medium sized businesses working with engineered stone</w:t>
            </w:r>
          </w:p>
        </w:tc>
      </w:tr>
      <w:tr w:rsidR="002E5A3A" w:rsidRPr="009E07AE" w14:paraId="5621F041" w14:textId="77777777" w:rsidTr="0089485E">
        <w:trPr>
          <w:trHeight w:val="675"/>
        </w:trPr>
        <w:tc>
          <w:tcPr>
            <w:tcW w:w="2041" w:type="pct"/>
          </w:tcPr>
          <w:p w14:paraId="4051ABA1" w14:textId="77777777" w:rsidR="002E5A3A" w:rsidRPr="009E07AE" w:rsidRDefault="002E5A3A" w:rsidP="002E5A3A">
            <w:pPr>
              <w:pStyle w:val="TableBody"/>
              <w:rPr>
                <w:lang w:eastAsia="en-AU"/>
              </w:rPr>
            </w:pPr>
            <w:r w:rsidRPr="004D677E">
              <w:rPr>
                <w:b/>
                <w:bCs/>
                <w:lang w:eastAsia="en-AU"/>
              </w:rPr>
              <w:t>Step 2</w:t>
            </w:r>
            <w:r>
              <w:rPr>
                <w:lang w:eastAsia="en-AU"/>
              </w:rPr>
              <w:t>: Impact of a ban on engineered stone</w:t>
            </w:r>
          </w:p>
        </w:tc>
        <w:tc>
          <w:tcPr>
            <w:tcW w:w="2959" w:type="pct"/>
          </w:tcPr>
          <w:p w14:paraId="183220D3" w14:textId="77777777" w:rsidR="002E5A3A" w:rsidRPr="009E07AE" w:rsidRDefault="002E5A3A" w:rsidP="002E5A3A">
            <w:pPr>
              <w:pStyle w:val="TableBody"/>
              <w:rPr>
                <w:lang w:eastAsia="en-AU"/>
              </w:rPr>
            </w:pPr>
            <w:r w:rsidRPr="004717C7">
              <w:rPr>
                <w:lang w:eastAsia="en-AU"/>
              </w:rPr>
              <w:t xml:space="preserve">Determine the impact a </w:t>
            </w:r>
            <w:r>
              <w:rPr>
                <w:lang w:eastAsia="en-AU"/>
              </w:rPr>
              <w:t xml:space="preserve">prohibition </w:t>
            </w:r>
            <w:r w:rsidRPr="004717C7">
              <w:rPr>
                <w:lang w:eastAsia="en-AU"/>
              </w:rPr>
              <w:t xml:space="preserve">on working with engineered stone </w:t>
            </w:r>
            <w:r>
              <w:rPr>
                <w:lang w:eastAsia="en-AU"/>
              </w:rPr>
              <w:t xml:space="preserve">will have on </w:t>
            </w:r>
            <w:r w:rsidRPr="004717C7">
              <w:rPr>
                <w:lang w:eastAsia="en-AU"/>
              </w:rPr>
              <w:t>businesses</w:t>
            </w:r>
          </w:p>
        </w:tc>
      </w:tr>
      <w:tr w:rsidR="002E5A3A" w:rsidRPr="009E07AE" w14:paraId="54BFE92D" w14:textId="77777777" w:rsidTr="0089485E">
        <w:trPr>
          <w:trHeight w:val="675"/>
        </w:trPr>
        <w:tc>
          <w:tcPr>
            <w:tcW w:w="2041" w:type="pct"/>
          </w:tcPr>
          <w:p w14:paraId="6F0AD0E4" w14:textId="77777777" w:rsidR="002E5A3A" w:rsidRPr="009E07AE" w:rsidRDefault="002E5A3A" w:rsidP="002E5A3A">
            <w:pPr>
              <w:pStyle w:val="TableBody"/>
              <w:rPr>
                <w:lang w:eastAsia="en-AU"/>
              </w:rPr>
            </w:pPr>
            <w:r w:rsidRPr="004D677E">
              <w:rPr>
                <w:b/>
                <w:bCs/>
                <w:lang w:eastAsia="en-AU"/>
              </w:rPr>
              <w:t>Step 3</w:t>
            </w:r>
            <w:r>
              <w:rPr>
                <w:lang w:eastAsia="en-AU"/>
              </w:rPr>
              <w:t xml:space="preserve">: </w:t>
            </w:r>
            <w:r w:rsidRPr="004717C7">
              <w:rPr>
                <w:lang w:eastAsia="en-AU"/>
              </w:rPr>
              <w:t>Identify costs to industry</w:t>
            </w:r>
          </w:p>
        </w:tc>
        <w:tc>
          <w:tcPr>
            <w:tcW w:w="2959" w:type="pct"/>
          </w:tcPr>
          <w:p w14:paraId="0CFCAE85" w14:textId="77777777" w:rsidR="002E5A3A" w:rsidRPr="009E07AE" w:rsidRDefault="002E5A3A" w:rsidP="002E5A3A">
            <w:pPr>
              <w:pStyle w:val="TableBody"/>
              <w:rPr>
                <w:lang w:eastAsia="en-AU"/>
              </w:rPr>
            </w:pPr>
            <w:r>
              <w:rPr>
                <w:lang w:eastAsia="en-AU"/>
              </w:rPr>
              <w:t xml:space="preserve">Identify the types of costs that will be incurred by sole traders, small and medium sized businesses resulting from a prohibition on working with engineered stone and identify opportunities for potential government compensation packages. </w:t>
            </w:r>
          </w:p>
        </w:tc>
      </w:tr>
      <w:tr w:rsidR="002E5A3A" w:rsidRPr="009E07AE" w14:paraId="3BFCB99B" w14:textId="77777777" w:rsidTr="0089485E">
        <w:trPr>
          <w:trHeight w:val="675"/>
        </w:trPr>
        <w:tc>
          <w:tcPr>
            <w:tcW w:w="2041" w:type="pct"/>
          </w:tcPr>
          <w:p w14:paraId="61613A6A" w14:textId="77777777" w:rsidR="002E5A3A" w:rsidRPr="009E07AE" w:rsidRDefault="002E5A3A" w:rsidP="002E5A3A">
            <w:pPr>
              <w:pStyle w:val="TableBody"/>
              <w:rPr>
                <w:lang w:eastAsia="en-AU"/>
              </w:rPr>
            </w:pPr>
            <w:r w:rsidRPr="004D677E">
              <w:rPr>
                <w:b/>
                <w:bCs/>
                <w:lang w:eastAsia="en-AU"/>
              </w:rPr>
              <w:t>Step 4</w:t>
            </w:r>
            <w:r>
              <w:rPr>
                <w:lang w:eastAsia="en-AU"/>
              </w:rPr>
              <w:t>: I</w:t>
            </w:r>
            <w:r w:rsidRPr="00216162">
              <w:rPr>
                <w:lang w:eastAsia="en-AU"/>
              </w:rPr>
              <w:t>dentify costs to government resulting from worker displacement</w:t>
            </w:r>
          </w:p>
        </w:tc>
        <w:tc>
          <w:tcPr>
            <w:tcW w:w="2959" w:type="pct"/>
          </w:tcPr>
          <w:p w14:paraId="6A0AD0E4" w14:textId="77777777" w:rsidR="002E5A3A" w:rsidRPr="009E07AE" w:rsidRDefault="002E5A3A" w:rsidP="002E5A3A">
            <w:pPr>
              <w:pStyle w:val="TableBody"/>
              <w:rPr>
                <w:lang w:eastAsia="en-AU"/>
              </w:rPr>
            </w:pPr>
            <w:r>
              <w:rPr>
                <w:lang w:eastAsia="en-AU"/>
              </w:rPr>
              <w:t xml:space="preserve">Identify the types of costs that may be incurred by government to address </w:t>
            </w:r>
            <w:r w:rsidRPr="00703509">
              <w:rPr>
                <w:lang w:eastAsia="en-AU"/>
              </w:rPr>
              <w:t>worker displacement resulting from a prohibition on working with engineered stone</w:t>
            </w:r>
          </w:p>
        </w:tc>
      </w:tr>
      <w:tr w:rsidR="002E5A3A" w:rsidRPr="009E07AE" w14:paraId="3D292EE8" w14:textId="77777777" w:rsidTr="0089485E">
        <w:trPr>
          <w:trHeight w:val="675"/>
        </w:trPr>
        <w:tc>
          <w:tcPr>
            <w:tcW w:w="2041" w:type="pct"/>
          </w:tcPr>
          <w:p w14:paraId="69695608" w14:textId="77777777" w:rsidR="002E5A3A" w:rsidRPr="007777EB" w:rsidRDefault="002E5A3A" w:rsidP="002E5A3A">
            <w:pPr>
              <w:pStyle w:val="TableBody"/>
              <w:rPr>
                <w:lang w:eastAsia="en-AU"/>
              </w:rPr>
            </w:pPr>
            <w:r w:rsidRPr="00167692">
              <w:rPr>
                <w:b/>
                <w:bCs/>
                <w:lang w:eastAsia="en-AU"/>
              </w:rPr>
              <w:t>Step 5:</w:t>
            </w:r>
            <w:r w:rsidRPr="007777EB">
              <w:rPr>
                <w:lang w:eastAsia="en-AU"/>
              </w:rPr>
              <w:t xml:space="preserve"> </w:t>
            </w:r>
            <w:r w:rsidRPr="00A841BD">
              <w:rPr>
                <w:lang w:eastAsia="en-AU"/>
              </w:rPr>
              <w:t>Scenario</w:t>
            </w:r>
            <w:r w:rsidRPr="007777EB">
              <w:rPr>
                <w:lang w:eastAsia="en-AU"/>
              </w:rPr>
              <w:t xml:space="preserve"> </w:t>
            </w:r>
            <w:r>
              <w:rPr>
                <w:lang w:eastAsia="en-AU"/>
              </w:rPr>
              <w:t>analysis</w:t>
            </w:r>
          </w:p>
        </w:tc>
        <w:tc>
          <w:tcPr>
            <w:tcW w:w="2959" w:type="pct"/>
          </w:tcPr>
          <w:p w14:paraId="0916723C" w14:textId="77777777" w:rsidR="002E5A3A" w:rsidRPr="000242C6" w:rsidRDefault="002E5A3A" w:rsidP="002E5A3A">
            <w:pPr>
              <w:pStyle w:val="TableBody"/>
              <w:rPr>
                <w:lang w:eastAsia="en-AU"/>
              </w:rPr>
            </w:pPr>
            <w:r>
              <w:rPr>
                <w:lang w:eastAsia="en-AU"/>
              </w:rPr>
              <w:t xml:space="preserve">Undertake scenario analysis in </w:t>
            </w:r>
            <w:r w:rsidRPr="000242C6">
              <w:rPr>
                <w:lang w:eastAsia="en-AU"/>
              </w:rPr>
              <w:t>order to understand the potential cost to government and industry</w:t>
            </w:r>
            <w:r>
              <w:rPr>
                <w:lang w:eastAsia="en-AU"/>
              </w:rPr>
              <w:t>. T</w:t>
            </w:r>
            <w:r w:rsidRPr="000242C6">
              <w:rPr>
                <w:lang w:eastAsia="en-AU"/>
              </w:rPr>
              <w:t xml:space="preserve">wo scenarios have been </w:t>
            </w:r>
            <w:r>
              <w:rPr>
                <w:lang w:eastAsia="en-AU"/>
              </w:rPr>
              <w:t>analysed</w:t>
            </w:r>
            <w:r w:rsidRPr="000242C6">
              <w:rPr>
                <w:lang w:eastAsia="en-AU"/>
              </w:rPr>
              <w:t xml:space="preserve"> to provide an indicative lower and upper bound of costs for business</w:t>
            </w:r>
            <w:r>
              <w:rPr>
                <w:lang w:eastAsia="en-AU"/>
              </w:rPr>
              <w:t xml:space="preserve"> and government. This also includes reference to historical government compensation packages provided in the form of business support grants for consideration. </w:t>
            </w:r>
          </w:p>
        </w:tc>
      </w:tr>
    </w:tbl>
    <w:p w14:paraId="6FF93C37" w14:textId="02EE10EB" w:rsidR="002E5A3A" w:rsidRPr="00805D3B" w:rsidRDefault="002E5A3A" w:rsidP="002E5A3A">
      <w:pPr>
        <w:pStyle w:val="BodyText"/>
        <w:rPr>
          <w:lang w:eastAsia="en-AU"/>
        </w:rPr>
      </w:pPr>
      <w:r>
        <w:rPr>
          <w:lang w:eastAsia="en-AU"/>
        </w:rPr>
        <w:t xml:space="preserve">A qualitative assessment of the potential health and economic benefits associated with a </w:t>
      </w:r>
      <w:r w:rsidRPr="00805D3B">
        <w:rPr>
          <w:lang w:eastAsia="en-AU"/>
        </w:rPr>
        <w:t xml:space="preserve">prohibition on working with engineered stone </w:t>
      </w:r>
      <w:r>
        <w:rPr>
          <w:lang w:eastAsia="en-AU"/>
        </w:rPr>
        <w:t xml:space="preserve">has also been included to assist with the evaluation of this option in the </w:t>
      </w:r>
      <w:r w:rsidR="0054756F">
        <w:rPr>
          <w:lang w:eastAsia="en-AU"/>
        </w:rPr>
        <w:t>DRIS</w:t>
      </w:r>
      <w:r>
        <w:rPr>
          <w:lang w:eastAsia="en-AU"/>
        </w:rPr>
        <w:t>.</w:t>
      </w:r>
      <w:r w:rsidR="00232A45">
        <w:rPr>
          <w:lang w:eastAsia="en-AU"/>
        </w:rPr>
        <w:t xml:space="preserve"> </w:t>
      </w:r>
    </w:p>
    <w:p w14:paraId="47880430" w14:textId="77777777" w:rsidR="002E5A3A" w:rsidRDefault="002E5A3A" w:rsidP="002E5A3A">
      <w:pPr>
        <w:pStyle w:val="Heading2"/>
      </w:pPr>
      <w:bookmarkStart w:id="670" w:name="_Toc126573228"/>
      <w:r>
        <w:lastRenderedPageBreak/>
        <w:t>Step 1: Define the market</w:t>
      </w:r>
      <w:bookmarkEnd w:id="670"/>
    </w:p>
    <w:p w14:paraId="4815892B" w14:textId="77777777" w:rsidR="002E5A3A" w:rsidRPr="002B08A6" w:rsidRDefault="002E5A3A" w:rsidP="002E5A3A">
      <w:pPr>
        <w:pStyle w:val="BodyText"/>
      </w:pPr>
      <w:r w:rsidRPr="00F7123D">
        <w:rPr>
          <w:lang w:eastAsia="en-AU"/>
        </w:rPr>
        <w:t>The Australian Engineered Stone Advisory Group (AESAG) estimates that the</w:t>
      </w:r>
      <w:r>
        <w:rPr>
          <w:lang w:eastAsia="en-AU"/>
        </w:rPr>
        <w:t>r</w:t>
      </w:r>
      <w:r w:rsidRPr="00F7123D">
        <w:rPr>
          <w:lang w:eastAsia="en-AU"/>
        </w:rPr>
        <w:t xml:space="preserve">e are between </w:t>
      </w:r>
      <w:r w:rsidRPr="00F7123D">
        <w:t>750</w:t>
      </w:r>
      <w:r>
        <w:t> </w:t>
      </w:r>
      <w:r w:rsidRPr="00F7123D">
        <w:t>and</w:t>
      </w:r>
      <w:r>
        <w:t> </w:t>
      </w:r>
      <w:r w:rsidRPr="00F7123D">
        <w:t xml:space="preserve">1,000 fabrication </w:t>
      </w:r>
      <w:r>
        <w:t xml:space="preserve">and installation </w:t>
      </w:r>
      <w:r w:rsidRPr="00F7123D">
        <w:t>businesses working with engineered stone</w:t>
      </w:r>
      <w:r>
        <w:t xml:space="preserve"> in Australia</w:t>
      </w:r>
      <w:r w:rsidRPr="00F7123D">
        <w:rPr>
          <w:rStyle w:val="FootnoteReference"/>
          <w:rFonts w:ascii="Arial" w:hAnsi="Arial" w:cs="Arial"/>
          <w:sz w:val="20"/>
          <w:szCs w:val="20"/>
          <w:lang w:eastAsia="en-AU"/>
        </w:rPr>
        <w:footnoteReference w:id="17"/>
      </w:r>
      <w:r w:rsidRPr="00F7123D">
        <w:t xml:space="preserve">. While data limitations prevent an accurate estimation on the size of the industry, feedback provided </w:t>
      </w:r>
      <w:r>
        <w:t>during consultation</w:t>
      </w:r>
      <w:r w:rsidRPr="00F7123D">
        <w:t xml:space="preserve"> confirmed that 1,000 was a realistic estimation of the number of </w:t>
      </w:r>
      <w:r>
        <w:t xml:space="preserve">sole traders, small and medium sized businesses working with engineered stone in </w:t>
      </w:r>
      <w:r w:rsidRPr="00F7123D">
        <w:t>Australia.</w:t>
      </w:r>
      <w:r>
        <w:t xml:space="preserve"> </w:t>
      </w:r>
    </w:p>
    <w:p w14:paraId="7D3C0764" w14:textId="77777777" w:rsidR="002E5A3A" w:rsidRDefault="002E5A3A" w:rsidP="002E5A3A">
      <w:pPr>
        <w:pStyle w:val="Heading5"/>
        <w:rPr>
          <w:lang w:eastAsia="en-AU"/>
        </w:rPr>
      </w:pPr>
      <w:r w:rsidRPr="00F7123D">
        <w:rPr>
          <w:lang w:eastAsia="en-AU"/>
        </w:rPr>
        <w:t>Size of businesses working with engineered stone</w:t>
      </w:r>
    </w:p>
    <w:p w14:paraId="02F48031" w14:textId="4C9EECBC" w:rsidR="002E5A3A" w:rsidRDefault="002E5A3A" w:rsidP="00BE35E4">
      <w:pPr>
        <w:pStyle w:val="BodyText"/>
      </w:pPr>
      <w:r w:rsidRPr="00F7123D">
        <w:t>Market research commissioned by the</w:t>
      </w:r>
      <w:r w:rsidR="00BE35E4">
        <w:t xml:space="preserve"> National Dust Disease Taskforce</w:t>
      </w:r>
      <w:r>
        <w:t xml:space="preserve"> </w:t>
      </w:r>
      <w:r w:rsidRPr="00F7123D">
        <w:t>indicates that sole traders (44</w:t>
      </w:r>
      <w:r>
        <w:t xml:space="preserve"> per cent</w:t>
      </w:r>
      <w:r w:rsidRPr="00F7123D">
        <w:t xml:space="preserve">) and businesses that employ between 1 – </w:t>
      </w:r>
      <w:r>
        <w:t>20</w:t>
      </w:r>
      <w:r w:rsidRPr="00F7123D">
        <w:t xml:space="preserve"> employees (</w:t>
      </w:r>
      <w:r>
        <w:t>42 per cent</w:t>
      </w:r>
      <w:r w:rsidRPr="00F7123D">
        <w:t>) are overly represented in the sector</w:t>
      </w:r>
      <w:r w:rsidRPr="00F417A2">
        <w:rPr>
          <w:vertAlign w:val="superscript"/>
        </w:rPr>
        <w:footnoteReference w:id="18"/>
      </w:r>
      <w:r w:rsidRPr="00B55A38">
        <w:rPr>
          <w:vertAlign w:val="superscript"/>
        </w:rPr>
        <w:t xml:space="preserve"> </w:t>
      </w:r>
      <w:r>
        <w:t>(</w:t>
      </w:r>
      <w:r w:rsidRPr="00B55A38">
        <w:fldChar w:fldCharType="begin"/>
      </w:r>
      <w:r w:rsidRPr="00B55A38">
        <w:instrText xml:space="preserve"> REF _Ref124155388 \h </w:instrText>
      </w:r>
      <w:r>
        <w:instrText xml:space="preserve"> \* MERGEFORMAT </w:instrText>
      </w:r>
      <w:r w:rsidRPr="00B55A38">
        <w:fldChar w:fldCharType="separate"/>
      </w:r>
      <w:r w:rsidRPr="00B55A38">
        <w:t>Table 2</w:t>
      </w:r>
      <w:r w:rsidRPr="00B55A38">
        <w:fldChar w:fldCharType="end"/>
      </w:r>
      <w:r>
        <w:t>)</w:t>
      </w:r>
      <w:r w:rsidRPr="00F7123D">
        <w:t xml:space="preserve">. The key findings from the market research were supported by Caesarstone in their </w:t>
      </w:r>
      <w:r>
        <w:t>submission</w:t>
      </w:r>
      <w:r w:rsidRPr="00F7123D">
        <w:t xml:space="preserve"> to the </w:t>
      </w:r>
      <w:r>
        <w:t>C</w:t>
      </w:r>
      <w:r w:rsidRPr="00F7123D">
        <w:t>RIS</w:t>
      </w:r>
      <w:r w:rsidRPr="00B55A38">
        <w:rPr>
          <w:vertAlign w:val="superscript"/>
        </w:rPr>
        <w:footnoteReference w:id="19"/>
      </w:r>
      <w:r>
        <w:t>.</w:t>
      </w:r>
    </w:p>
    <w:p w14:paraId="78E68AD3" w14:textId="0DB309B4" w:rsidR="002E5A3A" w:rsidRDefault="002E5A3A" w:rsidP="002E5A3A">
      <w:pPr>
        <w:pStyle w:val="BodyText"/>
      </w:pPr>
      <w:r>
        <w:t xml:space="preserve">For the purposes of this assessment, businesses have been classified into the categories shown in </w:t>
      </w:r>
      <w:fldSimple w:instr=" REF _Ref124155388 ">
        <w:r w:rsidR="00E75FA2" w:rsidRPr="00F7123D">
          <w:t xml:space="preserve">Table </w:t>
        </w:r>
        <w:r w:rsidR="00E75FA2">
          <w:rPr>
            <w:noProof/>
          </w:rPr>
          <w:t>28</w:t>
        </w:r>
      </w:fldSimple>
      <w:r>
        <w:t xml:space="preserve">, consistent with those used for the analysis for options 1-5.   </w:t>
      </w:r>
    </w:p>
    <w:p w14:paraId="3F68B53E" w14:textId="3A047A76" w:rsidR="002E5A3A" w:rsidRPr="00F7123D" w:rsidRDefault="002E5A3A" w:rsidP="002E5A3A">
      <w:pPr>
        <w:pStyle w:val="Caption"/>
      </w:pPr>
      <w:bookmarkStart w:id="671" w:name="_Ref124155388"/>
      <w:bookmarkStart w:id="672" w:name="_Ref125014095"/>
      <w:r w:rsidRPr="00F7123D">
        <w:t xml:space="preserve">Table </w:t>
      </w:r>
      <w:fldSimple w:instr=" SEQ Table \* ARABIC ">
        <w:r w:rsidR="00DF768D">
          <w:rPr>
            <w:noProof/>
          </w:rPr>
          <w:t>28</w:t>
        </w:r>
      </w:fldSimple>
      <w:bookmarkEnd w:id="671"/>
      <w:r w:rsidRPr="00F7123D">
        <w:t>: Size of fabrication business/ companies</w:t>
      </w:r>
      <w:bookmarkEnd w:id="6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8"/>
        <w:gridCol w:w="3258"/>
      </w:tblGrid>
      <w:tr w:rsidR="002E5A3A" w:rsidRPr="00F7123D" w14:paraId="4FE7EEC6" w14:textId="77777777" w:rsidTr="004C687A">
        <w:trPr>
          <w:trHeight w:val="315"/>
          <w:tblHeader/>
        </w:trPr>
        <w:tc>
          <w:tcPr>
            <w:tcW w:w="3193" w:type="pct"/>
            <w:shd w:val="clear" w:color="auto" w:fill="D9D9D9" w:themeFill="background1" w:themeFillShade="D9"/>
            <w:vAlign w:val="center"/>
          </w:tcPr>
          <w:p w14:paraId="2EFDEE5B" w14:textId="77777777" w:rsidR="002E5A3A" w:rsidRPr="00F7123D" w:rsidRDefault="002E5A3A" w:rsidP="000C215A">
            <w:pPr>
              <w:pStyle w:val="TableHeading"/>
              <w:rPr>
                <w:lang w:eastAsia="en-AU"/>
              </w:rPr>
            </w:pPr>
            <w:r w:rsidRPr="00F7123D">
              <w:rPr>
                <w:lang w:eastAsia="en-AU"/>
              </w:rPr>
              <w:t>Business size</w:t>
            </w:r>
          </w:p>
        </w:tc>
        <w:tc>
          <w:tcPr>
            <w:tcW w:w="1807" w:type="pct"/>
            <w:shd w:val="clear" w:color="auto" w:fill="D9D9D9" w:themeFill="background1" w:themeFillShade="D9"/>
            <w:vAlign w:val="center"/>
          </w:tcPr>
          <w:p w14:paraId="5EADE2F0" w14:textId="77777777" w:rsidR="002E5A3A" w:rsidRPr="00F7123D" w:rsidRDefault="002E5A3A" w:rsidP="000C215A">
            <w:pPr>
              <w:pStyle w:val="TableHeading"/>
              <w:rPr>
                <w:lang w:eastAsia="en-AU"/>
              </w:rPr>
            </w:pPr>
            <w:r w:rsidRPr="00F7123D">
              <w:rPr>
                <w:lang w:eastAsia="en-AU"/>
              </w:rPr>
              <w:t xml:space="preserve">Proportion of total fabrication businesses / companies </w:t>
            </w:r>
          </w:p>
        </w:tc>
      </w:tr>
      <w:tr w:rsidR="002E5A3A" w:rsidRPr="00F7123D" w14:paraId="44FEF4E0" w14:textId="77777777" w:rsidTr="004C687A">
        <w:trPr>
          <w:trHeight w:val="315"/>
        </w:trPr>
        <w:tc>
          <w:tcPr>
            <w:tcW w:w="3193" w:type="pct"/>
            <w:shd w:val="clear" w:color="auto" w:fill="auto"/>
            <w:vAlign w:val="center"/>
          </w:tcPr>
          <w:p w14:paraId="0FBFF6C0" w14:textId="77777777" w:rsidR="002E5A3A" w:rsidRPr="00F7123D" w:rsidRDefault="002E5A3A" w:rsidP="002E5A3A">
            <w:pPr>
              <w:pStyle w:val="TableBody"/>
              <w:rPr>
                <w:lang w:eastAsia="en-AU"/>
              </w:rPr>
            </w:pPr>
            <w:r>
              <w:rPr>
                <w:lang w:eastAsia="en-AU"/>
              </w:rPr>
              <w:t>Sole trader</w:t>
            </w:r>
          </w:p>
        </w:tc>
        <w:tc>
          <w:tcPr>
            <w:tcW w:w="1807" w:type="pct"/>
            <w:vAlign w:val="center"/>
          </w:tcPr>
          <w:p w14:paraId="5269EEE7" w14:textId="77777777" w:rsidR="002E5A3A" w:rsidRPr="00F7123D" w:rsidRDefault="002E5A3A" w:rsidP="002E5A3A">
            <w:pPr>
              <w:pStyle w:val="TableBody"/>
              <w:rPr>
                <w:lang w:eastAsia="en-AU"/>
              </w:rPr>
            </w:pPr>
            <w:r>
              <w:rPr>
                <w:lang w:eastAsia="en-AU"/>
              </w:rPr>
              <w:t>44%</w:t>
            </w:r>
          </w:p>
        </w:tc>
      </w:tr>
      <w:tr w:rsidR="002E5A3A" w:rsidRPr="00F7123D" w14:paraId="211F33A7" w14:textId="77777777" w:rsidTr="004C687A">
        <w:trPr>
          <w:trHeight w:val="315"/>
        </w:trPr>
        <w:tc>
          <w:tcPr>
            <w:tcW w:w="3193" w:type="pct"/>
            <w:shd w:val="clear" w:color="auto" w:fill="auto"/>
            <w:vAlign w:val="center"/>
          </w:tcPr>
          <w:p w14:paraId="040510DE" w14:textId="77777777" w:rsidR="002E5A3A" w:rsidRPr="00F7123D" w:rsidRDefault="002E5A3A" w:rsidP="002E5A3A">
            <w:pPr>
              <w:pStyle w:val="TableBody"/>
              <w:rPr>
                <w:lang w:eastAsia="en-AU"/>
              </w:rPr>
            </w:pPr>
            <w:r>
              <w:rPr>
                <w:lang w:eastAsia="en-AU"/>
              </w:rPr>
              <w:t>Small (1 – 20 employees)</w:t>
            </w:r>
          </w:p>
        </w:tc>
        <w:tc>
          <w:tcPr>
            <w:tcW w:w="1807" w:type="pct"/>
            <w:vAlign w:val="center"/>
          </w:tcPr>
          <w:p w14:paraId="5164BFCE" w14:textId="77777777" w:rsidR="002E5A3A" w:rsidRPr="00F7123D" w:rsidRDefault="002E5A3A" w:rsidP="002E5A3A">
            <w:pPr>
              <w:pStyle w:val="TableBody"/>
              <w:rPr>
                <w:lang w:eastAsia="en-AU"/>
              </w:rPr>
            </w:pPr>
            <w:r>
              <w:rPr>
                <w:lang w:eastAsia="en-AU"/>
              </w:rPr>
              <w:t>42%</w:t>
            </w:r>
          </w:p>
        </w:tc>
      </w:tr>
      <w:tr w:rsidR="002E5A3A" w:rsidRPr="00F7123D" w14:paraId="54632EDD" w14:textId="77777777" w:rsidTr="004C687A">
        <w:trPr>
          <w:trHeight w:val="315"/>
        </w:trPr>
        <w:tc>
          <w:tcPr>
            <w:tcW w:w="3193" w:type="pct"/>
            <w:shd w:val="clear" w:color="auto" w:fill="auto"/>
            <w:vAlign w:val="center"/>
          </w:tcPr>
          <w:p w14:paraId="450D6423" w14:textId="77777777" w:rsidR="002E5A3A" w:rsidRPr="00F7123D" w:rsidRDefault="002E5A3A" w:rsidP="002E5A3A">
            <w:pPr>
              <w:pStyle w:val="TableBody"/>
              <w:rPr>
                <w:lang w:eastAsia="en-AU"/>
              </w:rPr>
            </w:pPr>
            <w:r>
              <w:rPr>
                <w:lang w:eastAsia="en-AU"/>
              </w:rPr>
              <w:t>Medium (21 – 200 employees)</w:t>
            </w:r>
          </w:p>
        </w:tc>
        <w:tc>
          <w:tcPr>
            <w:tcW w:w="1807" w:type="pct"/>
            <w:vAlign w:val="center"/>
          </w:tcPr>
          <w:p w14:paraId="2DC75DB8" w14:textId="77777777" w:rsidR="002E5A3A" w:rsidRPr="00F7123D" w:rsidRDefault="002E5A3A" w:rsidP="002E5A3A">
            <w:pPr>
              <w:pStyle w:val="TableBody"/>
              <w:rPr>
                <w:lang w:eastAsia="en-AU"/>
              </w:rPr>
            </w:pPr>
            <w:r>
              <w:rPr>
                <w:lang w:eastAsia="en-AU"/>
              </w:rPr>
              <w:t>14%</w:t>
            </w:r>
          </w:p>
        </w:tc>
      </w:tr>
      <w:tr w:rsidR="002E5A3A" w:rsidRPr="00F7123D" w14:paraId="452A7DB7" w14:textId="77777777" w:rsidTr="004C687A">
        <w:trPr>
          <w:trHeight w:val="315"/>
        </w:trPr>
        <w:tc>
          <w:tcPr>
            <w:tcW w:w="3193" w:type="pct"/>
            <w:shd w:val="clear" w:color="auto" w:fill="auto"/>
            <w:vAlign w:val="center"/>
          </w:tcPr>
          <w:p w14:paraId="7C09B803" w14:textId="77777777" w:rsidR="002E5A3A" w:rsidRPr="00F7123D" w:rsidRDefault="002E5A3A" w:rsidP="002E5A3A">
            <w:pPr>
              <w:pStyle w:val="TableBody"/>
              <w:rPr>
                <w:b/>
                <w:bCs/>
              </w:rPr>
            </w:pPr>
            <w:r w:rsidRPr="00F7123D">
              <w:rPr>
                <w:b/>
                <w:bCs/>
              </w:rPr>
              <w:t>Total</w:t>
            </w:r>
          </w:p>
        </w:tc>
        <w:tc>
          <w:tcPr>
            <w:tcW w:w="1807" w:type="pct"/>
            <w:vAlign w:val="center"/>
          </w:tcPr>
          <w:p w14:paraId="1BE5423A" w14:textId="77777777" w:rsidR="002E5A3A" w:rsidRPr="00F7123D" w:rsidRDefault="002E5A3A" w:rsidP="002E5A3A">
            <w:pPr>
              <w:pStyle w:val="TableBody"/>
              <w:rPr>
                <w:b/>
                <w:bCs/>
              </w:rPr>
            </w:pPr>
            <w:r w:rsidRPr="00F7123D">
              <w:rPr>
                <w:b/>
                <w:bCs/>
              </w:rPr>
              <w:t>100%</w:t>
            </w:r>
          </w:p>
        </w:tc>
      </w:tr>
    </w:tbl>
    <w:p w14:paraId="0A25BCBC" w14:textId="77777777" w:rsidR="002E5A3A" w:rsidRDefault="002E5A3A" w:rsidP="002E5A3A">
      <w:pPr>
        <w:pStyle w:val="NormalIndent"/>
        <w:ind w:left="0"/>
        <w:rPr>
          <w:lang w:eastAsia="en-AU"/>
        </w:rPr>
      </w:pPr>
      <w:r>
        <w:rPr>
          <w:rFonts w:ascii="Arial" w:hAnsi="Arial" w:cs="Arial"/>
          <w:sz w:val="20"/>
          <w:szCs w:val="20"/>
        </w:rPr>
        <w:br/>
      </w:r>
      <w:r w:rsidRPr="002E5A3A">
        <w:rPr>
          <w:rStyle w:val="BodyTextChar"/>
        </w:rPr>
        <w:t>Research undertaken by AESAG estimates that there are between 8,000 and 10,000 people working</w:t>
      </w:r>
      <w:r w:rsidRPr="00C8398E">
        <w:rPr>
          <w:rFonts w:ascii="Arial" w:hAnsi="Arial" w:cs="Arial"/>
          <w:sz w:val="20"/>
          <w:szCs w:val="20"/>
        </w:rPr>
        <w:t xml:space="preserve"> with engineered stone in Australia</w:t>
      </w:r>
      <w:r>
        <w:rPr>
          <w:lang w:eastAsia="en-AU"/>
        </w:rPr>
        <w:t>.</w:t>
      </w:r>
      <w:r>
        <w:rPr>
          <w:rStyle w:val="FootnoteReference"/>
          <w:lang w:eastAsia="en-AU"/>
        </w:rPr>
        <w:footnoteReference w:id="20"/>
      </w:r>
    </w:p>
    <w:p w14:paraId="64C6374F" w14:textId="41A70D4B" w:rsidR="002E5A3A" w:rsidRDefault="002E5A3A" w:rsidP="00B02706">
      <w:pPr>
        <w:pStyle w:val="Heading2"/>
      </w:pPr>
      <w:bookmarkStart w:id="673" w:name="_Toc126573229"/>
      <w:r>
        <w:t>Step 2: Determine the impact a prohibition on working with engineered stone will have on businesses</w:t>
      </w:r>
      <w:bookmarkEnd w:id="673"/>
      <w:r>
        <w:t xml:space="preserve"> </w:t>
      </w:r>
    </w:p>
    <w:p w14:paraId="2344C8B0" w14:textId="77777777" w:rsidR="002E5A3A" w:rsidRDefault="002E5A3A" w:rsidP="00B02706">
      <w:pPr>
        <w:pStyle w:val="BodyText"/>
      </w:pPr>
      <w:r>
        <w:t xml:space="preserve">The impact of a </w:t>
      </w:r>
      <w:r w:rsidRPr="00767776">
        <w:t>prohibition on working with engineered stone</w:t>
      </w:r>
      <w:r>
        <w:t xml:space="preserve"> will vary according to whether a PCBU is able to:  </w:t>
      </w:r>
    </w:p>
    <w:p w14:paraId="20D3CC80" w14:textId="77777777" w:rsidR="002E5A3A" w:rsidRDefault="002E5A3A" w:rsidP="00B02706">
      <w:pPr>
        <w:pStyle w:val="ListBullet"/>
      </w:pPr>
      <w:r>
        <w:t>c</w:t>
      </w:r>
      <w:r w:rsidRPr="00261678">
        <w:t xml:space="preserve">ontinue working with </w:t>
      </w:r>
      <w:r>
        <w:t>engineered stone</w:t>
      </w:r>
      <w:r w:rsidRPr="00261678">
        <w:t xml:space="preserve"> for exempt activities</w:t>
      </w:r>
      <w:r>
        <w:t>, or</w:t>
      </w:r>
    </w:p>
    <w:p w14:paraId="785905B1" w14:textId="77777777" w:rsidR="002E5A3A" w:rsidRDefault="002E5A3A" w:rsidP="00B02706">
      <w:pPr>
        <w:pStyle w:val="ListBullet"/>
      </w:pPr>
      <w:r>
        <w:lastRenderedPageBreak/>
        <w:t xml:space="preserve">absorb the costs associated with a switch to an alternative product. </w:t>
      </w:r>
    </w:p>
    <w:p w14:paraId="0A3C442D" w14:textId="77777777" w:rsidR="002E5A3A" w:rsidRDefault="002E5A3A" w:rsidP="00B02706">
      <w:pPr>
        <w:pStyle w:val="BodyText"/>
        <w:rPr>
          <w:rFonts w:eastAsiaTheme="majorEastAsia"/>
          <w:b/>
          <w:bCs/>
          <w:color w:val="014463" w:themeColor="text2"/>
          <w:lang w:eastAsia="en-AU"/>
        </w:rPr>
      </w:pPr>
      <w:r>
        <w:t>As presented in the following sections, the impact of this decision will differ between sole traders and small businesses, and medium sized businesses.</w:t>
      </w:r>
    </w:p>
    <w:p w14:paraId="451022FA" w14:textId="77777777" w:rsidR="002E5A3A" w:rsidRDefault="002E5A3A" w:rsidP="00B02706">
      <w:pPr>
        <w:pStyle w:val="Heading5"/>
      </w:pPr>
      <w:r w:rsidRPr="003D517E">
        <w:rPr>
          <w:lang w:eastAsia="en-AU"/>
        </w:rPr>
        <w:t>Sole traders and small businesses</w:t>
      </w:r>
    </w:p>
    <w:p w14:paraId="171AA63E" w14:textId="77777777" w:rsidR="002E5A3A" w:rsidRDefault="002E5A3A" w:rsidP="00B02706">
      <w:pPr>
        <w:pStyle w:val="BodyText"/>
      </w:pPr>
      <w:r>
        <w:t>As the vast majority of work with engineered stone is fabrication and/or installation of new benchtops, it is anticipated that only a small proportion of sole traders and small businesses would continue to work with engineered stone for exempt activities on an ongoing basis.</w:t>
      </w:r>
    </w:p>
    <w:p w14:paraId="74684EB2" w14:textId="2AF6F25C" w:rsidR="002E5A3A" w:rsidRDefault="002E5A3A" w:rsidP="00B02706">
      <w:pPr>
        <w:pStyle w:val="BodyText"/>
      </w:pPr>
      <w:r>
        <w:t>All remaining sole traders and small businesses must determine whether they can absorb the costs required to switch to an alternative product. Feedback from stakeholders in response to the options presented in the CRIS confirmed that the majority of sole traders and small businesses face significant financial pressure and would struggle to absorb the financial burden of additional regulation. It is therefore expected that sole traders and small businesses w</w:t>
      </w:r>
      <w:r w:rsidR="00957D8B">
        <w:t>ould</w:t>
      </w:r>
      <w:r>
        <w:t xml:space="preserve"> only continue operating if they c</w:t>
      </w:r>
      <w:r w:rsidR="00957D8B">
        <w:t>ould</w:t>
      </w:r>
      <w:r>
        <w:t xml:space="preserve"> switch to an alternative product that does not require the purchase of new equipment. If this is not possible, then </w:t>
      </w:r>
      <w:r w:rsidR="00957D8B">
        <w:t xml:space="preserve">it is likely </w:t>
      </w:r>
      <w:r>
        <w:t>they w</w:t>
      </w:r>
      <w:r w:rsidR="00957D8B">
        <w:t>ould</w:t>
      </w:r>
      <w:r>
        <w:t xml:space="preserve"> cease operating. The decision matrix and likely impact of the ban on sole traders and small businesses is presented in </w:t>
      </w:r>
      <w:r>
        <w:fldChar w:fldCharType="begin"/>
      </w:r>
      <w:r>
        <w:instrText xml:space="preserve"> REF _Ref124275863 \h  \* MERGEFORMAT </w:instrText>
      </w:r>
      <w:r>
        <w:fldChar w:fldCharType="separate"/>
      </w:r>
      <w:r w:rsidR="00161B36" w:rsidRPr="00C604A0">
        <w:t xml:space="preserve">Figure </w:t>
      </w:r>
      <w:r>
        <w:fldChar w:fldCharType="end"/>
      </w:r>
      <w:r w:rsidR="00161B36">
        <w:t>2</w:t>
      </w:r>
      <w:r>
        <w:t xml:space="preserve"> below.</w:t>
      </w:r>
    </w:p>
    <w:p w14:paraId="609FE904" w14:textId="77ACAB5B" w:rsidR="002E5A3A" w:rsidRDefault="002E5A3A" w:rsidP="00B02706">
      <w:pPr>
        <w:pStyle w:val="Caption"/>
      </w:pPr>
      <w:bookmarkStart w:id="674" w:name="_Ref124275863"/>
      <w:r w:rsidRPr="00C604A0">
        <w:t xml:space="preserve">Figure </w:t>
      </w:r>
      <w:bookmarkEnd w:id="674"/>
      <w:r w:rsidR="00161B36">
        <w:t>2</w:t>
      </w:r>
      <w:r w:rsidRPr="00C604A0">
        <w:t xml:space="preserve">: Impact of </w:t>
      </w:r>
      <w:r>
        <w:t xml:space="preserve">a prohibition on working with </w:t>
      </w:r>
      <w:r w:rsidRPr="00C604A0">
        <w:t xml:space="preserve">engineered stone – </w:t>
      </w:r>
      <w:r>
        <w:t>Sol</w:t>
      </w:r>
      <w:r w:rsidRPr="00C604A0">
        <w:t>e traders and small businesses</w:t>
      </w:r>
    </w:p>
    <w:p w14:paraId="71BB1D16" w14:textId="77777777" w:rsidR="002E5A3A" w:rsidRDefault="002E5A3A" w:rsidP="002E5A3A">
      <w:pPr>
        <w:pStyle w:val="NormalIndent"/>
        <w:ind w:left="0"/>
        <w:rPr>
          <w:noProof/>
        </w:rPr>
      </w:pPr>
      <w:r w:rsidRPr="00EB0F5B">
        <w:rPr>
          <w:noProof/>
          <w:lang w:eastAsia="en-AU"/>
        </w:rPr>
        <w:drawing>
          <wp:inline distT="0" distB="0" distL="0" distR="0" wp14:anchorId="593B10C4" wp14:editId="1DAFEE89">
            <wp:extent cx="5731510" cy="2552065"/>
            <wp:effectExtent l="0" t="0" r="2540" b="635"/>
            <wp:docPr id="10" name="Picture 10" descr="Figure 2 shows a decision tree describing the impact of a prohibition on working with engineered stone on sole traders and small businesses. It describes three scenarios as switching to alternate products, continues working with engineered stone and ceasing ope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gure 2 shows a decision tree describing the impact of a prohibition on working with engineered stone on sole traders and small businesses. It describes three scenarios as switching to alternate products, continues working with engineered stone and ceasing operation. "/>
                    <pic:cNvPicPr/>
                  </pic:nvPicPr>
                  <pic:blipFill>
                    <a:blip r:embed="rId23"/>
                    <a:stretch>
                      <a:fillRect/>
                    </a:stretch>
                  </pic:blipFill>
                  <pic:spPr>
                    <a:xfrm>
                      <a:off x="0" y="0"/>
                      <a:ext cx="5731510" cy="2552065"/>
                    </a:xfrm>
                    <a:prstGeom prst="rect">
                      <a:avLst/>
                    </a:prstGeom>
                  </pic:spPr>
                </pic:pic>
              </a:graphicData>
            </a:graphic>
          </wp:inline>
        </w:drawing>
      </w:r>
    </w:p>
    <w:p w14:paraId="3257BEA4" w14:textId="77777777" w:rsidR="002E5A3A" w:rsidRPr="003D517E" w:rsidRDefault="002E5A3A" w:rsidP="00B02706">
      <w:pPr>
        <w:pStyle w:val="Heading5"/>
        <w:rPr>
          <w:lang w:eastAsia="en-AU"/>
        </w:rPr>
      </w:pPr>
      <w:r>
        <w:rPr>
          <w:lang w:eastAsia="en-AU"/>
        </w:rPr>
        <w:t>M</w:t>
      </w:r>
      <w:r w:rsidRPr="003D517E">
        <w:rPr>
          <w:lang w:eastAsia="en-AU"/>
        </w:rPr>
        <w:t>edium sized businesses</w:t>
      </w:r>
    </w:p>
    <w:p w14:paraId="6B3977E9" w14:textId="77777777" w:rsidR="002E5A3A" w:rsidRDefault="002E5A3A" w:rsidP="00B02706">
      <w:pPr>
        <w:pStyle w:val="BodyText"/>
      </w:pPr>
      <w:r>
        <w:t>As the vast majority of work with engineered stone is fabrication and/or installation of new benchtops, it is anticipated that only a small proportion of medium sized businesses would continue to work with engineered stone for exempt activities on an ongoing basis.</w:t>
      </w:r>
    </w:p>
    <w:p w14:paraId="16BA19C9" w14:textId="4B07B695" w:rsidR="002E5A3A" w:rsidRDefault="002E5A3A" w:rsidP="00B02706">
      <w:pPr>
        <w:pStyle w:val="BodyText"/>
      </w:pPr>
      <w:r>
        <w:t>Unlike sole traders and small businesses, it is anticipated that a proportion of medium sized businesses w</w:t>
      </w:r>
      <w:r w:rsidR="00A967F4">
        <w:t>ould</w:t>
      </w:r>
      <w:r>
        <w:t xml:space="preserve"> be able to purchase new equipment to switch to alternative products (e.g. wood), and would not have to cease operating. The decision matrix and likely impacts for medium sized businesses is presented in </w:t>
      </w:r>
      <w:r>
        <w:fldChar w:fldCharType="begin"/>
      </w:r>
      <w:r>
        <w:instrText xml:space="preserve"> REF _Ref124165849 \h  \* MERGEFORMAT </w:instrText>
      </w:r>
      <w:r>
        <w:fldChar w:fldCharType="separate"/>
      </w:r>
      <w:r w:rsidR="00161B36" w:rsidRPr="00FD651F">
        <w:t>Figure</w:t>
      </w:r>
      <w:r>
        <w:fldChar w:fldCharType="end"/>
      </w:r>
      <w:r w:rsidR="00161B36">
        <w:t xml:space="preserve"> 3</w:t>
      </w:r>
      <w:r>
        <w:t>.</w:t>
      </w:r>
    </w:p>
    <w:p w14:paraId="7C7BFC79" w14:textId="5AB10DBD" w:rsidR="002E5A3A" w:rsidRDefault="002E5A3A" w:rsidP="00B02706">
      <w:pPr>
        <w:pStyle w:val="Caption"/>
        <w:rPr>
          <w:b w:val="0"/>
          <w:i/>
        </w:rPr>
      </w:pPr>
      <w:bookmarkStart w:id="675" w:name="_Ref124165849"/>
      <w:r w:rsidRPr="00FD651F">
        <w:lastRenderedPageBreak/>
        <w:t>Figure</w:t>
      </w:r>
      <w:bookmarkEnd w:id="675"/>
      <w:r w:rsidR="00161B36">
        <w:t xml:space="preserve"> 3</w:t>
      </w:r>
      <w:r w:rsidRPr="00FD651F">
        <w:t xml:space="preserve">: </w:t>
      </w:r>
      <w:r w:rsidRPr="00B02706">
        <w:t>Impact</w:t>
      </w:r>
      <w:r w:rsidRPr="00AD28F0">
        <w:t xml:space="preserve"> of a prohibition on working with engineered stone </w:t>
      </w:r>
      <w:r w:rsidRPr="00FD651F">
        <w:t>– medium sized businesses</w:t>
      </w:r>
    </w:p>
    <w:p w14:paraId="3B91A099" w14:textId="77777777" w:rsidR="002E5A3A" w:rsidRDefault="002E5A3A" w:rsidP="002E5A3A">
      <w:r w:rsidRPr="0040525B">
        <w:rPr>
          <w:noProof/>
          <w:lang w:eastAsia="en-AU"/>
        </w:rPr>
        <w:drawing>
          <wp:inline distT="0" distB="0" distL="0" distR="0" wp14:anchorId="599A4AB1" wp14:editId="728EA6E0">
            <wp:extent cx="5731510" cy="2552065"/>
            <wp:effectExtent l="0" t="0" r="2540" b="635"/>
            <wp:docPr id="5" name="Picture 5" descr="Figure 3 shows a decision tree describing the impact of a prohibition on working with engineered stone on medium sized businesses. It describes three scenarios as switching to alternate products, continues working with engineered stone and ceasing ope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3 shows a decision tree describing the impact of a prohibition on working with engineered stone on medium sized businesses. It describes three scenarios as switching to alternate products, continues working with engineered stone and ceasing operation. "/>
                    <pic:cNvPicPr/>
                  </pic:nvPicPr>
                  <pic:blipFill>
                    <a:blip r:embed="rId24"/>
                    <a:stretch>
                      <a:fillRect/>
                    </a:stretch>
                  </pic:blipFill>
                  <pic:spPr>
                    <a:xfrm>
                      <a:off x="0" y="0"/>
                      <a:ext cx="5731510" cy="2552065"/>
                    </a:xfrm>
                    <a:prstGeom prst="rect">
                      <a:avLst/>
                    </a:prstGeom>
                  </pic:spPr>
                </pic:pic>
              </a:graphicData>
            </a:graphic>
          </wp:inline>
        </w:drawing>
      </w:r>
    </w:p>
    <w:p w14:paraId="4F78C97B" w14:textId="77777777" w:rsidR="002E5A3A" w:rsidRDefault="002E5A3A" w:rsidP="00B02706">
      <w:pPr>
        <w:pStyle w:val="Heading2"/>
      </w:pPr>
      <w:bookmarkStart w:id="676" w:name="_Toc126573230"/>
      <w:r>
        <w:t>Step 3: Identify costs to industry</w:t>
      </w:r>
      <w:bookmarkEnd w:id="676"/>
    </w:p>
    <w:p w14:paraId="67D657DC" w14:textId="73FA8B3D" w:rsidR="002E5A3A" w:rsidRDefault="002E5A3A" w:rsidP="00B02706">
      <w:pPr>
        <w:pStyle w:val="BodyText"/>
      </w:pPr>
      <w:r>
        <w:t>The costs to sole traders, small and medium sized businesses resulting from a prohibition on working with engineered stone w</w:t>
      </w:r>
      <w:r w:rsidR="00EC03CD">
        <w:t>ould</w:t>
      </w:r>
      <w:r>
        <w:t xml:space="preserve"> differ according to their ability to pivot to an alternative product. The costs incurred as a result of a prohibition are likely to include:</w:t>
      </w:r>
    </w:p>
    <w:p w14:paraId="24F58D82" w14:textId="77777777" w:rsidR="002E5A3A" w:rsidRDefault="002E5A3A" w:rsidP="00B02706">
      <w:pPr>
        <w:pStyle w:val="ListBullet"/>
      </w:pPr>
      <w:r>
        <w:t>capital costs to purchase new equipment to switch to a non-stone product (e.g. wood)</w:t>
      </w:r>
    </w:p>
    <w:p w14:paraId="7B426DFE" w14:textId="77777777" w:rsidR="002E5A3A" w:rsidRDefault="002E5A3A" w:rsidP="00B02706">
      <w:pPr>
        <w:pStyle w:val="ListBullet"/>
      </w:pPr>
      <w:r>
        <w:t xml:space="preserve">training costs associated with:  </w:t>
      </w:r>
    </w:p>
    <w:p w14:paraId="3E82AB33" w14:textId="77777777" w:rsidR="002E5A3A" w:rsidRDefault="002E5A3A" w:rsidP="00B02706">
      <w:pPr>
        <w:pStyle w:val="ListBullet"/>
      </w:pPr>
      <w:r>
        <w:t>a switch to an alternative product</w:t>
      </w:r>
    </w:p>
    <w:p w14:paraId="35EE9C2B" w14:textId="77777777" w:rsidR="002E5A3A" w:rsidRDefault="002E5A3A" w:rsidP="00B02706">
      <w:pPr>
        <w:pStyle w:val="ListBullet"/>
      </w:pPr>
      <w:r>
        <w:t>ensuring employees can work safely with engineered stone for exempt activities</w:t>
      </w:r>
    </w:p>
    <w:p w14:paraId="1DE9F2E4" w14:textId="77777777" w:rsidR="002E5A3A" w:rsidRPr="00A90CCF" w:rsidRDefault="002E5A3A" w:rsidP="00B02706">
      <w:pPr>
        <w:pStyle w:val="ListBullet"/>
      </w:pPr>
      <w:r>
        <w:t>l</w:t>
      </w:r>
      <w:r w:rsidRPr="002F7986">
        <w:t>ost revenue during</w:t>
      </w:r>
      <w:r>
        <w:t xml:space="preserve"> the</w:t>
      </w:r>
      <w:r w:rsidRPr="002F7986">
        <w:t xml:space="preserve"> transition period to </w:t>
      </w:r>
      <w:r>
        <w:t xml:space="preserve">an </w:t>
      </w:r>
      <w:r w:rsidRPr="002F7986">
        <w:t>alternative product</w:t>
      </w:r>
    </w:p>
    <w:p w14:paraId="3317E36E" w14:textId="77777777" w:rsidR="002E5A3A" w:rsidRDefault="002E5A3A" w:rsidP="00B02706">
      <w:pPr>
        <w:pStyle w:val="ListBullet"/>
      </w:pPr>
      <w:r>
        <w:t>payment of redundancy packages resulting from business closure</w:t>
      </w:r>
    </w:p>
    <w:p w14:paraId="367CBB31" w14:textId="77777777" w:rsidR="002E5A3A" w:rsidRDefault="002E5A3A" w:rsidP="00B02706">
      <w:pPr>
        <w:pStyle w:val="ListBullet"/>
      </w:pPr>
      <w:r>
        <w:t>lost revenue as a result of business closure</w:t>
      </w:r>
    </w:p>
    <w:p w14:paraId="6A262489" w14:textId="77777777" w:rsidR="002E5A3A" w:rsidRDefault="002E5A3A" w:rsidP="00B02706">
      <w:pPr>
        <w:pStyle w:val="ListBullet"/>
      </w:pPr>
      <w:r>
        <w:t xml:space="preserve">cost to acquire a licence to work with engineered stone for exempt activities. </w:t>
      </w:r>
    </w:p>
    <w:p w14:paraId="54547E86" w14:textId="77777777" w:rsidR="002E5A3A" w:rsidRDefault="002E5A3A" w:rsidP="00B02706">
      <w:pPr>
        <w:pStyle w:val="BodyText"/>
      </w:pPr>
      <w:r>
        <w:t xml:space="preserve">While a number of these costs will be immediately borne by industry, government compensation may be required under circumstance where sole traders and businesses working with engineered stone have suffered financial loss as a consequence of the prohibition. </w:t>
      </w:r>
    </w:p>
    <w:p w14:paraId="4886C3F4" w14:textId="77777777" w:rsidR="002E5A3A" w:rsidRDefault="002E5A3A" w:rsidP="00B02706">
      <w:pPr>
        <w:pStyle w:val="BodyText"/>
        <w:sectPr w:rsidR="002E5A3A" w:rsidSect="004C687A">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pPr>
      <w:r>
        <w:t>The costs to industry will differ between sole traders and small businesses, and medium sized businesses, as presented in the following sections.</w:t>
      </w:r>
    </w:p>
    <w:p w14:paraId="75184958" w14:textId="77777777" w:rsidR="002E5A3A" w:rsidRPr="003D517E" w:rsidRDefault="002E5A3A" w:rsidP="00B02706">
      <w:pPr>
        <w:pStyle w:val="Heading5"/>
        <w:rPr>
          <w:lang w:eastAsia="en-AU"/>
        </w:rPr>
      </w:pPr>
      <w:r w:rsidRPr="003D517E">
        <w:rPr>
          <w:lang w:eastAsia="en-AU"/>
        </w:rPr>
        <w:lastRenderedPageBreak/>
        <w:t>Sole traders and small businesses</w:t>
      </w:r>
    </w:p>
    <w:p w14:paraId="3FC2AFC7" w14:textId="2454D2B9" w:rsidR="002E5A3A" w:rsidRDefault="002E5A3A" w:rsidP="002E5A3A">
      <w:pPr>
        <w:rPr>
          <w:rFonts w:ascii="Arial" w:hAnsi="Arial" w:cs="Arial"/>
          <w:sz w:val="20"/>
          <w:szCs w:val="20"/>
        </w:rPr>
      </w:pPr>
      <w:r w:rsidRPr="00572272">
        <w:rPr>
          <w:rFonts w:ascii="Arial" w:hAnsi="Arial" w:cs="Arial"/>
          <w:sz w:val="20"/>
          <w:szCs w:val="20"/>
        </w:rPr>
        <w:t>The</w:t>
      </w:r>
      <w:r>
        <w:rPr>
          <w:rFonts w:ascii="Arial" w:hAnsi="Arial" w:cs="Arial"/>
          <w:sz w:val="20"/>
          <w:szCs w:val="20"/>
        </w:rPr>
        <w:t xml:space="preserve"> likely cost to industry resulting from a prohibition on working with engineered stone for sole traders and small businesses under the three scenarios identified in Step 2 are presented in </w:t>
      </w:r>
      <w:r w:rsidR="00161B36">
        <w:rPr>
          <w:rFonts w:ascii="Arial" w:hAnsi="Arial" w:cs="Arial"/>
          <w:sz w:val="20"/>
          <w:szCs w:val="20"/>
        </w:rPr>
        <w:t>Figure 4</w:t>
      </w:r>
      <w:r>
        <w:rPr>
          <w:rFonts w:ascii="Arial" w:hAnsi="Arial" w:cs="Arial"/>
          <w:sz w:val="20"/>
          <w:szCs w:val="20"/>
        </w:rPr>
        <w:t xml:space="preserve"> below.</w:t>
      </w:r>
    </w:p>
    <w:p w14:paraId="2ADE340B" w14:textId="38947EFF" w:rsidR="002E5A3A" w:rsidRDefault="002E5A3A" w:rsidP="00B02706">
      <w:pPr>
        <w:pStyle w:val="Caption"/>
        <w:rPr>
          <w:b w:val="0"/>
          <w:i/>
        </w:rPr>
      </w:pPr>
      <w:bookmarkStart w:id="677" w:name="_Ref124259267"/>
      <w:r w:rsidRPr="000A49C1">
        <w:t xml:space="preserve">Figure </w:t>
      </w:r>
      <w:r w:rsidR="00161B36">
        <w:t>4</w:t>
      </w:r>
      <w:bookmarkEnd w:id="677"/>
      <w:r w:rsidRPr="000A49C1">
        <w:t xml:space="preserve">: Cost to industry – </w:t>
      </w:r>
      <w:r>
        <w:t>S</w:t>
      </w:r>
      <w:r w:rsidRPr="000A49C1">
        <w:t>ole traders and small business</w:t>
      </w:r>
    </w:p>
    <w:p w14:paraId="297F602A" w14:textId="77777777" w:rsidR="002E5A3A" w:rsidRDefault="002E5A3A" w:rsidP="002E5A3A">
      <w:r w:rsidRPr="0065585E">
        <w:rPr>
          <w:noProof/>
          <w:lang w:eastAsia="en-AU"/>
        </w:rPr>
        <w:drawing>
          <wp:inline distT="0" distB="0" distL="0" distR="0" wp14:anchorId="49B98D00" wp14:editId="072F5FA6">
            <wp:extent cx="5731510" cy="3482975"/>
            <wp:effectExtent l="0" t="0" r="2540" b="3175"/>
            <wp:docPr id="21" name="Picture 21" descr="Figure 4 shows a decision tree describing the likely cost of a prohibition on working with engineered stone on sole traders and small businesses. It describes three scenarios as switching to alternate products, continues working with engineered stone and ceasing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Figure 4 shows a decision tree describing the likely cost of a prohibition on working with engineered stone on sole traders and small businesses. It describes three scenarios as switching to alternate products, continues working with engineered stone and ceasing operation."/>
                    <pic:cNvPicPr/>
                  </pic:nvPicPr>
                  <pic:blipFill>
                    <a:blip r:embed="rId31"/>
                    <a:stretch>
                      <a:fillRect/>
                    </a:stretch>
                  </pic:blipFill>
                  <pic:spPr>
                    <a:xfrm>
                      <a:off x="0" y="0"/>
                      <a:ext cx="5731510" cy="3482975"/>
                    </a:xfrm>
                    <a:prstGeom prst="rect">
                      <a:avLst/>
                    </a:prstGeom>
                  </pic:spPr>
                </pic:pic>
              </a:graphicData>
            </a:graphic>
          </wp:inline>
        </w:drawing>
      </w:r>
    </w:p>
    <w:p w14:paraId="169900C1" w14:textId="77777777" w:rsidR="002E5A3A" w:rsidRPr="00B55A38" w:rsidRDefault="002E5A3A" w:rsidP="002E5A3A">
      <w:pPr>
        <w:rPr>
          <w:i/>
          <w:iCs/>
        </w:rPr>
      </w:pPr>
    </w:p>
    <w:p w14:paraId="06BEA942" w14:textId="77777777" w:rsidR="002E5A3A" w:rsidRDefault="002E5A3A" w:rsidP="002E5A3A">
      <w:pPr>
        <w:rPr>
          <w:rFonts w:ascii="Arial" w:hAnsi="Arial" w:cs="Arial"/>
          <w:sz w:val="20"/>
          <w:szCs w:val="20"/>
        </w:rPr>
      </w:pPr>
    </w:p>
    <w:p w14:paraId="5B7004D8" w14:textId="77777777" w:rsidR="002E5A3A" w:rsidRDefault="002E5A3A" w:rsidP="002E5A3A">
      <w:pPr>
        <w:rPr>
          <w:rFonts w:ascii="Arial" w:hAnsi="Arial" w:cs="Arial"/>
          <w:sz w:val="20"/>
          <w:szCs w:val="20"/>
        </w:rPr>
        <w:sectPr w:rsidR="002E5A3A" w:rsidSect="004C687A">
          <w:pgSz w:w="11906" w:h="16838"/>
          <w:pgMar w:top="1440" w:right="1440" w:bottom="1440" w:left="1440" w:header="708" w:footer="708" w:gutter="0"/>
          <w:cols w:space="708"/>
          <w:docGrid w:linePitch="360"/>
        </w:sectPr>
      </w:pPr>
    </w:p>
    <w:p w14:paraId="7376B153" w14:textId="77777777" w:rsidR="002E5A3A" w:rsidRPr="003D517E" w:rsidRDefault="002E5A3A" w:rsidP="00B02706">
      <w:pPr>
        <w:pStyle w:val="Heading5"/>
        <w:rPr>
          <w:lang w:eastAsia="en-AU"/>
        </w:rPr>
      </w:pPr>
      <w:r>
        <w:rPr>
          <w:lang w:eastAsia="en-AU"/>
        </w:rPr>
        <w:lastRenderedPageBreak/>
        <w:t xml:space="preserve">Medium sized businesses </w:t>
      </w:r>
    </w:p>
    <w:p w14:paraId="2B7DBBB5" w14:textId="2739002C" w:rsidR="002E5A3A" w:rsidRDefault="002E5A3A" w:rsidP="00B02706">
      <w:pPr>
        <w:pStyle w:val="BodyText"/>
      </w:pPr>
      <w:r w:rsidRPr="00572272">
        <w:t>The</w:t>
      </w:r>
      <w:r>
        <w:t xml:space="preserve"> likely cost to industry resulting from a prohibition on working with engineered stone for medium sized businesses under the three scenarios identified in Step 2 are presented in </w:t>
      </w:r>
      <w:r>
        <w:fldChar w:fldCharType="begin"/>
      </w:r>
      <w:r>
        <w:instrText xml:space="preserve"> REF _Ref124241516 \h  \* MERGEFORMAT </w:instrText>
      </w:r>
      <w:r>
        <w:fldChar w:fldCharType="separate"/>
      </w:r>
      <w:r w:rsidR="00C1416F" w:rsidRPr="00B02706">
        <w:t>Figur</w:t>
      </w:r>
      <w:r>
        <w:fldChar w:fldCharType="end"/>
      </w:r>
      <w:r w:rsidR="00C1416F">
        <w:t>e 5</w:t>
      </w:r>
      <w:r>
        <w:t xml:space="preserve"> below.</w:t>
      </w:r>
    </w:p>
    <w:p w14:paraId="1196E0A7" w14:textId="47F7074A" w:rsidR="002E5A3A" w:rsidRDefault="002E5A3A" w:rsidP="00B02706">
      <w:pPr>
        <w:pStyle w:val="Caption"/>
        <w:rPr>
          <w:sz w:val="20"/>
          <w:szCs w:val="20"/>
        </w:rPr>
      </w:pPr>
      <w:bookmarkStart w:id="678" w:name="_Ref124241516"/>
      <w:r w:rsidRPr="00B02706">
        <w:t>Figur</w:t>
      </w:r>
      <w:bookmarkEnd w:id="678"/>
      <w:r w:rsidR="00C1416F">
        <w:t>e 5</w:t>
      </w:r>
      <w:r w:rsidRPr="00AD021D">
        <w:t xml:space="preserve">: </w:t>
      </w:r>
      <w:r w:rsidRPr="000A49C1">
        <w:t xml:space="preserve">Cost to industry – </w:t>
      </w:r>
      <w:r>
        <w:t>medium sized businesses</w:t>
      </w:r>
      <w:r w:rsidRPr="00C462C8">
        <w:rPr>
          <w:noProof/>
        </w:rPr>
        <w:t xml:space="preserve"> </w:t>
      </w:r>
      <w:r w:rsidRPr="00C462C8">
        <w:rPr>
          <w:noProof/>
          <w:lang w:eastAsia="en-AU"/>
        </w:rPr>
        <w:drawing>
          <wp:inline distT="0" distB="0" distL="0" distR="0" wp14:anchorId="691BBC2E" wp14:editId="36F7CBE8">
            <wp:extent cx="8568965" cy="4380252"/>
            <wp:effectExtent l="0" t="0" r="3810" b="1270"/>
            <wp:docPr id="23" name="Picture 23" descr="Figure 5 shows a decision tree describing the likely cost of a prohibition on working with engineered stone on medium sized businesses. It describes three scenarios as switching to alternate products, continues working with engineered stone and ceasing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Figure 5 shows a decision tree describing the likely cost of a prohibition on working with engineered stone on medium sized businesses. It describes three scenarios as switching to alternate products, continues working with engineered stone and ceasing operation."/>
                    <pic:cNvPicPr/>
                  </pic:nvPicPr>
                  <pic:blipFill>
                    <a:blip r:embed="rId32"/>
                    <a:stretch>
                      <a:fillRect/>
                    </a:stretch>
                  </pic:blipFill>
                  <pic:spPr>
                    <a:xfrm>
                      <a:off x="0" y="0"/>
                      <a:ext cx="8611006" cy="4401743"/>
                    </a:xfrm>
                    <a:prstGeom prst="rect">
                      <a:avLst/>
                    </a:prstGeom>
                  </pic:spPr>
                </pic:pic>
              </a:graphicData>
            </a:graphic>
          </wp:inline>
        </w:drawing>
      </w:r>
    </w:p>
    <w:p w14:paraId="64352E99" w14:textId="77777777" w:rsidR="002E5A3A" w:rsidRDefault="002E5A3A" w:rsidP="002E5A3A">
      <w:pPr>
        <w:rPr>
          <w:rFonts w:ascii="Arial" w:hAnsi="Arial" w:cs="Arial"/>
          <w:sz w:val="20"/>
          <w:szCs w:val="20"/>
        </w:rPr>
      </w:pPr>
    </w:p>
    <w:p w14:paraId="67498BCE" w14:textId="77777777" w:rsidR="002E5A3A" w:rsidRDefault="002E5A3A" w:rsidP="002E5A3A">
      <w:pPr>
        <w:rPr>
          <w:rFonts w:ascii="Arial" w:hAnsi="Arial" w:cs="Arial"/>
          <w:sz w:val="20"/>
          <w:szCs w:val="20"/>
        </w:rPr>
        <w:sectPr w:rsidR="002E5A3A" w:rsidSect="004C687A">
          <w:pgSz w:w="16838" w:h="11906" w:orient="landscape"/>
          <w:pgMar w:top="1440" w:right="1440" w:bottom="1440" w:left="1440" w:header="708" w:footer="708" w:gutter="0"/>
          <w:cols w:space="708"/>
          <w:docGrid w:linePitch="360"/>
        </w:sectPr>
      </w:pPr>
    </w:p>
    <w:p w14:paraId="0B855114" w14:textId="77777777" w:rsidR="002E5A3A" w:rsidRDefault="002E5A3A" w:rsidP="00B02706">
      <w:pPr>
        <w:pStyle w:val="Heading2"/>
      </w:pPr>
      <w:bookmarkStart w:id="679" w:name="_Toc126573231"/>
      <w:r>
        <w:lastRenderedPageBreak/>
        <w:t>Step 4: Identify costs to government resulting from worker displacement</w:t>
      </w:r>
      <w:bookmarkEnd w:id="679"/>
    </w:p>
    <w:p w14:paraId="14842DAE" w14:textId="77777777" w:rsidR="002E5A3A" w:rsidRDefault="002E5A3A" w:rsidP="00B02706">
      <w:pPr>
        <w:pStyle w:val="BodyText"/>
      </w:pPr>
      <w:r>
        <w:t>A prohibition on working with engineered stone may result in the closure of a significant number of sole traders, small and medium sized businesses. As a consequence of the prohibition, displaced workers may follow one of three pathways:</w:t>
      </w:r>
    </w:p>
    <w:p w14:paraId="2DD935A4" w14:textId="77777777" w:rsidR="002E5A3A" w:rsidRDefault="002E5A3A" w:rsidP="00B02706">
      <w:pPr>
        <w:pStyle w:val="ListBullet"/>
      </w:pPr>
      <w:r>
        <w:t xml:space="preserve">retrain / upskill to obtain qualifications for another trade (e.g. cabinet making) </w:t>
      </w:r>
    </w:p>
    <w:p w14:paraId="00EBAEB9" w14:textId="77777777" w:rsidR="002E5A3A" w:rsidRDefault="002E5A3A" w:rsidP="00B02706">
      <w:pPr>
        <w:pStyle w:val="ListBullet"/>
      </w:pPr>
      <w:r>
        <w:t xml:space="preserve">move to another unskilled profession (e.g. labourer) </w:t>
      </w:r>
    </w:p>
    <w:p w14:paraId="6C9A9006" w14:textId="77777777" w:rsidR="002E5A3A" w:rsidRDefault="002E5A3A" w:rsidP="00B02706">
      <w:pPr>
        <w:pStyle w:val="ListBullet"/>
      </w:pPr>
      <w:r>
        <w:t>remain unemployed in the medium to long term.</w:t>
      </w:r>
    </w:p>
    <w:p w14:paraId="00942574" w14:textId="77777777" w:rsidR="002E5A3A" w:rsidRDefault="002E5A3A" w:rsidP="00B02706">
      <w:pPr>
        <w:pStyle w:val="BodyText"/>
      </w:pPr>
      <w:r>
        <w:t xml:space="preserve">These displaced workers may seek government support through: </w:t>
      </w:r>
    </w:p>
    <w:p w14:paraId="4E6D881D" w14:textId="77777777" w:rsidR="002E5A3A" w:rsidRDefault="002E5A3A" w:rsidP="00B02706">
      <w:pPr>
        <w:pStyle w:val="ListBullet"/>
      </w:pPr>
      <w:r>
        <w:t xml:space="preserve">individual training support (e.g. apprenticeships and traineeships) </w:t>
      </w:r>
    </w:p>
    <w:p w14:paraId="5B0BAA7C" w14:textId="77777777" w:rsidR="002E5A3A" w:rsidRDefault="002E5A3A" w:rsidP="00B02706">
      <w:pPr>
        <w:pStyle w:val="ListBullet"/>
      </w:pPr>
      <w:r>
        <w:t>Jobseeker payments during temporary transition to new employment</w:t>
      </w:r>
    </w:p>
    <w:p w14:paraId="69983634" w14:textId="77777777" w:rsidR="002E5A3A" w:rsidRDefault="002E5A3A" w:rsidP="00B02706">
      <w:pPr>
        <w:pStyle w:val="ListBullet"/>
      </w:pPr>
      <w:r>
        <w:t xml:space="preserve">income support payments for the duration of unemployment. </w:t>
      </w:r>
    </w:p>
    <w:p w14:paraId="0F645CF5" w14:textId="500414EC" w:rsidR="002E5A3A" w:rsidRDefault="002E5A3A" w:rsidP="00B02706">
      <w:pPr>
        <w:pStyle w:val="BodyText"/>
      </w:pPr>
      <w:r>
        <w:t xml:space="preserve">The types of costs likely to arise as a result of worker displacement from a prohibition on working with engineered stone under each scenario for sole traders, small and medium sized businesses are presented in </w:t>
      </w:r>
      <w:r>
        <w:fldChar w:fldCharType="begin"/>
      </w:r>
      <w:r>
        <w:instrText xml:space="preserve"> REF _Ref124240800 \h  \* MERGEFORMAT </w:instrText>
      </w:r>
      <w:r>
        <w:fldChar w:fldCharType="separate"/>
      </w:r>
      <w:r w:rsidR="00C1416F" w:rsidRPr="00DA5507">
        <w:t xml:space="preserve">Figure </w:t>
      </w:r>
      <w:r>
        <w:fldChar w:fldCharType="end"/>
      </w:r>
      <w:r w:rsidR="00C1416F">
        <w:t>6</w:t>
      </w:r>
      <w:r>
        <w:t xml:space="preserve"> below.</w:t>
      </w:r>
    </w:p>
    <w:p w14:paraId="184EE458" w14:textId="77777777" w:rsidR="002E5A3A" w:rsidRDefault="002E5A3A" w:rsidP="002E5A3A">
      <w:pPr>
        <w:rPr>
          <w:rFonts w:ascii="Arial" w:hAnsi="Arial" w:cs="Arial"/>
          <w:sz w:val="20"/>
          <w:szCs w:val="20"/>
        </w:rPr>
        <w:sectPr w:rsidR="002E5A3A" w:rsidSect="004C687A">
          <w:pgSz w:w="11906" w:h="16838"/>
          <w:pgMar w:top="1440" w:right="1440" w:bottom="1440" w:left="1440" w:header="708" w:footer="708" w:gutter="0"/>
          <w:cols w:space="708"/>
          <w:docGrid w:linePitch="360"/>
        </w:sectPr>
      </w:pPr>
    </w:p>
    <w:p w14:paraId="259AC66F" w14:textId="34B23E1A" w:rsidR="002E5A3A" w:rsidRPr="00A055F9" w:rsidRDefault="002E5A3A" w:rsidP="00B02706">
      <w:pPr>
        <w:pStyle w:val="Caption"/>
        <w:rPr>
          <w:sz w:val="20"/>
          <w:szCs w:val="20"/>
        </w:rPr>
      </w:pPr>
      <w:bookmarkStart w:id="680" w:name="_Ref124240800"/>
      <w:r w:rsidRPr="00DA5507">
        <w:lastRenderedPageBreak/>
        <w:t xml:space="preserve">Figure </w:t>
      </w:r>
      <w:bookmarkEnd w:id="680"/>
      <w:r w:rsidR="00C1416F" w:rsidRPr="00821635">
        <w:rPr>
          <w:bCs/>
        </w:rPr>
        <w:t>6</w:t>
      </w:r>
      <w:r w:rsidRPr="00821635">
        <w:rPr>
          <w:bCs/>
        </w:rPr>
        <w:t>:</w:t>
      </w:r>
      <w:r w:rsidRPr="00DA5507">
        <w:t xml:space="preserve"> </w:t>
      </w:r>
      <w:r>
        <w:t xml:space="preserve">Cost to government </w:t>
      </w:r>
      <w:r w:rsidRPr="00B02706">
        <w:t>resulting</w:t>
      </w:r>
      <w:r>
        <w:t xml:space="preserve"> from worker displacement</w:t>
      </w:r>
      <w:r w:rsidRPr="004A4FAC">
        <w:rPr>
          <w:noProof/>
        </w:rPr>
        <w:t xml:space="preserve"> </w:t>
      </w:r>
    </w:p>
    <w:p w14:paraId="3DBB4839" w14:textId="77777777" w:rsidR="002E5A3A" w:rsidRDefault="002E5A3A" w:rsidP="002E5A3A">
      <w:pPr>
        <w:rPr>
          <w:rFonts w:ascii="Arial" w:hAnsi="Arial" w:cs="Arial"/>
          <w:sz w:val="20"/>
          <w:szCs w:val="20"/>
        </w:rPr>
      </w:pPr>
      <w:r w:rsidRPr="00A30732">
        <w:rPr>
          <w:noProof/>
          <w:lang w:eastAsia="en-AU"/>
        </w:rPr>
        <w:drawing>
          <wp:inline distT="0" distB="0" distL="0" distR="0" wp14:anchorId="29AC147E" wp14:editId="2FA6CF34">
            <wp:extent cx="8863330" cy="4923790"/>
            <wp:effectExtent l="0" t="0" r="0" b="0"/>
            <wp:docPr id="24" name="Picture 24" descr="Figure 6 shows a decision tree describing the likely cost of a prohibition on working with engineered stone on to government. It describes three scenarios as switching to alternate products, continues working with engineered stone and ceasing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Figure 6 shows a decision tree describing the likely cost of a prohibition on working with engineered stone on to government. It describes three scenarios as switching to alternate products, continues working with engineered stone and ceasing operation."/>
                    <pic:cNvPicPr/>
                  </pic:nvPicPr>
                  <pic:blipFill>
                    <a:blip r:embed="rId33"/>
                    <a:stretch>
                      <a:fillRect/>
                    </a:stretch>
                  </pic:blipFill>
                  <pic:spPr>
                    <a:xfrm>
                      <a:off x="0" y="0"/>
                      <a:ext cx="8863330" cy="4923790"/>
                    </a:xfrm>
                    <a:prstGeom prst="rect">
                      <a:avLst/>
                    </a:prstGeom>
                  </pic:spPr>
                </pic:pic>
              </a:graphicData>
            </a:graphic>
          </wp:inline>
        </w:drawing>
      </w:r>
    </w:p>
    <w:p w14:paraId="54CE7983" w14:textId="77777777" w:rsidR="002E5A3A" w:rsidRPr="00A055F9" w:rsidRDefault="002E5A3A" w:rsidP="002E5A3A">
      <w:pPr>
        <w:rPr>
          <w:rFonts w:ascii="Arial" w:hAnsi="Arial" w:cs="Arial"/>
          <w:sz w:val="20"/>
          <w:szCs w:val="20"/>
        </w:rPr>
        <w:sectPr w:rsidR="002E5A3A" w:rsidRPr="00A055F9" w:rsidSect="004C687A">
          <w:pgSz w:w="16838" w:h="11906" w:orient="landscape"/>
          <w:pgMar w:top="1440" w:right="1440" w:bottom="1440" w:left="1440" w:header="708" w:footer="708" w:gutter="0"/>
          <w:cols w:space="708"/>
          <w:docGrid w:linePitch="360"/>
        </w:sectPr>
      </w:pPr>
    </w:p>
    <w:p w14:paraId="10188962" w14:textId="77777777" w:rsidR="002E5A3A" w:rsidRPr="004A6BDD" w:rsidRDefault="002E5A3A" w:rsidP="00B02706">
      <w:pPr>
        <w:pStyle w:val="Heading2"/>
      </w:pPr>
      <w:bookmarkStart w:id="681" w:name="_Toc126573232"/>
      <w:r>
        <w:lastRenderedPageBreak/>
        <w:t>Step 5: Scenario analysis</w:t>
      </w:r>
      <w:bookmarkEnd w:id="681"/>
    </w:p>
    <w:p w14:paraId="185B3292" w14:textId="2102A583" w:rsidR="002E5A3A" w:rsidRPr="00700903" w:rsidRDefault="002E5A3A" w:rsidP="00B02706">
      <w:pPr>
        <w:pStyle w:val="BodyText"/>
      </w:pPr>
      <w:r w:rsidRPr="00700903">
        <w:t>Given th</w:t>
      </w:r>
      <w:r>
        <w:t xml:space="preserve">is option was developed as a result of consultation feedback, further engagement with stakeholders would be required to gather data and understand </w:t>
      </w:r>
      <w:r w:rsidRPr="00700903">
        <w:t>the decision</w:t>
      </w:r>
      <w:r>
        <w:t>s</w:t>
      </w:r>
      <w:r w:rsidRPr="00700903">
        <w:t xml:space="preserve"> businesses </w:t>
      </w:r>
      <w:r>
        <w:t xml:space="preserve">would make if </w:t>
      </w:r>
      <w:r w:rsidRPr="00700903">
        <w:t>a prohibition on working with engineered stone</w:t>
      </w:r>
      <w:r>
        <w:t xml:space="preserve"> was implemented. This means </w:t>
      </w:r>
      <w:r w:rsidRPr="00700903">
        <w:t xml:space="preserve">it is not possible </w:t>
      </w:r>
      <w:r>
        <w:t xml:space="preserve">in this </w:t>
      </w:r>
      <w:r w:rsidR="0054756F">
        <w:t>DRIS</w:t>
      </w:r>
      <w:r>
        <w:t xml:space="preserve"> </w:t>
      </w:r>
      <w:r w:rsidRPr="00700903">
        <w:t>to provide an estimate on the likely cost to business</w:t>
      </w:r>
      <w:r>
        <w:t>es</w:t>
      </w:r>
      <w:r w:rsidRPr="00700903">
        <w:t xml:space="preserve"> and government for all the potential scenarios presented.</w:t>
      </w:r>
    </w:p>
    <w:p w14:paraId="7DAFC6D4" w14:textId="43F3CC7F" w:rsidR="002E5A3A" w:rsidRDefault="002E5A3A" w:rsidP="00B02706">
      <w:pPr>
        <w:pStyle w:val="BodyText"/>
      </w:pPr>
      <w:r>
        <w:t xml:space="preserve">Two scenarios have been developed to provide an indication of the likely cost to individual businesses, the cost to retrain displaced workers (presented on a per worker basis) and potential industry support package payments that may be made to businesses impacted by the prohibition. These scenarios are presented in </w:t>
      </w:r>
      <w:r>
        <w:fldChar w:fldCharType="begin"/>
      </w:r>
      <w:r>
        <w:instrText xml:space="preserve"> REF _Ref124420333 \h  \* MERGEFORMAT </w:instrText>
      </w:r>
      <w:r>
        <w:fldChar w:fldCharType="separate"/>
      </w:r>
      <w:r w:rsidR="00E75FA2" w:rsidRPr="00BE13E8">
        <w:t xml:space="preserve">Table </w:t>
      </w:r>
      <w:r w:rsidR="00E75FA2">
        <w:t>29</w:t>
      </w:r>
      <w:r>
        <w:fldChar w:fldCharType="end"/>
      </w:r>
      <w:r>
        <w:t xml:space="preserve"> below.</w:t>
      </w:r>
    </w:p>
    <w:p w14:paraId="5B6BB145" w14:textId="037C056F" w:rsidR="002E5A3A" w:rsidRPr="00BE13E8" w:rsidRDefault="002E5A3A" w:rsidP="00B02706">
      <w:pPr>
        <w:pStyle w:val="Caption"/>
        <w:rPr>
          <w:b w:val="0"/>
          <w:i/>
        </w:rPr>
      </w:pPr>
      <w:bookmarkStart w:id="682" w:name="_Ref124420333"/>
      <w:r w:rsidRPr="00BE13E8">
        <w:t xml:space="preserve">Table </w:t>
      </w:r>
      <w:fldSimple w:instr=" SEQ Table \* ARABIC ">
        <w:r w:rsidR="00DF768D">
          <w:rPr>
            <w:noProof/>
          </w:rPr>
          <w:t>29</w:t>
        </w:r>
      </w:fldSimple>
      <w:bookmarkEnd w:id="682"/>
      <w:r w:rsidRPr="00BE13E8">
        <w:t xml:space="preserve">: Scenario </w:t>
      </w:r>
      <w:r w:rsidRPr="00B02706">
        <w:t>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7853"/>
      </w:tblGrid>
      <w:tr w:rsidR="002E5A3A" w:rsidRPr="00A52B4C" w14:paraId="32F9C050" w14:textId="77777777" w:rsidTr="004C687A">
        <w:trPr>
          <w:trHeight w:val="438"/>
          <w:tblHeader/>
        </w:trPr>
        <w:tc>
          <w:tcPr>
            <w:tcW w:w="1148" w:type="pct"/>
            <w:shd w:val="clear" w:color="auto" w:fill="D9D9D9" w:themeFill="background1" w:themeFillShade="D9"/>
            <w:vAlign w:val="center"/>
          </w:tcPr>
          <w:p w14:paraId="4D7C8074" w14:textId="77777777" w:rsidR="002E5A3A" w:rsidRPr="00A52B4C" w:rsidRDefault="002E5A3A" w:rsidP="000C215A">
            <w:pPr>
              <w:pStyle w:val="TableHeading"/>
              <w:rPr>
                <w:lang w:eastAsia="en-AU"/>
              </w:rPr>
            </w:pPr>
            <w:r w:rsidRPr="00A52B4C">
              <w:rPr>
                <w:lang w:eastAsia="en-AU"/>
              </w:rPr>
              <w:t>Scenario</w:t>
            </w:r>
          </w:p>
        </w:tc>
        <w:tc>
          <w:tcPr>
            <w:tcW w:w="3852" w:type="pct"/>
            <w:shd w:val="clear" w:color="auto" w:fill="D9D9D9" w:themeFill="background1" w:themeFillShade="D9"/>
            <w:vAlign w:val="center"/>
          </w:tcPr>
          <w:p w14:paraId="3C58BA8E" w14:textId="77777777" w:rsidR="002E5A3A" w:rsidRPr="00A52B4C" w:rsidRDefault="002E5A3A" w:rsidP="000C215A">
            <w:pPr>
              <w:pStyle w:val="TableHeading"/>
              <w:rPr>
                <w:lang w:eastAsia="en-AU"/>
              </w:rPr>
            </w:pPr>
            <w:r w:rsidRPr="00A52B4C">
              <w:rPr>
                <w:lang w:eastAsia="en-AU"/>
              </w:rPr>
              <w:t>Description</w:t>
            </w:r>
          </w:p>
        </w:tc>
      </w:tr>
      <w:tr w:rsidR="002E5A3A" w:rsidRPr="00A52B4C" w14:paraId="4D903875" w14:textId="77777777" w:rsidTr="004C687A">
        <w:trPr>
          <w:trHeight w:val="717"/>
        </w:trPr>
        <w:tc>
          <w:tcPr>
            <w:tcW w:w="1148" w:type="pct"/>
            <w:shd w:val="clear" w:color="auto" w:fill="auto"/>
            <w:vAlign w:val="center"/>
          </w:tcPr>
          <w:p w14:paraId="32539807" w14:textId="77777777" w:rsidR="002E5A3A" w:rsidRPr="00A52B4C" w:rsidRDefault="002E5A3A" w:rsidP="00B02706">
            <w:pPr>
              <w:pStyle w:val="TableBody"/>
              <w:rPr>
                <w:lang w:eastAsia="en-AU"/>
              </w:rPr>
            </w:pPr>
            <w:r w:rsidRPr="00E955D2">
              <w:rPr>
                <w:lang w:eastAsia="en-AU"/>
              </w:rPr>
              <w:t>Scenario 1</w:t>
            </w:r>
            <w:r w:rsidRPr="00A52B4C">
              <w:rPr>
                <w:lang w:eastAsia="en-AU"/>
              </w:rPr>
              <w:t xml:space="preserve"> </w:t>
            </w:r>
          </w:p>
        </w:tc>
        <w:tc>
          <w:tcPr>
            <w:tcW w:w="3852" w:type="pct"/>
            <w:vAlign w:val="center"/>
          </w:tcPr>
          <w:p w14:paraId="4BFC0BA6" w14:textId="77777777" w:rsidR="002E5A3A" w:rsidRPr="00A52B4C" w:rsidRDefault="002E5A3A" w:rsidP="00B02706">
            <w:pPr>
              <w:pStyle w:val="TableBody"/>
            </w:pPr>
            <w:r>
              <w:t>Under this scenario, a</w:t>
            </w:r>
            <w:r w:rsidRPr="00A52B4C">
              <w:t xml:space="preserve"> prohibition on working with engineered stone will result in </w:t>
            </w:r>
            <w:r>
              <w:t>a</w:t>
            </w:r>
            <w:r w:rsidRPr="00A52B4C">
              <w:t xml:space="preserve"> business either: </w:t>
            </w:r>
          </w:p>
          <w:p w14:paraId="1F57C79B" w14:textId="7ADA48B4" w:rsidR="002E5A3A" w:rsidRPr="00A52B4C" w:rsidRDefault="0061101E" w:rsidP="0061101E">
            <w:pPr>
              <w:pStyle w:val="TableBullet"/>
            </w:pPr>
            <w:r>
              <w:t>s</w:t>
            </w:r>
            <w:r w:rsidR="002E5A3A" w:rsidRPr="00A52B4C">
              <w:t>witching to an alternative product and continue operating using existing equipment</w:t>
            </w:r>
            <w:r w:rsidR="002E5A3A">
              <w:t>, or</w:t>
            </w:r>
          </w:p>
          <w:p w14:paraId="05915928" w14:textId="68131EAB" w:rsidR="002E5A3A" w:rsidRDefault="00633D87" w:rsidP="0061101E">
            <w:pPr>
              <w:pStyle w:val="TableBullet"/>
            </w:pPr>
            <w:r>
              <w:t>c</w:t>
            </w:r>
            <w:r w:rsidR="002E5A3A" w:rsidRPr="00A52B4C">
              <w:t>ontinu</w:t>
            </w:r>
            <w:r>
              <w:t xml:space="preserve">ing to </w:t>
            </w:r>
            <w:r w:rsidR="002E5A3A" w:rsidRPr="00A52B4C">
              <w:t>work with engineered stone for exempt activities</w:t>
            </w:r>
            <w:r w:rsidR="002E5A3A">
              <w:t xml:space="preserve"> (removal, repair, minor modifications)</w:t>
            </w:r>
            <w:r w:rsidR="002E5A3A" w:rsidRPr="00A52B4C">
              <w:t>.</w:t>
            </w:r>
          </w:p>
          <w:p w14:paraId="341610D3" w14:textId="77777777" w:rsidR="002E5A3A" w:rsidRPr="00126B8C" w:rsidRDefault="002E5A3A" w:rsidP="00126B8C">
            <w:pPr>
              <w:pStyle w:val="TableBody"/>
            </w:pPr>
            <w:r w:rsidRPr="00126B8C">
              <w:t xml:space="preserve">Evidence provided by stakeholders indicates that the vast majority of work with engineered stone is for the fabrication and installation of new benchtops and that the proportion of sole traders, small and medium sized businesses that would continue to work with engineered stone for the exempt activities would be quite low. </w:t>
            </w:r>
          </w:p>
        </w:tc>
      </w:tr>
      <w:tr w:rsidR="002E5A3A" w:rsidRPr="00A52B4C" w14:paraId="5F53ABC0" w14:textId="77777777" w:rsidTr="004C687A">
        <w:trPr>
          <w:trHeight w:val="750"/>
        </w:trPr>
        <w:tc>
          <w:tcPr>
            <w:tcW w:w="1148" w:type="pct"/>
            <w:shd w:val="clear" w:color="auto" w:fill="auto"/>
            <w:vAlign w:val="center"/>
          </w:tcPr>
          <w:p w14:paraId="30D2B71F" w14:textId="77777777" w:rsidR="002E5A3A" w:rsidRPr="00A52B4C" w:rsidRDefault="002E5A3A" w:rsidP="00B02706">
            <w:pPr>
              <w:pStyle w:val="TableBody"/>
              <w:rPr>
                <w:lang w:eastAsia="en-AU"/>
              </w:rPr>
            </w:pPr>
            <w:r w:rsidRPr="00E955D2">
              <w:rPr>
                <w:lang w:eastAsia="en-AU"/>
              </w:rPr>
              <w:t>Scenario 2</w:t>
            </w:r>
          </w:p>
        </w:tc>
        <w:tc>
          <w:tcPr>
            <w:tcW w:w="3852" w:type="pct"/>
            <w:vAlign w:val="center"/>
          </w:tcPr>
          <w:p w14:paraId="1EC7F934" w14:textId="77777777" w:rsidR="002E5A3A" w:rsidRDefault="002E5A3A" w:rsidP="00B02706">
            <w:pPr>
              <w:pStyle w:val="TableBody"/>
            </w:pPr>
            <w:r>
              <w:t>Under this scenario, s</w:t>
            </w:r>
            <w:r w:rsidRPr="00A52B4C">
              <w:t xml:space="preserve">ole traders, small and medium sized businesses are unable to absorb the costs required to switch to an alternative product and </w:t>
            </w:r>
            <w:r>
              <w:t xml:space="preserve">will </w:t>
            </w:r>
            <w:r w:rsidRPr="00A52B4C">
              <w:t xml:space="preserve">therefore cease </w:t>
            </w:r>
            <w:r>
              <w:t>operating</w:t>
            </w:r>
            <w:r w:rsidRPr="00A52B4C">
              <w:t xml:space="preserve">. As a consequence, workers </w:t>
            </w:r>
            <w:r>
              <w:t>may r</w:t>
            </w:r>
            <w:r w:rsidRPr="00B95C67">
              <w:t>etrain and obtain qualifications for another trade (e.g. cabinet making)</w:t>
            </w:r>
            <w:r>
              <w:t xml:space="preserve">. </w:t>
            </w:r>
          </w:p>
          <w:p w14:paraId="78B00AAA" w14:textId="77777777" w:rsidR="002E5A3A" w:rsidRPr="00A52B4C" w:rsidRDefault="002E5A3A" w:rsidP="00B02706">
            <w:pPr>
              <w:pStyle w:val="TableBody"/>
            </w:pPr>
            <w:r>
              <w:t>G</w:t>
            </w:r>
            <w:r w:rsidRPr="00A52B4C">
              <w:t xml:space="preserve">overnment may provide compensation to businesses. </w:t>
            </w:r>
            <w:r>
              <w:t>C</w:t>
            </w:r>
            <w:r w:rsidRPr="00A52B4C">
              <w:t>ompensation</w:t>
            </w:r>
            <w:r>
              <w:t xml:space="preserve"> may be</w:t>
            </w:r>
            <w:r w:rsidRPr="00A52B4C">
              <w:t xml:space="preserve"> for </w:t>
            </w:r>
            <w:r>
              <w:t xml:space="preserve">worker </w:t>
            </w:r>
            <w:r w:rsidRPr="00A52B4C">
              <w:t>redundanc</w:t>
            </w:r>
            <w:r>
              <w:t>y</w:t>
            </w:r>
            <w:r w:rsidRPr="00A52B4C">
              <w:t xml:space="preserve"> packages and</w:t>
            </w:r>
            <w:r>
              <w:t>/or</w:t>
            </w:r>
            <w:r w:rsidRPr="00A52B4C">
              <w:t xml:space="preserve"> lost revenue due to business closure resulting from a prohibition on working with engineered stone.</w:t>
            </w:r>
          </w:p>
          <w:p w14:paraId="1496269A" w14:textId="77777777" w:rsidR="002E5A3A" w:rsidRPr="00A52B4C" w:rsidRDefault="002E5A3A" w:rsidP="00B02706">
            <w:pPr>
              <w:pStyle w:val="TableBody"/>
            </w:pPr>
            <w:r w:rsidRPr="00A52B4C">
              <w:t xml:space="preserve">While examples of industry support packages have been included in the </w:t>
            </w:r>
            <w:r>
              <w:t>scenario</w:t>
            </w:r>
            <w:r w:rsidRPr="00A52B4C">
              <w:t>, further analysis will be required to understand the potential cost to government to implement these initiatives.</w:t>
            </w:r>
          </w:p>
        </w:tc>
      </w:tr>
    </w:tbl>
    <w:p w14:paraId="27F0BB5E" w14:textId="77777777" w:rsidR="002E5A3A" w:rsidRDefault="002E5A3A" w:rsidP="00B02706">
      <w:pPr>
        <w:pStyle w:val="BodyText"/>
      </w:pPr>
      <w:r>
        <w:t>The methodology used to estimate the costs associated with each scenario is presented in the following sections:</w:t>
      </w:r>
    </w:p>
    <w:p w14:paraId="5950DE16" w14:textId="77777777" w:rsidR="002E5A3A" w:rsidRDefault="002E5A3A" w:rsidP="00B02706">
      <w:pPr>
        <w:pStyle w:val="Heading3"/>
      </w:pPr>
      <w:r>
        <w:t>Define cost model key inputs and assumptions</w:t>
      </w:r>
    </w:p>
    <w:p w14:paraId="0E64E323" w14:textId="0871E97C" w:rsidR="002E5A3A" w:rsidRPr="008A28E9" w:rsidRDefault="002E5A3A" w:rsidP="00B02706">
      <w:pPr>
        <w:pStyle w:val="BodyText"/>
      </w:pPr>
      <w:r w:rsidRPr="008A28E9">
        <w:t xml:space="preserve">A summary of the key inputs and assumptions in the </w:t>
      </w:r>
      <w:r>
        <w:t>m</w:t>
      </w:r>
      <w:r w:rsidRPr="008A28E9">
        <w:t xml:space="preserve">odel, and their respective sources, are detailed </w:t>
      </w:r>
      <w:r>
        <w:t xml:space="preserve">in </w:t>
      </w:r>
      <w:r>
        <w:fldChar w:fldCharType="begin"/>
      </w:r>
      <w:r>
        <w:instrText xml:space="preserve"> REF _Ref124432193 \h  \* MERGEFORMAT </w:instrText>
      </w:r>
      <w:r>
        <w:fldChar w:fldCharType="separate"/>
      </w:r>
      <w:r w:rsidR="00E75FA2" w:rsidRPr="00EA112A">
        <w:t xml:space="preserve">Table </w:t>
      </w:r>
      <w:r w:rsidR="00E75FA2">
        <w:t>30</w:t>
      </w:r>
      <w:r>
        <w:fldChar w:fldCharType="end"/>
      </w:r>
      <w:r>
        <w:t xml:space="preserve"> </w:t>
      </w:r>
      <w:r w:rsidRPr="008A28E9">
        <w:t>below.</w:t>
      </w:r>
    </w:p>
    <w:p w14:paraId="4F6A73D4" w14:textId="4044B9DD" w:rsidR="002E5A3A" w:rsidRPr="00EA112A" w:rsidRDefault="002E5A3A" w:rsidP="00B02706">
      <w:pPr>
        <w:pStyle w:val="Caption"/>
        <w:rPr>
          <w:b w:val="0"/>
          <w:i/>
        </w:rPr>
      </w:pPr>
      <w:bookmarkStart w:id="683" w:name="_Ref124432193"/>
      <w:r w:rsidRPr="00EA112A">
        <w:t xml:space="preserve">Table </w:t>
      </w:r>
      <w:fldSimple w:instr=" SEQ Table \* ARABIC ">
        <w:r w:rsidR="00DF768D">
          <w:rPr>
            <w:noProof/>
          </w:rPr>
          <w:t>30</w:t>
        </w:r>
      </w:fldSimple>
      <w:bookmarkEnd w:id="683"/>
      <w:r w:rsidRPr="00EA112A">
        <w:t>: Cost model key inputs and assumptions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2404"/>
        <w:gridCol w:w="3148"/>
      </w:tblGrid>
      <w:tr w:rsidR="002E5A3A" w:rsidRPr="00F7123D" w14:paraId="4A5E5D19" w14:textId="77777777" w:rsidTr="004C687A">
        <w:trPr>
          <w:trHeight w:val="438"/>
          <w:tblHeader/>
        </w:trPr>
        <w:tc>
          <w:tcPr>
            <w:tcW w:w="2277" w:type="pct"/>
            <w:shd w:val="clear" w:color="auto" w:fill="D9D9D9" w:themeFill="background1" w:themeFillShade="D9"/>
            <w:vAlign w:val="center"/>
          </w:tcPr>
          <w:p w14:paraId="41EA7C1C" w14:textId="77777777" w:rsidR="002E5A3A" w:rsidRDefault="002E5A3A" w:rsidP="000C215A">
            <w:pPr>
              <w:pStyle w:val="TableHeading"/>
              <w:rPr>
                <w:lang w:eastAsia="en-AU"/>
              </w:rPr>
            </w:pPr>
          </w:p>
        </w:tc>
        <w:tc>
          <w:tcPr>
            <w:tcW w:w="1179" w:type="pct"/>
            <w:shd w:val="clear" w:color="auto" w:fill="D9D9D9" w:themeFill="background1" w:themeFillShade="D9"/>
            <w:vAlign w:val="center"/>
          </w:tcPr>
          <w:p w14:paraId="5BA80DD2" w14:textId="77777777" w:rsidR="002E5A3A" w:rsidRDefault="002E5A3A" w:rsidP="000C215A">
            <w:pPr>
              <w:pStyle w:val="TableHeading"/>
              <w:rPr>
                <w:lang w:eastAsia="en-AU"/>
              </w:rPr>
            </w:pPr>
            <w:r>
              <w:rPr>
                <w:lang w:eastAsia="en-AU"/>
              </w:rPr>
              <w:t>Assumption</w:t>
            </w:r>
          </w:p>
        </w:tc>
        <w:tc>
          <w:tcPr>
            <w:tcW w:w="1544" w:type="pct"/>
            <w:shd w:val="clear" w:color="auto" w:fill="D9D9D9" w:themeFill="background1" w:themeFillShade="D9"/>
            <w:vAlign w:val="center"/>
          </w:tcPr>
          <w:p w14:paraId="59270E59" w14:textId="77777777" w:rsidR="002E5A3A" w:rsidRDefault="002E5A3A" w:rsidP="000C215A">
            <w:pPr>
              <w:pStyle w:val="TableHeading"/>
              <w:rPr>
                <w:lang w:eastAsia="en-AU"/>
              </w:rPr>
            </w:pPr>
            <w:r>
              <w:rPr>
                <w:lang w:eastAsia="en-AU"/>
              </w:rPr>
              <w:t>Source</w:t>
            </w:r>
          </w:p>
        </w:tc>
      </w:tr>
      <w:tr w:rsidR="002E5A3A" w:rsidRPr="00F7123D" w14:paraId="2D48BB89" w14:textId="77777777" w:rsidTr="004C687A">
        <w:trPr>
          <w:trHeight w:val="677"/>
        </w:trPr>
        <w:tc>
          <w:tcPr>
            <w:tcW w:w="2277" w:type="pct"/>
            <w:shd w:val="clear" w:color="auto" w:fill="auto"/>
            <w:vAlign w:val="center"/>
          </w:tcPr>
          <w:p w14:paraId="21267016" w14:textId="77777777" w:rsidR="002E5A3A" w:rsidRPr="00F7123D" w:rsidRDefault="002E5A3A" w:rsidP="00B02706">
            <w:pPr>
              <w:pStyle w:val="TableBody"/>
              <w:rPr>
                <w:lang w:eastAsia="en-AU"/>
              </w:rPr>
            </w:pPr>
            <w:r>
              <w:rPr>
                <w:lang w:eastAsia="en-AU"/>
              </w:rPr>
              <w:t>Total number of fabrication and installation businesses working with engineered stone</w:t>
            </w:r>
          </w:p>
        </w:tc>
        <w:tc>
          <w:tcPr>
            <w:tcW w:w="1179" w:type="pct"/>
            <w:vAlign w:val="center"/>
          </w:tcPr>
          <w:p w14:paraId="5AA6B3F6" w14:textId="77777777" w:rsidR="002E5A3A" w:rsidRPr="00E477FC" w:rsidRDefault="002E5A3A" w:rsidP="00B02706">
            <w:pPr>
              <w:pStyle w:val="TableBody"/>
              <w:rPr>
                <w:lang w:eastAsia="en-AU"/>
              </w:rPr>
            </w:pPr>
            <w:r w:rsidRPr="00E477FC">
              <w:rPr>
                <w:lang w:eastAsia="en-AU"/>
              </w:rPr>
              <w:t>1,000</w:t>
            </w:r>
          </w:p>
        </w:tc>
        <w:tc>
          <w:tcPr>
            <w:tcW w:w="1544" w:type="pct"/>
            <w:vMerge w:val="restart"/>
            <w:vAlign w:val="center"/>
          </w:tcPr>
          <w:p w14:paraId="4852D881" w14:textId="77777777" w:rsidR="002E5A3A" w:rsidRPr="0072523E" w:rsidRDefault="002E5A3A" w:rsidP="00B02706">
            <w:pPr>
              <w:pStyle w:val="TableBody"/>
              <w:rPr>
                <w:lang w:eastAsia="en-AU"/>
              </w:rPr>
            </w:pPr>
            <w:r w:rsidRPr="00A25EBD">
              <w:t xml:space="preserve">Australian Engineered Stone Advisory Group (AESAG), Application for authorisation to the Australian Competition and Consumer </w:t>
            </w:r>
            <w:r>
              <w:t xml:space="preserve">Competition </w:t>
            </w:r>
            <w:r w:rsidRPr="00A25EBD">
              <w:t>(ACCC), 2019</w:t>
            </w:r>
          </w:p>
        </w:tc>
      </w:tr>
      <w:tr w:rsidR="002E5A3A" w:rsidRPr="00F7123D" w14:paraId="16E0B43C" w14:textId="77777777" w:rsidTr="004C687A">
        <w:trPr>
          <w:trHeight w:val="298"/>
        </w:trPr>
        <w:tc>
          <w:tcPr>
            <w:tcW w:w="2277" w:type="pct"/>
            <w:shd w:val="clear" w:color="auto" w:fill="auto"/>
            <w:vAlign w:val="center"/>
          </w:tcPr>
          <w:p w14:paraId="5A4F351C" w14:textId="77777777" w:rsidR="002E5A3A" w:rsidRPr="00F7123D" w:rsidRDefault="002E5A3A" w:rsidP="00B02706">
            <w:pPr>
              <w:pStyle w:val="TableBody"/>
              <w:rPr>
                <w:lang w:eastAsia="en-AU"/>
              </w:rPr>
            </w:pPr>
            <w:r>
              <w:rPr>
                <w:lang w:eastAsia="en-AU"/>
              </w:rPr>
              <w:t xml:space="preserve">Total number of workers </w:t>
            </w:r>
          </w:p>
        </w:tc>
        <w:tc>
          <w:tcPr>
            <w:tcW w:w="1179" w:type="pct"/>
            <w:vAlign w:val="center"/>
          </w:tcPr>
          <w:p w14:paraId="2BB551CF" w14:textId="77777777" w:rsidR="002E5A3A" w:rsidRPr="0072523E" w:rsidRDefault="002E5A3A" w:rsidP="00B02706">
            <w:pPr>
              <w:pStyle w:val="TableBody"/>
              <w:rPr>
                <w:lang w:eastAsia="en-AU"/>
              </w:rPr>
            </w:pPr>
            <w:r>
              <w:rPr>
                <w:lang w:eastAsia="en-AU"/>
              </w:rPr>
              <w:t xml:space="preserve">10,000 </w:t>
            </w:r>
          </w:p>
        </w:tc>
        <w:tc>
          <w:tcPr>
            <w:tcW w:w="1544" w:type="pct"/>
            <w:vMerge/>
            <w:vAlign w:val="center"/>
          </w:tcPr>
          <w:p w14:paraId="6610357C" w14:textId="77777777" w:rsidR="002E5A3A" w:rsidRPr="0072523E" w:rsidRDefault="002E5A3A" w:rsidP="00B02706">
            <w:pPr>
              <w:pStyle w:val="TableBody"/>
              <w:rPr>
                <w:lang w:eastAsia="en-AU"/>
              </w:rPr>
            </w:pPr>
          </w:p>
        </w:tc>
      </w:tr>
      <w:tr w:rsidR="002E5A3A" w:rsidRPr="00F7123D" w14:paraId="6AD9076C" w14:textId="77777777" w:rsidTr="004C687A">
        <w:trPr>
          <w:trHeight w:val="70"/>
        </w:trPr>
        <w:tc>
          <w:tcPr>
            <w:tcW w:w="2277" w:type="pct"/>
            <w:shd w:val="clear" w:color="auto" w:fill="auto"/>
            <w:vAlign w:val="center"/>
          </w:tcPr>
          <w:p w14:paraId="456F21A3" w14:textId="77777777" w:rsidR="002E5A3A" w:rsidRDefault="002E5A3A" w:rsidP="00B02706">
            <w:pPr>
              <w:pStyle w:val="TableBody"/>
              <w:rPr>
                <w:lang w:eastAsia="en-AU"/>
              </w:rPr>
            </w:pPr>
            <w:r>
              <w:rPr>
                <w:lang w:eastAsia="en-AU"/>
              </w:rPr>
              <w:t>Evaluation period</w:t>
            </w:r>
          </w:p>
        </w:tc>
        <w:tc>
          <w:tcPr>
            <w:tcW w:w="1179" w:type="pct"/>
            <w:vAlign w:val="center"/>
          </w:tcPr>
          <w:p w14:paraId="536A3AC3" w14:textId="77777777" w:rsidR="002E5A3A" w:rsidRDefault="002E5A3A" w:rsidP="00B02706">
            <w:pPr>
              <w:pStyle w:val="TableBody"/>
              <w:rPr>
                <w:lang w:eastAsia="en-AU"/>
              </w:rPr>
            </w:pPr>
            <w:r>
              <w:rPr>
                <w:lang w:eastAsia="en-AU"/>
              </w:rPr>
              <w:t>1 July 2023 – June 30, 2025 (12 month transition period)</w:t>
            </w:r>
          </w:p>
        </w:tc>
        <w:tc>
          <w:tcPr>
            <w:tcW w:w="1544" w:type="pct"/>
            <w:vAlign w:val="center"/>
          </w:tcPr>
          <w:p w14:paraId="2D5D2ECC" w14:textId="77777777" w:rsidR="002E5A3A" w:rsidRPr="0072523E" w:rsidRDefault="002E5A3A" w:rsidP="00B02706">
            <w:pPr>
              <w:pStyle w:val="TableBody"/>
              <w:rPr>
                <w:lang w:eastAsia="en-AU"/>
              </w:rPr>
            </w:pPr>
            <w:r>
              <w:rPr>
                <w:lang w:eastAsia="en-AU"/>
              </w:rPr>
              <w:t>Model assumption</w:t>
            </w:r>
          </w:p>
        </w:tc>
      </w:tr>
      <w:tr w:rsidR="002E5A3A" w:rsidRPr="00F7123D" w14:paraId="0DB7FA77" w14:textId="77777777" w:rsidTr="004C687A">
        <w:trPr>
          <w:trHeight w:val="394"/>
        </w:trPr>
        <w:tc>
          <w:tcPr>
            <w:tcW w:w="2277" w:type="pct"/>
            <w:shd w:val="clear" w:color="auto" w:fill="auto"/>
            <w:vAlign w:val="center"/>
          </w:tcPr>
          <w:p w14:paraId="22FEA6BC" w14:textId="77777777" w:rsidR="002E5A3A" w:rsidRPr="00F7123D" w:rsidRDefault="002E5A3A" w:rsidP="00B02706">
            <w:pPr>
              <w:pStyle w:val="TableBody"/>
              <w:rPr>
                <w:lang w:eastAsia="en-AU"/>
              </w:rPr>
            </w:pPr>
            <w:r>
              <w:rPr>
                <w:lang w:eastAsia="en-AU"/>
              </w:rPr>
              <w:t>Inflation</w:t>
            </w:r>
          </w:p>
        </w:tc>
        <w:tc>
          <w:tcPr>
            <w:tcW w:w="1179" w:type="pct"/>
            <w:vAlign w:val="center"/>
          </w:tcPr>
          <w:p w14:paraId="1E4F2E60" w14:textId="77777777" w:rsidR="002E5A3A" w:rsidRPr="001F180A" w:rsidRDefault="002E5A3A" w:rsidP="00B02706">
            <w:pPr>
              <w:pStyle w:val="TableBody"/>
              <w:rPr>
                <w:lang w:eastAsia="en-AU"/>
              </w:rPr>
            </w:pPr>
            <w:r w:rsidRPr="001F180A">
              <w:rPr>
                <w:lang w:eastAsia="en-AU"/>
              </w:rPr>
              <w:t>3.5%</w:t>
            </w:r>
          </w:p>
        </w:tc>
        <w:tc>
          <w:tcPr>
            <w:tcW w:w="1544" w:type="pct"/>
            <w:vAlign w:val="center"/>
          </w:tcPr>
          <w:p w14:paraId="5EB2D591" w14:textId="77777777" w:rsidR="002E5A3A" w:rsidRPr="001F180A" w:rsidRDefault="002E5A3A" w:rsidP="00B02706">
            <w:pPr>
              <w:pStyle w:val="TableBody"/>
              <w:rPr>
                <w:lang w:eastAsia="en-AU"/>
              </w:rPr>
            </w:pPr>
            <w:r w:rsidRPr="001F180A">
              <w:rPr>
                <w:lang w:eastAsia="en-AU"/>
              </w:rPr>
              <w:t>ABS CPI</w:t>
            </w:r>
          </w:p>
        </w:tc>
      </w:tr>
    </w:tbl>
    <w:p w14:paraId="66105216" w14:textId="43B594CB" w:rsidR="002E5A3A" w:rsidRPr="008B6DC3" w:rsidRDefault="002E5A3A" w:rsidP="00B02706">
      <w:pPr>
        <w:pStyle w:val="Heading3"/>
        <w:rPr>
          <w:lang w:eastAsia="en-AU"/>
        </w:rPr>
      </w:pPr>
      <w:r w:rsidRPr="008B6DC3">
        <w:rPr>
          <w:lang w:eastAsia="en-AU"/>
        </w:rPr>
        <w:lastRenderedPageBreak/>
        <w:t xml:space="preserve">Estimate the </w:t>
      </w:r>
      <w:r w:rsidRPr="00B02706">
        <w:t>cost</w:t>
      </w:r>
      <w:r w:rsidRPr="008B6DC3">
        <w:rPr>
          <w:lang w:eastAsia="en-AU"/>
        </w:rPr>
        <w:t xml:space="preserve"> </w:t>
      </w:r>
      <w:r>
        <w:rPr>
          <w:lang w:eastAsia="en-AU"/>
        </w:rPr>
        <w:t xml:space="preserve">to </w:t>
      </w:r>
      <w:r w:rsidRPr="008B6DC3">
        <w:rPr>
          <w:lang w:eastAsia="en-AU"/>
        </w:rPr>
        <w:t xml:space="preserve">business under each scenario </w:t>
      </w:r>
    </w:p>
    <w:p w14:paraId="1B2A124D" w14:textId="77777777" w:rsidR="002E5A3A" w:rsidRPr="00B02706" w:rsidRDefault="002E5A3A" w:rsidP="00B02706">
      <w:pPr>
        <w:pStyle w:val="Heading4"/>
      </w:pPr>
      <w:r w:rsidRPr="00B02706">
        <w:t>Scenario 1: Sole traders, small and medium sized businesses switch to natural stone products or continue working with engineered stone for exempt activities (minimal impact scenario)</w:t>
      </w:r>
    </w:p>
    <w:p w14:paraId="380CD490" w14:textId="3F7B6761" w:rsidR="002E5A3A" w:rsidRDefault="002E5A3A" w:rsidP="00B02706">
      <w:pPr>
        <w:pStyle w:val="BodyText"/>
        <w:rPr>
          <w:sz w:val="16"/>
          <w:szCs w:val="16"/>
        </w:rPr>
      </w:pPr>
      <w:r w:rsidRPr="005B3D30">
        <w:t xml:space="preserve">Desktop research has been conducted to determine the estimated cost to business under </w:t>
      </w:r>
      <w:r>
        <w:t xml:space="preserve">Scenario 1 </w:t>
      </w:r>
      <w:r w:rsidRPr="005B3D30">
        <w:t xml:space="preserve">as presented </w:t>
      </w:r>
      <w:r>
        <w:t xml:space="preserve">in </w:t>
      </w:r>
      <w:r>
        <w:fldChar w:fldCharType="begin"/>
      </w:r>
      <w:r>
        <w:instrText xml:space="preserve"> REF _Ref124432940 \h  \* MERGEFORMAT </w:instrText>
      </w:r>
      <w:r>
        <w:fldChar w:fldCharType="separate"/>
      </w:r>
      <w:r w:rsidR="00E75FA2" w:rsidRPr="009754B2">
        <w:t xml:space="preserve">Table </w:t>
      </w:r>
      <w:r w:rsidR="00E75FA2">
        <w:t>31</w:t>
      </w:r>
      <w:r>
        <w:fldChar w:fldCharType="end"/>
      </w:r>
      <w:r>
        <w:t xml:space="preserve"> </w:t>
      </w:r>
      <w:r w:rsidRPr="005B3D30">
        <w:t>below.</w:t>
      </w:r>
      <w:r>
        <w:t xml:space="preserve"> </w:t>
      </w:r>
      <w:r w:rsidRPr="00FF0AC8">
        <w:t>The proposed licence fee for PCBUs to work with engineered stone under Option 4</w:t>
      </w:r>
      <w:r>
        <w:t xml:space="preserve"> in the </w:t>
      </w:r>
      <w:r w:rsidR="0054756F">
        <w:t>DRIS</w:t>
      </w:r>
      <w:r w:rsidRPr="00FF0AC8">
        <w:t xml:space="preserve"> has been used as a proxy to determine the cost implications for sole traders, small and medium sized business to continue working with engineered stone following the prohibition</w:t>
      </w:r>
      <w:r>
        <w:t>.</w:t>
      </w:r>
    </w:p>
    <w:p w14:paraId="5F4361D1" w14:textId="77777777" w:rsidR="002E5A3A" w:rsidRPr="005B3D30" w:rsidRDefault="002E5A3A" w:rsidP="00B02706">
      <w:pPr>
        <w:pStyle w:val="BodyText"/>
      </w:pPr>
      <w:r>
        <w:t>It is to be noted that this scenario assumes that there are no material costs to business to s</w:t>
      </w:r>
      <w:r w:rsidRPr="00474F38">
        <w:t>witch to an alternative natural stone product and continue operating using existing equipment</w:t>
      </w:r>
      <w:r>
        <w:t>.</w:t>
      </w:r>
    </w:p>
    <w:p w14:paraId="370C7009" w14:textId="1A1F1ED0" w:rsidR="002E5A3A" w:rsidRDefault="002E5A3A" w:rsidP="00A8086D">
      <w:pPr>
        <w:pStyle w:val="Caption"/>
      </w:pPr>
      <w:bookmarkStart w:id="684" w:name="_Ref124432940"/>
      <w:r w:rsidRPr="009754B2">
        <w:t xml:space="preserve">Table </w:t>
      </w:r>
      <w:fldSimple w:instr=" SEQ Table \* ARABIC ">
        <w:r w:rsidR="00DF768D">
          <w:rPr>
            <w:noProof/>
          </w:rPr>
          <w:t>31</w:t>
        </w:r>
      </w:fldSimple>
      <w:bookmarkEnd w:id="684"/>
      <w:r w:rsidRPr="009754B2">
        <w:t xml:space="preserve">: </w:t>
      </w:r>
      <w:r w:rsidRPr="00A8086D">
        <w:t>Cost</w:t>
      </w:r>
      <w:r w:rsidRPr="009754B2">
        <w:t xml:space="preserve"> to </w:t>
      </w:r>
      <w:r w:rsidRPr="00B02706">
        <w:t>business</w:t>
      </w:r>
      <w:r w:rsidRPr="009754B2">
        <w:t xml:space="preserve"> </w:t>
      </w:r>
      <w:r>
        <w:t xml:space="preserve">– Scenario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2773"/>
        <w:gridCol w:w="2775"/>
      </w:tblGrid>
      <w:tr w:rsidR="002E5A3A" w:rsidRPr="00F7123D" w14:paraId="6D140D52" w14:textId="77777777" w:rsidTr="004C687A">
        <w:trPr>
          <w:trHeight w:val="438"/>
          <w:tblHeader/>
        </w:trPr>
        <w:tc>
          <w:tcPr>
            <w:tcW w:w="2279" w:type="pct"/>
            <w:shd w:val="clear" w:color="auto" w:fill="D9D9D9" w:themeFill="background1" w:themeFillShade="D9"/>
            <w:vAlign w:val="center"/>
          </w:tcPr>
          <w:p w14:paraId="7332CC54" w14:textId="77777777" w:rsidR="002E5A3A" w:rsidRDefault="002E5A3A" w:rsidP="000C215A">
            <w:pPr>
              <w:pStyle w:val="TableHeading"/>
              <w:rPr>
                <w:lang w:eastAsia="en-AU"/>
              </w:rPr>
            </w:pPr>
            <w:r>
              <w:rPr>
                <w:lang w:eastAsia="en-AU"/>
              </w:rPr>
              <w:t xml:space="preserve">Impact </w:t>
            </w:r>
          </w:p>
        </w:tc>
        <w:tc>
          <w:tcPr>
            <w:tcW w:w="1360" w:type="pct"/>
            <w:shd w:val="clear" w:color="auto" w:fill="D9D9D9" w:themeFill="background1" w:themeFillShade="D9"/>
            <w:vAlign w:val="center"/>
          </w:tcPr>
          <w:p w14:paraId="7ED5A228" w14:textId="77777777" w:rsidR="002E5A3A" w:rsidRDefault="002E5A3A" w:rsidP="000C215A">
            <w:pPr>
              <w:pStyle w:val="TableHeading"/>
              <w:rPr>
                <w:lang w:eastAsia="en-AU"/>
              </w:rPr>
            </w:pPr>
            <w:r>
              <w:rPr>
                <w:lang w:eastAsia="en-AU"/>
              </w:rPr>
              <w:t xml:space="preserve">Cost </w:t>
            </w:r>
          </w:p>
        </w:tc>
        <w:tc>
          <w:tcPr>
            <w:tcW w:w="1361" w:type="pct"/>
            <w:shd w:val="clear" w:color="auto" w:fill="D9D9D9" w:themeFill="background1" w:themeFillShade="D9"/>
            <w:vAlign w:val="center"/>
          </w:tcPr>
          <w:p w14:paraId="64BACB3F" w14:textId="77777777" w:rsidR="002E5A3A" w:rsidRDefault="002E5A3A" w:rsidP="000C215A">
            <w:pPr>
              <w:pStyle w:val="TableHeading"/>
              <w:rPr>
                <w:lang w:eastAsia="en-AU"/>
              </w:rPr>
            </w:pPr>
            <w:r>
              <w:rPr>
                <w:lang w:eastAsia="en-AU"/>
              </w:rPr>
              <w:t>Cost per PCBU ($)</w:t>
            </w:r>
          </w:p>
        </w:tc>
      </w:tr>
      <w:tr w:rsidR="002E5A3A" w:rsidRPr="00F7123D" w14:paraId="5C8F4B0B" w14:textId="77777777" w:rsidTr="004C687A">
        <w:trPr>
          <w:trHeight w:val="750"/>
        </w:trPr>
        <w:tc>
          <w:tcPr>
            <w:tcW w:w="2279" w:type="pct"/>
            <w:shd w:val="clear" w:color="auto" w:fill="auto"/>
            <w:vAlign w:val="center"/>
          </w:tcPr>
          <w:p w14:paraId="354FF009" w14:textId="77777777" w:rsidR="002E5A3A" w:rsidRDefault="002E5A3A" w:rsidP="00B02706">
            <w:pPr>
              <w:pStyle w:val="TableBody"/>
              <w:rPr>
                <w:lang w:eastAsia="en-AU"/>
              </w:rPr>
            </w:pPr>
            <w:r>
              <w:rPr>
                <w:lang w:eastAsia="en-AU"/>
              </w:rPr>
              <w:t>Cost to acquire a licence to continue working with engineered stone</w:t>
            </w:r>
          </w:p>
        </w:tc>
        <w:tc>
          <w:tcPr>
            <w:tcW w:w="1360" w:type="pct"/>
            <w:vAlign w:val="center"/>
          </w:tcPr>
          <w:p w14:paraId="56B85CD0" w14:textId="77777777" w:rsidR="002E5A3A" w:rsidRDefault="002E5A3A" w:rsidP="00B02706">
            <w:pPr>
              <w:pStyle w:val="TableBody"/>
              <w:rPr>
                <w:lang w:eastAsia="en-AU"/>
              </w:rPr>
            </w:pPr>
            <w:r>
              <w:rPr>
                <w:lang w:eastAsia="en-AU"/>
              </w:rPr>
              <w:t>Cost to acquire a licence to work with engineered stone</w:t>
            </w:r>
          </w:p>
        </w:tc>
        <w:tc>
          <w:tcPr>
            <w:tcW w:w="1361" w:type="pct"/>
            <w:vAlign w:val="center"/>
          </w:tcPr>
          <w:p w14:paraId="79CD85B4" w14:textId="77777777" w:rsidR="002E5A3A" w:rsidRPr="0072523E" w:rsidRDefault="002E5A3A" w:rsidP="00B02706">
            <w:pPr>
              <w:pStyle w:val="TableBody"/>
              <w:rPr>
                <w:lang w:eastAsia="en-AU"/>
              </w:rPr>
            </w:pPr>
            <w:r>
              <w:rPr>
                <w:lang w:eastAsia="en-AU"/>
              </w:rPr>
              <w:t>$302</w:t>
            </w:r>
          </w:p>
        </w:tc>
      </w:tr>
    </w:tbl>
    <w:p w14:paraId="7E432A54" w14:textId="77777777" w:rsidR="004E4404" w:rsidRDefault="004E4404" w:rsidP="00B02706">
      <w:pPr>
        <w:pStyle w:val="BodyText"/>
      </w:pPr>
    </w:p>
    <w:p w14:paraId="0179B170" w14:textId="2D38FCB3" w:rsidR="002E5A3A" w:rsidRDefault="002E5A3A" w:rsidP="00B02706">
      <w:pPr>
        <w:pStyle w:val="BodyText"/>
      </w:pPr>
      <w:r>
        <w:t>Should a prohibition on working with engineered stone be considered in combination with other options, businesses will also incur additional costs associated with those options.</w:t>
      </w:r>
    </w:p>
    <w:p w14:paraId="3498BBAE" w14:textId="77777777" w:rsidR="002E5A3A" w:rsidRPr="00B02706" w:rsidRDefault="002E5A3A" w:rsidP="00B02706">
      <w:pPr>
        <w:pStyle w:val="Heading4"/>
        <w:rPr>
          <w:lang w:eastAsia="en-AU"/>
        </w:rPr>
      </w:pPr>
      <w:r w:rsidRPr="00B02706">
        <w:rPr>
          <w:lang w:eastAsia="en-AU"/>
        </w:rPr>
        <w:t>Scenario 2: Sole traders, small and medium sized businesses cease operating, workers retrain and obtain formal qualifications for another trade (significant impact scenario)</w:t>
      </w:r>
    </w:p>
    <w:p w14:paraId="6264C794" w14:textId="77777777" w:rsidR="002E5A3A" w:rsidRDefault="002E5A3A" w:rsidP="00B02706">
      <w:pPr>
        <w:pStyle w:val="BodyText"/>
      </w:pPr>
      <w:r>
        <w:t xml:space="preserve">In the event that a business cannot absorb the costs associated with a switch to an alternative product, they will cease operating. As a consequence, they will suffer a financial loss through lost revenue and/or redundancy payments to staff. </w:t>
      </w:r>
    </w:p>
    <w:p w14:paraId="4F497539" w14:textId="77777777" w:rsidR="002E5A3A" w:rsidRDefault="002E5A3A" w:rsidP="00B02706">
      <w:pPr>
        <w:pStyle w:val="BodyText"/>
      </w:pPr>
      <w:r>
        <w:t>While a number of these costs will be immediately borne by industry, government may make a policy decision to compensate businesses working with engineered stone that have suffered financial loss as a consequence of the prohibition.</w:t>
      </w:r>
    </w:p>
    <w:p w14:paraId="66051D74" w14:textId="77777777" w:rsidR="00972F51" w:rsidRDefault="002E5A3A" w:rsidP="00972F51">
      <w:pPr>
        <w:pStyle w:val="BodyText"/>
      </w:pPr>
      <w:r>
        <w:t>Further analysis w</w:t>
      </w:r>
      <w:r w:rsidR="0089418C">
        <w:t>ould</w:t>
      </w:r>
      <w:r>
        <w:t xml:space="preserve"> be required to estimate the likely cost to business which will inform the size, scale and scope of a potential industry support package.</w:t>
      </w:r>
      <w:r w:rsidR="00972F51">
        <w:t xml:space="preserve"> </w:t>
      </w:r>
      <w:r w:rsidR="00972F51" w:rsidRPr="00F5798C">
        <w:t xml:space="preserve">It is to be noted that </w:t>
      </w:r>
      <w:r w:rsidR="00972F51">
        <w:t xml:space="preserve">these costs would be subject to a government policy decision to compensate workers/businesses who are impacted by the prohibition on working with engineered stone. </w:t>
      </w:r>
    </w:p>
    <w:p w14:paraId="641AF10F" w14:textId="77777777" w:rsidR="002E5A3A" w:rsidRPr="008B6DC3" w:rsidRDefault="002E5A3A" w:rsidP="00B02706">
      <w:pPr>
        <w:pStyle w:val="Heading3"/>
      </w:pPr>
      <w:r w:rsidRPr="008B6DC3">
        <w:t xml:space="preserve">Estimate the cost </w:t>
      </w:r>
      <w:r>
        <w:t xml:space="preserve">to government for worker displacement </w:t>
      </w:r>
      <w:r w:rsidRPr="008B6DC3">
        <w:t xml:space="preserve">under each scenario </w:t>
      </w:r>
    </w:p>
    <w:p w14:paraId="789EAE4D" w14:textId="77777777" w:rsidR="002E5A3A" w:rsidRPr="00901D99" w:rsidRDefault="002E5A3A" w:rsidP="00B02706">
      <w:pPr>
        <w:pStyle w:val="Heading4"/>
      </w:pPr>
      <w:r w:rsidRPr="000656C8">
        <w:rPr>
          <w:lang w:eastAsia="en-AU"/>
        </w:rPr>
        <w:t xml:space="preserve">Scenario 1: </w:t>
      </w:r>
      <w:r w:rsidRPr="0042020A">
        <w:rPr>
          <w:lang w:eastAsia="en-AU"/>
        </w:rPr>
        <w:t>Sole traders, small and medium sized businesses switch to natural stone products or</w:t>
      </w:r>
      <w:r>
        <w:rPr>
          <w:lang w:eastAsia="en-AU"/>
        </w:rPr>
        <w:t xml:space="preserve"> continue working </w:t>
      </w:r>
      <w:r w:rsidRPr="0042020A">
        <w:rPr>
          <w:lang w:eastAsia="en-AU"/>
        </w:rPr>
        <w:t xml:space="preserve">with engineered stone for exempt activities </w:t>
      </w:r>
    </w:p>
    <w:p w14:paraId="7A91C8B7" w14:textId="77777777" w:rsidR="002E5A3A" w:rsidRPr="00B02706" w:rsidRDefault="002E5A3A" w:rsidP="00B02706">
      <w:pPr>
        <w:pStyle w:val="BodyText"/>
      </w:pPr>
      <w:r w:rsidRPr="00B02706">
        <w:t xml:space="preserve">In the event that businesses switch to working with an alternative natural stone product and continue operating using existing equipment, or focus on engineered stone exempt activities, it is assumed there will be no worker displacement that is directly attributable to a prohibition on working with engineered stone. </w:t>
      </w:r>
    </w:p>
    <w:p w14:paraId="45CE015A" w14:textId="77777777" w:rsidR="002E5A3A" w:rsidRPr="002430B0" w:rsidRDefault="002E5A3A" w:rsidP="00B02706">
      <w:pPr>
        <w:pStyle w:val="Heading4"/>
        <w:rPr>
          <w:lang w:eastAsia="en-AU"/>
        </w:rPr>
      </w:pPr>
      <w:r w:rsidRPr="002430B0">
        <w:rPr>
          <w:lang w:eastAsia="en-AU"/>
        </w:rPr>
        <w:lastRenderedPageBreak/>
        <w:t xml:space="preserve">Scenario 2: Sole traders, small and medium sized businesses cease operating, workers retrain and obtain formal qualifications for another trade </w:t>
      </w:r>
    </w:p>
    <w:p w14:paraId="0B16B0B1" w14:textId="645F9468" w:rsidR="002E5A3A" w:rsidRPr="00B02706" w:rsidRDefault="002E5A3A" w:rsidP="00B02706">
      <w:pPr>
        <w:pStyle w:val="BodyText"/>
      </w:pPr>
      <w:r w:rsidRPr="00B02706">
        <w:t>Desktop research has been conducted to determine the estimated cost</w:t>
      </w:r>
      <w:r w:rsidR="00C4071A">
        <w:t xml:space="preserve"> to government</w:t>
      </w:r>
      <w:r w:rsidRPr="00B02706">
        <w:t xml:space="preserve"> for a worker to gain formal qualifications to undertake another trade. These costs are as presented in </w:t>
      </w:r>
      <w:r w:rsidRPr="00B02706">
        <w:fldChar w:fldCharType="begin"/>
      </w:r>
      <w:r w:rsidRPr="00B02706">
        <w:instrText xml:space="preserve"> REF _Ref124435371 \h  \* MERGEFORMAT </w:instrText>
      </w:r>
      <w:r w:rsidRPr="00B02706">
        <w:fldChar w:fldCharType="separate"/>
      </w:r>
      <w:r w:rsidR="00E75FA2" w:rsidRPr="000C6957">
        <w:t xml:space="preserve">Table </w:t>
      </w:r>
      <w:r w:rsidR="00E75FA2">
        <w:t>32</w:t>
      </w:r>
      <w:r w:rsidRPr="00B02706">
        <w:fldChar w:fldCharType="end"/>
      </w:r>
      <w:r w:rsidRPr="00B02706">
        <w:t xml:space="preserve"> below. </w:t>
      </w:r>
    </w:p>
    <w:p w14:paraId="0085255C" w14:textId="31686E91" w:rsidR="002E5A3A" w:rsidRPr="000C6957" w:rsidRDefault="002E5A3A" w:rsidP="00B02706">
      <w:pPr>
        <w:pStyle w:val="Caption"/>
        <w:rPr>
          <w:b w:val="0"/>
          <w:i/>
        </w:rPr>
      </w:pPr>
      <w:bookmarkStart w:id="685" w:name="_Ref124435371"/>
      <w:r w:rsidRPr="000C6957">
        <w:t xml:space="preserve">Table </w:t>
      </w:r>
      <w:fldSimple w:instr=" SEQ Table \* ARABIC ">
        <w:r w:rsidR="00DF768D">
          <w:rPr>
            <w:noProof/>
          </w:rPr>
          <w:t>32</w:t>
        </w:r>
      </w:fldSimple>
      <w:bookmarkEnd w:id="685"/>
      <w:r w:rsidRPr="000C6957">
        <w:t xml:space="preserve">: </w:t>
      </w:r>
      <w:r w:rsidRPr="00B02706">
        <w:t>Estimated</w:t>
      </w:r>
      <w:r>
        <w:t xml:space="preserve"> c</w:t>
      </w:r>
      <w:r w:rsidRPr="000C6957">
        <w:t xml:space="preserve">ost to government of worker displacement </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59"/>
        <w:gridCol w:w="2775"/>
      </w:tblGrid>
      <w:tr w:rsidR="002E5A3A" w:rsidRPr="00F7123D" w14:paraId="5FE2148A" w14:textId="77777777" w:rsidTr="004C687A">
        <w:trPr>
          <w:trHeight w:val="438"/>
          <w:tblHeader/>
        </w:trPr>
        <w:tc>
          <w:tcPr>
            <w:tcW w:w="1697" w:type="pct"/>
            <w:shd w:val="clear" w:color="auto" w:fill="D9D9D9" w:themeFill="background1" w:themeFillShade="D9"/>
            <w:vAlign w:val="center"/>
          </w:tcPr>
          <w:p w14:paraId="0EF6F099" w14:textId="77777777" w:rsidR="002E5A3A" w:rsidRDefault="002E5A3A" w:rsidP="000C215A">
            <w:pPr>
              <w:pStyle w:val="TableHeading"/>
              <w:rPr>
                <w:lang w:eastAsia="en-AU"/>
              </w:rPr>
            </w:pPr>
            <w:r>
              <w:rPr>
                <w:lang w:eastAsia="en-AU"/>
              </w:rPr>
              <w:t xml:space="preserve">Impact </w:t>
            </w:r>
          </w:p>
        </w:tc>
        <w:tc>
          <w:tcPr>
            <w:tcW w:w="1942" w:type="pct"/>
            <w:shd w:val="clear" w:color="auto" w:fill="D9D9D9" w:themeFill="background1" w:themeFillShade="D9"/>
            <w:vAlign w:val="center"/>
          </w:tcPr>
          <w:p w14:paraId="3278DD93" w14:textId="77777777" w:rsidR="002E5A3A" w:rsidRDefault="002E5A3A" w:rsidP="000C215A">
            <w:pPr>
              <w:pStyle w:val="TableHeading"/>
              <w:rPr>
                <w:lang w:eastAsia="en-AU"/>
              </w:rPr>
            </w:pPr>
            <w:r>
              <w:rPr>
                <w:lang w:eastAsia="en-AU"/>
              </w:rPr>
              <w:t xml:space="preserve">Assumption </w:t>
            </w:r>
          </w:p>
        </w:tc>
        <w:tc>
          <w:tcPr>
            <w:tcW w:w="1361" w:type="pct"/>
            <w:shd w:val="clear" w:color="auto" w:fill="D9D9D9" w:themeFill="background1" w:themeFillShade="D9"/>
            <w:vAlign w:val="center"/>
          </w:tcPr>
          <w:p w14:paraId="61D91406" w14:textId="77777777" w:rsidR="002E5A3A" w:rsidRDefault="002E5A3A" w:rsidP="000C215A">
            <w:pPr>
              <w:pStyle w:val="TableHeading"/>
              <w:rPr>
                <w:lang w:eastAsia="en-AU"/>
              </w:rPr>
            </w:pPr>
            <w:r>
              <w:rPr>
                <w:lang w:eastAsia="en-AU"/>
              </w:rPr>
              <w:t>Cost per worker ($)</w:t>
            </w:r>
          </w:p>
        </w:tc>
      </w:tr>
      <w:tr w:rsidR="002E5A3A" w:rsidRPr="00F7123D" w14:paraId="467DD26A" w14:textId="77777777" w:rsidTr="004C687A">
        <w:trPr>
          <w:trHeight w:val="750"/>
        </w:trPr>
        <w:tc>
          <w:tcPr>
            <w:tcW w:w="1697" w:type="pct"/>
            <w:shd w:val="clear" w:color="auto" w:fill="auto"/>
            <w:vAlign w:val="center"/>
          </w:tcPr>
          <w:p w14:paraId="7F3AD8EE" w14:textId="77777777" w:rsidR="002E5A3A" w:rsidRDefault="002E5A3A" w:rsidP="00B02706">
            <w:pPr>
              <w:pStyle w:val="TableBody"/>
              <w:rPr>
                <w:lang w:eastAsia="en-AU"/>
              </w:rPr>
            </w:pPr>
            <w:r w:rsidRPr="00F05D05">
              <w:rPr>
                <w:b/>
                <w:bCs/>
                <w:lang w:eastAsia="en-AU"/>
              </w:rPr>
              <w:t>Training costs:</w:t>
            </w:r>
            <w:r>
              <w:rPr>
                <w:lang w:eastAsia="en-AU"/>
              </w:rPr>
              <w:t xml:space="preserve"> Certificate III</w:t>
            </w:r>
          </w:p>
        </w:tc>
        <w:tc>
          <w:tcPr>
            <w:tcW w:w="1942" w:type="pct"/>
            <w:vAlign w:val="center"/>
          </w:tcPr>
          <w:p w14:paraId="0FA12AC2" w14:textId="07ECCAFB" w:rsidR="002E5A3A" w:rsidRDefault="002E5A3A" w:rsidP="00B02706">
            <w:pPr>
              <w:pStyle w:val="TableBody"/>
              <w:rPr>
                <w:lang w:eastAsia="en-AU"/>
              </w:rPr>
            </w:pPr>
            <w:r>
              <w:rPr>
                <w:lang w:eastAsia="en-AU"/>
              </w:rPr>
              <w:t>Average cost of Cert III for: Civil construction, cabinet making, tiling, fabrication trade</w:t>
            </w:r>
            <w:r w:rsidR="00BE35E4">
              <w:rPr>
                <w:lang w:eastAsia="en-AU"/>
              </w:rPr>
              <w:t>.</w:t>
            </w:r>
            <w:r>
              <w:rPr>
                <w:lang w:eastAsia="en-AU"/>
              </w:rPr>
              <w:t xml:space="preserve"> </w:t>
            </w:r>
          </w:p>
        </w:tc>
        <w:tc>
          <w:tcPr>
            <w:tcW w:w="1361" w:type="pct"/>
            <w:vAlign w:val="center"/>
          </w:tcPr>
          <w:p w14:paraId="34F2178A" w14:textId="77777777" w:rsidR="002E5A3A" w:rsidRPr="0072523E" w:rsidRDefault="002E5A3A" w:rsidP="00B02706">
            <w:pPr>
              <w:pStyle w:val="TableBody"/>
              <w:rPr>
                <w:lang w:eastAsia="en-AU"/>
              </w:rPr>
            </w:pPr>
            <w:r>
              <w:rPr>
                <w:lang w:eastAsia="en-AU"/>
              </w:rPr>
              <w:t>Average cost of $12,691 ($4,835 per annum over 3 years)</w:t>
            </w:r>
            <w:r>
              <w:rPr>
                <w:rStyle w:val="FootnoteReference"/>
                <w:rFonts w:ascii="Arial" w:eastAsia="Times New Roman" w:hAnsi="Arial" w:cs="Arial"/>
                <w:sz w:val="16"/>
                <w:szCs w:val="16"/>
                <w:lang w:eastAsia="en-AU"/>
              </w:rPr>
              <w:footnoteReference w:id="21"/>
            </w:r>
          </w:p>
        </w:tc>
      </w:tr>
      <w:tr w:rsidR="002E5A3A" w:rsidRPr="00F7123D" w14:paraId="4E32DE6F" w14:textId="77777777" w:rsidTr="004C687A">
        <w:trPr>
          <w:trHeight w:val="1231"/>
        </w:trPr>
        <w:tc>
          <w:tcPr>
            <w:tcW w:w="1697" w:type="pct"/>
            <w:shd w:val="clear" w:color="auto" w:fill="auto"/>
            <w:vAlign w:val="center"/>
          </w:tcPr>
          <w:p w14:paraId="63FDF8B5" w14:textId="7B754830" w:rsidR="002E5A3A" w:rsidRPr="00620380" w:rsidRDefault="002E5A3A" w:rsidP="00B02706">
            <w:pPr>
              <w:pStyle w:val="TableBody"/>
              <w:rPr>
                <w:lang w:eastAsia="en-AU"/>
              </w:rPr>
            </w:pPr>
            <w:r w:rsidRPr="003A1261">
              <w:rPr>
                <w:b/>
                <w:bCs/>
                <w:color w:val="auto"/>
                <w:lang w:eastAsia="en-AU"/>
              </w:rPr>
              <w:t xml:space="preserve">Training costs: </w:t>
            </w:r>
            <w:r w:rsidRPr="002E2B62">
              <w:rPr>
                <w:color w:val="auto"/>
                <w:lang w:eastAsia="en-AU"/>
              </w:rPr>
              <w:t>Support payments</w:t>
            </w:r>
            <w:r w:rsidR="006F79D3">
              <w:rPr>
                <w:color w:val="auto"/>
                <w:lang w:eastAsia="en-AU"/>
              </w:rPr>
              <w:t xml:space="preserve"> to workers</w:t>
            </w:r>
          </w:p>
        </w:tc>
        <w:tc>
          <w:tcPr>
            <w:tcW w:w="1942" w:type="pct"/>
            <w:vAlign w:val="center"/>
          </w:tcPr>
          <w:p w14:paraId="213B2D8B" w14:textId="2233BB21" w:rsidR="002E5A3A" w:rsidRPr="001F180A" w:rsidRDefault="002E5A3A" w:rsidP="00B02706">
            <w:pPr>
              <w:pStyle w:val="TableBody"/>
              <w:rPr>
                <w:lang w:eastAsia="en-AU"/>
              </w:rPr>
            </w:pPr>
            <w:r w:rsidRPr="00563DA0">
              <w:rPr>
                <w:lang w:eastAsia="en-AU"/>
              </w:rPr>
              <w:t>Australian Apprentice Training Support Payment</w:t>
            </w:r>
            <w:r w:rsidR="00BE35E4">
              <w:rPr>
                <w:lang w:eastAsia="en-AU"/>
              </w:rPr>
              <w:t>.</w:t>
            </w:r>
          </w:p>
        </w:tc>
        <w:tc>
          <w:tcPr>
            <w:tcW w:w="1361" w:type="pct"/>
            <w:vAlign w:val="center"/>
          </w:tcPr>
          <w:p w14:paraId="764EF5A6" w14:textId="30581F19" w:rsidR="002E5A3A" w:rsidRPr="001F180A" w:rsidRDefault="00FB1EC2" w:rsidP="000D5F12">
            <w:pPr>
              <w:pStyle w:val="TableBody"/>
              <w:rPr>
                <w:lang w:eastAsia="en-AU"/>
              </w:rPr>
            </w:pPr>
            <w:r>
              <w:rPr>
                <w:lang w:eastAsia="en-AU"/>
              </w:rPr>
              <w:t>$5,000</w:t>
            </w:r>
            <w:r w:rsidR="000D5F12">
              <w:rPr>
                <w:lang w:eastAsia="en-AU"/>
              </w:rPr>
              <w:t xml:space="preserve"> (</w:t>
            </w:r>
            <w:r w:rsidR="002E5A3A">
              <w:rPr>
                <w:lang w:eastAsia="en-AU"/>
              </w:rPr>
              <w:t>$2,500 per annum</w:t>
            </w:r>
            <w:r w:rsidR="00F333CC">
              <w:rPr>
                <w:lang w:eastAsia="en-AU"/>
              </w:rPr>
              <w:t xml:space="preserve"> for </w:t>
            </w:r>
            <w:r w:rsidR="00B77F28">
              <w:rPr>
                <w:lang w:eastAsia="en-AU"/>
              </w:rPr>
              <w:t>first 2 years</w:t>
            </w:r>
            <w:r w:rsidR="00FE73ED">
              <w:rPr>
                <w:lang w:eastAsia="en-AU"/>
              </w:rPr>
              <w:t xml:space="preserve"> of apprenticeship)</w:t>
            </w:r>
            <w:r w:rsidR="000D5F12">
              <w:rPr>
                <w:lang w:eastAsia="en-AU"/>
              </w:rPr>
              <w:t xml:space="preserve"> </w:t>
            </w:r>
            <w:r w:rsidR="002E5A3A">
              <w:rPr>
                <w:rStyle w:val="FootnoteReference"/>
                <w:rFonts w:ascii="Arial" w:eastAsia="Times New Roman" w:hAnsi="Arial" w:cs="Arial"/>
                <w:sz w:val="16"/>
                <w:szCs w:val="16"/>
                <w:lang w:eastAsia="en-AU"/>
              </w:rPr>
              <w:footnoteReference w:id="22"/>
            </w:r>
          </w:p>
        </w:tc>
      </w:tr>
      <w:tr w:rsidR="006F79D3" w:rsidRPr="00F7123D" w14:paraId="634B13BE" w14:textId="77777777" w:rsidTr="004C687A">
        <w:trPr>
          <w:trHeight w:val="1231"/>
        </w:trPr>
        <w:tc>
          <w:tcPr>
            <w:tcW w:w="1697" w:type="pct"/>
            <w:shd w:val="clear" w:color="auto" w:fill="auto"/>
            <w:vAlign w:val="center"/>
          </w:tcPr>
          <w:p w14:paraId="1B93B4B4" w14:textId="0DD8E0F3" w:rsidR="006F79D3" w:rsidRPr="003A1261" w:rsidRDefault="00C4071A" w:rsidP="00B02706">
            <w:pPr>
              <w:pStyle w:val="TableBody"/>
              <w:rPr>
                <w:b/>
                <w:bCs/>
                <w:color w:val="auto"/>
                <w:lang w:eastAsia="en-AU"/>
              </w:rPr>
            </w:pPr>
            <w:r w:rsidRPr="003A1261">
              <w:rPr>
                <w:b/>
                <w:bCs/>
                <w:color w:val="auto"/>
                <w:lang w:eastAsia="en-AU"/>
              </w:rPr>
              <w:t xml:space="preserve">Training costs: </w:t>
            </w:r>
            <w:r w:rsidRPr="002E2B62">
              <w:rPr>
                <w:color w:val="auto"/>
                <w:lang w:eastAsia="en-AU"/>
              </w:rPr>
              <w:t>Support payments</w:t>
            </w:r>
            <w:r>
              <w:rPr>
                <w:color w:val="auto"/>
                <w:lang w:eastAsia="en-AU"/>
              </w:rPr>
              <w:t xml:space="preserve"> to </w:t>
            </w:r>
            <w:r w:rsidR="001B48FE">
              <w:rPr>
                <w:color w:val="auto"/>
                <w:lang w:eastAsia="en-AU"/>
              </w:rPr>
              <w:t>businesses</w:t>
            </w:r>
          </w:p>
        </w:tc>
        <w:tc>
          <w:tcPr>
            <w:tcW w:w="1942" w:type="pct"/>
            <w:vAlign w:val="center"/>
          </w:tcPr>
          <w:p w14:paraId="0C880B1A" w14:textId="0165D7DD" w:rsidR="006F79D3" w:rsidRPr="00563DA0" w:rsidRDefault="00EF6386" w:rsidP="00B02706">
            <w:pPr>
              <w:pStyle w:val="TableBody"/>
              <w:rPr>
                <w:lang w:eastAsia="en-AU"/>
              </w:rPr>
            </w:pPr>
            <w:r>
              <w:rPr>
                <w:lang w:eastAsia="en-AU"/>
              </w:rPr>
              <w:t xml:space="preserve">Similar to </w:t>
            </w:r>
            <w:r w:rsidR="00DA1557">
              <w:rPr>
                <w:lang w:eastAsia="en-AU"/>
              </w:rPr>
              <w:t xml:space="preserve">Australian Apprentice </w:t>
            </w:r>
            <w:r w:rsidR="0086723A">
              <w:rPr>
                <w:lang w:eastAsia="en-AU"/>
              </w:rPr>
              <w:t>Priority Wage Subsidy</w:t>
            </w:r>
            <w:r w:rsidR="007873D5">
              <w:rPr>
                <w:rStyle w:val="FootnoteReference"/>
                <w:rFonts w:ascii="Arial" w:eastAsia="Times New Roman" w:hAnsi="Arial" w:cs="Arial"/>
                <w:sz w:val="16"/>
                <w:szCs w:val="16"/>
                <w:lang w:eastAsia="en-AU"/>
              </w:rPr>
              <w:footnoteReference w:id="23"/>
            </w:r>
          </w:p>
        </w:tc>
        <w:tc>
          <w:tcPr>
            <w:tcW w:w="1361" w:type="pct"/>
            <w:vAlign w:val="center"/>
          </w:tcPr>
          <w:p w14:paraId="5A1E9BC7" w14:textId="40285883" w:rsidR="006F79D3" w:rsidRDefault="001A3589" w:rsidP="00B02706">
            <w:pPr>
              <w:pStyle w:val="TableBody"/>
              <w:rPr>
                <w:lang w:eastAsia="en-AU"/>
              </w:rPr>
            </w:pPr>
            <w:r>
              <w:rPr>
                <w:lang w:eastAsia="en-AU"/>
              </w:rPr>
              <w:t xml:space="preserve">Maximum </w:t>
            </w:r>
            <w:r w:rsidR="00425583">
              <w:rPr>
                <w:lang w:eastAsia="en-AU"/>
              </w:rPr>
              <w:t>$</w:t>
            </w:r>
            <w:r>
              <w:rPr>
                <w:lang w:eastAsia="en-AU"/>
              </w:rPr>
              <w:t>15,000</w:t>
            </w:r>
            <w:r w:rsidR="00FE73ED">
              <w:rPr>
                <w:lang w:eastAsia="en-AU"/>
              </w:rPr>
              <w:t xml:space="preserve"> (</w:t>
            </w:r>
            <w:r w:rsidR="007873D5">
              <w:rPr>
                <w:lang w:eastAsia="en-AU"/>
              </w:rPr>
              <w:t>$6,000 per annum for year 1 and 2 and $3,000 per annum for year 3)</w:t>
            </w:r>
            <w:r w:rsidR="007873D5">
              <w:rPr>
                <w:rStyle w:val="FootnoteReference"/>
                <w:rFonts w:ascii="Arial" w:eastAsia="Times New Roman" w:hAnsi="Arial" w:cs="Arial"/>
                <w:sz w:val="16"/>
                <w:szCs w:val="16"/>
                <w:lang w:eastAsia="en-AU"/>
              </w:rPr>
              <w:t xml:space="preserve"> </w:t>
            </w:r>
            <w:r w:rsidR="007873D5">
              <w:rPr>
                <w:rStyle w:val="FootnoteReference"/>
                <w:rFonts w:ascii="Arial" w:eastAsia="Times New Roman" w:hAnsi="Arial" w:cs="Arial"/>
                <w:sz w:val="16"/>
                <w:szCs w:val="16"/>
                <w:lang w:eastAsia="en-AU"/>
              </w:rPr>
              <w:footnoteReference w:id="24"/>
            </w:r>
          </w:p>
        </w:tc>
      </w:tr>
    </w:tbl>
    <w:p w14:paraId="108C2F5B" w14:textId="0D91862A" w:rsidR="002E5A3A" w:rsidRDefault="002E5A3A" w:rsidP="00B02706">
      <w:pPr>
        <w:pStyle w:val="BodyText"/>
        <w:rPr>
          <w:rFonts w:eastAsiaTheme="majorEastAsia"/>
          <w:b/>
          <w:bCs/>
          <w:color w:val="014463" w:themeColor="text2"/>
          <w:lang w:eastAsia="en-AU"/>
        </w:rPr>
      </w:pPr>
      <w:r>
        <w:br/>
      </w:r>
      <w:r w:rsidRPr="00F5798C">
        <w:t xml:space="preserve">It is to be noted that </w:t>
      </w:r>
      <w:r>
        <w:t>these costs w</w:t>
      </w:r>
      <w:r w:rsidR="00674C5B">
        <w:t>ould</w:t>
      </w:r>
      <w:r>
        <w:t xml:space="preserve"> be subject to a government policy decision to compensate workers/businesses who are impacted by the prohibition on working with engineered stone. </w:t>
      </w:r>
    </w:p>
    <w:p w14:paraId="6D01602A" w14:textId="77777777" w:rsidR="002E5A3A" w:rsidRPr="002F49ED" w:rsidRDefault="002E5A3A" w:rsidP="007B0D06">
      <w:pPr>
        <w:pStyle w:val="Heading3"/>
        <w:rPr>
          <w:lang w:eastAsia="en-AU"/>
        </w:rPr>
      </w:pPr>
      <w:r>
        <w:rPr>
          <w:lang w:eastAsia="en-AU"/>
        </w:rPr>
        <w:t>I</w:t>
      </w:r>
      <w:r w:rsidRPr="002F49ED">
        <w:rPr>
          <w:lang w:eastAsia="en-AU"/>
        </w:rPr>
        <w:t>ndustry support packages</w:t>
      </w:r>
      <w:r>
        <w:rPr>
          <w:lang w:eastAsia="en-AU"/>
        </w:rPr>
        <w:t xml:space="preserve"> </w:t>
      </w:r>
    </w:p>
    <w:p w14:paraId="68D32E9B" w14:textId="77777777" w:rsidR="002E5A3A" w:rsidRDefault="002E5A3A" w:rsidP="007B0D06">
      <w:pPr>
        <w:pStyle w:val="BodyText"/>
      </w:pPr>
      <w:r w:rsidRPr="008B353B">
        <w:rPr>
          <w:b/>
          <w:bCs/>
        </w:rPr>
        <w:t>Scenario 2</w:t>
      </w:r>
      <w:r>
        <w:t xml:space="preserve"> presents a situation whereby a business cannot absorb the costs associated with a switch to an alternative product. Under this scenario, PCBUs will face significant financial pressure and will face the prospect of closure without support. </w:t>
      </w:r>
    </w:p>
    <w:p w14:paraId="08AFDA30" w14:textId="77777777" w:rsidR="002E5A3A" w:rsidRDefault="002E5A3A" w:rsidP="007B0D06">
      <w:pPr>
        <w:pStyle w:val="BodyText"/>
      </w:pPr>
      <w:r>
        <w:t>One form of financial support is through government funding that may:</w:t>
      </w:r>
    </w:p>
    <w:p w14:paraId="5D5209CD" w14:textId="77777777" w:rsidR="002E5A3A" w:rsidRDefault="002E5A3A" w:rsidP="007B0D06">
      <w:pPr>
        <w:pStyle w:val="ListBullet"/>
      </w:pPr>
      <w:r>
        <w:t>a</w:t>
      </w:r>
      <w:r w:rsidRPr="005467DE">
        <w:t xml:space="preserve">ssist with the transition to an alternative product </w:t>
      </w:r>
    </w:p>
    <w:p w14:paraId="2F4ED750" w14:textId="77777777" w:rsidR="002E5A3A" w:rsidRDefault="002E5A3A" w:rsidP="007B0D06">
      <w:pPr>
        <w:pStyle w:val="ListBullet"/>
      </w:pPr>
      <w:r w:rsidRPr="005467DE">
        <w:t xml:space="preserve">be used to recover lost revenue in the short to medium term </w:t>
      </w:r>
    </w:p>
    <w:p w14:paraId="7EA6E9BB" w14:textId="77777777" w:rsidR="002E5A3A" w:rsidRDefault="002E5A3A" w:rsidP="007B0D06">
      <w:pPr>
        <w:pStyle w:val="ListBullet"/>
      </w:pPr>
      <w:r>
        <w:t xml:space="preserve">be used </w:t>
      </w:r>
      <w:r w:rsidRPr="005467DE">
        <w:t>to purchase new equipment</w:t>
      </w:r>
      <w:r>
        <w:t>,</w:t>
      </w:r>
      <w:r w:rsidRPr="005467DE">
        <w:t xml:space="preserve"> or </w:t>
      </w:r>
    </w:p>
    <w:p w14:paraId="6461AAAF" w14:textId="77777777" w:rsidR="002E5A3A" w:rsidRPr="005467DE" w:rsidRDefault="002E5A3A" w:rsidP="007B0D06">
      <w:pPr>
        <w:pStyle w:val="ListBullet"/>
      </w:pPr>
      <w:r>
        <w:t xml:space="preserve">be used </w:t>
      </w:r>
      <w:r w:rsidRPr="005467DE">
        <w:t>for staff training.</w:t>
      </w:r>
    </w:p>
    <w:p w14:paraId="11DDF03E" w14:textId="04FDB924" w:rsidR="002E5A3A" w:rsidRDefault="002E5A3A" w:rsidP="007B0D06">
      <w:pPr>
        <w:pStyle w:val="BodyText"/>
      </w:pPr>
      <w:r>
        <w:t xml:space="preserve">COVID-19 business grants and support programs made available by Australian states and territories could be used as a basis for estimating the size of industry support packages in this scenario. Examples of eligibility criteria and </w:t>
      </w:r>
      <w:r>
        <w:lastRenderedPageBreak/>
        <w:t xml:space="preserve">grant funding provided for COVID-19 business support programs for select jurisdictions are presented in </w:t>
      </w:r>
      <w:r>
        <w:fldChar w:fldCharType="begin"/>
      </w:r>
      <w:r>
        <w:instrText xml:space="preserve"> REF _Ref124451123 \h  \* MERGEFORMAT </w:instrText>
      </w:r>
      <w:r>
        <w:fldChar w:fldCharType="separate"/>
      </w:r>
      <w:r w:rsidR="00E75FA2" w:rsidRPr="00F61A6A">
        <w:t xml:space="preserve">Table </w:t>
      </w:r>
      <w:r w:rsidR="00E75FA2">
        <w:t>33</w:t>
      </w:r>
      <w:r>
        <w:fldChar w:fldCharType="end"/>
      </w:r>
      <w:r>
        <w:t xml:space="preserve"> below.</w:t>
      </w:r>
    </w:p>
    <w:p w14:paraId="0A5626E2" w14:textId="477533CA" w:rsidR="002E5A3A" w:rsidRPr="00F61A6A" w:rsidRDefault="002E5A3A" w:rsidP="007B0D06">
      <w:pPr>
        <w:pStyle w:val="Caption"/>
        <w:rPr>
          <w:b w:val="0"/>
          <w:i/>
        </w:rPr>
      </w:pPr>
      <w:bookmarkStart w:id="686" w:name="_Ref124451123"/>
      <w:r w:rsidRPr="00F61A6A">
        <w:t xml:space="preserve">Table </w:t>
      </w:r>
      <w:fldSimple w:instr=" SEQ Table \* ARABIC ">
        <w:r w:rsidR="00DF768D">
          <w:rPr>
            <w:noProof/>
          </w:rPr>
          <w:t>33</w:t>
        </w:r>
      </w:fldSimple>
      <w:bookmarkEnd w:id="686"/>
      <w:r w:rsidRPr="00F61A6A">
        <w:t xml:space="preserve">: </w:t>
      </w:r>
      <w:r>
        <w:t>COVID-19 business support programs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2069"/>
        <w:gridCol w:w="4646"/>
        <w:gridCol w:w="1866"/>
      </w:tblGrid>
      <w:tr w:rsidR="002E5A3A" w:rsidRPr="00F7123D" w14:paraId="1EFC96C4" w14:textId="77777777" w:rsidTr="004C687A">
        <w:trPr>
          <w:trHeight w:val="438"/>
          <w:tblHeader/>
        </w:trPr>
        <w:tc>
          <w:tcPr>
            <w:tcW w:w="791" w:type="pct"/>
            <w:shd w:val="clear" w:color="auto" w:fill="D9D9D9" w:themeFill="background1" w:themeFillShade="D9"/>
            <w:vAlign w:val="center"/>
          </w:tcPr>
          <w:p w14:paraId="261E73F6" w14:textId="77777777" w:rsidR="002E5A3A" w:rsidRDefault="002E5A3A" w:rsidP="000C215A">
            <w:pPr>
              <w:pStyle w:val="TableHeading"/>
              <w:rPr>
                <w:lang w:eastAsia="en-AU"/>
              </w:rPr>
            </w:pPr>
            <w:r>
              <w:rPr>
                <w:lang w:eastAsia="en-AU"/>
              </w:rPr>
              <w:t>Jurisdiction</w:t>
            </w:r>
          </w:p>
        </w:tc>
        <w:tc>
          <w:tcPr>
            <w:tcW w:w="1015" w:type="pct"/>
            <w:shd w:val="clear" w:color="auto" w:fill="D9D9D9" w:themeFill="background1" w:themeFillShade="D9"/>
            <w:vAlign w:val="center"/>
          </w:tcPr>
          <w:p w14:paraId="79535F42" w14:textId="77777777" w:rsidR="002E5A3A" w:rsidRDefault="002E5A3A" w:rsidP="000C215A">
            <w:pPr>
              <w:pStyle w:val="TableHeading"/>
              <w:rPr>
                <w:lang w:eastAsia="en-AU"/>
              </w:rPr>
            </w:pPr>
            <w:r>
              <w:rPr>
                <w:lang w:eastAsia="en-AU"/>
              </w:rPr>
              <w:t xml:space="preserve">Fund </w:t>
            </w:r>
          </w:p>
        </w:tc>
        <w:tc>
          <w:tcPr>
            <w:tcW w:w="2279" w:type="pct"/>
            <w:shd w:val="clear" w:color="auto" w:fill="D9D9D9" w:themeFill="background1" w:themeFillShade="D9"/>
            <w:vAlign w:val="center"/>
          </w:tcPr>
          <w:p w14:paraId="0E7A5E57" w14:textId="77777777" w:rsidR="002E5A3A" w:rsidRDefault="002E5A3A" w:rsidP="000C215A">
            <w:pPr>
              <w:pStyle w:val="TableHeading"/>
              <w:rPr>
                <w:lang w:eastAsia="en-AU"/>
              </w:rPr>
            </w:pPr>
            <w:r>
              <w:rPr>
                <w:lang w:eastAsia="en-AU"/>
              </w:rPr>
              <w:t xml:space="preserve">Eligibility criteria </w:t>
            </w:r>
          </w:p>
        </w:tc>
        <w:tc>
          <w:tcPr>
            <w:tcW w:w="915" w:type="pct"/>
            <w:shd w:val="clear" w:color="auto" w:fill="D9D9D9" w:themeFill="background1" w:themeFillShade="D9"/>
            <w:vAlign w:val="center"/>
          </w:tcPr>
          <w:p w14:paraId="0781F0B9" w14:textId="77777777" w:rsidR="002E5A3A" w:rsidRDefault="002E5A3A" w:rsidP="000C215A">
            <w:pPr>
              <w:pStyle w:val="TableHeading"/>
              <w:rPr>
                <w:lang w:eastAsia="en-AU"/>
              </w:rPr>
            </w:pPr>
            <w:r>
              <w:rPr>
                <w:lang w:eastAsia="en-AU"/>
              </w:rPr>
              <w:t>Grant funding for eligible businesses ($)</w:t>
            </w:r>
          </w:p>
        </w:tc>
      </w:tr>
      <w:tr w:rsidR="002E5A3A" w:rsidRPr="00F7123D" w14:paraId="26AFC148" w14:textId="77777777" w:rsidTr="004C687A">
        <w:trPr>
          <w:trHeight w:val="750"/>
        </w:trPr>
        <w:tc>
          <w:tcPr>
            <w:tcW w:w="791" w:type="pct"/>
            <w:shd w:val="clear" w:color="auto" w:fill="auto"/>
            <w:vAlign w:val="center"/>
          </w:tcPr>
          <w:p w14:paraId="5B30A176" w14:textId="77777777" w:rsidR="002E5A3A" w:rsidRDefault="002E5A3A" w:rsidP="007B0D06">
            <w:pPr>
              <w:pStyle w:val="TableBody"/>
              <w:rPr>
                <w:lang w:eastAsia="en-AU"/>
              </w:rPr>
            </w:pPr>
            <w:r>
              <w:rPr>
                <w:lang w:eastAsia="en-AU"/>
              </w:rPr>
              <w:t xml:space="preserve">New South Wales </w:t>
            </w:r>
          </w:p>
        </w:tc>
        <w:tc>
          <w:tcPr>
            <w:tcW w:w="1015" w:type="pct"/>
            <w:vAlign w:val="center"/>
          </w:tcPr>
          <w:p w14:paraId="73AF17E9" w14:textId="77777777" w:rsidR="002E5A3A" w:rsidRDefault="002E5A3A" w:rsidP="007B0D06">
            <w:pPr>
              <w:pStyle w:val="TableBody"/>
              <w:rPr>
                <w:lang w:eastAsia="en-AU"/>
              </w:rPr>
            </w:pPr>
            <w:r w:rsidRPr="00D927CB">
              <w:rPr>
                <w:lang w:eastAsia="en-AU"/>
              </w:rPr>
              <w:t>2021 COVID-19 business grant</w:t>
            </w:r>
          </w:p>
        </w:tc>
        <w:tc>
          <w:tcPr>
            <w:tcW w:w="2279" w:type="pct"/>
            <w:vAlign w:val="center"/>
          </w:tcPr>
          <w:p w14:paraId="1F354300" w14:textId="77777777" w:rsidR="002E5A3A" w:rsidRPr="0072523E" w:rsidRDefault="002E5A3A" w:rsidP="007B0D06">
            <w:pPr>
              <w:pStyle w:val="TableBody"/>
              <w:rPr>
                <w:lang w:eastAsia="en-AU"/>
              </w:rPr>
            </w:pPr>
            <w:r w:rsidRPr="00AC0D61">
              <w:rPr>
                <w:lang w:eastAsia="en-AU"/>
              </w:rPr>
              <w:t>Eligible businesses (including non-employing businesses such as non-employing sole traders) and not-for-profit organisations can apply for a one-off grant of $7,500 (</w:t>
            </w:r>
            <w:r>
              <w:rPr>
                <w:lang w:eastAsia="en-AU"/>
              </w:rPr>
              <w:t>decline in turnover of 30% or more</w:t>
            </w:r>
            <w:r w:rsidRPr="00AC0D61">
              <w:rPr>
                <w:lang w:eastAsia="en-AU"/>
              </w:rPr>
              <w:t>) or $10,500 (</w:t>
            </w:r>
            <w:r>
              <w:rPr>
                <w:lang w:eastAsia="en-AU"/>
              </w:rPr>
              <w:t>decline in turnover of 50% or more</w:t>
            </w:r>
            <w:r w:rsidRPr="00AC0D61">
              <w:rPr>
                <w:lang w:eastAsia="en-AU"/>
              </w:rPr>
              <w:t>) or $15,000 (</w:t>
            </w:r>
            <w:r>
              <w:rPr>
                <w:lang w:eastAsia="en-AU"/>
              </w:rPr>
              <w:t>decline in turnover of 70% or more</w:t>
            </w:r>
            <w:r w:rsidRPr="00AC0D61">
              <w:rPr>
                <w:lang w:eastAsia="en-AU"/>
              </w:rPr>
              <w:t>) via one application</w:t>
            </w:r>
            <w:r>
              <w:rPr>
                <w:lang w:eastAsia="en-AU"/>
              </w:rPr>
              <w:t>.</w:t>
            </w:r>
          </w:p>
        </w:tc>
        <w:tc>
          <w:tcPr>
            <w:tcW w:w="915" w:type="pct"/>
            <w:vAlign w:val="center"/>
          </w:tcPr>
          <w:p w14:paraId="59582C7E" w14:textId="77777777" w:rsidR="002E5A3A" w:rsidRDefault="002E5A3A" w:rsidP="007B0D06">
            <w:pPr>
              <w:pStyle w:val="TableBody"/>
              <w:rPr>
                <w:lang w:eastAsia="en-AU"/>
              </w:rPr>
            </w:pPr>
            <w:r>
              <w:rPr>
                <w:lang w:eastAsia="en-AU"/>
              </w:rPr>
              <w:t>$7,500 – $15,000</w:t>
            </w:r>
          </w:p>
        </w:tc>
      </w:tr>
      <w:tr w:rsidR="002E5A3A" w:rsidRPr="00F7123D" w14:paraId="07313DAB" w14:textId="77777777" w:rsidTr="004C687A">
        <w:trPr>
          <w:trHeight w:val="1231"/>
        </w:trPr>
        <w:tc>
          <w:tcPr>
            <w:tcW w:w="791" w:type="pct"/>
            <w:shd w:val="clear" w:color="auto" w:fill="auto"/>
            <w:vAlign w:val="center"/>
          </w:tcPr>
          <w:p w14:paraId="3F96A306" w14:textId="77777777" w:rsidR="002E5A3A" w:rsidRPr="002B0B4F" w:rsidRDefault="002E5A3A" w:rsidP="007B0D06">
            <w:pPr>
              <w:pStyle w:val="TableBody"/>
              <w:rPr>
                <w:color w:val="auto"/>
                <w:lang w:eastAsia="en-AU"/>
              </w:rPr>
            </w:pPr>
            <w:r w:rsidRPr="002B0B4F">
              <w:rPr>
                <w:color w:val="auto"/>
                <w:lang w:eastAsia="en-AU"/>
              </w:rPr>
              <w:t>Victoria</w:t>
            </w:r>
          </w:p>
        </w:tc>
        <w:tc>
          <w:tcPr>
            <w:tcW w:w="1015" w:type="pct"/>
            <w:vAlign w:val="center"/>
          </w:tcPr>
          <w:p w14:paraId="10F8FC0B" w14:textId="77777777" w:rsidR="002E5A3A" w:rsidRPr="000214F6" w:rsidRDefault="002E5A3A" w:rsidP="007B0D06">
            <w:pPr>
              <w:pStyle w:val="TableBody"/>
              <w:rPr>
                <w:lang w:eastAsia="en-AU"/>
              </w:rPr>
            </w:pPr>
            <w:r w:rsidRPr="000214F6">
              <w:rPr>
                <w:lang w:eastAsia="en-AU"/>
              </w:rPr>
              <w:t>Small Business COVID Hardship Fund</w:t>
            </w:r>
          </w:p>
        </w:tc>
        <w:tc>
          <w:tcPr>
            <w:tcW w:w="2279" w:type="pct"/>
            <w:vAlign w:val="center"/>
          </w:tcPr>
          <w:p w14:paraId="3AE9E3D3" w14:textId="77777777" w:rsidR="002E5A3A" w:rsidRPr="000214F6" w:rsidRDefault="002E5A3A" w:rsidP="007B0D06">
            <w:pPr>
              <w:pStyle w:val="TableBody"/>
              <w:rPr>
                <w:color w:val="000000"/>
                <w:lang w:eastAsia="en-AU"/>
              </w:rPr>
            </w:pPr>
            <w:r>
              <w:rPr>
                <w:color w:val="000000"/>
                <w:lang w:eastAsia="en-AU"/>
              </w:rPr>
              <w:t xml:space="preserve">The Fund was established to </w:t>
            </w:r>
            <w:r w:rsidRPr="000214F6">
              <w:rPr>
                <w:color w:val="000000"/>
                <w:lang w:eastAsia="en-AU"/>
              </w:rPr>
              <w:t>assist eligible small and medium businesses:</w:t>
            </w:r>
          </w:p>
          <w:p w14:paraId="39D5E77A" w14:textId="5488413D" w:rsidR="002E5A3A" w:rsidRPr="000214F6" w:rsidRDefault="00484260" w:rsidP="007B0D06">
            <w:pPr>
              <w:pStyle w:val="TableBullet"/>
              <w:rPr>
                <w:lang w:eastAsia="en-AU"/>
              </w:rPr>
            </w:pPr>
            <w:r>
              <w:rPr>
                <w:lang w:eastAsia="en-AU"/>
              </w:rPr>
              <w:t>w</w:t>
            </w:r>
            <w:r w:rsidR="002E5A3A" w:rsidRPr="000214F6">
              <w:rPr>
                <w:lang w:eastAsia="en-AU"/>
              </w:rPr>
              <w:t>hose operations have been severely impacted by COVID-19 restrictions that have been in place since 27 May 2021</w:t>
            </w:r>
          </w:p>
          <w:p w14:paraId="5E1DF448" w14:textId="2A742F28" w:rsidR="002E5A3A" w:rsidRPr="000214F6" w:rsidRDefault="00484260" w:rsidP="007B0D06">
            <w:pPr>
              <w:pStyle w:val="TableBullet"/>
              <w:rPr>
                <w:lang w:eastAsia="en-AU"/>
              </w:rPr>
            </w:pPr>
            <w:r>
              <w:rPr>
                <w:lang w:eastAsia="en-AU"/>
              </w:rPr>
              <w:t>t</w:t>
            </w:r>
            <w:r w:rsidR="002E5A3A" w:rsidRPr="000214F6">
              <w:rPr>
                <w:lang w:eastAsia="en-AU"/>
              </w:rPr>
              <w:t>hat have experienced at least a 70% reduction in turnover as a result of the COVID-19 restrictions</w:t>
            </w:r>
          </w:p>
          <w:p w14:paraId="3E315A81" w14:textId="6A0C2BE3" w:rsidR="002E5A3A" w:rsidRPr="000214F6" w:rsidRDefault="00484260" w:rsidP="007B0D06">
            <w:pPr>
              <w:pStyle w:val="TableBullet"/>
              <w:rPr>
                <w:lang w:eastAsia="en-AU"/>
              </w:rPr>
            </w:pPr>
            <w:r>
              <w:rPr>
                <w:lang w:eastAsia="en-AU"/>
              </w:rPr>
              <w:t>t</w:t>
            </w:r>
            <w:r w:rsidR="002E5A3A" w:rsidRPr="000214F6">
              <w:rPr>
                <w:lang w:eastAsia="en-AU"/>
              </w:rPr>
              <w:t>hat are ineligible for other key COVID-19 Victorian Government business grant programs that have been announced since 27 May 2021.</w:t>
            </w:r>
          </w:p>
          <w:p w14:paraId="0669D35E" w14:textId="77777777" w:rsidR="002E5A3A" w:rsidRPr="000214F6" w:rsidRDefault="002E5A3A" w:rsidP="007B0D06">
            <w:pPr>
              <w:pStyle w:val="TableBody"/>
              <w:rPr>
                <w:lang w:eastAsia="en-AU"/>
              </w:rPr>
            </w:pPr>
          </w:p>
        </w:tc>
        <w:tc>
          <w:tcPr>
            <w:tcW w:w="915" w:type="pct"/>
            <w:vAlign w:val="center"/>
          </w:tcPr>
          <w:p w14:paraId="24DE8216" w14:textId="77777777" w:rsidR="002E5A3A" w:rsidRPr="000214F6" w:rsidRDefault="002E5A3A" w:rsidP="007B0D06">
            <w:pPr>
              <w:pStyle w:val="TableBody"/>
              <w:rPr>
                <w:color w:val="000000"/>
                <w:lang w:eastAsia="en-AU"/>
              </w:rPr>
            </w:pPr>
            <w:r w:rsidRPr="000214F6">
              <w:rPr>
                <w:color w:val="000000"/>
                <w:lang w:eastAsia="en-AU"/>
              </w:rPr>
              <w:t>The program offers grants of $20,000 to eligible small and medium businesses, including employing and non-employing businesses</w:t>
            </w:r>
          </w:p>
        </w:tc>
      </w:tr>
      <w:tr w:rsidR="002E5A3A" w:rsidRPr="00F7123D" w14:paraId="01297FB0" w14:textId="77777777" w:rsidTr="004C687A">
        <w:trPr>
          <w:trHeight w:val="1231"/>
        </w:trPr>
        <w:tc>
          <w:tcPr>
            <w:tcW w:w="791" w:type="pct"/>
            <w:shd w:val="clear" w:color="auto" w:fill="auto"/>
            <w:vAlign w:val="center"/>
          </w:tcPr>
          <w:p w14:paraId="07177B07" w14:textId="77777777" w:rsidR="002E5A3A" w:rsidRPr="00F56F5E" w:rsidRDefault="002E5A3A" w:rsidP="007B0D06">
            <w:pPr>
              <w:pStyle w:val="TableBody"/>
              <w:rPr>
                <w:color w:val="auto"/>
                <w:lang w:eastAsia="en-AU"/>
              </w:rPr>
            </w:pPr>
            <w:r>
              <w:rPr>
                <w:color w:val="auto"/>
                <w:lang w:eastAsia="en-AU"/>
              </w:rPr>
              <w:t xml:space="preserve">Queensland </w:t>
            </w:r>
          </w:p>
        </w:tc>
        <w:tc>
          <w:tcPr>
            <w:tcW w:w="1015" w:type="pct"/>
            <w:vAlign w:val="center"/>
          </w:tcPr>
          <w:p w14:paraId="2AD76DF9" w14:textId="77777777" w:rsidR="002E5A3A" w:rsidRPr="00F50A2F" w:rsidRDefault="002E5A3A" w:rsidP="007B0D06">
            <w:pPr>
              <w:pStyle w:val="TableBody"/>
              <w:rPr>
                <w:color w:val="auto"/>
                <w:lang w:eastAsia="en-AU"/>
              </w:rPr>
            </w:pPr>
            <w:r w:rsidRPr="00160524">
              <w:rPr>
                <w:color w:val="auto"/>
                <w:lang w:eastAsia="en-AU"/>
              </w:rPr>
              <w:t>2021 COVID-19 Business Support Grants</w:t>
            </w:r>
          </w:p>
        </w:tc>
        <w:tc>
          <w:tcPr>
            <w:tcW w:w="2279" w:type="pct"/>
            <w:vAlign w:val="center"/>
          </w:tcPr>
          <w:p w14:paraId="25A2A64D" w14:textId="77777777" w:rsidR="002E5A3A" w:rsidRDefault="002E5A3A" w:rsidP="007B0D06">
            <w:pPr>
              <w:pStyle w:val="TableBody"/>
              <w:rPr>
                <w:lang w:eastAsia="en-AU"/>
              </w:rPr>
            </w:pPr>
            <w:r w:rsidRPr="00061BC9">
              <w:rPr>
                <w:lang w:eastAsia="en-AU"/>
              </w:rPr>
              <w:t>Employing Queensland small businesses and not-for-profit organisations</w:t>
            </w:r>
            <w:r>
              <w:rPr>
                <w:lang w:eastAsia="en-AU"/>
              </w:rPr>
              <w:t xml:space="preserve">: Payroll size of </w:t>
            </w:r>
            <w:r w:rsidRPr="006069E9">
              <w:rPr>
                <w:lang w:eastAsia="en-AU"/>
              </w:rPr>
              <w:t>less than $1.3 million</w:t>
            </w:r>
          </w:p>
          <w:p w14:paraId="6BD29E54" w14:textId="77777777" w:rsidR="002E5A3A" w:rsidRDefault="002E5A3A" w:rsidP="007B0D06">
            <w:pPr>
              <w:pStyle w:val="TableBody"/>
              <w:rPr>
                <w:lang w:eastAsia="en-AU"/>
              </w:rPr>
            </w:pPr>
            <w:r w:rsidRPr="00AF11ED">
              <w:rPr>
                <w:lang w:eastAsia="en-AU"/>
              </w:rPr>
              <w:t>Employing Queensland medium sized businesses and not-for-profit organisations</w:t>
            </w:r>
            <w:r>
              <w:rPr>
                <w:lang w:eastAsia="en-AU"/>
              </w:rPr>
              <w:t>: Payroll size between 1.3 million and $10 million</w:t>
            </w:r>
          </w:p>
          <w:p w14:paraId="0A10EBDD" w14:textId="77777777" w:rsidR="002E5A3A" w:rsidRDefault="002E5A3A" w:rsidP="007B0D06">
            <w:pPr>
              <w:pStyle w:val="TableBody"/>
              <w:rPr>
                <w:lang w:eastAsia="en-AU"/>
              </w:rPr>
            </w:pPr>
            <w:r w:rsidRPr="00AF11ED">
              <w:rPr>
                <w:lang w:eastAsia="en-AU"/>
              </w:rPr>
              <w:t>Employing Queensland large sized tourism and hospitality focused businesses and not-for-profit organisations</w:t>
            </w:r>
            <w:r>
              <w:rPr>
                <w:lang w:eastAsia="en-AU"/>
              </w:rPr>
              <w:t xml:space="preserve">: Payroll size greater than $10 million. </w:t>
            </w:r>
          </w:p>
        </w:tc>
        <w:tc>
          <w:tcPr>
            <w:tcW w:w="915" w:type="pct"/>
            <w:vAlign w:val="center"/>
          </w:tcPr>
          <w:p w14:paraId="46352DC4" w14:textId="77777777" w:rsidR="002E5A3A" w:rsidRPr="002B0B4F" w:rsidRDefault="002E5A3A" w:rsidP="007B0D06">
            <w:pPr>
              <w:pStyle w:val="TableBody"/>
              <w:rPr>
                <w:lang w:eastAsia="en-AU"/>
              </w:rPr>
            </w:pPr>
            <w:r>
              <w:rPr>
                <w:lang w:eastAsia="en-AU"/>
              </w:rPr>
              <w:t>$10,000 - $30,000</w:t>
            </w:r>
          </w:p>
        </w:tc>
      </w:tr>
    </w:tbl>
    <w:p w14:paraId="3014415B" w14:textId="4E869148" w:rsidR="002E5A3A" w:rsidRPr="005B5281" w:rsidRDefault="002E5A3A" w:rsidP="00C90FB0">
      <w:pPr>
        <w:pStyle w:val="BodyText"/>
        <w:rPr>
          <w:rFonts w:eastAsiaTheme="majorEastAsia"/>
          <w:b/>
          <w:bCs/>
          <w:color w:val="014463" w:themeColor="text2"/>
          <w:lang w:eastAsia="en-AU"/>
        </w:rPr>
      </w:pPr>
      <w:r>
        <w:br/>
      </w:r>
      <w:r w:rsidRPr="00F61A6A">
        <w:t xml:space="preserve">While examples of industry support packages have been included in the </w:t>
      </w:r>
      <w:r>
        <w:t>scenario</w:t>
      </w:r>
      <w:r w:rsidRPr="00F61A6A">
        <w:t>, further analysis w</w:t>
      </w:r>
      <w:r w:rsidR="00D201E9">
        <w:t>ould</w:t>
      </w:r>
      <w:r w:rsidRPr="00F61A6A">
        <w:t xml:space="preserve"> be required to understand the potential cost to government to implement these initiatives.</w:t>
      </w:r>
    </w:p>
    <w:p w14:paraId="141BFF4D" w14:textId="046B1D47" w:rsidR="002E5A3A" w:rsidRDefault="002E5A3A" w:rsidP="00401970">
      <w:pPr>
        <w:pStyle w:val="Heading3"/>
      </w:pPr>
      <w:r w:rsidRPr="00F61A6A">
        <w:lastRenderedPageBreak/>
        <w:t>Estimate</w:t>
      </w:r>
      <w:r>
        <w:t>d</w:t>
      </w:r>
      <w:r w:rsidRPr="00F61A6A">
        <w:t xml:space="preserve"> cost to government and industry under each scenario</w:t>
      </w:r>
    </w:p>
    <w:p w14:paraId="111DF7A4" w14:textId="5806464C" w:rsidR="002E5A3A" w:rsidRDefault="003F7CDF" w:rsidP="00F60868">
      <w:pPr>
        <w:pStyle w:val="BodyText"/>
        <w:keepNext/>
        <w:keepLines/>
      </w:pPr>
      <w:fldSimple w:instr=" REF _Ref125289575 ">
        <w:r w:rsidR="00E75FA2" w:rsidRPr="007A3486">
          <w:t xml:space="preserve">Table </w:t>
        </w:r>
        <w:r w:rsidR="00E75FA2">
          <w:rPr>
            <w:noProof/>
          </w:rPr>
          <w:t>34</w:t>
        </w:r>
      </w:fldSimple>
      <w:r w:rsidR="00E75FA2">
        <w:t xml:space="preserve"> </w:t>
      </w:r>
      <w:r w:rsidR="002E5A3A">
        <w:t xml:space="preserve">provides a summary of the estimated cost that may be incurred by individual businesses under the two scenarios. </w:t>
      </w:r>
    </w:p>
    <w:p w14:paraId="45B2156C" w14:textId="068B74BF" w:rsidR="002E5A3A" w:rsidRPr="007A3486" w:rsidRDefault="002E5A3A" w:rsidP="00920F9A">
      <w:pPr>
        <w:pStyle w:val="Caption"/>
        <w:rPr>
          <w:b w:val="0"/>
          <w:i/>
        </w:rPr>
      </w:pPr>
      <w:bookmarkStart w:id="687" w:name="_Ref125289575"/>
      <w:r w:rsidRPr="007A3486">
        <w:t xml:space="preserve">Table </w:t>
      </w:r>
      <w:fldSimple w:instr=" SEQ Table \* ARABIC ">
        <w:r w:rsidR="00DF768D">
          <w:rPr>
            <w:noProof/>
          </w:rPr>
          <w:t>34</w:t>
        </w:r>
      </w:fldSimple>
      <w:bookmarkEnd w:id="687"/>
      <w:r w:rsidRPr="007A3486">
        <w:t xml:space="preserve">: </w:t>
      </w:r>
      <w:r w:rsidRPr="00C90FB0">
        <w:t>Estimated</w:t>
      </w:r>
      <w:r>
        <w:t xml:space="preserve"> c</w:t>
      </w:r>
      <w:r w:rsidRPr="007A3486">
        <w:t xml:space="preserve">ost to </w:t>
      </w:r>
      <w:r>
        <w:t xml:space="preserve">industry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3631"/>
        <w:gridCol w:w="3629"/>
      </w:tblGrid>
      <w:tr w:rsidR="002E5A3A" w:rsidRPr="0042020A" w14:paraId="26C84BF6" w14:textId="77777777" w:rsidTr="004C687A">
        <w:trPr>
          <w:trHeight w:val="438"/>
          <w:tblHeader/>
        </w:trPr>
        <w:tc>
          <w:tcPr>
            <w:tcW w:w="1439" w:type="pct"/>
            <w:shd w:val="clear" w:color="auto" w:fill="D9D9D9" w:themeFill="background1" w:themeFillShade="D9"/>
            <w:vAlign w:val="center"/>
          </w:tcPr>
          <w:p w14:paraId="5BECB353" w14:textId="77777777" w:rsidR="002E5A3A" w:rsidRPr="0042020A" w:rsidRDefault="002E5A3A" w:rsidP="000C215A">
            <w:pPr>
              <w:pStyle w:val="TableHeading"/>
              <w:rPr>
                <w:lang w:eastAsia="en-AU"/>
              </w:rPr>
            </w:pPr>
            <w:r w:rsidRPr="0042020A">
              <w:rPr>
                <w:lang w:eastAsia="en-AU"/>
              </w:rPr>
              <w:t xml:space="preserve">Scenario </w:t>
            </w:r>
          </w:p>
        </w:tc>
        <w:tc>
          <w:tcPr>
            <w:tcW w:w="1781" w:type="pct"/>
            <w:shd w:val="clear" w:color="auto" w:fill="D9D9D9" w:themeFill="background1" w:themeFillShade="D9"/>
            <w:vAlign w:val="center"/>
          </w:tcPr>
          <w:p w14:paraId="22A86CA4" w14:textId="77777777" w:rsidR="002E5A3A" w:rsidRDefault="002E5A3A" w:rsidP="000C215A">
            <w:pPr>
              <w:pStyle w:val="TableHeading"/>
              <w:rPr>
                <w:lang w:eastAsia="en-AU"/>
              </w:rPr>
            </w:pPr>
            <w:r>
              <w:rPr>
                <w:lang w:eastAsia="en-AU"/>
              </w:rPr>
              <w:t>Cost</w:t>
            </w:r>
          </w:p>
        </w:tc>
        <w:tc>
          <w:tcPr>
            <w:tcW w:w="1780" w:type="pct"/>
            <w:shd w:val="clear" w:color="auto" w:fill="D9D9D9" w:themeFill="background1" w:themeFillShade="D9"/>
            <w:vAlign w:val="center"/>
          </w:tcPr>
          <w:p w14:paraId="325CA23A" w14:textId="77777777" w:rsidR="002E5A3A" w:rsidRPr="0042020A" w:rsidRDefault="002E5A3A" w:rsidP="000C215A">
            <w:pPr>
              <w:pStyle w:val="TableHeading"/>
              <w:rPr>
                <w:lang w:eastAsia="en-AU"/>
              </w:rPr>
            </w:pPr>
            <w:r w:rsidRPr="0042020A">
              <w:rPr>
                <w:lang w:eastAsia="en-AU"/>
              </w:rPr>
              <w:t xml:space="preserve">Estimated total cost to </w:t>
            </w:r>
            <w:r>
              <w:rPr>
                <w:lang w:eastAsia="en-AU"/>
              </w:rPr>
              <w:t xml:space="preserve">business </w:t>
            </w:r>
          </w:p>
        </w:tc>
      </w:tr>
      <w:tr w:rsidR="002E5A3A" w:rsidRPr="0042020A" w14:paraId="34F04A0C" w14:textId="77777777" w:rsidTr="004C687A">
        <w:trPr>
          <w:trHeight w:val="750"/>
        </w:trPr>
        <w:tc>
          <w:tcPr>
            <w:tcW w:w="1439" w:type="pct"/>
            <w:shd w:val="clear" w:color="auto" w:fill="auto"/>
            <w:vAlign w:val="center"/>
          </w:tcPr>
          <w:p w14:paraId="6D16DB61" w14:textId="77777777" w:rsidR="002E5A3A" w:rsidRPr="0042020A" w:rsidRDefault="002E5A3A" w:rsidP="00920F9A">
            <w:pPr>
              <w:pStyle w:val="TableBody"/>
              <w:keepNext/>
            </w:pPr>
            <w:r w:rsidRPr="0042020A">
              <w:rPr>
                <w:b/>
                <w:bCs/>
              </w:rPr>
              <w:t>Scenario 1:</w:t>
            </w:r>
            <w:r w:rsidRPr="000A59F9">
              <w:t xml:space="preserve"> </w:t>
            </w:r>
            <w:r>
              <w:t>B</w:t>
            </w:r>
            <w:r w:rsidRPr="000A59F9">
              <w:t xml:space="preserve">usinesses </w:t>
            </w:r>
            <w:r w:rsidRPr="0042020A">
              <w:t>switch to natural stone product</w:t>
            </w:r>
            <w:r>
              <w:t>s</w:t>
            </w:r>
            <w:r w:rsidRPr="0042020A">
              <w:t xml:space="preserve"> or </w:t>
            </w:r>
            <w:r>
              <w:t xml:space="preserve">continue working with </w:t>
            </w:r>
            <w:r w:rsidRPr="0042020A">
              <w:t>engineered stone for exempt activities</w:t>
            </w:r>
          </w:p>
        </w:tc>
        <w:tc>
          <w:tcPr>
            <w:tcW w:w="1781" w:type="pct"/>
            <w:vAlign w:val="center"/>
          </w:tcPr>
          <w:p w14:paraId="20EB0F3A" w14:textId="0B8398F9" w:rsidR="002E5A3A" w:rsidRDefault="002E5A3A" w:rsidP="00920F9A">
            <w:pPr>
              <w:pStyle w:val="TableBody"/>
              <w:keepNext/>
              <w:rPr>
                <w:rFonts w:eastAsia="Times New Roman"/>
                <w:lang w:eastAsia="en-AU"/>
              </w:rPr>
            </w:pPr>
            <w:r>
              <w:rPr>
                <w:rFonts w:eastAsia="Times New Roman"/>
                <w:lang w:eastAsia="en-AU"/>
              </w:rPr>
              <w:t>Cost to acquire a licence to continue working with engineered stone</w:t>
            </w:r>
          </w:p>
        </w:tc>
        <w:tc>
          <w:tcPr>
            <w:tcW w:w="1780" w:type="pct"/>
            <w:vAlign w:val="center"/>
          </w:tcPr>
          <w:p w14:paraId="74B3E8A0" w14:textId="77777777" w:rsidR="002E5A3A" w:rsidRPr="0042020A" w:rsidRDefault="002E5A3A" w:rsidP="00920F9A">
            <w:pPr>
              <w:pStyle w:val="TableBody"/>
              <w:keepNext/>
              <w:rPr>
                <w:rFonts w:eastAsia="Times New Roman"/>
                <w:lang w:eastAsia="en-AU"/>
              </w:rPr>
            </w:pPr>
            <w:r>
              <w:rPr>
                <w:rFonts w:eastAsia="Times New Roman"/>
                <w:lang w:eastAsia="en-AU"/>
              </w:rPr>
              <w:t>$302</w:t>
            </w:r>
          </w:p>
        </w:tc>
      </w:tr>
      <w:tr w:rsidR="008E059A" w:rsidRPr="0042020A" w14:paraId="08F99428" w14:textId="77777777" w:rsidTr="00032F6F">
        <w:trPr>
          <w:trHeight w:val="1028"/>
        </w:trPr>
        <w:tc>
          <w:tcPr>
            <w:tcW w:w="1439" w:type="pct"/>
            <w:shd w:val="clear" w:color="auto" w:fill="auto"/>
            <w:vAlign w:val="center"/>
          </w:tcPr>
          <w:p w14:paraId="01557505" w14:textId="77777777" w:rsidR="008E059A" w:rsidRPr="0042020A" w:rsidRDefault="008E059A" w:rsidP="00920F9A">
            <w:pPr>
              <w:pStyle w:val="TableBody"/>
              <w:keepNext/>
            </w:pPr>
            <w:r w:rsidRPr="0042020A">
              <w:rPr>
                <w:b/>
                <w:bCs/>
              </w:rPr>
              <w:t>Scenario 2</w:t>
            </w:r>
            <w:r>
              <w:rPr>
                <w:b/>
                <w:bCs/>
              </w:rPr>
              <w:t xml:space="preserve">: </w:t>
            </w:r>
            <w:r w:rsidRPr="002F2308">
              <w:t>B</w:t>
            </w:r>
            <w:r w:rsidRPr="0042020A">
              <w:t xml:space="preserve">usinesses cease operating, workers retrain and obtain formal qualifications for another trade </w:t>
            </w:r>
          </w:p>
        </w:tc>
        <w:tc>
          <w:tcPr>
            <w:tcW w:w="1781" w:type="pct"/>
            <w:vAlign w:val="center"/>
          </w:tcPr>
          <w:p w14:paraId="553BAABD" w14:textId="05E70A52" w:rsidR="008E059A" w:rsidRPr="00B55A38" w:rsidRDefault="008E059A" w:rsidP="00920F9A">
            <w:pPr>
              <w:pStyle w:val="TableBody"/>
              <w:keepNext/>
              <w:rPr>
                <w:rFonts w:eastAsia="Times New Roman"/>
                <w:lang w:eastAsia="en-AU"/>
              </w:rPr>
            </w:pPr>
            <w:r w:rsidRPr="00B55A38">
              <w:rPr>
                <w:rFonts w:eastAsia="Times New Roman"/>
                <w:lang w:eastAsia="en-AU"/>
              </w:rPr>
              <w:t>Lost revenue as a result of business closure</w:t>
            </w:r>
          </w:p>
          <w:p w14:paraId="4676FF4E" w14:textId="6D11E6C7" w:rsidR="008E059A" w:rsidRPr="00B55A38" w:rsidRDefault="008E059A" w:rsidP="00C90FB0">
            <w:pPr>
              <w:pStyle w:val="TableBody"/>
              <w:rPr>
                <w:rFonts w:eastAsia="Times New Roman"/>
                <w:lang w:eastAsia="en-AU"/>
              </w:rPr>
            </w:pPr>
            <w:r w:rsidRPr="00B55A38">
              <w:rPr>
                <w:rFonts w:eastAsia="Times New Roman"/>
                <w:lang w:eastAsia="en-AU"/>
              </w:rPr>
              <w:t>Payment of redundancy packages resulting from business closure</w:t>
            </w:r>
          </w:p>
        </w:tc>
        <w:tc>
          <w:tcPr>
            <w:tcW w:w="1780" w:type="pct"/>
            <w:vAlign w:val="center"/>
          </w:tcPr>
          <w:p w14:paraId="5E2D3FE8" w14:textId="77777777" w:rsidR="008E059A" w:rsidRPr="0042020A" w:rsidRDefault="008E059A" w:rsidP="00920F9A">
            <w:pPr>
              <w:pStyle w:val="TableBody"/>
              <w:keepNext/>
              <w:rPr>
                <w:rFonts w:eastAsia="Times New Roman"/>
                <w:lang w:eastAsia="en-AU"/>
              </w:rPr>
            </w:pPr>
            <w:r>
              <w:rPr>
                <w:rFonts w:eastAsia="Times New Roman"/>
                <w:lang w:eastAsia="en-AU"/>
              </w:rPr>
              <w:t xml:space="preserve">Further analysis is required to estimate the potential </w:t>
            </w:r>
            <w:r w:rsidRPr="00B55A38">
              <w:rPr>
                <w:rFonts w:eastAsia="Times New Roman"/>
                <w:lang w:eastAsia="en-AU"/>
              </w:rPr>
              <w:t>financial loss through lost revenue and/or redundancy payments to staff</w:t>
            </w:r>
            <w:r w:rsidDel="00AE6A2D">
              <w:rPr>
                <w:rFonts w:eastAsia="Times New Roman"/>
                <w:lang w:eastAsia="en-AU"/>
              </w:rPr>
              <w:t xml:space="preserve"> </w:t>
            </w:r>
          </w:p>
        </w:tc>
      </w:tr>
    </w:tbl>
    <w:p w14:paraId="5EB964AE" w14:textId="07F02BF2" w:rsidR="002E5A3A" w:rsidRPr="00C90FB0" w:rsidRDefault="002E5A3A" w:rsidP="00C90FB0">
      <w:pPr>
        <w:pStyle w:val="BodyText"/>
      </w:pPr>
      <w:r>
        <w:br/>
      </w:r>
      <w:r w:rsidRPr="00C90FB0">
        <w:fldChar w:fldCharType="begin"/>
      </w:r>
      <w:r w:rsidRPr="00C90FB0">
        <w:instrText xml:space="preserve"> REF _Ref124771336 \h  \* MERGEFORMAT </w:instrText>
      </w:r>
      <w:r w:rsidRPr="00C90FB0">
        <w:fldChar w:fldCharType="separate"/>
      </w:r>
      <w:r w:rsidR="00E75FA2" w:rsidRPr="00A358E1">
        <w:t xml:space="preserve">Table </w:t>
      </w:r>
      <w:r w:rsidR="00E75FA2">
        <w:t>35</w:t>
      </w:r>
      <w:r w:rsidRPr="00C90FB0">
        <w:fldChar w:fldCharType="end"/>
      </w:r>
      <w:r w:rsidRPr="00C90FB0">
        <w:t xml:space="preserve"> provides a summary of the estimated cost incurred by government to fund the retraining of displaced workers (presented on a per worker basis) and average industry support package payment per business. </w:t>
      </w:r>
    </w:p>
    <w:p w14:paraId="09584F4A" w14:textId="77777777" w:rsidR="002E5A3A" w:rsidRPr="00C90FB0" w:rsidRDefault="002E5A3A" w:rsidP="00C90FB0">
      <w:pPr>
        <w:pStyle w:val="BodyText"/>
      </w:pPr>
      <w:r w:rsidRPr="00C90FB0">
        <w:t xml:space="preserve">It is to be noted that these costs will be subject to a government policy decision to compensate workers/businesses who are impacted by the prohibition on working with engineered stone. </w:t>
      </w:r>
    </w:p>
    <w:p w14:paraId="1BE688D3" w14:textId="775571D2" w:rsidR="002E5A3A" w:rsidRPr="00A358E1" w:rsidRDefault="002E5A3A" w:rsidP="00C90FB0">
      <w:pPr>
        <w:pStyle w:val="Caption"/>
        <w:rPr>
          <w:b w:val="0"/>
          <w:i/>
        </w:rPr>
      </w:pPr>
      <w:bookmarkStart w:id="688" w:name="_Ref124771336"/>
      <w:r w:rsidRPr="00A358E1">
        <w:t xml:space="preserve">Table </w:t>
      </w:r>
      <w:fldSimple w:instr=" SEQ Table \* ARABIC ">
        <w:r w:rsidR="00DF768D">
          <w:rPr>
            <w:noProof/>
          </w:rPr>
          <w:t>35</w:t>
        </w:r>
      </w:fldSimple>
      <w:bookmarkEnd w:id="688"/>
      <w:r w:rsidRPr="00A358E1">
        <w:t xml:space="preserve">: </w:t>
      </w:r>
      <w:r>
        <w:t xml:space="preserve">Estimated </w:t>
      </w:r>
      <w:r w:rsidRPr="00C90FB0">
        <w:t>cost</w:t>
      </w:r>
      <w:r w:rsidRPr="00A358E1">
        <w:t xml:space="preserve"> to government</w:t>
      </w:r>
      <w:r>
        <w:t xml:space="preserve">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3631"/>
        <w:gridCol w:w="3631"/>
      </w:tblGrid>
      <w:tr w:rsidR="002E5A3A" w:rsidRPr="0042020A" w14:paraId="13972202" w14:textId="77777777" w:rsidTr="004C687A">
        <w:trPr>
          <w:trHeight w:val="438"/>
          <w:tblHeader/>
        </w:trPr>
        <w:tc>
          <w:tcPr>
            <w:tcW w:w="1438" w:type="pct"/>
            <w:shd w:val="clear" w:color="auto" w:fill="D9D9D9" w:themeFill="background1" w:themeFillShade="D9"/>
            <w:vAlign w:val="center"/>
          </w:tcPr>
          <w:p w14:paraId="761BD04E" w14:textId="77777777" w:rsidR="002E5A3A" w:rsidRPr="0042020A" w:rsidRDefault="002E5A3A" w:rsidP="000C215A">
            <w:pPr>
              <w:pStyle w:val="TableHeading"/>
              <w:rPr>
                <w:lang w:eastAsia="en-AU"/>
              </w:rPr>
            </w:pPr>
            <w:r w:rsidRPr="0042020A">
              <w:rPr>
                <w:lang w:eastAsia="en-AU"/>
              </w:rPr>
              <w:t xml:space="preserve">Scenario </w:t>
            </w:r>
          </w:p>
        </w:tc>
        <w:tc>
          <w:tcPr>
            <w:tcW w:w="1781" w:type="pct"/>
            <w:shd w:val="clear" w:color="auto" w:fill="D9D9D9" w:themeFill="background1" w:themeFillShade="D9"/>
            <w:vAlign w:val="center"/>
          </w:tcPr>
          <w:p w14:paraId="24132F62" w14:textId="77777777" w:rsidR="002E5A3A" w:rsidRDefault="002E5A3A" w:rsidP="000C215A">
            <w:pPr>
              <w:pStyle w:val="TableHeading"/>
              <w:rPr>
                <w:lang w:eastAsia="en-AU"/>
              </w:rPr>
            </w:pPr>
            <w:r>
              <w:rPr>
                <w:lang w:eastAsia="en-AU"/>
              </w:rPr>
              <w:t>Cost</w:t>
            </w:r>
          </w:p>
        </w:tc>
        <w:tc>
          <w:tcPr>
            <w:tcW w:w="1781" w:type="pct"/>
            <w:shd w:val="clear" w:color="auto" w:fill="D9D9D9" w:themeFill="background1" w:themeFillShade="D9"/>
            <w:vAlign w:val="center"/>
          </w:tcPr>
          <w:p w14:paraId="0F0D7D93" w14:textId="77777777" w:rsidR="002E5A3A" w:rsidRPr="0042020A" w:rsidRDefault="002E5A3A" w:rsidP="000C215A">
            <w:pPr>
              <w:pStyle w:val="TableHeading"/>
              <w:rPr>
                <w:lang w:eastAsia="en-AU"/>
              </w:rPr>
            </w:pPr>
            <w:r w:rsidRPr="0042020A">
              <w:rPr>
                <w:lang w:eastAsia="en-AU"/>
              </w:rPr>
              <w:t xml:space="preserve">Estimated total cost to </w:t>
            </w:r>
            <w:r>
              <w:rPr>
                <w:lang w:eastAsia="en-AU"/>
              </w:rPr>
              <w:t xml:space="preserve">government </w:t>
            </w:r>
          </w:p>
        </w:tc>
      </w:tr>
      <w:tr w:rsidR="002E5A3A" w:rsidRPr="0042020A" w14:paraId="4D13182A" w14:textId="77777777" w:rsidTr="004C687A">
        <w:trPr>
          <w:trHeight w:val="750"/>
        </w:trPr>
        <w:tc>
          <w:tcPr>
            <w:tcW w:w="1438" w:type="pct"/>
            <w:shd w:val="clear" w:color="auto" w:fill="auto"/>
            <w:vAlign w:val="center"/>
          </w:tcPr>
          <w:p w14:paraId="280063A5" w14:textId="77777777" w:rsidR="002E5A3A" w:rsidRPr="0042020A" w:rsidRDefault="002E5A3A" w:rsidP="00C90FB0">
            <w:pPr>
              <w:pStyle w:val="TableBody"/>
            </w:pPr>
            <w:r w:rsidRPr="0042020A">
              <w:rPr>
                <w:b/>
                <w:bCs/>
              </w:rPr>
              <w:t>Scenario 1:</w:t>
            </w:r>
            <w:r w:rsidRPr="000A59F9">
              <w:t xml:space="preserve"> </w:t>
            </w:r>
            <w:r>
              <w:t>B</w:t>
            </w:r>
            <w:r w:rsidRPr="00A4245C">
              <w:t>usinesses</w:t>
            </w:r>
            <w:r w:rsidRPr="000A59F9">
              <w:t xml:space="preserve"> </w:t>
            </w:r>
            <w:r w:rsidRPr="0042020A">
              <w:t>switch to natural stone product</w:t>
            </w:r>
            <w:r>
              <w:t>s</w:t>
            </w:r>
            <w:r w:rsidRPr="0042020A">
              <w:t xml:space="preserve"> or </w:t>
            </w:r>
            <w:r>
              <w:t xml:space="preserve">continue working with </w:t>
            </w:r>
            <w:r w:rsidRPr="0042020A">
              <w:t>engineered stone for exempt activities</w:t>
            </w:r>
          </w:p>
        </w:tc>
        <w:tc>
          <w:tcPr>
            <w:tcW w:w="1781" w:type="pct"/>
            <w:vAlign w:val="center"/>
          </w:tcPr>
          <w:p w14:paraId="31FB7E45" w14:textId="77777777" w:rsidR="002E5A3A" w:rsidRDefault="002E5A3A" w:rsidP="00C90FB0">
            <w:pPr>
              <w:pStyle w:val="TableBody"/>
              <w:rPr>
                <w:rFonts w:eastAsia="Times New Roman"/>
                <w:lang w:eastAsia="en-AU"/>
              </w:rPr>
            </w:pPr>
            <w:r>
              <w:rPr>
                <w:rFonts w:eastAsia="Times New Roman"/>
                <w:lang w:eastAsia="en-AU"/>
              </w:rPr>
              <w:t>N/A</w:t>
            </w:r>
          </w:p>
        </w:tc>
        <w:tc>
          <w:tcPr>
            <w:tcW w:w="1781" w:type="pct"/>
            <w:vAlign w:val="center"/>
          </w:tcPr>
          <w:p w14:paraId="1827E1EE" w14:textId="77777777" w:rsidR="002E5A3A" w:rsidRPr="0042020A" w:rsidRDefault="002E5A3A" w:rsidP="00C90FB0">
            <w:pPr>
              <w:pStyle w:val="TableBody"/>
              <w:rPr>
                <w:rFonts w:eastAsia="Times New Roman"/>
                <w:lang w:eastAsia="en-AU"/>
              </w:rPr>
            </w:pPr>
            <w:r>
              <w:rPr>
                <w:rFonts w:eastAsia="Times New Roman"/>
                <w:lang w:eastAsia="en-AU"/>
              </w:rPr>
              <w:t>N/A</w:t>
            </w:r>
          </w:p>
        </w:tc>
      </w:tr>
      <w:tr w:rsidR="002E5A3A" w:rsidRPr="0042020A" w14:paraId="2D43E3F8" w14:textId="77777777" w:rsidTr="004C687A">
        <w:trPr>
          <w:trHeight w:val="1231"/>
        </w:trPr>
        <w:tc>
          <w:tcPr>
            <w:tcW w:w="1438" w:type="pct"/>
            <w:vMerge w:val="restart"/>
            <w:shd w:val="clear" w:color="auto" w:fill="auto"/>
            <w:vAlign w:val="center"/>
          </w:tcPr>
          <w:p w14:paraId="7092DFA4" w14:textId="77777777" w:rsidR="002E5A3A" w:rsidRPr="0042020A" w:rsidRDefault="002E5A3A" w:rsidP="00C90FB0">
            <w:pPr>
              <w:pStyle w:val="TableBody"/>
            </w:pPr>
            <w:r w:rsidRPr="0042020A">
              <w:rPr>
                <w:b/>
                <w:bCs/>
              </w:rPr>
              <w:t>Scenario 2:</w:t>
            </w:r>
            <w:r w:rsidRPr="0042020A">
              <w:t xml:space="preserve"> </w:t>
            </w:r>
            <w:r>
              <w:t>B</w:t>
            </w:r>
            <w:r w:rsidRPr="00B55A38">
              <w:t>usinesses</w:t>
            </w:r>
            <w:r w:rsidRPr="002F2308">
              <w:t xml:space="preserve"> </w:t>
            </w:r>
            <w:r w:rsidRPr="0042020A">
              <w:t>cease operating, workers retrain and obtain formal qualifications for another trade</w:t>
            </w:r>
          </w:p>
        </w:tc>
        <w:tc>
          <w:tcPr>
            <w:tcW w:w="1781" w:type="pct"/>
            <w:vAlign w:val="center"/>
          </w:tcPr>
          <w:p w14:paraId="4D9A955B" w14:textId="77777777" w:rsidR="002E5A3A" w:rsidRDefault="002E5A3A" w:rsidP="00C90FB0">
            <w:pPr>
              <w:pStyle w:val="TableBody"/>
              <w:rPr>
                <w:rFonts w:eastAsia="Times New Roman"/>
                <w:lang w:eastAsia="en-AU"/>
              </w:rPr>
            </w:pPr>
            <w:r>
              <w:rPr>
                <w:rFonts w:eastAsia="Times New Roman"/>
                <w:lang w:eastAsia="en-AU"/>
              </w:rPr>
              <w:t xml:space="preserve">Cost of workers retraining and obtaining formal qualifications </w:t>
            </w:r>
          </w:p>
        </w:tc>
        <w:tc>
          <w:tcPr>
            <w:tcW w:w="1781" w:type="pct"/>
            <w:vAlign w:val="center"/>
          </w:tcPr>
          <w:p w14:paraId="3E60AAC9" w14:textId="6D0122B7" w:rsidR="002E5A3A" w:rsidRDefault="002E5A3A" w:rsidP="00C90FB0">
            <w:pPr>
              <w:pStyle w:val="TableBody"/>
              <w:rPr>
                <w:rFonts w:eastAsia="Times New Roman"/>
                <w:lang w:eastAsia="en-AU"/>
              </w:rPr>
            </w:pPr>
            <w:r>
              <w:rPr>
                <w:rFonts w:eastAsia="Times New Roman"/>
                <w:lang w:eastAsia="en-AU"/>
              </w:rPr>
              <w:t>[Average cost of Cert III in related trade $4,835 per annum)</w:t>
            </w:r>
            <w:r>
              <w:rPr>
                <w:rFonts w:eastAsia="Times New Roman"/>
                <w:lang w:eastAsia="en-AU"/>
              </w:rPr>
              <w:br/>
              <w:t>+</w:t>
            </w:r>
          </w:p>
          <w:p w14:paraId="1D84BBFC" w14:textId="77777777" w:rsidR="002E5A3A" w:rsidRDefault="002E5A3A" w:rsidP="00C90FB0">
            <w:pPr>
              <w:pStyle w:val="TableBody"/>
              <w:rPr>
                <w:rFonts w:eastAsia="Times New Roman"/>
                <w:lang w:eastAsia="en-AU"/>
              </w:rPr>
            </w:pPr>
            <w:r w:rsidRPr="00563DA0">
              <w:rPr>
                <w:rFonts w:eastAsia="Times New Roman"/>
                <w:lang w:eastAsia="en-AU"/>
              </w:rPr>
              <w:t>Australian Apprentice Training Support Payment</w:t>
            </w:r>
            <w:r>
              <w:rPr>
                <w:rFonts w:eastAsia="Times New Roman"/>
                <w:lang w:eastAsia="en-AU"/>
              </w:rPr>
              <w:t xml:space="preserve"> ($2,500)]</w:t>
            </w:r>
          </w:p>
          <w:p w14:paraId="082C79A8" w14:textId="77777777" w:rsidR="002E5A3A" w:rsidRPr="0042020A" w:rsidRDefault="002E5A3A" w:rsidP="00C90FB0">
            <w:pPr>
              <w:pStyle w:val="TableBody"/>
              <w:rPr>
                <w:rFonts w:eastAsia="Times New Roman"/>
                <w:lang w:eastAsia="en-AU"/>
              </w:rPr>
            </w:pPr>
          </w:p>
        </w:tc>
      </w:tr>
      <w:tr w:rsidR="002E5A3A" w:rsidRPr="0042020A" w14:paraId="001F4A20" w14:textId="77777777" w:rsidTr="004C687A">
        <w:trPr>
          <w:trHeight w:val="1231"/>
        </w:trPr>
        <w:tc>
          <w:tcPr>
            <w:tcW w:w="1438" w:type="pct"/>
            <w:vMerge/>
            <w:shd w:val="clear" w:color="auto" w:fill="auto"/>
            <w:vAlign w:val="center"/>
          </w:tcPr>
          <w:p w14:paraId="208D74F1" w14:textId="77777777" w:rsidR="002E5A3A" w:rsidRPr="0042020A" w:rsidRDefault="002E5A3A" w:rsidP="00C90FB0">
            <w:pPr>
              <w:pStyle w:val="TableBody"/>
              <w:rPr>
                <w:b/>
                <w:bCs/>
              </w:rPr>
            </w:pPr>
          </w:p>
        </w:tc>
        <w:tc>
          <w:tcPr>
            <w:tcW w:w="1781" w:type="pct"/>
            <w:vAlign w:val="center"/>
          </w:tcPr>
          <w:p w14:paraId="6DCBFED7" w14:textId="77777777" w:rsidR="002E5A3A" w:rsidRDefault="002E5A3A" w:rsidP="00C90FB0">
            <w:pPr>
              <w:pStyle w:val="TableBody"/>
              <w:rPr>
                <w:rFonts w:eastAsia="Times New Roman"/>
                <w:lang w:eastAsia="en-AU"/>
              </w:rPr>
            </w:pPr>
            <w:r>
              <w:rPr>
                <w:rFonts w:eastAsia="Times New Roman"/>
                <w:lang w:eastAsia="en-AU"/>
              </w:rPr>
              <w:t xml:space="preserve">Industry support package </w:t>
            </w:r>
          </w:p>
        </w:tc>
        <w:tc>
          <w:tcPr>
            <w:tcW w:w="1781" w:type="pct"/>
            <w:vAlign w:val="center"/>
          </w:tcPr>
          <w:p w14:paraId="45FC6E46" w14:textId="77777777" w:rsidR="002E5A3A" w:rsidRDefault="002E5A3A" w:rsidP="00C90FB0">
            <w:pPr>
              <w:pStyle w:val="TableBody"/>
              <w:rPr>
                <w:rFonts w:eastAsia="Times New Roman"/>
                <w:lang w:eastAsia="en-AU"/>
              </w:rPr>
            </w:pPr>
            <w:r>
              <w:rPr>
                <w:rFonts w:eastAsia="Times New Roman"/>
                <w:lang w:eastAsia="en-AU"/>
              </w:rPr>
              <w:t>Average cost of industry support package ($15,000)</w:t>
            </w:r>
            <w:r>
              <w:rPr>
                <w:rFonts w:eastAsia="Times New Roman"/>
                <w:lang w:eastAsia="en-AU"/>
              </w:rPr>
              <w:br/>
            </w:r>
          </w:p>
        </w:tc>
      </w:tr>
    </w:tbl>
    <w:p w14:paraId="4B6B672B" w14:textId="77777777" w:rsidR="002E5A3A" w:rsidRDefault="002E5A3A" w:rsidP="001C7232">
      <w:pPr>
        <w:pStyle w:val="Heading3"/>
      </w:pPr>
      <w:r w:rsidRPr="001C7232">
        <w:t>Limitations</w:t>
      </w:r>
      <w:r>
        <w:t xml:space="preserve"> and data required to estimate the cost to government and industry </w:t>
      </w:r>
    </w:p>
    <w:p w14:paraId="7261C9A4" w14:textId="77777777" w:rsidR="002E5A3A" w:rsidRPr="00B55A38" w:rsidRDefault="002E5A3A" w:rsidP="001C7232">
      <w:pPr>
        <w:pStyle w:val="BodyText"/>
      </w:pPr>
      <w:r>
        <w:t xml:space="preserve">To develop a more </w:t>
      </w:r>
      <w:r w:rsidRPr="00B55A38">
        <w:t xml:space="preserve">complete cost analysis, we will require an understanding of: </w:t>
      </w:r>
    </w:p>
    <w:p w14:paraId="2C818BD2" w14:textId="77777777" w:rsidR="002E5A3A" w:rsidRDefault="002E5A3A" w:rsidP="008A0AE9">
      <w:pPr>
        <w:pStyle w:val="IAListbullet2"/>
        <w:numPr>
          <w:ilvl w:val="0"/>
          <w:numId w:val="8"/>
        </w:numPr>
      </w:pPr>
      <w:r>
        <w:t xml:space="preserve">the proportion of business that may: </w:t>
      </w:r>
    </w:p>
    <w:p w14:paraId="00DDB8DB" w14:textId="77777777" w:rsidR="002E5A3A" w:rsidRDefault="002E5A3A" w:rsidP="008A0AE9">
      <w:pPr>
        <w:pStyle w:val="IAListbullet2"/>
      </w:pPr>
      <w:r>
        <w:t xml:space="preserve">absorb the costs associated with </w:t>
      </w:r>
      <w:r w:rsidRPr="00C1472E">
        <w:t>a pivot to an alternative product</w:t>
      </w:r>
      <w:r>
        <w:t xml:space="preserve"> </w:t>
      </w:r>
    </w:p>
    <w:p w14:paraId="6CF48714" w14:textId="77777777" w:rsidR="00A76EC7" w:rsidRPr="00C1472E" w:rsidRDefault="00A76EC7" w:rsidP="008A0AE9">
      <w:pPr>
        <w:pStyle w:val="IAListbullet2"/>
      </w:pPr>
      <w:r>
        <w:t>c</w:t>
      </w:r>
      <w:r w:rsidRPr="00C1472E">
        <w:t xml:space="preserve">ontinue to work with engineered stone for exempt activities </w:t>
      </w:r>
    </w:p>
    <w:p w14:paraId="55095A90" w14:textId="77777777" w:rsidR="002E5A3A" w:rsidRDefault="002E5A3A" w:rsidP="008A0AE9">
      <w:pPr>
        <w:pStyle w:val="IAListbullet2"/>
      </w:pPr>
      <w:r>
        <w:t>c</w:t>
      </w:r>
      <w:r w:rsidRPr="00C1472E">
        <w:t>ease operating</w:t>
      </w:r>
    </w:p>
    <w:p w14:paraId="43509CED" w14:textId="79BD1D5B" w:rsidR="003E2496" w:rsidRDefault="00D52681" w:rsidP="00CC65B9">
      <w:pPr>
        <w:pStyle w:val="IAListbullet2"/>
        <w:numPr>
          <w:ilvl w:val="0"/>
          <w:numId w:val="8"/>
        </w:numPr>
      </w:pPr>
      <w:r>
        <w:lastRenderedPageBreak/>
        <w:t xml:space="preserve">for those </w:t>
      </w:r>
      <w:r w:rsidR="003E2496">
        <w:t xml:space="preserve">businesses </w:t>
      </w:r>
      <w:r>
        <w:t xml:space="preserve">that would cease operating, </w:t>
      </w:r>
      <w:r w:rsidR="003E2496">
        <w:t>the total lost revenue</w:t>
      </w:r>
    </w:p>
    <w:p w14:paraId="6381A303" w14:textId="42514854" w:rsidR="002E5A3A" w:rsidRDefault="002E5A3A" w:rsidP="00CC65B9">
      <w:pPr>
        <w:pStyle w:val="IAListbullet2"/>
        <w:numPr>
          <w:ilvl w:val="0"/>
          <w:numId w:val="8"/>
        </w:numPr>
      </w:pPr>
      <w:r>
        <w:t>what an appropriate level of government support for impacted businesses may be, and</w:t>
      </w:r>
    </w:p>
    <w:p w14:paraId="7F578A4B" w14:textId="77777777" w:rsidR="002E5A3A" w:rsidRPr="00325DA0" w:rsidRDefault="002E5A3A" w:rsidP="00CC65B9">
      <w:pPr>
        <w:pStyle w:val="IAListbullet2"/>
        <w:numPr>
          <w:ilvl w:val="0"/>
          <w:numId w:val="8"/>
        </w:numPr>
      </w:pPr>
      <w:r>
        <w:t xml:space="preserve">the number of displaced workers as a result of the prohibition on working with engineered stone and the estimated cost of government support for these workers. </w:t>
      </w:r>
    </w:p>
    <w:p w14:paraId="5C616824" w14:textId="77777777" w:rsidR="002E5A3A" w:rsidRDefault="002E5A3A" w:rsidP="00E436E6">
      <w:pPr>
        <w:pStyle w:val="BodyText"/>
      </w:pPr>
      <w:r>
        <w:t xml:space="preserve">This analysis would need to be supported through: </w:t>
      </w:r>
    </w:p>
    <w:p w14:paraId="1FE50186" w14:textId="77777777" w:rsidR="002E5A3A" w:rsidRPr="00AA2DB7" w:rsidRDefault="002E5A3A" w:rsidP="00CC65B9">
      <w:pPr>
        <w:pStyle w:val="IAListbullet2"/>
        <w:numPr>
          <w:ilvl w:val="0"/>
          <w:numId w:val="8"/>
        </w:numPr>
      </w:pPr>
      <w:r>
        <w:t>an i</w:t>
      </w:r>
      <w:r w:rsidRPr="00EA2BEA">
        <w:t>ndustry wide survey</w:t>
      </w:r>
      <w:r>
        <w:t xml:space="preserve"> of businesses working with engineered stone</w:t>
      </w:r>
    </w:p>
    <w:p w14:paraId="2F78405B" w14:textId="77777777" w:rsidR="002E5A3A" w:rsidRDefault="002E5A3A" w:rsidP="00CC65B9">
      <w:pPr>
        <w:pStyle w:val="IAListbullet2"/>
        <w:numPr>
          <w:ilvl w:val="0"/>
          <w:numId w:val="8"/>
        </w:numPr>
      </w:pPr>
      <w:r>
        <w:t>f</w:t>
      </w:r>
      <w:r w:rsidRPr="00EA2BEA">
        <w:t xml:space="preserve">ormal stakeholder consultation </w:t>
      </w:r>
      <w:r>
        <w:t>with stakeholders</w:t>
      </w:r>
    </w:p>
    <w:p w14:paraId="3349B242" w14:textId="77777777" w:rsidR="002E5A3A" w:rsidRDefault="002E5A3A" w:rsidP="00CC65B9">
      <w:pPr>
        <w:pStyle w:val="IAListbullet2"/>
        <w:numPr>
          <w:ilvl w:val="0"/>
          <w:numId w:val="8"/>
        </w:numPr>
      </w:pPr>
      <w:r>
        <w:t xml:space="preserve">analysis to understand: </w:t>
      </w:r>
    </w:p>
    <w:p w14:paraId="2D486798" w14:textId="77777777" w:rsidR="002E5A3A" w:rsidRDefault="002E5A3A" w:rsidP="00CC65B9">
      <w:pPr>
        <w:pStyle w:val="IAListbullet2"/>
      </w:pPr>
      <w:r>
        <w:t xml:space="preserve">the forecast demand for alternative products, and </w:t>
      </w:r>
    </w:p>
    <w:p w14:paraId="4DBAEEFC" w14:textId="77777777" w:rsidR="002E5A3A" w:rsidRDefault="002E5A3A" w:rsidP="00CC65B9">
      <w:pPr>
        <w:pStyle w:val="IAListbullet2"/>
      </w:pPr>
      <w:r>
        <w:t>h</w:t>
      </w:r>
      <w:r w:rsidRPr="00EA2BEA">
        <w:t>istorical and forecast trends in the labour market</w:t>
      </w:r>
      <w:r>
        <w:t>.</w:t>
      </w:r>
    </w:p>
    <w:p w14:paraId="1DBEB58D" w14:textId="77777777" w:rsidR="002E5A3A" w:rsidRDefault="002E5A3A" w:rsidP="005205C7">
      <w:pPr>
        <w:pStyle w:val="Heading2"/>
      </w:pPr>
      <w:bookmarkStart w:id="689" w:name="_Toc126573233"/>
      <w:bookmarkStart w:id="690" w:name="_Hlk124282025"/>
      <w:r>
        <w:t>Qualitative assessment of economic and health benefits resulting from a prohibition on working with engineered stone</w:t>
      </w:r>
      <w:bookmarkEnd w:id="689"/>
    </w:p>
    <w:bookmarkEnd w:id="690"/>
    <w:p w14:paraId="3847982C" w14:textId="04BC55A8" w:rsidR="002E5A3A" w:rsidRPr="00A549C7" w:rsidRDefault="002E5A3A" w:rsidP="001C7232">
      <w:pPr>
        <w:pStyle w:val="BodyText"/>
      </w:pPr>
      <w:r>
        <w:t>W</w:t>
      </w:r>
      <w:r w:rsidRPr="00A549C7">
        <w:t xml:space="preserve">hile </w:t>
      </w:r>
      <w:r>
        <w:t xml:space="preserve">the analysis presented here has </w:t>
      </w:r>
      <w:r w:rsidR="009A7FB4">
        <w:t xml:space="preserve">provided a preliminary indication of </w:t>
      </w:r>
      <w:r>
        <w:t xml:space="preserve">the costs to industry and government, a number of health and economic benefits are likely to be generated as a result of a prohibition on working with engineered stone, as presented below. </w:t>
      </w:r>
    </w:p>
    <w:p w14:paraId="2DA5A16F" w14:textId="77777777" w:rsidR="002E5A3A" w:rsidRPr="00C724BF" w:rsidRDefault="002E5A3A" w:rsidP="005205C7">
      <w:pPr>
        <w:pStyle w:val="Heading3"/>
        <w:rPr>
          <w:lang w:eastAsia="en-AU"/>
        </w:rPr>
      </w:pPr>
      <w:r w:rsidRPr="00C724BF">
        <w:rPr>
          <w:lang w:eastAsia="en-AU"/>
        </w:rPr>
        <w:t>Health benefits</w:t>
      </w:r>
    </w:p>
    <w:p w14:paraId="462EE3CF" w14:textId="77777777" w:rsidR="002E5A3A" w:rsidRDefault="002E5A3A" w:rsidP="001C7232">
      <w:pPr>
        <w:pStyle w:val="BodyText"/>
      </w:pPr>
      <w:r w:rsidRPr="00FB355B">
        <w:t xml:space="preserve">A direct </w:t>
      </w:r>
      <w:r>
        <w:t xml:space="preserve">result </w:t>
      </w:r>
      <w:r w:rsidRPr="00FB355B">
        <w:t xml:space="preserve">of a prohibition on working with engineered stone is reduced workplace exposure to </w:t>
      </w:r>
      <w:r>
        <w:t xml:space="preserve">respirable crystalline silica (RCS) </w:t>
      </w:r>
      <w:r w:rsidRPr="00FB355B">
        <w:t xml:space="preserve">and a reduction in </w:t>
      </w:r>
      <w:r>
        <w:t>cases</w:t>
      </w:r>
      <w:r w:rsidRPr="00FB355B">
        <w:t xml:space="preserve"> of silicosis and other silica-related diseases.</w:t>
      </w:r>
    </w:p>
    <w:p w14:paraId="129C4E04" w14:textId="4EE33B1D" w:rsidR="002E5A3A" w:rsidRDefault="002E5A3A" w:rsidP="001C7232">
      <w:pPr>
        <w:pStyle w:val="BodyText"/>
      </w:pPr>
      <w:r>
        <w:t xml:space="preserve">As presented in Section 2 of the </w:t>
      </w:r>
      <w:r w:rsidR="0054756F">
        <w:t>DRIS</w:t>
      </w:r>
      <w:r>
        <w:t>, si</w:t>
      </w:r>
      <w:r w:rsidRPr="006B6936">
        <w:t xml:space="preserve">lica containing materials </w:t>
      </w:r>
      <w:r w:rsidRPr="000A7951">
        <w:rPr>
          <w:i/>
          <w:iCs/>
        </w:rPr>
        <w:t>in situ</w:t>
      </w:r>
      <w:r w:rsidRPr="006B6936">
        <w:t xml:space="preserve"> do not cause silicosis and silica</w:t>
      </w:r>
      <w:r>
        <w:t>-</w:t>
      </w:r>
      <w:r w:rsidRPr="006B6936">
        <w:t>related diseases; it is the dust that is generated from processing these materials that has the potential to cause harm when it is airborne and breathed in.</w:t>
      </w:r>
      <w:r>
        <w:t xml:space="preserve"> While silicosis and silica-related disease can occur in workers in any industry where RCS is generated; there is a disproportionate number of cases in people who work with engineered stone.</w:t>
      </w:r>
    </w:p>
    <w:p w14:paraId="11699FA3" w14:textId="77777777" w:rsidR="002E5A3A" w:rsidRPr="00FB355B" w:rsidRDefault="002E5A3A" w:rsidP="001C7232">
      <w:pPr>
        <w:pStyle w:val="BodyText"/>
        <w:rPr>
          <w:lang w:eastAsia="en-AU"/>
        </w:rPr>
      </w:pPr>
      <w:r>
        <w:rPr>
          <w:lang w:eastAsia="en-AU"/>
        </w:rPr>
        <w:t xml:space="preserve">A prohibition on working with engineered stone will </w:t>
      </w:r>
      <w:r w:rsidRPr="00FB355B">
        <w:rPr>
          <w:lang w:eastAsia="en-AU"/>
        </w:rPr>
        <w:t xml:space="preserve">result in a number of direct and indirect </w:t>
      </w:r>
      <w:r>
        <w:rPr>
          <w:lang w:eastAsia="en-AU"/>
        </w:rPr>
        <w:t xml:space="preserve">health </w:t>
      </w:r>
      <w:r w:rsidRPr="00FB355B">
        <w:rPr>
          <w:lang w:eastAsia="en-AU"/>
        </w:rPr>
        <w:t xml:space="preserve">benefits including: </w:t>
      </w:r>
    </w:p>
    <w:p w14:paraId="1C1DDBD3" w14:textId="26123EFB" w:rsidR="002E5A3A" w:rsidRPr="00FB355B" w:rsidRDefault="006A5ADE" w:rsidP="001C7232">
      <w:pPr>
        <w:pStyle w:val="ListBullet"/>
      </w:pPr>
      <w:r>
        <w:t>a</w:t>
      </w:r>
      <w:r w:rsidR="002E5A3A" w:rsidRPr="00FB355B">
        <w:t xml:space="preserve"> reduction in premature death from silicosis and silica</w:t>
      </w:r>
      <w:r w:rsidR="002E5A3A">
        <w:t>-</w:t>
      </w:r>
      <w:r w:rsidR="002E5A3A" w:rsidRPr="00FB355B">
        <w:t>related diseases</w:t>
      </w:r>
    </w:p>
    <w:p w14:paraId="4086FC8D" w14:textId="73A2B106" w:rsidR="002E5A3A" w:rsidRPr="00FB355B" w:rsidRDefault="006A5ADE" w:rsidP="001C7232">
      <w:pPr>
        <w:pStyle w:val="ListBullet"/>
      </w:pPr>
      <w:r>
        <w:t>r</w:t>
      </w:r>
      <w:r w:rsidR="002E5A3A" w:rsidRPr="00FB355B">
        <w:t>educed time workers would spend living with silicosis and/or silica related diseases, owing to reduced incidence of disease and later onset of disease</w:t>
      </w:r>
      <w:r w:rsidR="00EF6386">
        <w:t>, and</w:t>
      </w:r>
      <w:r w:rsidR="002E5A3A" w:rsidRPr="00FB355B">
        <w:t xml:space="preserve"> </w:t>
      </w:r>
    </w:p>
    <w:p w14:paraId="6F50E67A" w14:textId="23177207" w:rsidR="00A927AF" w:rsidRPr="00A927AF" w:rsidRDefault="006A5ADE" w:rsidP="001C7232">
      <w:pPr>
        <w:pStyle w:val="ListBullet"/>
      </w:pPr>
      <w:r>
        <w:t>r</w:t>
      </w:r>
      <w:r w:rsidR="002E5A3A" w:rsidRPr="00FB355B">
        <w:t>educed silicosis and silica related health care costs, including hospitalisations and treatment</w:t>
      </w:r>
      <w:r w:rsidR="00A927AF">
        <w:t>.</w:t>
      </w:r>
    </w:p>
    <w:p w14:paraId="3C44FC89" w14:textId="77777777" w:rsidR="00A927AF" w:rsidRPr="00A927AF" w:rsidRDefault="00A927AF" w:rsidP="001C7232">
      <w:pPr>
        <w:pStyle w:val="Heading3"/>
        <w:rPr>
          <w:lang w:eastAsia="en-AU"/>
        </w:rPr>
      </w:pPr>
      <w:r w:rsidRPr="001C7232">
        <w:lastRenderedPageBreak/>
        <w:t>Economic</w:t>
      </w:r>
      <w:r w:rsidRPr="00A927AF">
        <w:rPr>
          <w:lang w:eastAsia="en-AU"/>
        </w:rPr>
        <w:t xml:space="preserve"> benefits</w:t>
      </w:r>
    </w:p>
    <w:p w14:paraId="3D98F2B4" w14:textId="09B9A4C7" w:rsidR="00A927AF" w:rsidRDefault="00A927AF" w:rsidP="001C7232">
      <w:pPr>
        <w:pStyle w:val="BodyText"/>
      </w:pPr>
      <w:r>
        <w:t xml:space="preserve">A combination of record low unemployment and increased demand for workers has led to a tightening of the labour market. In turn, this has created increased competition for workers, with a number of occupations currently facing a shortage of </w:t>
      </w:r>
      <w:r w:rsidR="00C56398">
        <w:t>workers</w:t>
      </w:r>
      <w:r>
        <w:t xml:space="preserve"> as they are unable to fill vacancies.</w:t>
      </w:r>
    </w:p>
    <w:p w14:paraId="2FA3C28D" w14:textId="77777777" w:rsidR="00A927AF" w:rsidRDefault="00A927AF" w:rsidP="001C7232">
      <w:pPr>
        <w:pStyle w:val="BodyText"/>
      </w:pPr>
      <w:r>
        <w:t xml:space="preserve">The proportion of occupations that are rated “in shortage” by the National Skills Commission has risen significantly since 2021, particularly among sectors that are likely alternatives for those impacted by a prohibition on working with engineered stone. </w:t>
      </w:r>
    </w:p>
    <w:p w14:paraId="386B68ED" w14:textId="0A583414" w:rsidR="00A927AF" w:rsidRDefault="00A927AF" w:rsidP="001C7232">
      <w:pPr>
        <w:pStyle w:val="BodyText"/>
      </w:pPr>
      <w:r>
        <w:t xml:space="preserve">Shortages were the most prevalent in the </w:t>
      </w:r>
      <w:r>
        <w:rPr>
          <w:i/>
          <w:iCs/>
        </w:rPr>
        <w:t xml:space="preserve">Technicians &amp; Trades Workers </w:t>
      </w:r>
      <w:r>
        <w:t>Major Occupation Group, with 47% of occupations in this category rated “in shortage” in 2022. This includes occupations that require formal qualifications (Certificate III of IV) for trades such as cabinet makers, carpenters, metal fabricators and bricklayers.</w:t>
      </w:r>
      <w:r w:rsidR="001B2AF3">
        <w:rPr>
          <w:rStyle w:val="FootnoteReference"/>
          <w:rFonts w:ascii="Arial" w:hAnsi="Arial" w:cs="Arial"/>
          <w:sz w:val="20"/>
          <w:szCs w:val="20"/>
        </w:rPr>
        <w:footnoteReference w:id="25"/>
      </w:r>
    </w:p>
    <w:p w14:paraId="7ECA91B6" w14:textId="6A4DF76F" w:rsidR="00A927AF" w:rsidRPr="00A927AF" w:rsidRDefault="00A927AF" w:rsidP="001C7232">
      <w:pPr>
        <w:pStyle w:val="BodyText"/>
      </w:pPr>
      <w:r>
        <w:t xml:space="preserve">A potential outcome of worker displacement from a prohibition on working with engineered stone is that a proportion of unskilled workers (without formal qualifications) may switch to another unskilled profession. Current labour market skills shortages combined with forecast growth in employment among labourers will provide opportunities to address worker shortages in this sector and create a smooth transition for displaced workers who do not wish to undertake formal training. </w:t>
      </w:r>
    </w:p>
    <w:p w14:paraId="78FE7EAD" w14:textId="77777777" w:rsidR="005B171A" w:rsidRPr="005B171A" w:rsidRDefault="005B171A" w:rsidP="005B171A">
      <w:pPr>
        <w:pStyle w:val="BodyText"/>
      </w:pPr>
    </w:p>
    <w:p w14:paraId="4BD93EB7" w14:textId="6847CE0A" w:rsidR="00960C7B" w:rsidRDefault="00960C7B">
      <w:pPr>
        <w:spacing w:after="120" w:line="264" w:lineRule="auto"/>
        <w:rPr>
          <w:rFonts w:asciiTheme="majorHAnsi" w:hAnsiTheme="majorHAnsi"/>
          <w:b/>
          <w:color w:val="014463" w:themeColor="text2"/>
          <w:sz w:val="60"/>
          <w:szCs w:val="60"/>
        </w:rPr>
      </w:pPr>
      <w:r>
        <w:br w:type="page"/>
      </w:r>
    </w:p>
    <w:p w14:paraId="0F4B1C5C" w14:textId="65E63702" w:rsidR="00D42728" w:rsidRDefault="00D42728" w:rsidP="00E0510C">
      <w:pPr>
        <w:pStyle w:val="Heading1"/>
      </w:pPr>
      <w:bookmarkStart w:id="691" w:name="_Toc126573234"/>
      <w:r>
        <w:lastRenderedPageBreak/>
        <w:t xml:space="preserve">Who was </w:t>
      </w:r>
      <w:r w:rsidR="00FB2787">
        <w:t>consulted</w:t>
      </w:r>
      <w:r>
        <w:t xml:space="preserve"> and how was their feedback incorporated?</w:t>
      </w:r>
      <w:bookmarkEnd w:id="691"/>
    </w:p>
    <w:p w14:paraId="4E0A3EAA" w14:textId="344EC21A" w:rsidR="00B33758" w:rsidRDefault="00235D5A" w:rsidP="00234FEF">
      <w:pPr>
        <w:pStyle w:val="BodyText"/>
      </w:pPr>
      <w:r>
        <w:t xml:space="preserve">This </w:t>
      </w:r>
      <w:r w:rsidR="0054756F">
        <w:t>DRIS</w:t>
      </w:r>
      <w:r w:rsidR="007C7568">
        <w:t xml:space="preserve"> </w:t>
      </w:r>
      <w:r>
        <w:t xml:space="preserve">incorporates </w:t>
      </w:r>
      <w:r w:rsidR="00093658" w:rsidRPr="00A629E2">
        <w:t>feedback</w:t>
      </w:r>
      <w:r w:rsidR="00093658">
        <w:t xml:space="preserve"> from c</w:t>
      </w:r>
      <w:r w:rsidR="00B947E6">
        <w:t xml:space="preserve">onsultation conducted </w:t>
      </w:r>
      <w:r w:rsidR="004877B0">
        <w:t>in two stages</w:t>
      </w:r>
      <w:r w:rsidR="00093658">
        <w:t>:</w:t>
      </w:r>
    </w:p>
    <w:p w14:paraId="1A962F65" w14:textId="58B341CF" w:rsidR="00093658" w:rsidRDefault="009E4676" w:rsidP="008B35E0">
      <w:pPr>
        <w:pStyle w:val="ListBullet"/>
      </w:pPr>
      <w:r>
        <w:t>p</w:t>
      </w:r>
      <w:r w:rsidR="00FD61D6">
        <w:t xml:space="preserve">reliminary consultation via workshops and individual consultation with </w:t>
      </w:r>
      <w:r w:rsidR="00DC1F54">
        <w:t>key stakeholders</w:t>
      </w:r>
      <w:r w:rsidR="00F27549">
        <w:t xml:space="preserve"> to inform the </w:t>
      </w:r>
      <w:r w:rsidR="00A04ADA">
        <w:t>Consultation Regulation Impact Statement: Managing the risks of respirable crystalline silica at work (CRIS)</w:t>
      </w:r>
      <w:r w:rsidR="0024317F">
        <w:t>,</w:t>
      </w:r>
      <w:r>
        <w:t xml:space="preserve"> and</w:t>
      </w:r>
    </w:p>
    <w:p w14:paraId="0684BBB2" w14:textId="31CD34CE" w:rsidR="00A232F0" w:rsidRDefault="009E4676" w:rsidP="008B35E0">
      <w:pPr>
        <w:pStyle w:val="ListBullet"/>
      </w:pPr>
      <w:r>
        <w:t>p</w:t>
      </w:r>
      <w:r w:rsidR="00A232F0">
        <w:t xml:space="preserve">ublic consultation </w:t>
      </w:r>
      <w:r w:rsidR="00215D4F">
        <w:t>on the CRIS</w:t>
      </w:r>
      <w:r>
        <w:t>.</w:t>
      </w:r>
    </w:p>
    <w:p w14:paraId="0E17DF32" w14:textId="527A5CAF" w:rsidR="003C1A1A" w:rsidRPr="009D0A4A" w:rsidRDefault="00746D36" w:rsidP="003A3B2B">
      <w:pPr>
        <w:pStyle w:val="Heading2"/>
      </w:pPr>
      <w:bookmarkStart w:id="692" w:name="_Toc126573235"/>
      <w:r>
        <w:t>P</w:t>
      </w:r>
      <w:r w:rsidR="003C1A1A">
        <w:t>reliminary consultation</w:t>
      </w:r>
      <w:bookmarkEnd w:id="692"/>
      <w:r w:rsidR="003C1A1A">
        <w:t xml:space="preserve"> </w:t>
      </w:r>
    </w:p>
    <w:p w14:paraId="0BB3B00F" w14:textId="6FF08A46" w:rsidR="00D42728" w:rsidRPr="009D0A4A" w:rsidRDefault="00D42728" w:rsidP="00234FEF">
      <w:pPr>
        <w:pStyle w:val="BodyText"/>
      </w:pPr>
      <w:r w:rsidRPr="00A629E2">
        <w:t>Preliminary</w:t>
      </w:r>
      <w:r w:rsidRPr="009D0A4A">
        <w:t xml:space="preserve"> consultations were held with a range of stakeholders including WHS regulators, industry peak bodies, employee representatives, employer representatives and health organisations. The consultation consisted of </w:t>
      </w:r>
      <w:r w:rsidRPr="009D0A4A" w:rsidDel="00175078">
        <w:t>3</w:t>
      </w:r>
      <w:r w:rsidR="00175078">
        <w:t> </w:t>
      </w:r>
      <w:r w:rsidRPr="009D0A4A">
        <w:t xml:space="preserve">workshops and 4 discussions with </w:t>
      </w:r>
      <w:r w:rsidR="00175078">
        <w:t>individual</w:t>
      </w:r>
      <w:r w:rsidR="00175078" w:rsidRPr="009D0A4A">
        <w:t xml:space="preserve"> </w:t>
      </w:r>
      <w:r w:rsidRPr="009D0A4A">
        <w:t xml:space="preserve">organisations. In total 24 stakeholders were invited to participate in the consultations, with </w:t>
      </w:r>
      <w:r w:rsidR="00F27DDB">
        <w:t xml:space="preserve">representatives from </w:t>
      </w:r>
      <w:r w:rsidRPr="009D0A4A">
        <w:t xml:space="preserve">23 stakeholders taking part. This </w:t>
      </w:r>
      <w:r w:rsidR="00A86E26">
        <w:t xml:space="preserve">consultation </w:t>
      </w:r>
      <w:r w:rsidRPr="009D0A4A">
        <w:t>was undertaken to</w:t>
      </w:r>
      <w:r w:rsidR="00E8670D">
        <w:t xml:space="preserve"> inform the drafting of the CRIS</w:t>
      </w:r>
      <w:r w:rsidR="00A86E26">
        <w:t xml:space="preserve"> and sought to</w:t>
      </w:r>
      <w:r w:rsidRPr="009D0A4A">
        <w:t>:</w:t>
      </w:r>
    </w:p>
    <w:p w14:paraId="0775EE51" w14:textId="7B5E6DC0" w:rsidR="00D42728" w:rsidRPr="009D0A4A" w:rsidRDefault="00D42728" w:rsidP="008B35E0">
      <w:pPr>
        <w:pStyle w:val="ListBullet"/>
        <w:rPr>
          <w:rFonts w:cstheme="minorHAnsi"/>
        </w:rPr>
      </w:pPr>
      <w:r w:rsidRPr="6ADCFC47">
        <w:t xml:space="preserve">gain a deeper understanding of exposures to RCS in Australian workplaces and the extent of the risks of silicosis and </w:t>
      </w:r>
      <w:r w:rsidR="00DD6525">
        <w:t>silica-related</w:t>
      </w:r>
      <w:r w:rsidRPr="6ADCFC47">
        <w:t xml:space="preserve"> diseases</w:t>
      </w:r>
    </w:p>
    <w:p w14:paraId="52445C1C" w14:textId="77777777" w:rsidR="00D42728" w:rsidRPr="009D0A4A" w:rsidRDefault="00D42728" w:rsidP="008B35E0">
      <w:pPr>
        <w:pStyle w:val="ListBullet"/>
        <w:rPr>
          <w:rFonts w:cstheme="minorHAnsi"/>
        </w:rPr>
      </w:pPr>
      <w:r w:rsidRPr="6ADCFC47">
        <w:t>seek comment on and inform the development of regulatory and non-regulatory options</w:t>
      </w:r>
    </w:p>
    <w:p w14:paraId="238E9157" w14:textId="2233FD01" w:rsidR="00D42728" w:rsidRPr="009D0A4A" w:rsidRDefault="00D42728" w:rsidP="008B35E0">
      <w:pPr>
        <w:pStyle w:val="ListBullet"/>
        <w:rPr>
          <w:rFonts w:cstheme="minorHAnsi"/>
        </w:rPr>
      </w:pPr>
      <w:r w:rsidRPr="6ADCFC47">
        <w:t>identify and define gaps in available data and evidence that may affect the assessment of the impacts of each option, and</w:t>
      </w:r>
    </w:p>
    <w:p w14:paraId="2F6A710D" w14:textId="07C513B1" w:rsidR="00D42728" w:rsidRDefault="00D42728" w:rsidP="008B35E0">
      <w:pPr>
        <w:pStyle w:val="ListBullet"/>
        <w:rPr>
          <w:rFonts w:cstheme="minorHAnsi"/>
        </w:rPr>
      </w:pPr>
      <w:r w:rsidRPr="6ADCFC47">
        <w:t>understand implementation barriers that may exist for each of the proposed options.</w:t>
      </w:r>
    </w:p>
    <w:p w14:paraId="1A383C80" w14:textId="66111745" w:rsidR="00D10FF9" w:rsidRPr="009D0A4A" w:rsidRDefault="00D21D1E" w:rsidP="00234FEF">
      <w:pPr>
        <w:pStyle w:val="BodyText"/>
      </w:pPr>
      <w:r>
        <w:t>Stakeholder f</w:t>
      </w:r>
      <w:r w:rsidRPr="009D0A4A">
        <w:t xml:space="preserve">eedback </w:t>
      </w:r>
      <w:r w:rsidR="00D10FF9" w:rsidRPr="009D0A4A" w:rsidDel="002866E0">
        <w:t xml:space="preserve">informed the </w:t>
      </w:r>
      <w:r w:rsidR="002866E0">
        <w:t>drafting of the</w:t>
      </w:r>
      <w:r w:rsidR="008E5788">
        <w:t xml:space="preserve"> CRIS, </w:t>
      </w:r>
      <w:r w:rsidR="00DD655C">
        <w:t xml:space="preserve">including </w:t>
      </w:r>
      <w:r w:rsidR="00D10FF9" w:rsidRPr="009D0A4A" w:rsidDel="002866E0">
        <w:t>development of the problem statement and evidence base</w:t>
      </w:r>
      <w:r w:rsidR="00A04ADA">
        <w:t>, and the options</w:t>
      </w:r>
      <w:r w:rsidR="00D10FF9" w:rsidRPr="009D0A4A" w:rsidDel="002866E0">
        <w:t xml:space="preserve">. </w:t>
      </w:r>
      <w:r w:rsidR="00D10FF9" w:rsidRPr="009D0A4A">
        <w:t>Stakeholder</w:t>
      </w:r>
      <w:r w:rsidR="00DD655C">
        <w:t xml:space="preserve">s provided information such </w:t>
      </w:r>
      <w:r w:rsidR="00DD655C" w:rsidRPr="00A629E2">
        <w:t>as</w:t>
      </w:r>
      <w:r w:rsidR="00DD655C">
        <w:t xml:space="preserve"> </w:t>
      </w:r>
      <w:r w:rsidR="00D10FF9" w:rsidRPr="009D0A4A">
        <w:t>quantitative data, reports and peer-reviewed papers</w:t>
      </w:r>
      <w:r w:rsidR="00DD655C">
        <w:t xml:space="preserve"> to inform this process</w:t>
      </w:r>
      <w:r w:rsidR="00FF2C45" w:rsidRPr="00D72DB5">
        <w:t>.</w:t>
      </w:r>
    </w:p>
    <w:p w14:paraId="622323A4" w14:textId="3B428CD3" w:rsidR="002C625C" w:rsidRPr="009D0A4A" w:rsidRDefault="002C625C" w:rsidP="003A3B2B">
      <w:pPr>
        <w:pStyle w:val="Heading2"/>
      </w:pPr>
      <w:bookmarkStart w:id="693" w:name="_Toc126573236"/>
      <w:r>
        <w:t>Public consultation</w:t>
      </w:r>
      <w:bookmarkEnd w:id="693"/>
      <w:r>
        <w:t xml:space="preserve"> </w:t>
      </w:r>
    </w:p>
    <w:p w14:paraId="428558F1" w14:textId="79F59BBC" w:rsidR="009E03BF" w:rsidRPr="006B1E91" w:rsidRDefault="0095415F" w:rsidP="00234FEF">
      <w:pPr>
        <w:pStyle w:val="BodyText"/>
      </w:pPr>
      <w:r w:rsidRPr="009D0A4A">
        <w:t xml:space="preserve">Safe Work Australia </w:t>
      </w:r>
      <w:r w:rsidR="00422569">
        <w:t xml:space="preserve">sought feedback on </w:t>
      </w:r>
      <w:r w:rsidR="007532C9">
        <w:t>the</w:t>
      </w:r>
      <w:r w:rsidR="00422569">
        <w:t xml:space="preserve"> </w:t>
      </w:r>
      <w:r w:rsidR="007532C9">
        <w:t>CRIS</w:t>
      </w:r>
      <w:r w:rsidR="00175078">
        <w:t xml:space="preserve">. </w:t>
      </w:r>
      <w:r w:rsidR="00597609">
        <w:t>The CRIS outline</w:t>
      </w:r>
      <w:r w:rsidR="007532C9">
        <w:t xml:space="preserve">d </w:t>
      </w:r>
      <w:r w:rsidR="001246B3">
        <w:t>specific</w:t>
      </w:r>
      <w:r w:rsidR="00E37B6E">
        <w:t xml:space="preserve"> consultation questions</w:t>
      </w:r>
      <w:r w:rsidRPr="009D0A4A">
        <w:t xml:space="preserve"> </w:t>
      </w:r>
      <w:r w:rsidR="00E54F0E">
        <w:t>relating to</w:t>
      </w:r>
      <w:r w:rsidR="00E37B6E">
        <w:t xml:space="preserve"> the </w:t>
      </w:r>
      <w:r w:rsidRPr="009D0A4A">
        <w:t>problem statement, proposed options</w:t>
      </w:r>
      <w:r w:rsidR="00597609">
        <w:t xml:space="preserve"> and </w:t>
      </w:r>
      <w:r w:rsidRPr="009D0A4A">
        <w:t>impact analysis.</w:t>
      </w:r>
      <w:r w:rsidR="008B604D">
        <w:t xml:space="preserve">  Submissions were accepted via </w:t>
      </w:r>
      <w:r w:rsidR="00E11988">
        <w:t xml:space="preserve">Safe Work Australia’s </w:t>
      </w:r>
      <w:r w:rsidR="008B604D" w:rsidRPr="009D0A4A">
        <w:t>consultation platform</w:t>
      </w:r>
      <w:r w:rsidR="00E11988">
        <w:t>,</w:t>
      </w:r>
      <w:r w:rsidR="008B604D" w:rsidRPr="009D0A4A">
        <w:t xml:space="preserve"> Engage</w:t>
      </w:r>
      <w:r w:rsidR="00E11988">
        <w:t>,</w:t>
      </w:r>
      <w:r w:rsidR="008B604D">
        <w:t xml:space="preserve"> </w:t>
      </w:r>
      <w:r w:rsidR="008B604D">
        <w:rPr>
          <w:rFonts w:cstheme="minorHAnsi"/>
        </w:rPr>
        <w:t>from 30 June 2022 to 15 August 2022</w:t>
      </w:r>
      <w:r w:rsidR="00E11988">
        <w:rPr>
          <w:rFonts w:cstheme="minorHAnsi"/>
        </w:rPr>
        <w:t>.</w:t>
      </w:r>
      <w:r w:rsidR="008B604D">
        <w:rPr>
          <w:rFonts w:cstheme="minorHAnsi"/>
        </w:rPr>
        <w:t xml:space="preserve"> </w:t>
      </w:r>
      <w:r w:rsidR="00E11988">
        <w:rPr>
          <w:rFonts w:cstheme="minorHAnsi"/>
        </w:rPr>
        <w:t>L</w:t>
      </w:r>
      <w:r w:rsidR="008B604D">
        <w:rPr>
          <w:rFonts w:cstheme="minorHAnsi"/>
        </w:rPr>
        <w:t>ate submissions were als</w:t>
      </w:r>
      <w:r w:rsidR="00400D54">
        <w:rPr>
          <w:rFonts w:cstheme="minorHAnsi"/>
        </w:rPr>
        <w:t>o</w:t>
      </w:r>
      <w:r w:rsidR="008B604D">
        <w:rPr>
          <w:rFonts w:cstheme="minorHAnsi"/>
        </w:rPr>
        <w:t xml:space="preserve"> accepted</w:t>
      </w:r>
      <w:r w:rsidR="004313C7">
        <w:rPr>
          <w:rFonts w:cstheme="minorHAnsi"/>
        </w:rPr>
        <w:t xml:space="preserve"> where requested</w:t>
      </w:r>
      <w:r w:rsidR="008B604D">
        <w:rPr>
          <w:rFonts w:cstheme="minorHAnsi"/>
        </w:rPr>
        <w:t xml:space="preserve">. </w:t>
      </w:r>
      <w:r w:rsidR="008B604D">
        <w:t xml:space="preserve">  </w:t>
      </w:r>
    </w:p>
    <w:p w14:paraId="1F0CB861" w14:textId="6DF972B9" w:rsidR="00663598" w:rsidRDefault="000157B5" w:rsidP="00E75FA2">
      <w:pPr>
        <w:pStyle w:val="BodyText"/>
        <w:keepNext/>
      </w:pPr>
      <w:r>
        <w:lastRenderedPageBreak/>
        <w:t xml:space="preserve">A total of 67 submissions </w:t>
      </w:r>
      <w:r w:rsidR="00663E04">
        <w:t>were received from a range of stakeholders, including</w:t>
      </w:r>
      <w:r w:rsidR="006E706E">
        <w:t>:</w:t>
      </w:r>
    </w:p>
    <w:p w14:paraId="2A0B60B2" w14:textId="059BC246" w:rsidR="006E706E" w:rsidRDefault="00EF66AB" w:rsidP="008B35E0">
      <w:pPr>
        <w:pStyle w:val="ListBullet"/>
      </w:pPr>
      <w:r>
        <w:t>commonwealth, s</w:t>
      </w:r>
      <w:r w:rsidR="00E15C01">
        <w:t xml:space="preserve">tate and </w:t>
      </w:r>
      <w:r w:rsidR="00B57619">
        <w:t xml:space="preserve">territory government </w:t>
      </w:r>
      <w:r>
        <w:t>departments</w:t>
      </w:r>
    </w:p>
    <w:p w14:paraId="10E9F6EF" w14:textId="589274E8" w:rsidR="00EF66AB" w:rsidRDefault="00AB6000" w:rsidP="008B35E0">
      <w:pPr>
        <w:pStyle w:val="ListBullet"/>
      </w:pPr>
      <w:r>
        <w:t>peak health bodies</w:t>
      </w:r>
    </w:p>
    <w:p w14:paraId="53F2BD4C" w14:textId="54D592EE" w:rsidR="00AB6000" w:rsidRDefault="00297C63" w:rsidP="008B35E0">
      <w:pPr>
        <w:pStyle w:val="ListBullet"/>
      </w:pPr>
      <w:r>
        <w:t>industry</w:t>
      </w:r>
      <w:r w:rsidR="00AF57FC">
        <w:t xml:space="preserve"> groups</w:t>
      </w:r>
    </w:p>
    <w:p w14:paraId="737A611E" w14:textId="69CC2379" w:rsidR="00AF57FC" w:rsidRDefault="00AF57FC" w:rsidP="008B35E0">
      <w:pPr>
        <w:pStyle w:val="ListBullet"/>
      </w:pPr>
      <w:r>
        <w:t>unions</w:t>
      </w:r>
    </w:p>
    <w:p w14:paraId="32B95E02" w14:textId="5779CB4C" w:rsidR="001503EF" w:rsidRDefault="001503EF" w:rsidP="008B35E0">
      <w:pPr>
        <w:pStyle w:val="ListBullet"/>
      </w:pPr>
      <w:r>
        <w:t>commercial enterprises</w:t>
      </w:r>
      <w:r w:rsidR="004253F2">
        <w:t xml:space="preserve"> including </w:t>
      </w:r>
      <w:r>
        <w:t>engineered stone suppliers</w:t>
      </w:r>
    </w:p>
    <w:p w14:paraId="6415435D" w14:textId="7679037D" w:rsidR="001503EF" w:rsidRDefault="001503EF" w:rsidP="008B35E0">
      <w:pPr>
        <w:pStyle w:val="ListBullet"/>
      </w:pPr>
      <w:r>
        <w:t xml:space="preserve">lawyers </w:t>
      </w:r>
    </w:p>
    <w:p w14:paraId="575B98B1" w14:textId="1B87CD4C" w:rsidR="001503EF" w:rsidRDefault="001503EF" w:rsidP="008B35E0">
      <w:pPr>
        <w:pStyle w:val="ListBullet"/>
      </w:pPr>
      <w:r>
        <w:t>insurance groups</w:t>
      </w:r>
    </w:p>
    <w:p w14:paraId="4F6E130A" w14:textId="311AA331" w:rsidR="001503EF" w:rsidRDefault="001503EF" w:rsidP="008B35E0">
      <w:pPr>
        <w:pStyle w:val="ListBullet"/>
      </w:pPr>
      <w:r>
        <w:t>academics, and</w:t>
      </w:r>
    </w:p>
    <w:p w14:paraId="5A5B0784" w14:textId="6D797681" w:rsidR="00992370" w:rsidRDefault="00992370" w:rsidP="008B35E0">
      <w:pPr>
        <w:pStyle w:val="ListBullet"/>
      </w:pPr>
      <w:r>
        <w:t xml:space="preserve">individuals. </w:t>
      </w:r>
    </w:p>
    <w:p w14:paraId="0F307AF8" w14:textId="6CBBB7B5" w:rsidR="00663598" w:rsidRPr="00F4541E" w:rsidRDefault="003A7875" w:rsidP="00234FEF">
      <w:pPr>
        <w:pStyle w:val="BodyText"/>
      </w:pPr>
      <w:r w:rsidRPr="00F4541E">
        <w:t xml:space="preserve">Overall, </w:t>
      </w:r>
      <w:r w:rsidR="004253F2" w:rsidRPr="00F4541E">
        <w:t>there was strong support for</w:t>
      </w:r>
      <w:r w:rsidRPr="00F4541E">
        <w:t xml:space="preserve"> </w:t>
      </w:r>
      <w:r w:rsidR="005702BA" w:rsidRPr="00F4541E">
        <w:t>further g</w:t>
      </w:r>
      <w:r w:rsidR="00964804" w:rsidRPr="00F4541E">
        <w:t>overnment intervention</w:t>
      </w:r>
      <w:r w:rsidR="00D35692" w:rsidRPr="00F4541E">
        <w:t xml:space="preserve"> to reduce </w:t>
      </w:r>
      <w:r w:rsidR="008F46CA" w:rsidRPr="00F4541E">
        <w:t>workplace exposure to RCS.</w:t>
      </w:r>
    </w:p>
    <w:p w14:paraId="0B2311EA" w14:textId="3CE39D0E" w:rsidR="00151DFE" w:rsidRPr="00F4541E" w:rsidRDefault="009B54C1" w:rsidP="00234FEF">
      <w:pPr>
        <w:pStyle w:val="BodyText"/>
      </w:pPr>
      <w:r w:rsidRPr="00F4541E">
        <w:t xml:space="preserve">There was broad support for </w:t>
      </w:r>
      <w:r w:rsidR="008D04D6" w:rsidRPr="00F4541E" w:rsidDel="009B54C1">
        <w:t>the</w:t>
      </w:r>
      <w:r w:rsidR="008D04D6" w:rsidRPr="00F4541E">
        <w:t xml:space="preserve"> problem statement</w:t>
      </w:r>
      <w:r w:rsidRPr="00F4541E">
        <w:t xml:space="preserve">, which was </w:t>
      </w:r>
      <w:r w:rsidR="00FE1A9B" w:rsidRPr="00F4541E">
        <w:t xml:space="preserve">developed </w:t>
      </w:r>
      <w:r w:rsidR="00426620" w:rsidRPr="00F4541E">
        <w:t>through</w:t>
      </w:r>
      <w:r w:rsidR="002301A9" w:rsidRPr="00F4541E">
        <w:t xml:space="preserve"> </w:t>
      </w:r>
      <w:r w:rsidRPr="00F4541E">
        <w:t>the preliminary consultations. However</w:t>
      </w:r>
      <w:r w:rsidR="003B2D72" w:rsidRPr="00F4541E">
        <w:t>,</w:t>
      </w:r>
      <w:r w:rsidRPr="00F4541E">
        <w:t xml:space="preserve"> it </w:t>
      </w:r>
      <w:r w:rsidR="003B2D72" w:rsidRPr="00F4541E">
        <w:t xml:space="preserve">has been </w:t>
      </w:r>
      <w:r w:rsidRPr="00F4541E">
        <w:t xml:space="preserve">further refined </w:t>
      </w:r>
      <w:r w:rsidR="00151DFE" w:rsidRPr="00F4541E">
        <w:t>to reflect the following feedback:</w:t>
      </w:r>
    </w:p>
    <w:p w14:paraId="7BB154FD" w14:textId="21E68C5F" w:rsidR="00EA57A0" w:rsidRDefault="00B34062" w:rsidP="008B35E0">
      <w:pPr>
        <w:pStyle w:val="ListBullet"/>
      </w:pPr>
      <w:r>
        <w:t>t</w:t>
      </w:r>
      <w:r w:rsidR="00151DFE">
        <w:t>he problem statement has a strong focus on engineered ston</w:t>
      </w:r>
      <w:r w:rsidR="00337616">
        <w:t xml:space="preserve">e and should be </w:t>
      </w:r>
      <w:r w:rsidR="00EA57A0">
        <w:t>broadened to include other sectors</w:t>
      </w:r>
      <w:r w:rsidR="0098374A">
        <w:t>, and</w:t>
      </w:r>
    </w:p>
    <w:p w14:paraId="4E410F8F" w14:textId="3403568B" w:rsidR="008F0317" w:rsidRDefault="005E6A53" w:rsidP="008B35E0">
      <w:pPr>
        <w:pStyle w:val="ListBullet"/>
      </w:pPr>
      <w:r>
        <w:t>the use of</w:t>
      </w:r>
      <w:r w:rsidR="00ED3624">
        <w:t xml:space="preserve"> health screening </w:t>
      </w:r>
      <w:r w:rsidR="00ED1D9E">
        <w:t>statistics drawn</w:t>
      </w:r>
      <w:r w:rsidR="004546FC">
        <w:t xml:space="preserve"> predominantly from</w:t>
      </w:r>
      <w:r w:rsidR="00ED1D9E">
        <w:t xml:space="preserve"> the engineered stone sector</w:t>
      </w:r>
      <w:r w:rsidR="00ED3624">
        <w:t xml:space="preserve"> </w:t>
      </w:r>
      <w:r w:rsidR="0072122F">
        <w:t>i</w:t>
      </w:r>
      <w:r w:rsidR="009314BA">
        <w:t>s problematic</w:t>
      </w:r>
      <w:r w:rsidR="00ED1D9E">
        <w:t xml:space="preserve"> and care should be taken when extrapolating this information to </w:t>
      </w:r>
      <w:r w:rsidR="00F74FD0">
        <w:t>other sectors</w:t>
      </w:r>
      <w:r w:rsidR="008D04D6" w:rsidRPr="008D04D6">
        <w:t xml:space="preserve">. </w:t>
      </w:r>
    </w:p>
    <w:p w14:paraId="191FE85C" w14:textId="40AF49E2" w:rsidR="00183418" w:rsidRPr="00F4541E" w:rsidRDefault="00CD721B" w:rsidP="00183418">
      <w:pPr>
        <w:pStyle w:val="BodyText"/>
      </w:pPr>
      <w:r w:rsidRPr="00F4541E">
        <w:t>There was clear support</w:t>
      </w:r>
      <w:r w:rsidR="001977A4" w:rsidRPr="00F4541E">
        <w:t xml:space="preserve"> for</w:t>
      </w:r>
      <w:r w:rsidRPr="00F4541E">
        <w:t xml:space="preserve"> further</w:t>
      </w:r>
      <w:r w:rsidR="001977A4" w:rsidRPr="00F4541E">
        <w:t xml:space="preserve"> government intervention </w:t>
      </w:r>
      <w:r w:rsidRPr="00F4541E">
        <w:t>to reduce the risks of RCS exposure at work.</w:t>
      </w:r>
      <w:r w:rsidR="001977A4" w:rsidRPr="00F4541E">
        <w:t xml:space="preserve"> </w:t>
      </w:r>
      <w:r w:rsidR="00EA604D" w:rsidRPr="00F4541E">
        <w:t>Only a</w:t>
      </w:r>
      <w:r w:rsidR="001977A4" w:rsidRPr="00F4541E">
        <w:t xml:space="preserve"> small number of businesses</w:t>
      </w:r>
      <w:r w:rsidR="009B54C1" w:rsidRPr="00F4541E">
        <w:t xml:space="preserve"> and </w:t>
      </w:r>
      <w:r w:rsidR="001977A4" w:rsidRPr="00F4541E">
        <w:t xml:space="preserve">industry groups argued the existing regulations are adequate to address the need. </w:t>
      </w:r>
      <w:r w:rsidR="000C0146" w:rsidRPr="00F4541E">
        <w:t>Stakeholders were supportive of the objectives of government intervention</w:t>
      </w:r>
      <w:r w:rsidR="00CE3856" w:rsidRPr="00F4541E">
        <w:t>. However</w:t>
      </w:r>
      <w:r w:rsidR="001977A4" w:rsidRPr="00F4541E">
        <w:t>, unions</w:t>
      </w:r>
      <w:r w:rsidR="00814EE2">
        <w:t>,</w:t>
      </w:r>
      <w:r w:rsidR="001977A4" w:rsidRPr="00F4541E">
        <w:t xml:space="preserve"> </w:t>
      </w:r>
      <w:r w:rsidR="003A39AD">
        <w:t xml:space="preserve">professional </w:t>
      </w:r>
      <w:r w:rsidR="003905E4">
        <w:t>organisations (AIOH)</w:t>
      </w:r>
      <w:r w:rsidR="003A39AD">
        <w:t xml:space="preserve"> </w:t>
      </w:r>
      <w:r w:rsidR="001977A4" w:rsidRPr="00F4541E">
        <w:t xml:space="preserve">and peak health bodies consider </w:t>
      </w:r>
      <w:r w:rsidR="00395BE9" w:rsidRPr="00F4541E">
        <w:t>the</w:t>
      </w:r>
      <w:r w:rsidR="001977A4" w:rsidRPr="00F4541E">
        <w:t xml:space="preserve"> primary objective of government intervention should be </w:t>
      </w:r>
      <w:r w:rsidR="00AD08D0" w:rsidRPr="00F4541E">
        <w:t xml:space="preserve">the reduction of RCS exposure </w:t>
      </w:r>
      <w:r w:rsidR="00512F56" w:rsidRPr="00F4541E">
        <w:t>at work and</w:t>
      </w:r>
      <w:r w:rsidR="001977A4" w:rsidRPr="00F4541E">
        <w:t xml:space="preserve"> elimination</w:t>
      </w:r>
      <w:r w:rsidR="004546FC" w:rsidRPr="00F4541E">
        <w:t xml:space="preserve"> of silicosis</w:t>
      </w:r>
      <w:r w:rsidR="009B54C1" w:rsidRPr="00F4541E">
        <w:t xml:space="preserve">, </w:t>
      </w:r>
      <w:r w:rsidR="001977A4" w:rsidRPr="00F4541E">
        <w:t xml:space="preserve">in line with the </w:t>
      </w:r>
      <w:r w:rsidR="00BE35E4">
        <w:t>All of Governments</w:t>
      </w:r>
      <w:r w:rsidR="004546FC" w:rsidRPr="00F4541E">
        <w:t xml:space="preserve"> r</w:t>
      </w:r>
      <w:r w:rsidR="001977A4" w:rsidRPr="00F4541E">
        <w:t xml:space="preserve">esponse to the </w:t>
      </w:r>
      <w:r w:rsidR="00274588">
        <w:t>National Dust Disease Taskforce</w:t>
      </w:r>
      <w:r w:rsidR="00274588" w:rsidRPr="00F4541E">
        <w:t xml:space="preserve"> </w:t>
      </w:r>
      <w:r w:rsidR="00D22929" w:rsidRPr="00F4541E">
        <w:t xml:space="preserve">final </w:t>
      </w:r>
      <w:r w:rsidR="001977A4" w:rsidRPr="00F4541E">
        <w:t>report.</w:t>
      </w:r>
      <w:r w:rsidR="00183418">
        <w:t xml:space="preserve"> These comments have been reflected in section </w:t>
      </w:r>
      <w:r w:rsidR="00183418">
        <w:fldChar w:fldCharType="begin"/>
      </w:r>
      <w:r w:rsidR="00183418">
        <w:instrText xml:space="preserve"> REF _Ref125110475 \r \h </w:instrText>
      </w:r>
      <w:r w:rsidR="00183418">
        <w:fldChar w:fldCharType="separate"/>
      </w:r>
      <w:r w:rsidR="00183418">
        <w:t>3.2</w:t>
      </w:r>
      <w:r w:rsidR="00183418">
        <w:fldChar w:fldCharType="end"/>
      </w:r>
      <w:r w:rsidR="00183418">
        <w:t xml:space="preserve">. </w:t>
      </w:r>
    </w:p>
    <w:p w14:paraId="71BDA383" w14:textId="72C7FFB8" w:rsidR="00B67DCA" w:rsidRPr="00F4541E" w:rsidRDefault="007E2A4C" w:rsidP="00234FEF">
      <w:pPr>
        <w:pStyle w:val="BodyText"/>
      </w:pPr>
      <w:bookmarkStart w:id="694" w:name="_Ref121930315"/>
      <w:r w:rsidRPr="00F4541E">
        <w:t xml:space="preserve">Of the </w:t>
      </w:r>
      <w:r w:rsidR="00A05BEF" w:rsidRPr="00F4541E">
        <w:t>regulatory</w:t>
      </w:r>
      <w:r w:rsidR="00161950" w:rsidRPr="00F4541E">
        <w:t xml:space="preserve"> and non-</w:t>
      </w:r>
      <w:r w:rsidR="000C2785" w:rsidRPr="00F4541E">
        <w:t xml:space="preserve">regulatory options put forward, </w:t>
      </w:r>
      <w:r w:rsidR="005B1A02" w:rsidRPr="00F4541E">
        <w:t xml:space="preserve">there was a marked lack of support for maintaining the status quo (option 1). The non-regulatory option supporting </w:t>
      </w:r>
      <w:bookmarkEnd w:id="694"/>
      <w:r w:rsidR="00CF6C02" w:rsidRPr="00F4541E">
        <w:t xml:space="preserve">awareness </w:t>
      </w:r>
      <w:r w:rsidR="005B1A02" w:rsidRPr="00F4541E">
        <w:t xml:space="preserve">and </w:t>
      </w:r>
      <w:r w:rsidR="006A3E66" w:rsidRPr="00F4541E">
        <w:t>behaviour</w:t>
      </w:r>
      <w:r w:rsidR="00CF6C02" w:rsidRPr="00F4541E">
        <w:t xml:space="preserve"> change initiatives</w:t>
      </w:r>
      <w:r w:rsidR="005B1A02" w:rsidRPr="00F4541E">
        <w:t xml:space="preserve"> (</w:t>
      </w:r>
      <w:r w:rsidR="005B1A02" w:rsidRPr="00F4541E" w:rsidDel="009759DE">
        <w:t>option</w:t>
      </w:r>
      <w:r w:rsidR="009759DE">
        <w:t> </w:t>
      </w:r>
      <w:r w:rsidR="005B1A02" w:rsidRPr="00F4541E">
        <w:t>2</w:t>
      </w:r>
      <w:r w:rsidR="00CF6C02" w:rsidRPr="00F4541E">
        <w:t xml:space="preserve">) </w:t>
      </w:r>
      <w:r w:rsidR="00EC7338" w:rsidRPr="00F4541E">
        <w:t xml:space="preserve">received </w:t>
      </w:r>
      <w:r w:rsidR="00042550" w:rsidRPr="00F4541E">
        <w:t xml:space="preserve">consistent support amongst </w:t>
      </w:r>
      <w:r w:rsidR="004A3431" w:rsidRPr="00F4541E">
        <w:t xml:space="preserve">all </w:t>
      </w:r>
      <w:r w:rsidR="00042550" w:rsidRPr="00F4541E">
        <w:t>stakeholde</w:t>
      </w:r>
      <w:r w:rsidR="00361A6C" w:rsidRPr="00F4541E">
        <w:t>r</w:t>
      </w:r>
      <w:r w:rsidR="004A3431" w:rsidRPr="00F4541E">
        <w:t xml:space="preserve"> groups</w:t>
      </w:r>
      <w:r w:rsidR="00361A6C" w:rsidRPr="00F4541E">
        <w:t>.</w:t>
      </w:r>
      <w:r w:rsidR="004A3431" w:rsidRPr="00F4541E">
        <w:t xml:space="preserve"> </w:t>
      </w:r>
      <w:r w:rsidR="005B1A02" w:rsidRPr="00F4541E">
        <w:t>Many of these stakeholders expressed support for a combination of option 2 with other regulatory options to address the problem</w:t>
      </w:r>
      <w:r w:rsidR="00A05BEF" w:rsidRPr="00F4541E">
        <w:t>. T</w:t>
      </w:r>
      <w:r w:rsidR="00CF6C02" w:rsidRPr="00F4541E">
        <w:t xml:space="preserve">here was significant </w:t>
      </w:r>
      <w:r w:rsidR="00AA600A" w:rsidRPr="00F4541E">
        <w:t xml:space="preserve">stakeholder </w:t>
      </w:r>
      <w:r w:rsidR="00CF6C02" w:rsidRPr="00F4541E">
        <w:t>support for further regulation</w:t>
      </w:r>
      <w:r w:rsidR="00A44859" w:rsidRPr="00F4541E">
        <w:t xml:space="preserve">, </w:t>
      </w:r>
      <w:r w:rsidR="00A05BEF" w:rsidRPr="00F4541E">
        <w:t>with</w:t>
      </w:r>
      <w:r w:rsidR="00A44859" w:rsidRPr="00F4541E">
        <w:t xml:space="preserve"> relatively evenly distributed </w:t>
      </w:r>
      <w:r w:rsidR="00A05BEF" w:rsidRPr="00F4541E">
        <w:t xml:space="preserve">support for each of </w:t>
      </w:r>
      <w:r w:rsidR="00CF6C02" w:rsidRPr="00F4541E">
        <w:t xml:space="preserve">the </w:t>
      </w:r>
      <w:r w:rsidR="00A44859" w:rsidRPr="00F4541E">
        <w:t>p</w:t>
      </w:r>
      <w:r w:rsidR="00CF6C02" w:rsidRPr="00F4541E">
        <w:t>roposed regulatory options</w:t>
      </w:r>
      <w:r w:rsidR="006A3E66" w:rsidRPr="00F4541E">
        <w:t>.</w:t>
      </w:r>
      <w:r w:rsidR="00674EA0" w:rsidRPr="00F4541E">
        <w:t xml:space="preserve"> </w:t>
      </w:r>
      <w:r w:rsidR="00B67DCA" w:rsidRPr="00F4541E">
        <w:t>A number of submissions called for mandatory silica awareness training for workers.</w:t>
      </w:r>
    </w:p>
    <w:p w14:paraId="3FE8CEDE" w14:textId="36A062E0" w:rsidR="00D62547" w:rsidRDefault="00F215EC" w:rsidP="00234FEF">
      <w:pPr>
        <w:pStyle w:val="BodyText"/>
      </w:pPr>
      <w:r w:rsidRPr="00F4541E">
        <w:t xml:space="preserve">The majority of stakeholders agreed that the methodology used </w:t>
      </w:r>
      <w:r w:rsidR="002B7ECD" w:rsidRPr="00F4541E">
        <w:t xml:space="preserve">for options 1-5 </w:t>
      </w:r>
      <w:r w:rsidRPr="00F4541E">
        <w:t>was appropriate to estimate the costs to industry and government.</w:t>
      </w:r>
      <w:r w:rsidR="00614DDE" w:rsidRPr="00F4541E">
        <w:t xml:space="preserve"> </w:t>
      </w:r>
      <w:r w:rsidR="00A840C6" w:rsidRPr="00F4541E">
        <w:t xml:space="preserve">Some </w:t>
      </w:r>
      <w:r w:rsidR="00A23861" w:rsidRPr="00F4541E">
        <w:t>questioned the appropriateness of p</w:t>
      </w:r>
      <w:r w:rsidR="001B49E1" w:rsidRPr="00F4541E">
        <w:t xml:space="preserve">lacing a value on a human life through </w:t>
      </w:r>
      <w:r w:rsidR="00614DDE" w:rsidRPr="00F4541E">
        <w:t xml:space="preserve">MCA and BEA </w:t>
      </w:r>
      <w:r w:rsidR="001B49E1" w:rsidRPr="00F4541E">
        <w:t>processes</w:t>
      </w:r>
      <w:r w:rsidR="00614DDE" w:rsidRPr="00F4541E">
        <w:t>.</w:t>
      </w:r>
      <w:r w:rsidR="00063CE4" w:rsidRPr="00F4541E">
        <w:t xml:space="preserve"> </w:t>
      </w:r>
      <w:r w:rsidR="00B734B3" w:rsidRPr="00F4541E">
        <w:t>Other</w:t>
      </w:r>
      <w:r w:rsidR="00A23861" w:rsidRPr="00F4541E">
        <w:t xml:space="preserve"> submissions</w:t>
      </w:r>
      <w:r w:rsidR="002A22B9" w:rsidRPr="00F4541E" w:rsidDel="002F0E10">
        <w:t xml:space="preserve"> </w:t>
      </w:r>
      <w:r w:rsidR="002F0E10">
        <w:t>expressed the view</w:t>
      </w:r>
      <w:r w:rsidR="002F0E10" w:rsidRPr="00F4541E">
        <w:t xml:space="preserve"> </w:t>
      </w:r>
      <w:r w:rsidR="002A22B9" w:rsidRPr="00F4541E">
        <w:t xml:space="preserve">that the impact costs were </w:t>
      </w:r>
      <w:r w:rsidR="00F3174B" w:rsidRPr="00F4541E">
        <w:t>underestimated in the CRIS</w:t>
      </w:r>
      <w:r w:rsidR="002A22B9" w:rsidRPr="00F4541E">
        <w:t xml:space="preserve">, </w:t>
      </w:r>
      <w:r w:rsidR="00B734B3" w:rsidRPr="00F4541E">
        <w:t>and some</w:t>
      </w:r>
      <w:r w:rsidR="002A22B9" w:rsidRPr="00F4541E">
        <w:t xml:space="preserve"> </w:t>
      </w:r>
      <w:r w:rsidR="002C3F2D" w:rsidRPr="00F4541E">
        <w:t xml:space="preserve">that </w:t>
      </w:r>
      <w:r w:rsidR="00B734B3" w:rsidRPr="00F4541E">
        <w:t>t</w:t>
      </w:r>
      <w:r w:rsidR="002C3F2D" w:rsidRPr="00F4541E">
        <w:t xml:space="preserve">he impact of exposure to </w:t>
      </w:r>
      <w:r w:rsidR="00CB16B2">
        <w:t>RCS</w:t>
      </w:r>
      <w:r w:rsidR="002C3F2D" w:rsidRPr="00F4541E">
        <w:t xml:space="preserve">, and resultant disease, </w:t>
      </w:r>
      <w:r w:rsidR="002F0E10" w:rsidRPr="00F4541E">
        <w:t>w</w:t>
      </w:r>
      <w:r w:rsidR="002F0E10">
        <w:t>ere</w:t>
      </w:r>
      <w:r w:rsidR="002F0E10" w:rsidRPr="00F4541E">
        <w:t xml:space="preserve"> </w:t>
      </w:r>
      <w:r w:rsidR="002C3F2D" w:rsidRPr="00F4541E">
        <w:t xml:space="preserve">underestimated. </w:t>
      </w:r>
    </w:p>
    <w:p w14:paraId="0EF96F35" w14:textId="79D5BC2D" w:rsidR="001E26A6" w:rsidRPr="00F4541E" w:rsidRDefault="001E26A6" w:rsidP="001E26A6">
      <w:pPr>
        <w:pStyle w:val="Heading3"/>
      </w:pPr>
      <w:r>
        <w:lastRenderedPageBreak/>
        <w:t>Refinement of options</w:t>
      </w:r>
      <w:r w:rsidR="005900EB">
        <w:t xml:space="preserve"> 1-5 </w:t>
      </w:r>
      <w:r>
        <w:t>in response to consultation feedback</w:t>
      </w:r>
      <w:r w:rsidR="005900EB">
        <w:t>-</w:t>
      </w:r>
    </w:p>
    <w:p w14:paraId="267448FF" w14:textId="27151E04" w:rsidR="00A735BC" w:rsidDel="00737116" w:rsidRDefault="00737116" w:rsidP="007C52EE">
      <w:pPr>
        <w:pStyle w:val="Heading5"/>
      </w:pPr>
      <w:r>
        <w:t>Option 1</w:t>
      </w:r>
      <w:r w:rsidR="00723EC9">
        <w:t xml:space="preserve"> – Base case</w:t>
      </w:r>
    </w:p>
    <w:p w14:paraId="0282EDF3" w14:textId="40D4A993" w:rsidR="005E72E5" w:rsidRDefault="00737116" w:rsidP="007C52EE">
      <w:pPr>
        <w:pStyle w:val="BodyText"/>
      </w:pPr>
      <w:r>
        <w:t>I</w:t>
      </w:r>
      <w:r w:rsidR="0026369C">
        <w:t>n</w:t>
      </w:r>
      <w:r>
        <w:t xml:space="preserve"> response to commentary from unions</w:t>
      </w:r>
      <w:r w:rsidR="00043EC6">
        <w:t xml:space="preserve">, professional bodies </w:t>
      </w:r>
      <w:r>
        <w:t xml:space="preserve">and </w:t>
      </w:r>
      <w:r w:rsidR="00043EC6">
        <w:t>peak health organisations</w:t>
      </w:r>
      <w:r>
        <w:t xml:space="preserve">, the </w:t>
      </w:r>
      <w:r w:rsidR="005E72E5">
        <w:t xml:space="preserve">impact analysis </w:t>
      </w:r>
      <w:r>
        <w:t xml:space="preserve">for </w:t>
      </w:r>
      <w:r w:rsidR="00F87F62">
        <w:t xml:space="preserve">the </w:t>
      </w:r>
      <w:r w:rsidR="00463C29">
        <w:t>base case,</w:t>
      </w:r>
      <w:r>
        <w:t xml:space="preserve"> </w:t>
      </w:r>
      <w:r w:rsidR="00F87F62">
        <w:t>O</w:t>
      </w:r>
      <w:r>
        <w:t>ption 1</w:t>
      </w:r>
      <w:r w:rsidR="00463C29">
        <w:t>,</w:t>
      </w:r>
      <w:r>
        <w:t xml:space="preserve"> now </w:t>
      </w:r>
      <w:r w:rsidR="005E72E5">
        <w:t>includes a</w:t>
      </w:r>
      <w:r w:rsidR="005E72E5" w:rsidRPr="005E72E5">
        <w:t xml:space="preserve"> </w:t>
      </w:r>
      <w:r w:rsidR="00F87F62">
        <w:t xml:space="preserve">discussion and acknowledgement of </w:t>
      </w:r>
      <w:r w:rsidR="005E72E5">
        <w:t xml:space="preserve">the costs silicosis and other silica-related diseases </w:t>
      </w:r>
      <w:r w:rsidR="007559FA">
        <w:t xml:space="preserve">pose </w:t>
      </w:r>
      <w:r w:rsidR="005E72E5" w:rsidRPr="007C52EE">
        <w:t>to</w:t>
      </w:r>
      <w:r w:rsidR="005E72E5">
        <w:t xml:space="preserve"> the public health system</w:t>
      </w:r>
      <w:r w:rsidR="007559FA">
        <w:t xml:space="preserve">, </w:t>
      </w:r>
      <w:r w:rsidR="005E72E5">
        <w:t xml:space="preserve">along with acknowledgement of the </w:t>
      </w:r>
      <w:r w:rsidR="00463C29">
        <w:t>significant financial</w:t>
      </w:r>
      <w:r w:rsidR="005E72E5">
        <w:t xml:space="preserve"> and </w:t>
      </w:r>
      <w:r w:rsidR="00463C29">
        <w:t xml:space="preserve">emotional toll that silicosis and silica-related disease has on patients and their </w:t>
      </w:r>
      <w:r w:rsidR="005E72E5">
        <w:t xml:space="preserve">families. </w:t>
      </w:r>
    </w:p>
    <w:p w14:paraId="55AB5380" w14:textId="184ECCF2" w:rsidR="00737116" w:rsidRDefault="00737116" w:rsidP="007C52EE">
      <w:pPr>
        <w:pStyle w:val="Heading5"/>
      </w:pPr>
      <w:r>
        <w:t>Option 2</w:t>
      </w:r>
      <w:r w:rsidR="00102302">
        <w:t xml:space="preserve"> </w:t>
      </w:r>
      <w:r w:rsidR="00847ED3">
        <w:t>–</w:t>
      </w:r>
      <w:r w:rsidR="00102302">
        <w:t xml:space="preserve"> </w:t>
      </w:r>
      <w:r w:rsidR="00847ED3">
        <w:t>National awareness and behaviour change initiatives</w:t>
      </w:r>
    </w:p>
    <w:p w14:paraId="59A4E167" w14:textId="5CB544FA" w:rsidR="00E72630" w:rsidRDefault="00847ED3" w:rsidP="00E72630">
      <w:pPr>
        <w:pStyle w:val="BodyText"/>
      </w:pPr>
      <w:r>
        <w:t xml:space="preserve">There was strong support for </w:t>
      </w:r>
      <w:r w:rsidR="00E513D0">
        <w:t xml:space="preserve">this option, with unions noting that any </w:t>
      </w:r>
      <w:r w:rsidR="00737116">
        <w:t>regulatory framework must be accompanied by education and awareness programs</w:t>
      </w:r>
      <w:r w:rsidR="00E513D0">
        <w:t xml:space="preserve">. </w:t>
      </w:r>
      <w:r w:rsidR="00E513D0" w:rsidRPr="00E72630">
        <w:t>Industry</w:t>
      </w:r>
      <w:r w:rsidR="00E513D0">
        <w:t xml:space="preserve"> groups noted that the </w:t>
      </w:r>
      <w:r w:rsidR="00F61BAB">
        <w:t>impact analysis for this option did not consider the cost</w:t>
      </w:r>
      <w:r w:rsidR="00EF43D9">
        <w:t xml:space="preserve"> businesses would incur </w:t>
      </w:r>
      <w:r w:rsidR="00E72630">
        <w:t xml:space="preserve">due to </w:t>
      </w:r>
      <w:r w:rsidR="00824792">
        <w:t xml:space="preserve">workers </w:t>
      </w:r>
      <w:r w:rsidR="00064735">
        <w:t>participating in these types of awareness campaigns.  This c</w:t>
      </w:r>
      <w:r w:rsidR="00E72630">
        <w:t>o</w:t>
      </w:r>
      <w:r w:rsidR="00064735">
        <w:t>mment has been addressed in the qual</w:t>
      </w:r>
      <w:r w:rsidR="00E72630">
        <w:t>it</w:t>
      </w:r>
      <w:r w:rsidR="00064735">
        <w:t xml:space="preserve">ative analysis in chapter 5. </w:t>
      </w:r>
    </w:p>
    <w:p w14:paraId="5B0A0F62" w14:textId="3114E4EA" w:rsidR="00BA3D52" w:rsidRDefault="00BA3D52" w:rsidP="007C52EE">
      <w:pPr>
        <w:pStyle w:val="Heading5"/>
      </w:pPr>
      <w:r>
        <w:t>Option 3</w:t>
      </w:r>
      <w:r w:rsidR="00E72630">
        <w:t xml:space="preserve"> - deleted</w:t>
      </w:r>
    </w:p>
    <w:p w14:paraId="4429214D" w14:textId="601C0843" w:rsidR="00BA3D52" w:rsidRDefault="00385C2B" w:rsidP="00234FEF">
      <w:pPr>
        <w:pStyle w:val="BodyText"/>
      </w:pPr>
      <w:r>
        <w:t xml:space="preserve">As discussed in </w:t>
      </w:r>
      <w:r w:rsidR="00E72630">
        <w:t xml:space="preserve">Section </w:t>
      </w:r>
      <w:r w:rsidR="00E72630">
        <w:fldChar w:fldCharType="begin"/>
      </w:r>
      <w:r w:rsidR="00E72630">
        <w:instrText xml:space="preserve"> REF _Ref125124051 \r \h </w:instrText>
      </w:r>
      <w:r w:rsidR="00E72630">
        <w:fldChar w:fldCharType="separate"/>
      </w:r>
      <w:r w:rsidR="00E72630">
        <w:t>4.4</w:t>
      </w:r>
      <w:r w:rsidR="00E72630">
        <w:fldChar w:fldCharType="end"/>
      </w:r>
      <w:r>
        <w:t xml:space="preserve">; </w:t>
      </w:r>
      <w:r w:rsidRPr="009D0A4A">
        <w:t xml:space="preserve">Option 3 </w:t>
      </w:r>
      <w:r>
        <w:t>was included in the CRIS to</w:t>
      </w:r>
      <w:r w:rsidRPr="009D0A4A">
        <w:t xml:space="preserve"> clarify the existing requirements of the model WHS laws into specific </w:t>
      </w:r>
      <w:r w:rsidRPr="00BE7FB2">
        <w:t>regulations</w:t>
      </w:r>
      <w:r w:rsidRPr="009D0A4A">
        <w:t xml:space="preserve"> covering high risk silica processes.</w:t>
      </w:r>
      <w:r w:rsidR="005D77E9">
        <w:t xml:space="preserve"> Changes made to </w:t>
      </w:r>
      <w:r w:rsidR="00EA66C7">
        <w:t xml:space="preserve">Option </w:t>
      </w:r>
      <w:r w:rsidR="005D77E9">
        <w:t>5 as a result of stakeholder feedback (see below) meant that</w:t>
      </w:r>
      <w:r w:rsidR="00B6296C">
        <w:t xml:space="preserve"> Option 3 is not being in considered</w:t>
      </w:r>
      <w:r w:rsidR="00EA66C7">
        <w:t xml:space="preserve"> separately</w:t>
      </w:r>
      <w:r w:rsidR="00B6296C">
        <w:t xml:space="preserve"> in this </w:t>
      </w:r>
      <w:r w:rsidR="0054756F">
        <w:t>DRIS</w:t>
      </w:r>
      <w:r w:rsidR="00EA66C7">
        <w:t>. F</w:t>
      </w:r>
      <w:r w:rsidR="00B6296C">
        <w:t xml:space="preserve">eedback on </w:t>
      </w:r>
      <w:r w:rsidR="00EA66C7">
        <w:t xml:space="preserve">Option </w:t>
      </w:r>
      <w:r w:rsidR="00B6296C">
        <w:t xml:space="preserve">3 as presented in the CRIS has been considered when refining Option 5, below. </w:t>
      </w:r>
      <w:r>
        <w:t xml:space="preserve"> </w:t>
      </w:r>
    </w:p>
    <w:p w14:paraId="5C883839" w14:textId="2ECBFE67" w:rsidR="00BA3D52" w:rsidRPr="00F4541E" w:rsidRDefault="00BA3D52" w:rsidP="007C52EE">
      <w:pPr>
        <w:pStyle w:val="Heading5"/>
      </w:pPr>
      <w:r>
        <w:t>Option 4</w:t>
      </w:r>
      <w:r w:rsidR="00713CAD">
        <w:t xml:space="preserve"> </w:t>
      </w:r>
      <w:r w:rsidR="00587552">
        <w:t>–</w:t>
      </w:r>
      <w:r w:rsidR="00713CAD">
        <w:t xml:space="preserve"> </w:t>
      </w:r>
      <w:r w:rsidR="00587552">
        <w:t xml:space="preserve">Implementation of a national licensing </w:t>
      </w:r>
      <w:r w:rsidR="0039102C">
        <w:t>framework for all PCBUs working with engineered stone.</w:t>
      </w:r>
    </w:p>
    <w:p w14:paraId="18FF51C8" w14:textId="2A102347" w:rsidR="00332905" w:rsidRPr="007C52EE" w:rsidRDefault="00332905" w:rsidP="007C52EE">
      <w:pPr>
        <w:pStyle w:val="BodyText"/>
      </w:pPr>
      <w:r w:rsidRPr="007C52EE">
        <w:t>Industry groups were generally not</w:t>
      </w:r>
      <w:r w:rsidR="002F42C3" w:rsidRPr="007C52EE">
        <w:t xml:space="preserve"> </w:t>
      </w:r>
      <w:r w:rsidRPr="007C52EE">
        <w:t xml:space="preserve">supportive of Option </w:t>
      </w:r>
      <w:r w:rsidR="009650E2" w:rsidRPr="007C52EE">
        <w:t>4 and</w:t>
      </w:r>
      <w:r w:rsidR="004B6A24" w:rsidRPr="007C52EE">
        <w:t xml:space="preserve"> consider it will </w:t>
      </w:r>
      <w:r w:rsidRPr="007C52EE">
        <w:t xml:space="preserve">offer limited benefit and </w:t>
      </w:r>
      <w:r w:rsidR="001472A3" w:rsidRPr="007C52EE">
        <w:t xml:space="preserve">potentially disadvantage </w:t>
      </w:r>
      <w:r w:rsidRPr="007C52EE">
        <w:t>smaller business</w:t>
      </w:r>
      <w:r w:rsidR="001472A3" w:rsidRPr="007C52EE">
        <w:t>es</w:t>
      </w:r>
      <w:r w:rsidRPr="007C52EE">
        <w:t xml:space="preserve">. If adopted, </w:t>
      </w:r>
      <w:r w:rsidR="005E489C" w:rsidRPr="007C52EE">
        <w:t xml:space="preserve">they suggest that </w:t>
      </w:r>
      <w:r w:rsidRPr="007C52EE">
        <w:t>reporting of air and health monitoring should</w:t>
      </w:r>
      <w:r w:rsidR="004B0854" w:rsidRPr="007C52EE">
        <w:t xml:space="preserve"> be limited to </w:t>
      </w:r>
      <w:r w:rsidR="001472A3" w:rsidRPr="007C52EE">
        <w:t xml:space="preserve">WES exceedances and </w:t>
      </w:r>
      <w:r w:rsidRPr="007C52EE">
        <w:t>adverse health outcome</w:t>
      </w:r>
      <w:r w:rsidR="002F42C3" w:rsidRPr="007C52EE">
        <w:t>s</w:t>
      </w:r>
      <w:r w:rsidRPr="007C52EE">
        <w:t>.</w:t>
      </w:r>
      <w:r w:rsidR="005E489C" w:rsidRPr="007C52EE">
        <w:t xml:space="preserve"> </w:t>
      </w:r>
      <w:r w:rsidR="004B0854" w:rsidRPr="007C52EE">
        <w:t>They also raise c</w:t>
      </w:r>
      <w:r w:rsidR="005E489C" w:rsidRPr="007C52EE">
        <w:t xml:space="preserve">oncerns that the </w:t>
      </w:r>
      <w:r w:rsidR="004B0854" w:rsidRPr="007C52EE">
        <w:t xml:space="preserve">phrasing of this </w:t>
      </w:r>
      <w:r w:rsidRPr="007C52EE">
        <w:t>option in the CRIS would result in unintentionally capturing a range of businesses that undertake minor and infrequent work with engineered stone</w:t>
      </w:r>
      <w:r w:rsidR="004B0854" w:rsidRPr="007C52EE">
        <w:t>,</w:t>
      </w:r>
      <w:r w:rsidRPr="007C52EE">
        <w:t xml:space="preserve"> such as cutting excess stone to fit to cabinetry, drilling a hole for electrical cable connections etc</w:t>
      </w:r>
      <w:r w:rsidR="005E489C" w:rsidRPr="007C52EE">
        <w:t xml:space="preserve">. </w:t>
      </w:r>
    </w:p>
    <w:p w14:paraId="1F6C7983" w14:textId="6540C0A8" w:rsidR="005255B3" w:rsidRPr="007C52EE" w:rsidRDefault="00DE04DE" w:rsidP="007C52EE">
      <w:pPr>
        <w:pStyle w:val="BodyText"/>
      </w:pPr>
      <w:r w:rsidRPr="007C52EE">
        <w:t xml:space="preserve">WHS </w:t>
      </w:r>
      <w:r w:rsidR="001472A3" w:rsidRPr="007C52EE">
        <w:t>regulators</w:t>
      </w:r>
      <w:r w:rsidR="005F10C3" w:rsidRPr="007C52EE">
        <w:t xml:space="preserve"> </w:t>
      </w:r>
      <w:r w:rsidR="00914A43" w:rsidRPr="007C52EE">
        <w:t xml:space="preserve">discussed the significant lead time </w:t>
      </w:r>
      <w:r w:rsidR="005D3182" w:rsidRPr="007C52EE">
        <w:t xml:space="preserve">required for </w:t>
      </w:r>
      <w:r w:rsidR="00914A43" w:rsidRPr="007C52EE">
        <w:t xml:space="preserve">a </w:t>
      </w:r>
      <w:r w:rsidR="0065228E" w:rsidRPr="007C52EE">
        <w:t xml:space="preserve">licensing scheme for engineered stone, </w:t>
      </w:r>
      <w:r w:rsidR="006234A6" w:rsidRPr="007C52EE">
        <w:t xml:space="preserve">and also </w:t>
      </w:r>
      <w:r w:rsidR="004B5D13" w:rsidRPr="007C52EE">
        <w:t xml:space="preserve">discussed </w:t>
      </w:r>
      <w:r w:rsidR="00E56BE1" w:rsidRPr="007C52EE">
        <w:t xml:space="preserve">the administrative burden </w:t>
      </w:r>
      <w:r w:rsidR="00A46FB3" w:rsidRPr="007C52EE">
        <w:t xml:space="preserve">of </w:t>
      </w:r>
      <w:r w:rsidR="00E56BE1" w:rsidRPr="007C52EE">
        <w:t>managing such a licensing process</w:t>
      </w:r>
      <w:r w:rsidR="00572883" w:rsidRPr="007C52EE">
        <w:t xml:space="preserve">. They </w:t>
      </w:r>
      <w:r w:rsidR="00A46FB3" w:rsidRPr="007C52EE">
        <w:t>postulat</w:t>
      </w:r>
      <w:r w:rsidR="00572883" w:rsidRPr="007C52EE">
        <w:t xml:space="preserve">e </w:t>
      </w:r>
      <w:r w:rsidR="00A46FB3" w:rsidRPr="007C52EE">
        <w:t>that it</w:t>
      </w:r>
      <w:r w:rsidR="00E56BE1" w:rsidRPr="007C52EE">
        <w:t xml:space="preserve"> may draw </w:t>
      </w:r>
      <w:r w:rsidR="006A6553" w:rsidRPr="007C52EE">
        <w:t>resources</w:t>
      </w:r>
      <w:r w:rsidR="00E56BE1" w:rsidRPr="007C52EE">
        <w:t xml:space="preserve"> </w:t>
      </w:r>
      <w:r w:rsidR="00DB5B5A" w:rsidRPr="007C52EE">
        <w:t xml:space="preserve">away </w:t>
      </w:r>
      <w:r w:rsidR="00E56BE1" w:rsidRPr="007C52EE">
        <w:t>from</w:t>
      </w:r>
      <w:r w:rsidR="0044545D" w:rsidRPr="007C52EE">
        <w:t xml:space="preserve"> other health and </w:t>
      </w:r>
      <w:r w:rsidR="006A6553" w:rsidRPr="007C52EE">
        <w:t xml:space="preserve">safety compliance work. </w:t>
      </w:r>
      <w:r w:rsidR="00572883" w:rsidRPr="007C52EE">
        <w:t xml:space="preserve">While </w:t>
      </w:r>
      <w:r w:rsidRPr="007C52EE">
        <w:t xml:space="preserve">WHS </w:t>
      </w:r>
      <w:r w:rsidR="00572883" w:rsidRPr="007C52EE">
        <w:t>regulators acknowledge that</w:t>
      </w:r>
      <w:r w:rsidR="00D670B5" w:rsidRPr="007C52EE">
        <w:t xml:space="preserve"> a </w:t>
      </w:r>
      <w:r w:rsidR="00DB5B5A" w:rsidRPr="007C52EE">
        <w:t xml:space="preserve">licensing </w:t>
      </w:r>
      <w:r w:rsidR="00D670B5" w:rsidRPr="007C52EE">
        <w:t>scheme for engineered stone</w:t>
      </w:r>
      <w:r w:rsidR="00F04E06" w:rsidRPr="007C52EE">
        <w:t xml:space="preserve"> </w:t>
      </w:r>
      <w:r w:rsidR="00D670B5" w:rsidRPr="007C52EE">
        <w:t>would provide</w:t>
      </w:r>
      <w:r w:rsidR="0037384D" w:rsidRPr="007C52EE">
        <w:t xml:space="preserve"> an ability </w:t>
      </w:r>
      <w:r w:rsidR="000475CD" w:rsidRPr="007C52EE">
        <w:t>to</w:t>
      </w:r>
      <w:r w:rsidR="0037384D" w:rsidRPr="007C52EE">
        <w:t xml:space="preserve"> </w:t>
      </w:r>
      <w:r w:rsidR="000475CD" w:rsidRPr="007C52EE">
        <w:t>understand</w:t>
      </w:r>
      <w:r w:rsidR="0037384D" w:rsidRPr="007C52EE">
        <w:t xml:space="preserve"> the supply chain, </w:t>
      </w:r>
      <w:r w:rsidR="001B2AF6" w:rsidRPr="007C52EE">
        <w:t xml:space="preserve">they </w:t>
      </w:r>
      <w:r w:rsidR="008D4413" w:rsidRPr="007C52EE">
        <w:t>point out that</w:t>
      </w:r>
      <w:r w:rsidRPr="007C52EE">
        <w:t xml:space="preserve"> WHS</w:t>
      </w:r>
      <w:r w:rsidR="008D4413" w:rsidRPr="007C52EE">
        <w:t xml:space="preserve"> </w:t>
      </w:r>
      <w:r w:rsidR="00F04E06" w:rsidRPr="007C52EE">
        <w:t>regulators are already able to identify manufactured stone workplaces by issuing notices to the importers of manufactured stone</w:t>
      </w:r>
      <w:r w:rsidR="0037384D" w:rsidRPr="007C52EE">
        <w:t>, enabling targeted compliance activities using existing resources.</w:t>
      </w:r>
    </w:p>
    <w:p w14:paraId="394B9C55" w14:textId="2F5940C8" w:rsidR="00BA3D52" w:rsidRPr="007C52EE" w:rsidRDefault="00007B87" w:rsidP="007C52EE">
      <w:pPr>
        <w:pStyle w:val="BodyText"/>
      </w:pPr>
      <w:r w:rsidRPr="007C52EE">
        <w:t xml:space="preserve">Government </w:t>
      </w:r>
      <w:r w:rsidR="001601C9" w:rsidRPr="007C52EE">
        <w:t xml:space="preserve">submissions </w:t>
      </w:r>
      <w:r w:rsidR="00A46FB3" w:rsidRPr="007C52EE">
        <w:t>consider</w:t>
      </w:r>
      <w:r w:rsidR="002D7133" w:rsidRPr="007C52EE">
        <w:t xml:space="preserve"> a national licen</w:t>
      </w:r>
      <w:r w:rsidR="002F42C3" w:rsidRPr="007C52EE">
        <w:t>s</w:t>
      </w:r>
      <w:r w:rsidR="002D7133" w:rsidRPr="007C52EE">
        <w:t xml:space="preserve">ing framework should encapsulate conditions </w:t>
      </w:r>
      <w:r w:rsidR="00A46FB3" w:rsidRPr="007C52EE">
        <w:t>that</w:t>
      </w:r>
      <w:r w:rsidR="002D7133" w:rsidRPr="007C52EE">
        <w:t xml:space="preserve"> would restrict access to engineered stone to PCBUs who can demonstrate that they can use the product safely. </w:t>
      </w:r>
    </w:p>
    <w:p w14:paraId="3DD55342" w14:textId="791E0742" w:rsidR="005E489C" w:rsidRPr="007C52EE" w:rsidRDefault="00A46FB3" w:rsidP="007C52EE">
      <w:pPr>
        <w:pStyle w:val="BodyText"/>
      </w:pPr>
      <w:r w:rsidRPr="007C52EE">
        <w:t xml:space="preserve">Option 4 of this </w:t>
      </w:r>
      <w:r w:rsidR="0054756F">
        <w:t>DRIS</w:t>
      </w:r>
      <w:r w:rsidRPr="007C52EE">
        <w:t xml:space="preserve"> has</w:t>
      </w:r>
      <w:r w:rsidR="005E489C" w:rsidRPr="007C52EE">
        <w:t xml:space="preserve"> been </w:t>
      </w:r>
      <w:r w:rsidRPr="007C52EE">
        <w:t xml:space="preserve">modified </w:t>
      </w:r>
      <w:r w:rsidR="005E489C" w:rsidRPr="007C52EE">
        <w:t>to reflect feedback on reporting of air and health monitoring</w:t>
      </w:r>
      <w:r w:rsidRPr="007C52EE">
        <w:t xml:space="preserve"> (i.e. limited to WES exceedances and adverse health findings)</w:t>
      </w:r>
      <w:r w:rsidR="005E489C" w:rsidRPr="007C52EE">
        <w:t xml:space="preserve">; and to make the requirements around </w:t>
      </w:r>
      <w:r w:rsidR="009650E2" w:rsidRPr="007C52EE">
        <w:t>risk control</w:t>
      </w:r>
      <w:r w:rsidR="005E489C" w:rsidRPr="007C52EE">
        <w:t xml:space="preserve"> plans and risk assessment</w:t>
      </w:r>
      <w:r w:rsidR="009650E2" w:rsidRPr="007C52EE">
        <w:t>s</w:t>
      </w:r>
      <w:r w:rsidR="005E489C" w:rsidRPr="007C52EE">
        <w:t xml:space="preserve"> </w:t>
      </w:r>
      <w:r w:rsidR="008533A5" w:rsidRPr="007C52EE">
        <w:t>align more closely with</w:t>
      </w:r>
      <w:r w:rsidR="005E489C" w:rsidRPr="007C52EE">
        <w:t xml:space="preserve"> th</w:t>
      </w:r>
      <w:r w:rsidR="009650E2" w:rsidRPr="007C52EE">
        <w:t>ose</w:t>
      </w:r>
      <w:r w:rsidR="005E489C" w:rsidRPr="007C52EE">
        <w:t xml:space="preserve"> outline</w:t>
      </w:r>
      <w:r w:rsidRPr="007C52EE">
        <w:t>d</w:t>
      </w:r>
      <w:r w:rsidR="005E489C" w:rsidRPr="007C52EE">
        <w:t xml:space="preserve"> in Option</w:t>
      </w:r>
      <w:r w:rsidR="008533A5" w:rsidRPr="007C52EE">
        <w:t>s</w:t>
      </w:r>
      <w:r w:rsidR="005E489C" w:rsidRPr="007C52EE">
        <w:t xml:space="preserve"> 5a and 5b.</w:t>
      </w:r>
    </w:p>
    <w:p w14:paraId="7291DAE4" w14:textId="5A587137" w:rsidR="00BA3D52" w:rsidRDefault="00BA3D52" w:rsidP="007C52EE">
      <w:pPr>
        <w:pStyle w:val="Heading5"/>
      </w:pPr>
      <w:r>
        <w:t>Option 5</w:t>
      </w:r>
      <w:r w:rsidR="00B80E25">
        <w:t>–</w:t>
      </w:r>
      <w:r w:rsidR="00862698">
        <w:t xml:space="preserve"> </w:t>
      </w:r>
      <w:r w:rsidR="00B80E25">
        <w:t xml:space="preserve">Additional regulation of </w:t>
      </w:r>
      <w:r w:rsidR="0001703B">
        <w:t xml:space="preserve">high risk crystalline silica processes </w:t>
      </w:r>
    </w:p>
    <w:p w14:paraId="0AB2FA54" w14:textId="51DBDFFE" w:rsidR="00862698" w:rsidRPr="00554C81" w:rsidRDefault="008044A1" w:rsidP="00554C81">
      <w:pPr>
        <w:pStyle w:val="BodyText"/>
      </w:pPr>
      <w:r w:rsidRPr="00554C81">
        <w:t xml:space="preserve">This option was presented in the CRIS </w:t>
      </w:r>
      <w:r w:rsidR="00D03D8D" w:rsidRPr="00554C81">
        <w:t xml:space="preserve">as </w:t>
      </w:r>
      <w:r w:rsidR="00C8485D" w:rsidRPr="00554C81">
        <w:t xml:space="preserve">two variations (Options 5a and 5b) </w:t>
      </w:r>
      <w:r w:rsidRPr="00554C81">
        <w:t xml:space="preserve">would allow </w:t>
      </w:r>
      <w:r w:rsidR="00E714FF" w:rsidRPr="00554C81">
        <w:t xml:space="preserve">this option </w:t>
      </w:r>
      <w:r w:rsidRPr="00554C81">
        <w:t xml:space="preserve">to be implemented as either a standalone measure </w:t>
      </w:r>
      <w:r w:rsidR="00C8485D" w:rsidRPr="00554C81">
        <w:t xml:space="preserve">for all silica-containing materials </w:t>
      </w:r>
      <w:r w:rsidRPr="00554C81">
        <w:t>(</w:t>
      </w:r>
      <w:r w:rsidR="00B47A6A" w:rsidRPr="00554C81">
        <w:t xml:space="preserve">Option </w:t>
      </w:r>
      <w:r w:rsidRPr="00554C81">
        <w:t>5a)</w:t>
      </w:r>
      <w:r w:rsidR="00B47A6A" w:rsidRPr="00554C81">
        <w:t>,</w:t>
      </w:r>
      <w:r w:rsidRPr="00554C81">
        <w:t xml:space="preserve"> or in combination with </w:t>
      </w:r>
      <w:r w:rsidRPr="00554C81">
        <w:lastRenderedPageBreak/>
        <w:t>a licensing scheme for engineered stone (</w:t>
      </w:r>
      <w:r w:rsidR="00B47A6A" w:rsidRPr="00554C81">
        <w:t xml:space="preserve">Option </w:t>
      </w:r>
      <w:r w:rsidRPr="00554C81">
        <w:t>5b</w:t>
      </w:r>
      <w:r w:rsidR="00B47A6A" w:rsidRPr="00554C81">
        <w:t>, in combination with Option 4</w:t>
      </w:r>
      <w:r w:rsidRPr="00554C81">
        <w:t xml:space="preserve">). </w:t>
      </w:r>
      <w:r w:rsidR="002C6721" w:rsidRPr="00554C81">
        <w:t>Both Options 5a and 5b included all the elements of Option 3.</w:t>
      </w:r>
    </w:p>
    <w:p w14:paraId="03F47010" w14:textId="0264731B" w:rsidR="00DA40FD" w:rsidRPr="00554C81" w:rsidRDefault="00B47A6A" w:rsidP="00554C81">
      <w:pPr>
        <w:pStyle w:val="BodyText"/>
      </w:pPr>
      <w:r w:rsidRPr="00554C81">
        <w:t>S</w:t>
      </w:r>
      <w:r w:rsidR="00F357AF" w:rsidRPr="00554C81">
        <w:t xml:space="preserve">takeholders </w:t>
      </w:r>
      <w:r w:rsidR="00151C7F" w:rsidRPr="00554C81">
        <w:t xml:space="preserve">provided feedback </w:t>
      </w:r>
      <w:r w:rsidR="00D03D8D" w:rsidRPr="00554C81">
        <w:t xml:space="preserve">on the definitions of </w:t>
      </w:r>
      <w:r w:rsidR="008F10ED" w:rsidRPr="00554C81">
        <w:t xml:space="preserve">crystalline silica substance, </w:t>
      </w:r>
      <w:r w:rsidR="00CC677A" w:rsidRPr="00554C81">
        <w:t>crystalline silica proces</w:t>
      </w:r>
      <w:r w:rsidR="00AC1765" w:rsidRPr="00554C81">
        <w:t>s, and high risk</w:t>
      </w:r>
      <w:r w:rsidR="00D93586" w:rsidRPr="00554C81">
        <w:t xml:space="preserve"> crystalline silica process</w:t>
      </w:r>
      <w:r w:rsidR="00151C7F" w:rsidRPr="00554C81">
        <w:t xml:space="preserve"> proposed in </w:t>
      </w:r>
      <w:r w:rsidRPr="00554C81">
        <w:t>Option 3</w:t>
      </w:r>
      <w:r w:rsidR="007D66CE" w:rsidRPr="00554C81">
        <w:t xml:space="preserve">. </w:t>
      </w:r>
    </w:p>
    <w:p w14:paraId="7983B43A" w14:textId="622CB57A" w:rsidR="0042737F" w:rsidRPr="00554C81" w:rsidRDefault="001069DC" w:rsidP="00554C81">
      <w:pPr>
        <w:pStyle w:val="BodyText"/>
      </w:pPr>
      <w:r w:rsidRPr="00554C81">
        <w:t>U</w:t>
      </w:r>
      <w:r w:rsidR="00AE45EA" w:rsidRPr="00554C81">
        <w:t xml:space="preserve">nion stakeholders </w:t>
      </w:r>
      <w:r w:rsidR="0042737F" w:rsidRPr="00554C81">
        <w:t xml:space="preserve">discuss </w:t>
      </w:r>
      <w:r w:rsidR="00AE45EA" w:rsidRPr="00554C81">
        <w:t xml:space="preserve">the need </w:t>
      </w:r>
      <w:r w:rsidR="00DA40FD" w:rsidRPr="00554C81">
        <w:t xml:space="preserve">for clearer requirements regarding training and </w:t>
      </w:r>
      <w:r w:rsidR="009E0F0F" w:rsidRPr="00554C81">
        <w:t xml:space="preserve">provision of </w:t>
      </w:r>
      <w:r w:rsidR="00DA40FD" w:rsidRPr="00554C81">
        <w:t>information provision to workers</w:t>
      </w:r>
      <w:r w:rsidR="00666B5D" w:rsidRPr="00554C81">
        <w:t xml:space="preserve">. </w:t>
      </w:r>
    </w:p>
    <w:p w14:paraId="259543B3" w14:textId="6D910DE2" w:rsidR="00363DF2" w:rsidRPr="00554C81" w:rsidRDefault="00A46C3F" w:rsidP="00554C81">
      <w:pPr>
        <w:pStyle w:val="BodyText"/>
        <w:rPr>
          <w:rStyle w:val="eop"/>
        </w:rPr>
      </w:pPr>
      <w:r w:rsidRPr="00554C81">
        <w:rPr>
          <w:rStyle w:val="normaltextrun"/>
        </w:rPr>
        <w:t>Submissions from a range</w:t>
      </w:r>
      <w:r w:rsidR="0042737F" w:rsidRPr="00554C81">
        <w:rPr>
          <w:rStyle w:val="normaltextrun"/>
        </w:rPr>
        <w:t xml:space="preserve"> of </w:t>
      </w:r>
      <w:r w:rsidRPr="00554C81">
        <w:rPr>
          <w:rStyle w:val="normaltextrun"/>
        </w:rPr>
        <w:t xml:space="preserve">stakeholders, including </w:t>
      </w:r>
      <w:r w:rsidR="006D2CB7" w:rsidRPr="00554C81">
        <w:rPr>
          <w:rStyle w:val="normaltextrun"/>
        </w:rPr>
        <w:t xml:space="preserve">professional bodies, </w:t>
      </w:r>
      <w:r w:rsidR="00391075" w:rsidRPr="00554C81">
        <w:rPr>
          <w:rStyle w:val="normaltextrun"/>
        </w:rPr>
        <w:t xml:space="preserve">industry groups and </w:t>
      </w:r>
      <w:r w:rsidR="00DE04DE" w:rsidRPr="00554C81">
        <w:rPr>
          <w:rStyle w:val="normaltextrun"/>
        </w:rPr>
        <w:t xml:space="preserve">WHS </w:t>
      </w:r>
      <w:r w:rsidR="00391075" w:rsidRPr="00554C81">
        <w:rPr>
          <w:rStyle w:val="normaltextrun"/>
        </w:rPr>
        <w:t xml:space="preserve">regulators </w:t>
      </w:r>
      <w:r w:rsidR="00B337AC" w:rsidRPr="00554C81">
        <w:rPr>
          <w:rStyle w:val="normaltextrun"/>
        </w:rPr>
        <w:t xml:space="preserve">suggested mandatory reporting of air </w:t>
      </w:r>
      <w:r w:rsidR="00EB4545" w:rsidRPr="00554C81">
        <w:rPr>
          <w:rStyle w:val="normaltextrun"/>
        </w:rPr>
        <w:t xml:space="preserve">and health </w:t>
      </w:r>
      <w:r w:rsidR="00B337AC" w:rsidRPr="00554C81">
        <w:rPr>
          <w:rStyle w:val="normaltextrun"/>
        </w:rPr>
        <w:t>monitoring data should only apply for WES exceedances</w:t>
      </w:r>
      <w:r w:rsidR="00EB4545" w:rsidRPr="00554C81">
        <w:rPr>
          <w:rStyle w:val="normaltextrun"/>
        </w:rPr>
        <w:t>,</w:t>
      </w:r>
      <w:r w:rsidR="00904830" w:rsidRPr="00554C81">
        <w:rPr>
          <w:rStyle w:val="normaltextrun"/>
        </w:rPr>
        <w:t xml:space="preserve"> and health monitoring where </w:t>
      </w:r>
      <w:r w:rsidR="00363DF2" w:rsidRPr="00554C81">
        <w:rPr>
          <w:rStyle w:val="normaltextrun"/>
        </w:rPr>
        <w:t xml:space="preserve">adverse </w:t>
      </w:r>
      <w:r w:rsidR="00730358" w:rsidRPr="00554C81">
        <w:rPr>
          <w:rStyle w:val="normaltextrun"/>
        </w:rPr>
        <w:t>outcomes were detected</w:t>
      </w:r>
      <w:r w:rsidR="00B337AC" w:rsidRPr="00554C81">
        <w:rPr>
          <w:rStyle w:val="normaltextrun"/>
        </w:rPr>
        <w:t>.</w:t>
      </w:r>
      <w:r w:rsidR="00A043A1" w:rsidRPr="00554C81">
        <w:rPr>
          <w:rStyle w:val="normaltextrun"/>
        </w:rPr>
        <w:t xml:space="preserve"> Reasons includes cost to industry, burden on </w:t>
      </w:r>
      <w:r w:rsidR="00DE04DE" w:rsidRPr="00554C81">
        <w:rPr>
          <w:rStyle w:val="normaltextrun"/>
        </w:rPr>
        <w:t xml:space="preserve">WHS </w:t>
      </w:r>
      <w:r w:rsidR="00A043A1" w:rsidRPr="00554C81">
        <w:rPr>
          <w:rStyle w:val="normaltextrun"/>
        </w:rPr>
        <w:t xml:space="preserve">regulators </w:t>
      </w:r>
      <w:r w:rsidR="002F4A52" w:rsidRPr="00554C81">
        <w:rPr>
          <w:rStyle w:val="normaltextrun"/>
        </w:rPr>
        <w:t xml:space="preserve">and </w:t>
      </w:r>
      <w:r w:rsidR="00F042A6" w:rsidRPr="00554C81">
        <w:rPr>
          <w:rStyle w:val="normaltextrun"/>
        </w:rPr>
        <w:t xml:space="preserve">issues around secure data storage. </w:t>
      </w:r>
      <w:r w:rsidR="00391075" w:rsidRPr="00554C81">
        <w:rPr>
          <w:rStyle w:val="eop"/>
        </w:rPr>
        <w:t xml:space="preserve"> </w:t>
      </w:r>
    </w:p>
    <w:p w14:paraId="272D224B" w14:textId="3D9F6111" w:rsidR="00FB1121" w:rsidRPr="00554C81" w:rsidRDefault="00DE04DE" w:rsidP="00554C81">
      <w:pPr>
        <w:pStyle w:val="BodyText"/>
      </w:pPr>
      <w:r w:rsidRPr="00554C81">
        <w:t>WHS r</w:t>
      </w:r>
      <w:r w:rsidR="006E5D2F" w:rsidRPr="00554C81">
        <w:t>egulators</w:t>
      </w:r>
      <w:r w:rsidR="001E0B46" w:rsidRPr="00554C81">
        <w:t xml:space="preserve"> raised that</w:t>
      </w:r>
      <w:r w:rsidR="00DE1B21" w:rsidRPr="00554C81">
        <w:t xml:space="preserve"> th</w:t>
      </w:r>
      <w:r w:rsidR="00B9121C" w:rsidRPr="00554C81">
        <w:t>a</w:t>
      </w:r>
      <w:r w:rsidR="00DE1B21" w:rsidRPr="00554C81">
        <w:t>t</w:t>
      </w:r>
      <w:r w:rsidR="00B9121C" w:rsidRPr="00554C81">
        <w:t xml:space="preserve"> the primary purpose </w:t>
      </w:r>
      <w:r w:rsidR="00600450" w:rsidRPr="00554C81">
        <w:t xml:space="preserve">of air monitoring under the WHS regulations is to check that controls are adequate, where there is uncertainty, rather than to assist regulators </w:t>
      </w:r>
      <w:r w:rsidR="00BE0403" w:rsidRPr="00554C81">
        <w:t xml:space="preserve">to </w:t>
      </w:r>
      <w:r w:rsidR="00600450" w:rsidRPr="00554C81">
        <w:t xml:space="preserve">monitor trends. </w:t>
      </w:r>
      <w:r w:rsidR="00C33C35" w:rsidRPr="00554C81">
        <w:t>They recommend that, should this option be selected, only exceedances data be reported to the regulator.</w:t>
      </w:r>
      <w:r w:rsidR="00600450" w:rsidRPr="00554C81">
        <w:t xml:space="preserve"> </w:t>
      </w:r>
      <w:r w:rsidR="00AE14EF" w:rsidRPr="00554C81">
        <w:t xml:space="preserve">They also </w:t>
      </w:r>
      <w:r w:rsidR="00257094" w:rsidRPr="00554C81">
        <w:t>raise</w:t>
      </w:r>
      <w:r w:rsidR="005D22DA" w:rsidRPr="00554C81">
        <w:t>d</w:t>
      </w:r>
      <w:r w:rsidR="00257094" w:rsidRPr="00554C81">
        <w:t xml:space="preserve"> </w:t>
      </w:r>
      <w:r w:rsidR="009952D0" w:rsidRPr="00554C81">
        <w:t xml:space="preserve">privacy </w:t>
      </w:r>
      <w:r w:rsidR="000D6AB1" w:rsidRPr="00554C81">
        <w:t>concerns</w:t>
      </w:r>
      <w:r w:rsidR="009952D0" w:rsidRPr="00554C81">
        <w:t xml:space="preserve"> around provision of health monitoring data to the </w:t>
      </w:r>
      <w:r w:rsidRPr="00554C81">
        <w:t xml:space="preserve">WHS </w:t>
      </w:r>
      <w:r w:rsidR="009952D0" w:rsidRPr="00554C81">
        <w:t xml:space="preserve">regulator, and </w:t>
      </w:r>
      <w:r w:rsidR="00C53155" w:rsidRPr="00554C81">
        <w:t>note</w:t>
      </w:r>
      <w:r w:rsidR="005D22DA" w:rsidRPr="00554C81">
        <w:t>d</w:t>
      </w:r>
      <w:r w:rsidR="00C53155" w:rsidRPr="00554C81">
        <w:t xml:space="preserve"> that the processing </w:t>
      </w:r>
      <w:r w:rsidR="0067200D" w:rsidRPr="00554C81">
        <w:t>o</w:t>
      </w:r>
      <w:r w:rsidR="00C53155" w:rsidRPr="00554C81">
        <w:t xml:space="preserve">f health and air </w:t>
      </w:r>
      <w:r w:rsidR="000D6AB1" w:rsidRPr="00554C81">
        <w:t>monitoring</w:t>
      </w:r>
      <w:r w:rsidR="00C53155" w:rsidRPr="00554C81">
        <w:t xml:space="preserve"> data </w:t>
      </w:r>
      <w:r w:rsidR="00AE14EF" w:rsidRPr="00554C81">
        <w:t xml:space="preserve">of the quanta </w:t>
      </w:r>
      <w:r w:rsidR="00142910" w:rsidRPr="00554C81">
        <w:t>proposed</w:t>
      </w:r>
      <w:r w:rsidR="00AE14EF" w:rsidRPr="00554C81">
        <w:t xml:space="preserve"> in the CRIS </w:t>
      </w:r>
      <w:r w:rsidR="000D6AB1" w:rsidRPr="00554C81">
        <w:t xml:space="preserve">may not be a productive use of </w:t>
      </w:r>
      <w:r w:rsidRPr="00554C81">
        <w:t xml:space="preserve">WHS </w:t>
      </w:r>
      <w:r w:rsidR="000D6AB1" w:rsidRPr="00554C81">
        <w:t xml:space="preserve">regulator resources.  </w:t>
      </w:r>
      <w:r w:rsidR="00C349CC" w:rsidRPr="00554C81">
        <w:t>It is worth noting, under the existing model WHS Regulations, PCBU</w:t>
      </w:r>
      <w:r w:rsidR="00AD6C46">
        <w:t>s</w:t>
      </w:r>
      <w:r w:rsidR="00C349CC" w:rsidRPr="00554C81">
        <w:t xml:space="preserve"> are </w:t>
      </w:r>
      <w:r w:rsidR="007C6FD2" w:rsidRPr="00554C81">
        <w:t xml:space="preserve">already </w:t>
      </w:r>
      <w:r w:rsidR="00C349CC" w:rsidRPr="00554C81">
        <w:t xml:space="preserve">required to provide health monitoring </w:t>
      </w:r>
      <w:r w:rsidR="00AD6C46">
        <w:t xml:space="preserve">reports </w:t>
      </w:r>
      <w:r w:rsidR="00C349CC" w:rsidRPr="00554C81">
        <w:t xml:space="preserve">to the </w:t>
      </w:r>
      <w:r w:rsidRPr="00554C81">
        <w:t xml:space="preserve">WHS </w:t>
      </w:r>
      <w:r w:rsidR="00C349CC" w:rsidRPr="00554C81">
        <w:t>regulator under certain circumstances.</w:t>
      </w:r>
      <w:r w:rsidR="00FB1121" w:rsidRPr="00554C81">
        <w:t xml:space="preserve">  </w:t>
      </w:r>
    </w:p>
    <w:p w14:paraId="72A88B05" w14:textId="3F393FAC" w:rsidR="00921614" w:rsidRPr="00554C81" w:rsidRDefault="00416E67" w:rsidP="00554C81">
      <w:pPr>
        <w:pStyle w:val="BodyText"/>
      </w:pPr>
      <w:r w:rsidRPr="00554C81">
        <w:t>U</w:t>
      </w:r>
      <w:r w:rsidR="00EB4545" w:rsidRPr="00554C81">
        <w:t xml:space="preserve">nions </w:t>
      </w:r>
      <w:r w:rsidR="00554C81" w:rsidRPr="00554C81">
        <w:t>appreciated</w:t>
      </w:r>
      <w:r w:rsidR="00EB4545" w:rsidRPr="00554C81">
        <w:t xml:space="preserve"> that</w:t>
      </w:r>
      <w:r w:rsidR="00794A0D" w:rsidRPr="00554C81">
        <w:t xml:space="preserve"> this option </w:t>
      </w:r>
      <w:r w:rsidR="00EB4545" w:rsidRPr="00554C81">
        <w:t xml:space="preserve">clarified the need for air monitoring, </w:t>
      </w:r>
      <w:r w:rsidR="008E18C3" w:rsidRPr="00554C81">
        <w:t>with one</w:t>
      </w:r>
      <w:r w:rsidR="00BE47D1" w:rsidRPr="00554C81">
        <w:t xml:space="preserve"> union </w:t>
      </w:r>
      <w:r w:rsidR="00B22B03" w:rsidRPr="00554C81">
        <w:t xml:space="preserve">reporting that </w:t>
      </w:r>
      <w:r w:rsidR="00C27C91" w:rsidRPr="00554C81">
        <w:t>only 31</w:t>
      </w:r>
      <w:r w:rsidR="00EB4545" w:rsidRPr="00554C81">
        <w:t>% of members</w:t>
      </w:r>
      <w:r w:rsidR="00C27C91" w:rsidRPr="00554C81">
        <w:t xml:space="preserve"> reported their workplace </w:t>
      </w:r>
      <w:r w:rsidR="008E18C3" w:rsidRPr="00554C81">
        <w:t>undertakes</w:t>
      </w:r>
      <w:r w:rsidR="00C27C91" w:rsidRPr="00554C81">
        <w:t xml:space="preserve"> air monitoring to determine the airborne concentration of silica</w:t>
      </w:r>
      <w:r w:rsidR="00EB4545" w:rsidRPr="00554C81">
        <w:t>.</w:t>
      </w:r>
      <w:r w:rsidR="00B22B03" w:rsidRPr="00554C81">
        <w:t xml:space="preserve"> Unions </w:t>
      </w:r>
      <w:r w:rsidR="00EA7B33" w:rsidRPr="00554C81">
        <w:t xml:space="preserve">raise that </w:t>
      </w:r>
      <w:r w:rsidR="00B22B03" w:rsidRPr="00554C81">
        <w:t xml:space="preserve">the outcome of a </w:t>
      </w:r>
      <w:r w:rsidR="00EA7B33" w:rsidRPr="00554C81">
        <w:t>lack of c</w:t>
      </w:r>
      <w:r w:rsidR="00C10796" w:rsidRPr="00554C81">
        <w:t>l</w:t>
      </w:r>
      <w:r w:rsidR="00EA7B33" w:rsidRPr="00554C81">
        <w:t xml:space="preserve">arity </w:t>
      </w:r>
      <w:r w:rsidR="00B22B03" w:rsidRPr="00554C81">
        <w:t xml:space="preserve">regarding </w:t>
      </w:r>
      <w:r w:rsidR="00EA7B33" w:rsidRPr="00554C81">
        <w:t xml:space="preserve">air and health monitoring requirements </w:t>
      </w:r>
      <w:r w:rsidR="00B22B03" w:rsidRPr="00554C81">
        <w:t xml:space="preserve">is </w:t>
      </w:r>
      <w:r w:rsidR="001E4F29" w:rsidRPr="00554C81">
        <w:t>workers becoming ill before there is an identification of</w:t>
      </w:r>
      <w:r w:rsidR="00EA7B33" w:rsidRPr="00554C81">
        <w:t xml:space="preserve"> WHS system</w:t>
      </w:r>
      <w:r w:rsidR="001E4F29" w:rsidRPr="00554C81">
        <w:t xml:space="preserve"> failures</w:t>
      </w:r>
      <w:r w:rsidR="00EA7B33" w:rsidRPr="00554C81">
        <w:t xml:space="preserve">. </w:t>
      </w:r>
    </w:p>
    <w:p w14:paraId="1D669AB5" w14:textId="538B1A03" w:rsidR="00467296" w:rsidRPr="00554C81" w:rsidRDefault="007505EF" w:rsidP="00554C81">
      <w:pPr>
        <w:pStyle w:val="BodyText"/>
      </w:pPr>
      <w:r w:rsidRPr="00554C81">
        <w:t xml:space="preserve">Option 5 has been refined in the </w:t>
      </w:r>
      <w:r w:rsidR="0054756F">
        <w:t>DRIS</w:t>
      </w:r>
      <w:r w:rsidRPr="00554C81">
        <w:t xml:space="preserve"> to </w:t>
      </w:r>
      <w:r w:rsidR="007C6FD2" w:rsidRPr="00554C81">
        <w:t xml:space="preserve">only require the reporting of WES exceedances, rather than all air monitoring data. Similarly, only adverse health outcomes would be required to be reported, in line with existing requirements. Given the feedback on the </w:t>
      </w:r>
      <w:r w:rsidR="001F4BAA" w:rsidRPr="00554C81">
        <w:t xml:space="preserve">proposed </w:t>
      </w:r>
      <w:r w:rsidR="007C6FD2" w:rsidRPr="00554C81">
        <w:t xml:space="preserve">definitions, further </w:t>
      </w:r>
      <w:r w:rsidR="00416E67" w:rsidRPr="00554C81">
        <w:t xml:space="preserve">refinement, in consultation with stakeholders, may be required prior to finalising the amendment model WHS Regulations.  </w:t>
      </w:r>
      <w:r w:rsidR="007C6FD2" w:rsidRPr="00554C81">
        <w:t xml:space="preserve"> </w:t>
      </w:r>
    </w:p>
    <w:p w14:paraId="3656F722" w14:textId="25ED15EB" w:rsidR="00F23EA8" w:rsidRPr="001330CE" w:rsidRDefault="00D638E9" w:rsidP="001330CE">
      <w:pPr>
        <w:pStyle w:val="Heading3"/>
      </w:pPr>
      <w:r w:rsidRPr="001330CE">
        <w:t xml:space="preserve">New option introduced </w:t>
      </w:r>
      <w:r>
        <w:t>in response to consultation</w:t>
      </w:r>
      <w:r w:rsidRPr="001330CE">
        <w:t xml:space="preserve"> – Prohibition on use of engineered stone. </w:t>
      </w:r>
    </w:p>
    <w:p w14:paraId="700DEE2F" w14:textId="33F08DA0" w:rsidR="002E6797" w:rsidRDefault="00E1604F" w:rsidP="002E6797">
      <w:pPr>
        <w:pStyle w:val="BodyText"/>
      </w:pPr>
      <w:r>
        <w:t xml:space="preserve">As a result of the consultation process, a new option has been included in this </w:t>
      </w:r>
      <w:r w:rsidR="0054756F">
        <w:t>DRIS</w:t>
      </w:r>
      <w:r>
        <w:t xml:space="preserve"> for consideration by WHS </w:t>
      </w:r>
      <w:r w:rsidR="00F11539">
        <w:t>ministers</w:t>
      </w:r>
      <w:r w:rsidR="00674551">
        <w:t xml:space="preserve"> (see Section </w:t>
      </w:r>
      <w:r w:rsidR="005900EB">
        <w:fldChar w:fldCharType="begin"/>
      </w:r>
      <w:r w:rsidR="005900EB">
        <w:instrText xml:space="preserve"> REF _Ref125102348 \r \h </w:instrText>
      </w:r>
      <w:r w:rsidR="005900EB">
        <w:fldChar w:fldCharType="separate"/>
      </w:r>
      <w:r w:rsidR="005900EB">
        <w:t>4.8</w:t>
      </w:r>
      <w:r w:rsidR="005900EB">
        <w:fldChar w:fldCharType="end"/>
      </w:r>
      <w:r w:rsidR="00674551">
        <w:t>)</w:t>
      </w:r>
      <w:r>
        <w:t xml:space="preserve">. </w:t>
      </w:r>
      <w:r w:rsidR="00CA1A68">
        <w:t xml:space="preserve">  Unions, peak health bodies, </w:t>
      </w:r>
      <w:r w:rsidR="009A0673">
        <w:t xml:space="preserve">and </w:t>
      </w:r>
      <w:r w:rsidR="0036190B">
        <w:t xml:space="preserve">professional organisations called for a </w:t>
      </w:r>
      <w:r w:rsidR="004C492E">
        <w:t>prohibition on the use of engineered stone</w:t>
      </w:r>
      <w:r w:rsidR="00E85A06">
        <w:t xml:space="preserve">, stating that a </w:t>
      </w:r>
      <w:r w:rsidR="008F12A6">
        <w:t xml:space="preserve">ban on engineered stone would be consistent with the </w:t>
      </w:r>
      <w:r w:rsidR="00EF3235">
        <w:t>application of the h</w:t>
      </w:r>
      <w:r w:rsidR="008F12A6">
        <w:t xml:space="preserve">ierarchy of </w:t>
      </w:r>
      <w:r w:rsidR="00EF3235">
        <w:t>c</w:t>
      </w:r>
      <w:r w:rsidR="008F12A6">
        <w:t>ontrols</w:t>
      </w:r>
      <w:r w:rsidR="00BB08F4">
        <w:t xml:space="preserve">. </w:t>
      </w:r>
    </w:p>
    <w:p w14:paraId="1A8AE50D" w14:textId="617C13BC" w:rsidR="00676B11" w:rsidRDefault="00676B11" w:rsidP="002E6797">
      <w:pPr>
        <w:pStyle w:val="Heading3"/>
      </w:pPr>
      <w:r>
        <w:t>Stakeholder feedback that will inform future considerations</w:t>
      </w:r>
    </w:p>
    <w:p w14:paraId="5D81F40B" w14:textId="10F9B35A" w:rsidR="00676B11" w:rsidRPr="004204F8" w:rsidRDefault="00676B11" w:rsidP="004204F8">
      <w:pPr>
        <w:pStyle w:val="BodyText"/>
      </w:pPr>
      <w:r w:rsidRPr="004204F8">
        <w:t>A small number of submissions</w:t>
      </w:r>
      <w:r w:rsidR="002A348F" w:rsidRPr="004204F8">
        <w:t xml:space="preserve"> from a diverse range of stakeholders</w:t>
      </w:r>
      <w:r w:rsidRPr="004204F8">
        <w:t xml:space="preserve"> commented on the need for low dose </w:t>
      </w:r>
      <w:r w:rsidR="000A22D1">
        <w:t>high resolution computed tomography (</w:t>
      </w:r>
      <w:r w:rsidRPr="004204F8">
        <w:t>HRCT</w:t>
      </w:r>
      <w:r w:rsidR="000A22D1">
        <w:t>)</w:t>
      </w:r>
      <w:r w:rsidRPr="004204F8">
        <w:t xml:space="preserve"> scans to replace chest X-rays as the minimum regulatory requirement for health monitoring in the model WHS </w:t>
      </w:r>
      <w:r w:rsidR="00B323E0" w:rsidRPr="004204F8">
        <w:t>R</w:t>
      </w:r>
      <w:r w:rsidRPr="004204F8">
        <w:t xml:space="preserve">egulations. This is on the basis that HRCT is a more contemporary methodology with greater diagnostic ability in the earlier stages of </w:t>
      </w:r>
      <w:r w:rsidR="00B323E0" w:rsidRPr="004204F8">
        <w:t xml:space="preserve">silicosis </w:t>
      </w:r>
      <w:r w:rsidRPr="004204F8">
        <w:t>disease. Other submissions urge caution in adopting HRCT as even low dose HRCT still exposes workers to several times the radiation of a chest X-ray. The current model WHS Regulations prescribe chest X-ray as a minimum but allow for another type of health monitoring where the registered medical practitioner</w:t>
      </w:r>
      <w:r w:rsidR="00A60DF3" w:rsidRPr="004204F8">
        <w:t xml:space="preserve"> conducting the health monitoring</w:t>
      </w:r>
      <w:r w:rsidRPr="004204F8">
        <w:t xml:space="preserve"> considers it is equal or better. Increasing the minimum requirement to a HRCT would remove a medical practitioner’s ability to </w:t>
      </w:r>
      <w:r w:rsidRPr="004204F8">
        <w:lastRenderedPageBreak/>
        <w:t>determine the most appropriate method, including in circumstances where chest X-rays are more accessible or appropriate.</w:t>
      </w:r>
    </w:p>
    <w:p w14:paraId="60D4425F" w14:textId="07F0D723" w:rsidR="00D17D26" w:rsidRPr="0037149B" w:rsidRDefault="00676B11" w:rsidP="00234FEF">
      <w:pPr>
        <w:pStyle w:val="BodyText"/>
      </w:pPr>
      <w:r w:rsidRPr="004204F8">
        <w:t xml:space="preserve">There were also several submissions from unions, </w:t>
      </w:r>
      <w:r w:rsidR="002A348F" w:rsidRPr="004204F8">
        <w:t xml:space="preserve">and industry groups in support of </w:t>
      </w:r>
      <w:r w:rsidRPr="004204F8">
        <w:t xml:space="preserve">mandatory silica awareness training. </w:t>
      </w:r>
      <w:r w:rsidR="0074357B" w:rsidRPr="004204F8">
        <w:t xml:space="preserve">If preferred, </w:t>
      </w:r>
      <w:r w:rsidR="00554871" w:rsidRPr="004204F8">
        <w:t>Option 5a would include a requirement</w:t>
      </w:r>
      <w:r w:rsidR="00723E06" w:rsidRPr="004204F8">
        <w:t xml:space="preserve"> for PCBUs</w:t>
      </w:r>
      <w:r w:rsidR="00554871" w:rsidRPr="004204F8">
        <w:t xml:space="preserve"> to provide </w:t>
      </w:r>
      <w:r w:rsidR="000B5642" w:rsidRPr="004204F8">
        <w:t>instruction, information and training about the health risks associated with exposure to crystalline silica dust, the need for appropriate controls, and application of controls</w:t>
      </w:r>
      <w:r w:rsidR="00723E06" w:rsidRPr="004204F8">
        <w:t xml:space="preserve">. However, </w:t>
      </w:r>
      <w:r w:rsidR="008C2939" w:rsidRPr="004204F8">
        <w:t xml:space="preserve">future consideration can be given to </w:t>
      </w:r>
      <w:r w:rsidR="00182D00" w:rsidRPr="004204F8">
        <w:t>a</w:t>
      </w:r>
      <w:r w:rsidR="0074357B" w:rsidRPr="004204F8">
        <w:t>ny addition</w:t>
      </w:r>
      <w:r w:rsidR="004204F8" w:rsidRPr="004204F8">
        <w:t>al</w:t>
      </w:r>
      <w:r w:rsidR="0074357B" w:rsidRPr="004204F8">
        <w:t xml:space="preserve"> training </w:t>
      </w:r>
      <w:r w:rsidR="008C2939" w:rsidRPr="004204F8">
        <w:t>requirement</w:t>
      </w:r>
      <w:r w:rsidR="0074357B" w:rsidRPr="004204F8">
        <w:t>s that may be required</w:t>
      </w:r>
      <w:r w:rsidR="00A0718A" w:rsidRPr="004204F8">
        <w:t>.</w:t>
      </w:r>
      <w:r w:rsidR="00182D00" w:rsidRPr="004204F8">
        <w:t xml:space="preserve"> </w:t>
      </w:r>
      <w:bookmarkStart w:id="695" w:name="_Hlk124507366"/>
    </w:p>
    <w:bookmarkEnd w:id="695"/>
    <w:p w14:paraId="7F5F5504" w14:textId="77777777" w:rsidR="00C711D5" w:rsidRDefault="00C711D5">
      <w:pPr>
        <w:rPr>
          <w:rFonts w:asciiTheme="majorHAnsi" w:hAnsiTheme="majorHAnsi"/>
          <w:b/>
          <w:color w:val="014463" w:themeColor="text2"/>
          <w:sz w:val="60"/>
          <w:szCs w:val="60"/>
        </w:rPr>
      </w:pPr>
      <w:r>
        <w:br w:type="page"/>
      </w:r>
    </w:p>
    <w:p w14:paraId="6D7B0600" w14:textId="42B6F199" w:rsidR="008A1D1F" w:rsidRDefault="007B0FAF" w:rsidP="00E0510C">
      <w:pPr>
        <w:pStyle w:val="Heading1"/>
      </w:pPr>
      <w:bookmarkStart w:id="696" w:name="_Toc126573237"/>
      <w:r>
        <w:lastRenderedPageBreak/>
        <w:t>What is the best</w:t>
      </w:r>
      <w:r w:rsidR="000E0FD1">
        <w:t xml:space="preserve"> option</w:t>
      </w:r>
      <w:r w:rsidR="0059608B">
        <w:t xml:space="preserve"> or combination of options</w:t>
      </w:r>
      <w:r>
        <w:t>?</w:t>
      </w:r>
      <w:bookmarkEnd w:id="696"/>
    </w:p>
    <w:p w14:paraId="20590738" w14:textId="15BEA7B0" w:rsidR="00427F7A" w:rsidRPr="00427F7A" w:rsidRDefault="006F12DF" w:rsidP="003A3B2B">
      <w:pPr>
        <w:pStyle w:val="Heading2"/>
      </w:pPr>
      <w:bookmarkStart w:id="697" w:name="_Toc126573238"/>
      <w:r>
        <w:t>Recommendation:</w:t>
      </w:r>
      <w:bookmarkEnd w:id="697"/>
    </w:p>
    <w:p w14:paraId="0BFA17DB" w14:textId="7008B4B1" w:rsidR="009B0091" w:rsidRDefault="009B0091" w:rsidP="009B0091">
      <w:pPr>
        <w:pStyle w:val="EmphasisPanelHeading"/>
        <w:rPr>
          <w:lang w:eastAsia="en-AU"/>
        </w:rPr>
      </w:pPr>
      <w:r>
        <w:rPr>
          <w:lang w:eastAsia="en-AU"/>
        </w:rPr>
        <w:t>Recommended options</w:t>
      </w:r>
    </w:p>
    <w:p w14:paraId="5AC8CC36" w14:textId="28AC42D0" w:rsidR="00535B59" w:rsidRDefault="00427F7A" w:rsidP="009B0091">
      <w:pPr>
        <w:pStyle w:val="EmphasisPanelBody"/>
        <w:rPr>
          <w:lang w:eastAsia="en-AU"/>
        </w:rPr>
      </w:pPr>
      <w:r w:rsidRPr="00804B5B">
        <w:rPr>
          <w:lang w:eastAsia="en-AU"/>
        </w:rPr>
        <w:t xml:space="preserve">On the basis of this </w:t>
      </w:r>
      <w:r w:rsidR="0054756F">
        <w:rPr>
          <w:lang w:eastAsia="en-AU"/>
        </w:rPr>
        <w:t>DRIS</w:t>
      </w:r>
      <w:r w:rsidR="00511125">
        <w:rPr>
          <w:lang w:eastAsia="en-AU"/>
        </w:rPr>
        <w:t xml:space="preserve"> and stakeholder feedback</w:t>
      </w:r>
      <w:r w:rsidRPr="00804B5B">
        <w:rPr>
          <w:lang w:eastAsia="en-AU"/>
        </w:rPr>
        <w:t xml:space="preserve">, it is recommended that </w:t>
      </w:r>
      <w:r w:rsidR="00511125">
        <w:rPr>
          <w:lang w:eastAsia="en-AU"/>
        </w:rPr>
        <w:t xml:space="preserve">WHS </w:t>
      </w:r>
      <w:r w:rsidRPr="00804B5B">
        <w:rPr>
          <w:lang w:eastAsia="en-AU"/>
        </w:rPr>
        <w:t>ministers agree to</w:t>
      </w:r>
      <w:r w:rsidR="00535B59">
        <w:rPr>
          <w:lang w:eastAsia="en-AU"/>
        </w:rPr>
        <w:t>:</w:t>
      </w:r>
      <w:r w:rsidRPr="00804B5B">
        <w:rPr>
          <w:lang w:eastAsia="en-AU"/>
        </w:rPr>
        <w:t xml:space="preserve"> </w:t>
      </w:r>
    </w:p>
    <w:p w14:paraId="3A07A29C" w14:textId="5037A680" w:rsidR="00535B59" w:rsidRDefault="003874B7" w:rsidP="00F049CF">
      <w:pPr>
        <w:pStyle w:val="EmphasisPanelBody"/>
        <w:numPr>
          <w:ilvl w:val="0"/>
          <w:numId w:val="43"/>
        </w:numPr>
        <w:rPr>
          <w:lang w:eastAsia="en-AU"/>
        </w:rPr>
      </w:pPr>
      <w:r>
        <w:rPr>
          <w:lang w:eastAsia="en-AU"/>
        </w:rPr>
        <w:t xml:space="preserve">national awareness and </w:t>
      </w:r>
      <w:r w:rsidR="00535B59">
        <w:rPr>
          <w:lang w:eastAsia="en-AU"/>
        </w:rPr>
        <w:t xml:space="preserve">behaviour change </w:t>
      </w:r>
      <w:r>
        <w:rPr>
          <w:lang w:eastAsia="en-AU"/>
        </w:rPr>
        <w:t>initiatives</w:t>
      </w:r>
      <w:r w:rsidR="00535B59">
        <w:rPr>
          <w:lang w:eastAsia="en-AU"/>
        </w:rPr>
        <w:t xml:space="preserve"> (option 2)</w:t>
      </w:r>
    </w:p>
    <w:p w14:paraId="7EF778B6" w14:textId="7BFEE444" w:rsidR="00535B59" w:rsidRDefault="00535B59" w:rsidP="00F049CF">
      <w:pPr>
        <w:pStyle w:val="EmphasisPanelBody"/>
        <w:numPr>
          <w:ilvl w:val="0"/>
          <w:numId w:val="43"/>
        </w:numPr>
        <w:rPr>
          <w:lang w:eastAsia="en-AU"/>
        </w:rPr>
      </w:pPr>
      <w:r>
        <w:rPr>
          <w:lang w:eastAsia="en-AU"/>
        </w:rPr>
        <w:t>additional regulation of high-risk crystalline silica processes for all silica-containing materials (option 5a), and</w:t>
      </w:r>
    </w:p>
    <w:p w14:paraId="74090410" w14:textId="43B019FD" w:rsidR="00535B59" w:rsidRDefault="00535B59" w:rsidP="00F049CF">
      <w:pPr>
        <w:pStyle w:val="EmphasisPanelBody"/>
        <w:numPr>
          <w:ilvl w:val="0"/>
          <w:numId w:val="43"/>
        </w:numPr>
        <w:rPr>
          <w:lang w:eastAsia="en-AU"/>
        </w:rPr>
      </w:pPr>
      <w:r>
        <w:rPr>
          <w:lang w:eastAsia="en-AU"/>
        </w:rPr>
        <w:t>further analysis and consultation on the impacts of a prohibition on the use of engineered stone</w:t>
      </w:r>
      <w:r w:rsidR="00F049CF">
        <w:rPr>
          <w:lang w:eastAsia="en-AU"/>
        </w:rPr>
        <w:t>.</w:t>
      </w:r>
      <w:r>
        <w:rPr>
          <w:lang w:eastAsia="en-AU"/>
        </w:rPr>
        <w:t xml:space="preserve"> </w:t>
      </w:r>
    </w:p>
    <w:p w14:paraId="3F753D87" w14:textId="53374688" w:rsidR="00890004" w:rsidRPr="00F37013" w:rsidRDefault="00890004" w:rsidP="00535B59">
      <w:pPr>
        <w:pStyle w:val="BodyText"/>
        <w:rPr>
          <w:lang w:eastAsia="en-AU"/>
        </w:rPr>
      </w:pPr>
      <w:r>
        <w:rPr>
          <w:lang w:eastAsia="en-AU"/>
        </w:rPr>
        <w:t>All options were considered in the context of consultation feedback, impact analysis, and ability to meet the objective of reducing exposure to RCS at work.</w:t>
      </w:r>
    </w:p>
    <w:p w14:paraId="69292D51" w14:textId="53351F39" w:rsidR="00625D49" w:rsidRDefault="00625D49" w:rsidP="00234FEF">
      <w:pPr>
        <w:pStyle w:val="BodyText"/>
        <w:rPr>
          <w:lang w:eastAsia="en-AU"/>
        </w:rPr>
      </w:pPr>
      <w:r w:rsidRPr="00427F7A">
        <w:rPr>
          <w:lang w:eastAsia="en-AU"/>
        </w:rPr>
        <w:t>Consultation on managing the risks of crystalline silica at work showed that there was clear support for government action. Stakeholders agreed that there is a strong need to ensure that any action is protective of all workers who are exposed to RCS, and not limited to the engineered stone sector.</w:t>
      </w:r>
      <w:r>
        <w:rPr>
          <w:lang w:eastAsia="en-AU"/>
        </w:rPr>
        <w:t xml:space="preserve"> </w:t>
      </w:r>
    </w:p>
    <w:p w14:paraId="5B845288" w14:textId="7C43C82C" w:rsidR="00200CAF" w:rsidRDefault="000D0260" w:rsidP="00234FEF">
      <w:pPr>
        <w:pStyle w:val="BodyText"/>
        <w:rPr>
          <w:lang w:eastAsia="en-AU"/>
        </w:rPr>
      </w:pPr>
      <w:r>
        <w:rPr>
          <w:lang w:eastAsia="en-AU"/>
        </w:rPr>
        <w:t xml:space="preserve">There was support from all </w:t>
      </w:r>
      <w:r w:rsidR="004E19CE">
        <w:rPr>
          <w:lang w:eastAsia="en-AU"/>
        </w:rPr>
        <w:t xml:space="preserve">stakeholder groups </w:t>
      </w:r>
      <w:r>
        <w:rPr>
          <w:lang w:eastAsia="en-AU"/>
        </w:rPr>
        <w:t xml:space="preserve">to undertake awareness and behaviour </w:t>
      </w:r>
      <w:r w:rsidR="00AD7BD3">
        <w:rPr>
          <w:lang w:eastAsia="en-AU"/>
        </w:rPr>
        <w:t xml:space="preserve">change </w:t>
      </w:r>
      <w:r w:rsidR="00D202A4">
        <w:rPr>
          <w:lang w:eastAsia="en-AU"/>
        </w:rPr>
        <w:t>initiatives</w:t>
      </w:r>
      <w:r w:rsidR="00804B5B">
        <w:rPr>
          <w:lang w:eastAsia="en-AU"/>
        </w:rPr>
        <w:t>,</w:t>
      </w:r>
      <w:r>
        <w:rPr>
          <w:lang w:eastAsia="en-AU"/>
        </w:rPr>
        <w:t xml:space="preserve"> in combination with regulatory </w:t>
      </w:r>
      <w:r w:rsidR="00AC5A5D">
        <w:rPr>
          <w:lang w:eastAsia="en-AU"/>
        </w:rPr>
        <w:t>change</w:t>
      </w:r>
      <w:r>
        <w:rPr>
          <w:lang w:eastAsia="en-AU"/>
        </w:rPr>
        <w:t xml:space="preserve">. </w:t>
      </w:r>
      <w:r w:rsidR="00200CAF">
        <w:rPr>
          <w:lang w:eastAsia="en-AU"/>
        </w:rPr>
        <w:t xml:space="preserve">Option 5a </w:t>
      </w:r>
      <w:r w:rsidR="00D81907">
        <w:rPr>
          <w:lang w:eastAsia="en-AU"/>
        </w:rPr>
        <w:t xml:space="preserve">as presented in this </w:t>
      </w:r>
      <w:r w:rsidR="0054756F">
        <w:rPr>
          <w:lang w:eastAsia="en-AU"/>
        </w:rPr>
        <w:t>DRIS</w:t>
      </w:r>
      <w:r w:rsidR="0039379A">
        <w:rPr>
          <w:lang w:eastAsia="en-AU"/>
        </w:rPr>
        <w:t xml:space="preserve"> </w:t>
      </w:r>
      <w:r w:rsidR="00202834">
        <w:rPr>
          <w:lang w:eastAsia="en-AU"/>
        </w:rPr>
        <w:t xml:space="preserve">would </w:t>
      </w:r>
      <w:r w:rsidR="00890004">
        <w:rPr>
          <w:lang w:eastAsia="en-AU"/>
        </w:rPr>
        <w:t xml:space="preserve">achieve the objective to reduce </w:t>
      </w:r>
      <w:r w:rsidR="00224894">
        <w:rPr>
          <w:lang w:eastAsia="en-AU"/>
        </w:rPr>
        <w:t xml:space="preserve">exposure to RCS </w:t>
      </w:r>
      <w:r w:rsidR="008563A1">
        <w:rPr>
          <w:lang w:eastAsia="en-AU"/>
        </w:rPr>
        <w:t>through</w:t>
      </w:r>
      <w:r w:rsidR="00200CAF">
        <w:rPr>
          <w:lang w:eastAsia="en-AU"/>
        </w:rPr>
        <w:t>:</w:t>
      </w:r>
    </w:p>
    <w:p w14:paraId="0403CAC8" w14:textId="424C89F0" w:rsidR="00B93268" w:rsidRDefault="00B93268" w:rsidP="008B35E0">
      <w:pPr>
        <w:pStyle w:val="ListBullet"/>
        <w:rPr>
          <w:lang w:eastAsia="en-AU"/>
        </w:rPr>
      </w:pPr>
      <w:r>
        <w:rPr>
          <w:lang w:eastAsia="en-AU"/>
        </w:rPr>
        <w:t>regulation of high risk crystalline silica processes for all crystalline silica materials, not just engineered stone</w:t>
      </w:r>
    </w:p>
    <w:p w14:paraId="1DC1D3BB" w14:textId="20058341" w:rsidR="00200CAF" w:rsidRDefault="006E1E0B" w:rsidP="008B35E0">
      <w:pPr>
        <w:pStyle w:val="ListBullet"/>
        <w:rPr>
          <w:lang w:eastAsia="en-AU"/>
        </w:rPr>
      </w:pPr>
      <w:r>
        <w:rPr>
          <w:lang w:eastAsia="en-AU"/>
        </w:rPr>
        <w:t>i</w:t>
      </w:r>
      <w:r w:rsidR="008563A1">
        <w:rPr>
          <w:lang w:eastAsia="en-AU"/>
        </w:rPr>
        <w:t xml:space="preserve">mproved PCBU awareness </w:t>
      </w:r>
      <w:r w:rsidR="00200CAF">
        <w:rPr>
          <w:lang w:eastAsia="en-AU"/>
        </w:rPr>
        <w:t xml:space="preserve">of their </w:t>
      </w:r>
      <w:r w:rsidR="00C7468E">
        <w:rPr>
          <w:lang w:eastAsia="en-AU"/>
        </w:rPr>
        <w:t xml:space="preserve">duties </w:t>
      </w:r>
      <w:r w:rsidR="00200CAF">
        <w:rPr>
          <w:lang w:eastAsia="en-AU"/>
        </w:rPr>
        <w:t>under the</w:t>
      </w:r>
      <w:r w:rsidR="006F293C">
        <w:rPr>
          <w:lang w:eastAsia="en-AU"/>
        </w:rPr>
        <w:t xml:space="preserve"> model</w:t>
      </w:r>
      <w:r w:rsidR="00200CAF">
        <w:rPr>
          <w:lang w:eastAsia="en-AU"/>
        </w:rPr>
        <w:t xml:space="preserve"> WHS</w:t>
      </w:r>
      <w:r w:rsidR="006F293C">
        <w:rPr>
          <w:lang w:eastAsia="en-AU"/>
        </w:rPr>
        <w:t xml:space="preserve"> legislative</w:t>
      </w:r>
      <w:r w:rsidR="00200CAF">
        <w:rPr>
          <w:lang w:eastAsia="en-AU"/>
        </w:rPr>
        <w:t xml:space="preserve"> framework</w:t>
      </w:r>
      <w:r w:rsidR="002C5E63">
        <w:rPr>
          <w:lang w:eastAsia="en-AU"/>
        </w:rPr>
        <w:t xml:space="preserve">, including requirements to undertake air </w:t>
      </w:r>
      <w:r w:rsidR="00890004">
        <w:rPr>
          <w:lang w:eastAsia="en-AU"/>
        </w:rPr>
        <w:t xml:space="preserve">monitoring </w:t>
      </w:r>
      <w:r w:rsidR="002C5E63">
        <w:rPr>
          <w:lang w:eastAsia="en-AU"/>
        </w:rPr>
        <w:t>and</w:t>
      </w:r>
      <w:r w:rsidR="00890004">
        <w:rPr>
          <w:lang w:eastAsia="en-AU"/>
        </w:rPr>
        <w:t xml:space="preserve"> provide</w:t>
      </w:r>
      <w:r w:rsidR="002C5E63">
        <w:rPr>
          <w:lang w:eastAsia="en-AU"/>
        </w:rPr>
        <w:t xml:space="preserve"> health monitoring</w:t>
      </w:r>
      <w:r w:rsidR="003F22A5">
        <w:rPr>
          <w:lang w:eastAsia="en-AU"/>
        </w:rPr>
        <w:t xml:space="preserve"> and training</w:t>
      </w:r>
      <w:r w:rsidR="00890004">
        <w:rPr>
          <w:lang w:eastAsia="en-AU"/>
        </w:rPr>
        <w:t xml:space="preserve"> to workers</w:t>
      </w:r>
      <w:r w:rsidR="00B93268">
        <w:rPr>
          <w:lang w:eastAsia="en-AU"/>
        </w:rPr>
        <w:t>, and</w:t>
      </w:r>
      <w:r w:rsidR="00344865">
        <w:rPr>
          <w:lang w:eastAsia="en-AU"/>
        </w:rPr>
        <w:t xml:space="preserve"> </w:t>
      </w:r>
    </w:p>
    <w:p w14:paraId="6FFA34D4" w14:textId="7CA2ACA2" w:rsidR="002B47A5" w:rsidRDefault="006E1E0B" w:rsidP="008B35E0">
      <w:pPr>
        <w:pStyle w:val="ListBullet"/>
        <w:rPr>
          <w:lang w:eastAsia="en-AU"/>
        </w:rPr>
      </w:pPr>
      <w:r>
        <w:rPr>
          <w:lang w:eastAsia="en-AU"/>
        </w:rPr>
        <w:t>i</w:t>
      </w:r>
      <w:r w:rsidR="00890004">
        <w:rPr>
          <w:lang w:eastAsia="en-AU"/>
        </w:rPr>
        <w:t>mplementation of appropriate</w:t>
      </w:r>
      <w:r w:rsidR="00F26B16">
        <w:rPr>
          <w:lang w:eastAsia="en-AU"/>
        </w:rPr>
        <w:t xml:space="preserve"> risk control</w:t>
      </w:r>
      <w:r w:rsidR="00890004">
        <w:rPr>
          <w:lang w:eastAsia="en-AU"/>
        </w:rPr>
        <w:t xml:space="preserve"> measure</w:t>
      </w:r>
      <w:r w:rsidR="00F26B16">
        <w:rPr>
          <w:lang w:eastAsia="en-AU"/>
        </w:rPr>
        <w:t xml:space="preserve">s </w:t>
      </w:r>
      <w:r w:rsidR="00A45C92">
        <w:rPr>
          <w:lang w:eastAsia="en-AU"/>
        </w:rPr>
        <w:t xml:space="preserve">through </w:t>
      </w:r>
      <w:r w:rsidR="002C5E63">
        <w:rPr>
          <w:lang w:eastAsia="en-AU"/>
        </w:rPr>
        <w:t>development and i</w:t>
      </w:r>
      <w:r w:rsidR="001D2076">
        <w:rPr>
          <w:lang w:eastAsia="en-AU"/>
        </w:rPr>
        <w:t xml:space="preserve">mplementation of </w:t>
      </w:r>
      <w:r w:rsidR="00B93268">
        <w:rPr>
          <w:lang w:eastAsia="en-AU"/>
        </w:rPr>
        <w:t xml:space="preserve">silica </w:t>
      </w:r>
      <w:r w:rsidR="00C7468E">
        <w:rPr>
          <w:lang w:eastAsia="en-AU"/>
        </w:rPr>
        <w:t>risk control plans</w:t>
      </w:r>
      <w:r w:rsidR="00890004">
        <w:rPr>
          <w:lang w:eastAsia="en-AU"/>
        </w:rPr>
        <w:t>.</w:t>
      </w:r>
    </w:p>
    <w:p w14:paraId="3DC80EAE" w14:textId="4E33C60E" w:rsidR="00427F7A" w:rsidRDefault="00543BFE" w:rsidP="003A3B2B">
      <w:pPr>
        <w:pStyle w:val="Heading2"/>
      </w:pPr>
      <w:bookmarkStart w:id="698" w:name="_Toc126573239"/>
      <w:r>
        <w:t>Why are other options not preferred?</w:t>
      </w:r>
      <w:bookmarkEnd w:id="698"/>
    </w:p>
    <w:p w14:paraId="776649EC" w14:textId="1E289AC1" w:rsidR="00CF2E7D" w:rsidRPr="00427F7A" w:rsidRDefault="00CF2E7D" w:rsidP="00CF2E7D">
      <w:pPr>
        <w:pStyle w:val="Heading3"/>
        <w:rPr>
          <w:lang w:eastAsia="en-AU"/>
        </w:rPr>
      </w:pPr>
      <w:r w:rsidRPr="00427F7A">
        <w:rPr>
          <w:lang w:eastAsia="en-AU"/>
        </w:rPr>
        <w:t>Option 1:</w:t>
      </w:r>
      <w:r w:rsidR="00FF6D3F">
        <w:rPr>
          <w:lang w:eastAsia="en-AU"/>
        </w:rPr>
        <w:t xml:space="preserve"> Base case</w:t>
      </w:r>
    </w:p>
    <w:p w14:paraId="2A2EE376" w14:textId="3F055E4D" w:rsidR="00CF2E7D" w:rsidRPr="00427F7A" w:rsidRDefault="00CF2E7D" w:rsidP="00234FEF">
      <w:pPr>
        <w:pStyle w:val="BodyText"/>
        <w:rPr>
          <w:lang w:eastAsia="en-AU"/>
        </w:rPr>
      </w:pPr>
      <w:r w:rsidRPr="00427F7A">
        <w:rPr>
          <w:lang w:eastAsia="en-AU"/>
        </w:rPr>
        <w:t xml:space="preserve">There was very </w:t>
      </w:r>
      <w:r w:rsidRPr="009B0091">
        <w:t>little</w:t>
      </w:r>
      <w:r w:rsidRPr="00427F7A">
        <w:rPr>
          <w:lang w:eastAsia="en-AU"/>
        </w:rPr>
        <w:t xml:space="preserve"> support for </w:t>
      </w:r>
      <w:r w:rsidR="00C17434" w:rsidRPr="00427F7A">
        <w:rPr>
          <w:lang w:eastAsia="en-AU"/>
        </w:rPr>
        <w:t>maintaining</w:t>
      </w:r>
      <w:r w:rsidRPr="00427F7A">
        <w:rPr>
          <w:lang w:eastAsia="en-AU"/>
        </w:rPr>
        <w:t xml:space="preserve"> the status quo</w:t>
      </w:r>
      <w:r w:rsidR="00C17434">
        <w:rPr>
          <w:lang w:eastAsia="en-AU"/>
        </w:rPr>
        <w:t xml:space="preserve"> and a clear call for further government intervention to protect workers from exposure to RCS</w:t>
      </w:r>
      <w:r w:rsidRPr="00427F7A">
        <w:rPr>
          <w:lang w:eastAsia="en-AU"/>
        </w:rPr>
        <w:t xml:space="preserve">. </w:t>
      </w:r>
    </w:p>
    <w:p w14:paraId="3EE7EF58" w14:textId="457FA9AB" w:rsidR="00427F7A" w:rsidRPr="00427F7A" w:rsidRDefault="00427F7A" w:rsidP="00CF2E7D">
      <w:pPr>
        <w:pStyle w:val="Heading3"/>
        <w:rPr>
          <w:lang w:eastAsia="en-AU"/>
        </w:rPr>
      </w:pPr>
      <w:r w:rsidRPr="00427F7A">
        <w:rPr>
          <w:lang w:eastAsia="en-AU"/>
        </w:rPr>
        <w:lastRenderedPageBreak/>
        <w:t>Option 4:</w:t>
      </w:r>
      <w:r w:rsidR="00FF6D3F">
        <w:rPr>
          <w:lang w:eastAsia="en-AU"/>
        </w:rPr>
        <w:t xml:space="preserve"> Implementation </w:t>
      </w:r>
      <w:r w:rsidR="009B0091">
        <w:rPr>
          <w:lang w:eastAsia="en-AU"/>
        </w:rPr>
        <w:t>o</w:t>
      </w:r>
      <w:r w:rsidR="00FF6D3F">
        <w:rPr>
          <w:lang w:eastAsia="en-AU"/>
        </w:rPr>
        <w:t>f a national licensing framework for PCBUs working with engineered stone</w:t>
      </w:r>
    </w:p>
    <w:p w14:paraId="08236CFA" w14:textId="77777777" w:rsidR="00E72426" w:rsidRDefault="00427F7A" w:rsidP="00234FEF">
      <w:pPr>
        <w:pStyle w:val="BodyText"/>
      </w:pPr>
      <w:r w:rsidRPr="009B0091">
        <w:t xml:space="preserve">Implementation of a national licensing framework for PCBUs working with engineered stone is not </w:t>
      </w:r>
      <w:r w:rsidR="00B93268">
        <w:t>preferred</w:t>
      </w:r>
      <w:r w:rsidRPr="009B0091">
        <w:t xml:space="preserve">. </w:t>
      </w:r>
    </w:p>
    <w:p w14:paraId="03EBE7D1" w14:textId="38DE7062" w:rsidR="00E72426" w:rsidRDefault="00A53CAA" w:rsidP="00E72426">
      <w:pPr>
        <w:pStyle w:val="BodyText"/>
      </w:pPr>
      <w:r>
        <w:t xml:space="preserve">Stakeholder feedback was clear that action must not be limited to the engineered stone sector, but that all workers exposed to RCS be protected. </w:t>
      </w:r>
      <w:r w:rsidR="004C1C5E">
        <w:t>A</w:t>
      </w:r>
      <w:r w:rsidR="00DA2759">
        <w:t xml:space="preserve"> licensing framework would</w:t>
      </w:r>
      <w:r w:rsidR="00DA2759" w:rsidRPr="00DA2759">
        <w:rPr>
          <w:lang w:eastAsia="en-AU"/>
        </w:rPr>
        <w:t xml:space="preserve"> </w:t>
      </w:r>
      <w:r w:rsidR="00DA2759">
        <w:rPr>
          <w:lang w:eastAsia="en-AU"/>
        </w:rPr>
        <w:t>achieve the objective to reduce exposure to RCS</w:t>
      </w:r>
      <w:r>
        <w:rPr>
          <w:lang w:eastAsia="en-AU"/>
        </w:rPr>
        <w:t xml:space="preserve"> in engineered stone workers, however it would need to be </w:t>
      </w:r>
      <w:r>
        <w:t>implemented in partnership with Option 5b (</w:t>
      </w:r>
      <w:r w:rsidRPr="00B22383">
        <w:t>Regulation of high risk crystalline silica processes for all materials other than engineered stone</w:t>
      </w:r>
      <w:r>
        <w:t xml:space="preserve">) to ensure </w:t>
      </w:r>
      <w:r w:rsidR="00E271E9">
        <w:t>all workers exposed to RCS are protected</w:t>
      </w:r>
      <w:r>
        <w:t>.</w:t>
      </w:r>
      <w:r w:rsidR="00E3217C">
        <w:rPr>
          <w:lang w:eastAsia="en-AU"/>
        </w:rPr>
        <w:t xml:space="preserve">  </w:t>
      </w:r>
      <w:r w:rsidR="00DA2759">
        <w:t xml:space="preserve"> </w:t>
      </w:r>
      <w:r w:rsidR="00E3217C">
        <w:t>While a licensing scheme offers</w:t>
      </w:r>
      <w:r w:rsidR="00F8219A">
        <w:t xml:space="preserve"> additional benefit of </w:t>
      </w:r>
      <w:r w:rsidR="00427F7A" w:rsidRPr="009B0091">
        <w:t xml:space="preserve">increased awareness for </w:t>
      </w:r>
      <w:r w:rsidR="00DE04DE">
        <w:t xml:space="preserve">WHS </w:t>
      </w:r>
      <w:r w:rsidR="00427F7A" w:rsidRPr="009B0091">
        <w:t>regulators of those PCBUs working with engineered stone</w:t>
      </w:r>
      <w:r w:rsidR="00E3217C">
        <w:t xml:space="preserve">, </w:t>
      </w:r>
      <w:r w:rsidR="00DE04DE">
        <w:t>WHS r</w:t>
      </w:r>
      <w:r w:rsidR="00DE04DE" w:rsidRPr="009B0091">
        <w:t xml:space="preserve">egulators </w:t>
      </w:r>
      <w:r w:rsidR="00427F7A" w:rsidRPr="009B0091">
        <w:t xml:space="preserve">in most jurisdictions </w:t>
      </w:r>
      <w:r w:rsidR="0055689A">
        <w:t>are likely to already have</w:t>
      </w:r>
      <w:r w:rsidR="00427F7A" w:rsidRPr="009B0091">
        <w:t xml:space="preserve"> this information</w:t>
      </w:r>
      <w:r w:rsidR="00925552">
        <w:t xml:space="preserve"> through their education and compliance activities</w:t>
      </w:r>
      <w:r w:rsidR="00E46C5D">
        <w:t xml:space="preserve">. </w:t>
      </w:r>
      <w:r w:rsidR="00E3217C">
        <w:t>WHS regulators</w:t>
      </w:r>
      <w:r w:rsidR="00E46C5D">
        <w:t xml:space="preserve"> also</w:t>
      </w:r>
      <w:r w:rsidR="00925552">
        <w:t xml:space="preserve"> </w:t>
      </w:r>
      <w:r w:rsidR="0055689A">
        <w:t>stated in their feedback</w:t>
      </w:r>
      <w:r w:rsidR="00E46C5D">
        <w:t xml:space="preserve"> </w:t>
      </w:r>
      <w:r w:rsidR="00427F7A" w:rsidRPr="009B0091">
        <w:t>that the administrative burden of a licensing scheme would likely draw resources from other risk</w:t>
      </w:r>
      <w:r w:rsidR="00456B45">
        <w:t>-</w:t>
      </w:r>
      <w:r w:rsidR="00427F7A" w:rsidRPr="009B0091">
        <w:t xml:space="preserve">based compliance </w:t>
      </w:r>
      <w:r w:rsidR="00555C80" w:rsidRPr="009B0091">
        <w:t>activit</w:t>
      </w:r>
      <w:r w:rsidR="00555C80">
        <w:t>ies</w:t>
      </w:r>
      <w:r w:rsidR="00427F7A" w:rsidRPr="009B0091">
        <w:t xml:space="preserve">. </w:t>
      </w:r>
      <w:r w:rsidR="00E46C5D">
        <w:t xml:space="preserve">There would also be additional costs and </w:t>
      </w:r>
      <w:r w:rsidR="00427F7A" w:rsidRPr="009B0091">
        <w:t xml:space="preserve">significant administrative burden </w:t>
      </w:r>
      <w:r w:rsidR="00E46C5D">
        <w:t xml:space="preserve">to </w:t>
      </w:r>
      <w:r w:rsidR="00427F7A" w:rsidRPr="009B0091">
        <w:t xml:space="preserve">industry. </w:t>
      </w:r>
      <w:r w:rsidR="00720857">
        <w:t>T</w:t>
      </w:r>
      <w:r w:rsidR="00E72426">
        <w:t xml:space="preserve">he benefits of a licensing framework would </w:t>
      </w:r>
      <w:r w:rsidR="00720857">
        <w:t xml:space="preserve">not </w:t>
      </w:r>
      <w:r w:rsidR="00E72426">
        <w:t xml:space="preserve">outweigh the added administrative and financial burden on both business and government. </w:t>
      </w:r>
    </w:p>
    <w:p w14:paraId="0C28FA98" w14:textId="346D5D50" w:rsidR="00E72426" w:rsidRPr="00427F7A" w:rsidRDefault="00E72426" w:rsidP="00E72426">
      <w:pPr>
        <w:pStyle w:val="BodyText"/>
      </w:pPr>
      <w:r>
        <w:t xml:space="preserve">Some stakeholders also called for an interim licensing scheme to be introduced ahead of a future introduction on a prohibition on use of engineered stone. </w:t>
      </w:r>
      <w:r>
        <w:rPr>
          <w:rFonts w:ascii="Calibri" w:hAnsi="Calibri" w:cs="Calibri"/>
        </w:rPr>
        <w:t xml:space="preserve">However, the feasibility of a short-term interim licensing program, along with the </w:t>
      </w:r>
      <w:r w:rsidR="00C1178B">
        <w:rPr>
          <w:rFonts w:ascii="Calibri" w:hAnsi="Calibri" w:cs="Calibri"/>
        </w:rPr>
        <w:t>significant</w:t>
      </w:r>
      <w:r>
        <w:rPr>
          <w:rFonts w:ascii="Calibri" w:hAnsi="Calibri" w:cs="Calibri"/>
        </w:rPr>
        <w:t xml:space="preserve"> lead time associated with introducing licensing regulations means that this is not considered a feasible option.</w:t>
      </w:r>
    </w:p>
    <w:p w14:paraId="25DBC544" w14:textId="0D1DCEDF" w:rsidR="00427F7A" w:rsidRPr="00427F7A" w:rsidRDefault="00427F7A" w:rsidP="00CF2E7D">
      <w:pPr>
        <w:pStyle w:val="Heading3"/>
        <w:rPr>
          <w:lang w:eastAsia="en-AU"/>
        </w:rPr>
      </w:pPr>
      <w:r w:rsidRPr="00427F7A">
        <w:rPr>
          <w:lang w:eastAsia="en-AU"/>
        </w:rPr>
        <w:t xml:space="preserve">Option 6: </w:t>
      </w:r>
      <w:r w:rsidR="005873E1">
        <w:rPr>
          <w:lang w:eastAsia="en-AU"/>
        </w:rPr>
        <w:t>Prohibition on the use</w:t>
      </w:r>
      <w:r w:rsidR="00D567DB">
        <w:rPr>
          <w:lang w:eastAsia="en-AU"/>
        </w:rPr>
        <w:t xml:space="preserve"> of engineered stone</w:t>
      </w:r>
    </w:p>
    <w:p w14:paraId="4132F2AF" w14:textId="4C558CDE" w:rsidR="00F049CF" w:rsidRDefault="00427F7A" w:rsidP="00234FEF">
      <w:pPr>
        <w:pStyle w:val="BodyText"/>
      </w:pPr>
      <w:r w:rsidRPr="009B0091">
        <w:t xml:space="preserve">A prohibition on </w:t>
      </w:r>
      <w:r w:rsidR="00F61DC1">
        <w:t>the use</w:t>
      </w:r>
      <w:r w:rsidRPr="009B0091">
        <w:t xml:space="preserve"> of engineered stone was </w:t>
      </w:r>
      <w:r w:rsidR="006D226A">
        <w:t>developed</w:t>
      </w:r>
      <w:r w:rsidR="006D226A" w:rsidRPr="009B0091">
        <w:t xml:space="preserve"> </w:t>
      </w:r>
      <w:r w:rsidRPr="009B0091">
        <w:t>in response to stakeholder submissions</w:t>
      </w:r>
      <w:r w:rsidR="00CE2912">
        <w:t xml:space="preserve"> to the CRIS</w:t>
      </w:r>
      <w:r w:rsidRPr="009B0091">
        <w:t>.</w:t>
      </w:r>
      <w:r w:rsidR="00F61DC1">
        <w:t xml:space="preserve"> Therefore, </w:t>
      </w:r>
      <w:r w:rsidR="005C331B">
        <w:t xml:space="preserve">stakeholders </w:t>
      </w:r>
      <w:r w:rsidR="00222BE9">
        <w:t>were</w:t>
      </w:r>
      <w:r w:rsidR="00867DB6">
        <w:t xml:space="preserve"> not </w:t>
      </w:r>
      <w:r w:rsidR="00F61DC1">
        <w:t>able to provide feedback on this option</w:t>
      </w:r>
      <w:r w:rsidR="00867DB6">
        <w:t xml:space="preserve"> or compare it to </w:t>
      </w:r>
      <w:r w:rsidR="00222BE9">
        <w:t>the other options in the CRIS.</w:t>
      </w:r>
      <w:r w:rsidR="005C331B">
        <w:t xml:space="preserve"> </w:t>
      </w:r>
      <w:r w:rsidRPr="009B0091">
        <w:t xml:space="preserve">If </w:t>
      </w:r>
      <w:r w:rsidR="005C331B">
        <w:t xml:space="preserve">WHS </w:t>
      </w:r>
      <w:r w:rsidRPr="009B0091">
        <w:t xml:space="preserve">ministers </w:t>
      </w:r>
      <w:r w:rsidR="00DF33D5">
        <w:t xml:space="preserve">want further consideration </w:t>
      </w:r>
      <w:r w:rsidR="00545966" w:rsidRPr="009B0091">
        <w:t xml:space="preserve">of a </w:t>
      </w:r>
      <w:r w:rsidR="00545966">
        <w:t>prohibition on use of engineered stone</w:t>
      </w:r>
      <w:r w:rsidR="00F049CF">
        <w:t xml:space="preserve"> further analysis and</w:t>
      </w:r>
      <w:r w:rsidRPr="009B0091">
        <w:t xml:space="preserve"> </w:t>
      </w:r>
      <w:r w:rsidR="00545966">
        <w:t xml:space="preserve">stakeholder </w:t>
      </w:r>
      <w:r w:rsidR="000263A8">
        <w:t xml:space="preserve">consultation </w:t>
      </w:r>
      <w:r w:rsidR="00F049CF">
        <w:t>should be undertaken</w:t>
      </w:r>
      <w:r w:rsidR="00C17F3E">
        <w:t xml:space="preserve"> </w:t>
      </w:r>
      <w:r w:rsidR="000263A8">
        <w:t>to</w:t>
      </w:r>
      <w:r w:rsidR="000263A8" w:rsidRPr="009B0091">
        <w:t xml:space="preserve"> </w:t>
      </w:r>
      <w:r w:rsidR="007636DA">
        <w:t>refine the option</w:t>
      </w:r>
      <w:r w:rsidR="00F049CF">
        <w:t>,</w:t>
      </w:r>
      <w:r w:rsidR="007636DA">
        <w:t xml:space="preserve"> and </w:t>
      </w:r>
      <w:r w:rsidR="00C17F3E">
        <w:t xml:space="preserve">inform and test </w:t>
      </w:r>
      <w:r w:rsidR="005873E1">
        <w:t xml:space="preserve">the </w:t>
      </w:r>
      <w:r w:rsidR="00C17F3E">
        <w:t xml:space="preserve">impact analysis assumptions. </w:t>
      </w:r>
    </w:p>
    <w:p w14:paraId="1B09DC2D" w14:textId="2BFE3A13" w:rsidR="00863746" w:rsidRDefault="005873E1" w:rsidP="00863746">
      <w:pPr>
        <w:pStyle w:val="BodyText"/>
      </w:pPr>
      <w:r>
        <w:t xml:space="preserve">Further, </w:t>
      </w:r>
      <w:r w:rsidR="00863746">
        <w:t xml:space="preserve">the National Dust Disease Taskforce’s Final Report did not recommend a ban on manufacture or use of engineered stone. It </w:t>
      </w:r>
      <w:r w:rsidR="00F049CF">
        <w:t xml:space="preserve">instead </w:t>
      </w:r>
      <w:r w:rsidR="00863746">
        <w:t xml:space="preserve">recommended that a ban on the importation of some or all engineered stone be considered by July 2024 if: </w:t>
      </w:r>
    </w:p>
    <w:p w14:paraId="64505C8C" w14:textId="3EDCB65E" w:rsidR="00863746" w:rsidRPr="00863746" w:rsidRDefault="00863746" w:rsidP="00B610EB">
      <w:pPr>
        <w:pStyle w:val="ListBullet"/>
      </w:pPr>
      <w:r w:rsidRPr="00863746">
        <w:t>“</w:t>
      </w:r>
      <w:r w:rsidR="00BE35E4">
        <w:t>t</w:t>
      </w:r>
      <w:r w:rsidRPr="00863746">
        <w:t>here is no measurable and acceptable improvement in regulatory compliance rates for the engineered stone sector as reported by jurisdictions</w:t>
      </w:r>
      <w:r w:rsidR="00BC16A6">
        <w:t>,</w:t>
      </w:r>
      <w:r w:rsidRPr="00863746">
        <w:t xml:space="preserve"> and </w:t>
      </w:r>
    </w:p>
    <w:p w14:paraId="79FB5B85" w14:textId="45EE3F38" w:rsidR="00863746" w:rsidRPr="00863746" w:rsidRDefault="00BE35E4" w:rsidP="00B610EB">
      <w:pPr>
        <w:pStyle w:val="ListBullet"/>
      </w:pPr>
      <w:r>
        <w:t>e</w:t>
      </w:r>
      <w:r w:rsidR="00863746" w:rsidRPr="00863746">
        <w:t>vidence indicates preventative measures are not effectively protecting those working with engineered stone from silicosis and silica-associated diseases” (Department of Health 2021)</w:t>
      </w:r>
      <w:r w:rsidR="00422092">
        <w:t>.</w:t>
      </w:r>
      <w:r w:rsidR="00863746" w:rsidRPr="00863746">
        <w:t xml:space="preserve"> </w:t>
      </w:r>
    </w:p>
    <w:p w14:paraId="122881AA" w14:textId="41A29218" w:rsidR="00A86523" w:rsidRDefault="00B610EB" w:rsidP="00422092">
      <w:pPr>
        <w:pStyle w:val="BodyText"/>
        <w:rPr>
          <w:rFonts w:asciiTheme="majorHAnsi" w:hAnsiTheme="majorHAnsi"/>
          <w:b/>
          <w:color w:val="014463" w:themeColor="text2"/>
          <w:sz w:val="60"/>
          <w:szCs w:val="60"/>
        </w:rPr>
      </w:pPr>
      <w:r>
        <w:t>T</w:t>
      </w:r>
      <w:r w:rsidR="00863746">
        <w:t>he All of Australian Governments’ response to the National Dust Disease Taskforce report noted this recommendation and recognised that “… a comprehensive framework [is required] to evaluate the effectiveness of compliance with WHS duties and the effectiveness of measures to protect workers, including any further measures implemented following Safe Work Australia’s regulatory impact analysis process”. The response also noted that further time may be required to make this assessment beyond the July 2024 proposed deadline (Australian Government 2022)</w:t>
      </w:r>
      <w:r w:rsidR="00422092">
        <w:t xml:space="preserve">. </w:t>
      </w:r>
      <w:r w:rsidR="00A86523">
        <w:br w:type="page"/>
      </w:r>
    </w:p>
    <w:p w14:paraId="32781D32" w14:textId="7C7D3AA3" w:rsidR="00F050F9" w:rsidRDefault="00F050F9" w:rsidP="00E0510C">
      <w:pPr>
        <w:pStyle w:val="Heading1"/>
      </w:pPr>
      <w:bookmarkStart w:id="699" w:name="_Toc126573240"/>
      <w:r>
        <w:lastRenderedPageBreak/>
        <w:t>Implementation and Evaluation</w:t>
      </w:r>
      <w:bookmarkEnd w:id="699"/>
    </w:p>
    <w:p w14:paraId="72210AC0" w14:textId="032D80F4" w:rsidR="00C17866" w:rsidRPr="006C7A2C" w:rsidRDefault="007A7205" w:rsidP="003A3B2B">
      <w:pPr>
        <w:pStyle w:val="Heading2"/>
      </w:pPr>
      <w:bookmarkStart w:id="700" w:name="_Toc126573241"/>
      <w:r>
        <w:t>Implementation</w:t>
      </w:r>
      <w:bookmarkEnd w:id="700"/>
    </w:p>
    <w:p w14:paraId="54624353" w14:textId="2EAD9715" w:rsidR="00920E46" w:rsidRDefault="00920E46" w:rsidP="00E75FA2">
      <w:pPr>
        <w:pStyle w:val="BodyText"/>
      </w:pPr>
      <w:r>
        <w:t xml:space="preserve">Should WHS ministers agree to the preferred options in this </w:t>
      </w:r>
      <w:r w:rsidR="0054756F">
        <w:t>DRIS</w:t>
      </w:r>
      <w:r>
        <w:t xml:space="preserve"> (Options 2 and 5a), the model WHS Regulations will be amended to reflect the proposed additional regulation </w:t>
      </w:r>
      <w:r w:rsidRPr="00007F2C">
        <w:t xml:space="preserve">of high risk crystalline </w:t>
      </w:r>
      <w:r w:rsidRPr="006A0A7C">
        <w:t>silica processes described</w:t>
      </w:r>
      <w:r>
        <w:t xml:space="preserve"> </w:t>
      </w:r>
      <w:r w:rsidR="00912A36">
        <w:t>in</w:t>
      </w:r>
      <w:r>
        <w:t xml:space="preserve"> Option 5a.</w:t>
      </w:r>
    </w:p>
    <w:p w14:paraId="63D31B08" w14:textId="2801B467" w:rsidR="00844E88" w:rsidRDefault="00920E46" w:rsidP="00E75FA2">
      <w:pPr>
        <w:pStyle w:val="BodyText"/>
      </w:pPr>
      <w:r>
        <w:t xml:space="preserve">Amendments to the model WHS Regulations will be drafted by the Australasian Parliamentary Counsel’s Committee </w:t>
      </w:r>
      <w:r w:rsidR="00F66667">
        <w:t xml:space="preserve">(PCC) </w:t>
      </w:r>
      <w:r>
        <w:t xml:space="preserve">and once made, published on the Safe Work Australia website. For the amendments to the model WHS Regulations to apply, each jurisdiction will need to </w:t>
      </w:r>
      <w:r w:rsidR="00695D2C">
        <w:t xml:space="preserve">implement </w:t>
      </w:r>
      <w:r w:rsidR="00246351">
        <w:t xml:space="preserve">them </w:t>
      </w:r>
      <w:r w:rsidR="00695D2C">
        <w:t xml:space="preserve">separately through </w:t>
      </w:r>
      <w:r>
        <w:t>amend</w:t>
      </w:r>
      <w:r w:rsidR="00695D2C">
        <w:t>ments to</w:t>
      </w:r>
      <w:r>
        <w:t xml:space="preserve"> their </w:t>
      </w:r>
      <w:r w:rsidR="00246351">
        <w:t>jurisdictional</w:t>
      </w:r>
      <w:r>
        <w:t xml:space="preserve"> WHS </w:t>
      </w:r>
      <w:r w:rsidR="00246351">
        <w:t>R</w:t>
      </w:r>
      <w:r>
        <w:t xml:space="preserve">egulations. </w:t>
      </w:r>
    </w:p>
    <w:p w14:paraId="47CCB9FB" w14:textId="198F60E3" w:rsidR="00DA6429" w:rsidRDefault="00376365" w:rsidP="00E75FA2">
      <w:pPr>
        <w:pStyle w:val="BodyText"/>
      </w:pPr>
      <w:r>
        <w:t>To avoid</w:t>
      </w:r>
      <w:r w:rsidR="002044A4">
        <w:t xml:space="preserve"> </w:t>
      </w:r>
      <w:r w:rsidR="00FD53FC">
        <w:t>asynchronous implementation</w:t>
      </w:r>
      <w:r w:rsidR="00415D22">
        <w:t xml:space="preserve"> of the changes</w:t>
      </w:r>
      <w:r w:rsidR="006C7A2C">
        <w:t xml:space="preserve"> </w:t>
      </w:r>
      <w:r w:rsidR="005C4DCE">
        <w:t>across</w:t>
      </w:r>
      <w:r w:rsidR="006C7A2C">
        <w:t xml:space="preserve"> jurisdictions</w:t>
      </w:r>
      <w:r w:rsidR="00E27C4C">
        <w:t xml:space="preserve">, WHS ministers may wish to consider setting </w:t>
      </w:r>
      <w:r w:rsidR="007D7E76">
        <w:t>an implementation date</w:t>
      </w:r>
      <w:r w:rsidR="00D301EB">
        <w:t>, noting that this date will need to allow sufficient time for PCC to draft the amendments to the model WHS Regulations</w:t>
      </w:r>
      <w:r w:rsidR="00C24071">
        <w:t>,</w:t>
      </w:r>
      <w:r w:rsidR="00D301EB">
        <w:t xml:space="preserve"> and for jurisdictions to amend their </w:t>
      </w:r>
      <w:r w:rsidR="00C24071">
        <w:t xml:space="preserve">legislation. </w:t>
      </w:r>
    </w:p>
    <w:p w14:paraId="009EE1E0" w14:textId="05289D3B" w:rsidR="00920E46" w:rsidRDefault="00F40EE7" w:rsidP="00E75FA2">
      <w:pPr>
        <w:pStyle w:val="BodyText"/>
      </w:pPr>
      <w:r>
        <w:t xml:space="preserve">Industry stakeholders may also seek to have a transitional period </w:t>
      </w:r>
      <w:r w:rsidR="00FE79F9">
        <w:t>before they need to demonstrate compliance</w:t>
      </w:r>
      <w:r>
        <w:t xml:space="preserve"> with any changes. However, g</w:t>
      </w:r>
      <w:r w:rsidR="00146E72">
        <w:t xml:space="preserve">iven the </w:t>
      </w:r>
      <w:r w:rsidR="004461BE">
        <w:t>impacts of silicosis on workers and their families</w:t>
      </w:r>
      <w:r w:rsidR="00D722A7">
        <w:t xml:space="preserve">, </w:t>
      </w:r>
      <w:r w:rsidR="007224C7">
        <w:t xml:space="preserve">a transitional period </w:t>
      </w:r>
      <w:r w:rsidR="006F747D">
        <w:t>has not been proposed.</w:t>
      </w:r>
      <w:r w:rsidR="00DA6429">
        <w:t xml:space="preserve"> As </w:t>
      </w:r>
      <w:r w:rsidR="00920E46">
        <w:t>is usual practice for Safe Work Australia, communications and guidance materials will be developed to assist stakeholders to understand how the amendments to the model WHS Regulations affect them.</w:t>
      </w:r>
      <w:r w:rsidR="006A4F27">
        <w:t xml:space="preserve"> Th</w:t>
      </w:r>
      <w:r w:rsidR="00450185">
        <w:t xml:space="preserve">ese materials </w:t>
      </w:r>
      <w:r w:rsidR="00376309">
        <w:t>could</w:t>
      </w:r>
      <w:r w:rsidR="006A4F27">
        <w:t xml:space="preserve"> </w:t>
      </w:r>
      <w:r w:rsidR="00450185">
        <w:t xml:space="preserve">be developed </w:t>
      </w:r>
      <w:r w:rsidR="006A4F27">
        <w:t xml:space="preserve">prior to </w:t>
      </w:r>
      <w:r w:rsidR="004461BE">
        <w:t>the amendments being finalised</w:t>
      </w:r>
      <w:r w:rsidR="00A9311E">
        <w:t xml:space="preserve">, to assist stakeholders </w:t>
      </w:r>
      <w:r w:rsidR="00DA6429">
        <w:t>in their preparations</w:t>
      </w:r>
      <w:r w:rsidR="00A9311E">
        <w:t>.</w:t>
      </w:r>
    </w:p>
    <w:p w14:paraId="642946AC" w14:textId="1DD5683E" w:rsidR="003601B8" w:rsidRPr="003601B8" w:rsidRDefault="00920E46" w:rsidP="00E75FA2">
      <w:pPr>
        <w:pStyle w:val="BodyText"/>
      </w:pPr>
      <w:r>
        <w:t xml:space="preserve">The proposed awareness and behaviour change initiatives will not require legislative amendments. Safe Work Australia will develop materials for these initiatives in consultation with experts. These initiatives will be tailored to different audiences (e.g. PCBUs and workers) across multiple industries, </w:t>
      </w:r>
      <w:r w:rsidR="00460AA0">
        <w:t xml:space="preserve">delivered nationally, </w:t>
      </w:r>
      <w:r>
        <w:t>and will likely be delivered over multiple years.</w:t>
      </w:r>
    </w:p>
    <w:p w14:paraId="608830B3" w14:textId="03B8B85B" w:rsidR="00F050F9" w:rsidRPr="006C7A2C" w:rsidRDefault="00F050F9" w:rsidP="003A3B2B">
      <w:pPr>
        <w:pStyle w:val="Heading2"/>
      </w:pPr>
      <w:bookmarkStart w:id="701" w:name="_Toc126573242"/>
      <w:r>
        <w:t>Evaluation</w:t>
      </w:r>
      <w:bookmarkEnd w:id="701"/>
    </w:p>
    <w:p w14:paraId="65F68D55" w14:textId="23ED065C" w:rsidR="00CE06A5" w:rsidRDefault="00CE06A5" w:rsidP="00E75FA2">
      <w:pPr>
        <w:pStyle w:val="BodyText"/>
        <w:rPr>
          <w:rStyle w:val="normaltextrun"/>
          <w:rFonts w:ascii="Calibri" w:hAnsi="Calibri" w:cs="Calibri"/>
          <w:color w:val="262626"/>
          <w:shd w:val="clear" w:color="auto" w:fill="FFFFFF"/>
        </w:rPr>
      </w:pPr>
      <w:r w:rsidRPr="005A5A85">
        <w:rPr>
          <w:lang w:eastAsia="en-AU"/>
        </w:rPr>
        <w:t xml:space="preserve">Evaluation will be </w:t>
      </w:r>
      <w:r>
        <w:rPr>
          <w:lang w:eastAsia="en-AU"/>
        </w:rPr>
        <w:t>undertaken by Safe Work Australia</w:t>
      </w:r>
      <w:r w:rsidRPr="005A5A85">
        <w:rPr>
          <w:lang w:eastAsia="en-AU"/>
        </w:rPr>
        <w:t xml:space="preserve"> to assess</w:t>
      </w:r>
      <w:r>
        <w:rPr>
          <w:lang w:eastAsia="en-AU"/>
        </w:rPr>
        <w:t xml:space="preserve"> the impact of the preferred options on reducing exposure to RCS at work and reducing cases of </w:t>
      </w:r>
      <w:r>
        <w:rPr>
          <w:rStyle w:val="normaltextrun"/>
          <w:rFonts w:ascii="Calibri" w:hAnsi="Calibri" w:cs="Calibri"/>
          <w:color w:val="262626"/>
          <w:shd w:val="clear" w:color="auto" w:fill="FFFFFF"/>
        </w:rPr>
        <w:t>silicosis.</w:t>
      </w:r>
    </w:p>
    <w:p w14:paraId="3E98E140" w14:textId="77777777" w:rsidR="00CE06A5" w:rsidRPr="006A0A7C" w:rsidRDefault="00CE06A5" w:rsidP="006A0A7C">
      <w:pPr>
        <w:pStyle w:val="Heading3"/>
      </w:pPr>
      <w:r w:rsidRPr="006A0A7C">
        <w:rPr>
          <w:rStyle w:val="normaltextrun"/>
        </w:rPr>
        <w:t>Reducing exposure to RCS at work</w:t>
      </w:r>
      <w:r w:rsidRPr="006A0A7C">
        <w:t> </w:t>
      </w:r>
    </w:p>
    <w:p w14:paraId="2BCF46C2" w14:textId="0D2325DB" w:rsidR="00CE06A5" w:rsidRDefault="00CE06A5" w:rsidP="00E75FA2">
      <w:pPr>
        <w:pStyle w:val="BodyText"/>
        <w:rPr>
          <w:lang w:eastAsia="en-AU"/>
        </w:rPr>
      </w:pPr>
      <w:r>
        <w:rPr>
          <w:lang w:eastAsia="en-AU"/>
        </w:rPr>
        <w:t xml:space="preserve">Both the awareness and behaviour initiatives and the additional regulations </w:t>
      </w:r>
      <w:r w:rsidRPr="000C1965">
        <w:rPr>
          <w:lang w:eastAsia="en-AU"/>
        </w:rPr>
        <w:t xml:space="preserve">of high risk crystalline </w:t>
      </w:r>
      <w:r w:rsidR="00E75FA2" w:rsidRPr="000C1965">
        <w:rPr>
          <w:lang w:eastAsia="en-AU"/>
        </w:rPr>
        <w:t xml:space="preserve">silica </w:t>
      </w:r>
      <w:r w:rsidRPr="000C1965">
        <w:rPr>
          <w:lang w:eastAsia="en-AU"/>
        </w:rPr>
        <w:t>processes</w:t>
      </w:r>
      <w:r>
        <w:rPr>
          <w:lang w:eastAsia="en-AU"/>
        </w:rPr>
        <w:t xml:space="preserve"> are expected to result in reduced exposures to RCS at work. </w:t>
      </w:r>
    </w:p>
    <w:p w14:paraId="58ADC843" w14:textId="77777777" w:rsidR="00CE06A5" w:rsidRDefault="00CE06A5" w:rsidP="00E75FA2">
      <w:pPr>
        <w:pStyle w:val="BodyText"/>
        <w:rPr>
          <w:lang w:eastAsia="en-AU"/>
        </w:rPr>
      </w:pPr>
      <w:r>
        <w:rPr>
          <w:lang w:eastAsia="en-AU"/>
        </w:rPr>
        <w:t>Examples of how reduction in exposures to RCS will be monitored include:</w:t>
      </w:r>
    </w:p>
    <w:p w14:paraId="1DE88A75" w14:textId="65CE3EC7" w:rsidR="00CE06A5" w:rsidRDefault="00447C33" w:rsidP="00E75FA2">
      <w:pPr>
        <w:pStyle w:val="ListBullet"/>
        <w:rPr>
          <w:lang w:eastAsia="en-AU"/>
        </w:rPr>
      </w:pPr>
      <w:r>
        <w:rPr>
          <w:lang w:eastAsia="en-AU"/>
        </w:rPr>
        <w:t>m</w:t>
      </w:r>
      <w:r w:rsidR="00CE06A5">
        <w:rPr>
          <w:lang w:eastAsia="en-AU"/>
        </w:rPr>
        <w:t xml:space="preserve">easuring (pre- and post- national awareness and behaviour change initiatives) the levels of stakeholder awareness of the requirements in the model WHS laws, the risks of RCS and the appropriate control measures </w:t>
      </w:r>
    </w:p>
    <w:p w14:paraId="7D14755B" w14:textId="46391838" w:rsidR="00CE06A5" w:rsidRDefault="00447C33" w:rsidP="00E75FA2">
      <w:pPr>
        <w:pStyle w:val="ListBullet"/>
        <w:rPr>
          <w:lang w:eastAsia="en-AU"/>
        </w:rPr>
      </w:pPr>
      <w:r>
        <w:rPr>
          <w:lang w:eastAsia="en-AU"/>
        </w:rPr>
        <w:t>r</w:t>
      </w:r>
      <w:r w:rsidR="00CE06A5">
        <w:rPr>
          <w:lang w:eastAsia="en-AU"/>
        </w:rPr>
        <w:t>eviewing relevant jurisdictional compliance data</w:t>
      </w:r>
      <w:r w:rsidR="000C6A68">
        <w:rPr>
          <w:lang w:eastAsia="en-AU"/>
        </w:rPr>
        <w:t>, and</w:t>
      </w:r>
    </w:p>
    <w:p w14:paraId="14E70F82" w14:textId="49ED21DC" w:rsidR="00CE06A5" w:rsidRDefault="00447C33" w:rsidP="00E75FA2">
      <w:pPr>
        <w:pStyle w:val="ListBullet"/>
        <w:rPr>
          <w:lang w:eastAsia="en-AU"/>
        </w:rPr>
      </w:pPr>
      <w:r>
        <w:rPr>
          <w:lang w:eastAsia="en-AU"/>
        </w:rPr>
        <w:lastRenderedPageBreak/>
        <w:t>r</w:t>
      </w:r>
      <w:r w:rsidR="00CE06A5">
        <w:rPr>
          <w:lang w:eastAsia="en-AU"/>
        </w:rPr>
        <w:t xml:space="preserve">eviewing the air and health monitoring data provided to </w:t>
      </w:r>
      <w:r w:rsidR="00DE04DE">
        <w:rPr>
          <w:lang w:eastAsia="en-AU"/>
        </w:rPr>
        <w:t xml:space="preserve">WHS </w:t>
      </w:r>
      <w:r w:rsidR="00CE06A5">
        <w:rPr>
          <w:lang w:eastAsia="en-AU"/>
        </w:rPr>
        <w:t>regulators.</w:t>
      </w:r>
    </w:p>
    <w:p w14:paraId="6FE7A881" w14:textId="77777777" w:rsidR="00CE06A5" w:rsidRPr="006A0A7C" w:rsidRDefault="00CE06A5" w:rsidP="006A0A7C">
      <w:pPr>
        <w:pStyle w:val="Heading3"/>
        <w:rPr>
          <w:rStyle w:val="normaltextrun"/>
        </w:rPr>
      </w:pPr>
      <w:r w:rsidRPr="006A0A7C">
        <w:rPr>
          <w:rStyle w:val="normaltextrun"/>
        </w:rPr>
        <w:t>Silicosis cases</w:t>
      </w:r>
    </w:p>
    <w:p w14:paraId="7D153567" w14:textId="02609266" w:rsidR="00CE06A5" w:rsidRDefault="00CE06A5" w:rsidP="00E75FA2">
      <w:pPr>
        <w:pStyle w:val="BodyText"/>
        <w:rPr>
          <w:lang w:eastAsia="en-AU"/>
        </w:rPr>
      </w:pPr>
      <w:r>
        <w:rPr>
          <w:lang w:eastAsia="en-AU"/>
        </w:rPr>
        <w:t xml:space="preserve">Currently, there are several data sources for silicosis cases – accepted workers’ compensation claims, jurisdictional health screening programs, and state-based dust disease registers. These will continue to be monitored to evaluate the impact of the preferred options on reducing silicosis cases. </w:t>
      </w:r>
      <w:r w:rsidRPr="00874D15">
        <w:t xml:space="preserve">Once operational, the National Occupational Respiratory Disease Register, which </w:t>
      </w:r>
      <w:r w:rsidRPr="005A5A85">
        <w:rPr>
          <w:lang w:eastAsia="en-AU"/>
        </w:rPr>
        <w:t>will mandate the reporting of all diagnosed silicosis cases in Australia</w:t>
      </w:r>
      <w:r w:rsidRPr="00874D15">
        <w:t>, will be relied upon in place of the state dust disease registries.</w:t>
      </w:r>
      <w:r>
        <w:rPr>
          <w:lang w:eastAsia="en-AU"/>
        </w:rPr>
        <w:t xml:space="preserve"> </w:t>
      </w:r>
    </w:p>
    <w:p w14:paraId="31AEB857" w14:textId="77777777" w:rsidR="00CE06A5" w:rsidRDefault="00CE06A5" w:rsidP="00CE06A5">
      <w:pPr>
        <w:rPr>
          <w:lang w:eastAsia="en-AU"/>
        </w:rPr>
      </w:pPr>
      <w:r>
        <w:rPr>
          <w:lang w:eastAsia="en-AU"/>
        </w:rPr>
        <w:t>However, due to the latency from exposure to disease for silicosis (10-30 years), the impacts of the preferred option may</w:t>
      </w:r>
      <w:r w:rsidRPr="005A5A85">
        <w:rPr>
          <w:lang w:eastAsia="en-AU"/>
        </w:rPr>
        <w:t xml:space="preserve"> take considerable time to </w:t>
      </w:r>
      <w:r>
        <w:rPr>
          <w:lang w:eastAsia="en-AU"/>
        </w:rPr>
        <w:t xml:space="preserve">be </w:t>
      </w:r>
      <w:r w:rsidRPr="005A5A85">
        <w:rPr>
          <w:lang w:eastAsia="en-AU"/>
        </w:rPr>
        <w:t>reflect</w:t>
      </w:r>
      <w:r>
        <w:rPr>
          <w:lang w:eastAsia="en-AU"/>
        </w:rPr>
        <w:t>ed</w:t>
      </w:r>
      <w:r w:rsidRPr="005A5A85">
        <w:rPr>
          <w:lang w:eastAsia="en-AU"/>
        </w:rPr>
        <w:t xml:space="preserve"> in the number of reported silicosis cases.</w:t>
      </w:r>
    </w:p>
    <w:p w14:paraId="16E2A844" w14:textId="241CE051" w:rsidR="00CE06A5" w:rsidRDefault="00CE06A5" w:rsidP="00CE06A5">
      <w:pPr>
        <w:rPr>
          <w:lang w:eastAsia="en-AU"/>
        </w:rPr>
      </w:pPr>
      <w:r>
        <w:rPr>
          <w:lang w:eastAsia="en-AU"/>
        </w:rPr>
        <w:t>There are currently no available data sets to monitor for the impacts of the preferred option on other silica</w:t>
      </w:r>
      <w:r w:rsidR="00EB6A6A">
        <w:rPr>
          <w:lang w:eastAsia="en-AU"/>
        </w:rPr>
        <w:noBreakHyphen/>
      </w:r>
      <w:r>
        <w:rPr>
          <w:lang w:eastAsia="en-AU"/>
        </w:rPr>
        <w:t xml:space="preserve">related diseases. However, should these data become available, they will also be included in the evaluation.    </w:t>
      </w:r>
    </w:p>
    <w:p w14:paraId="01BE8045" w14:textId="77777777" w:rsidR="00CE06A5" w:rsidRDefault="00CE06A5">
      <w:pPr>
        <w:spacing w:after="120" w:line="264" w:lineRule="auto"/>
        <w:rPr>
          <w:color w:val="262626" w:themeColor="text1" w:themeTint="D9"/>
        </w:rPr>
      </w:pPr>
      <w:bookmarkStart w:id="702" w:name="_Toc106120501"/>
      <w:bookmarkStart w:id="703" w:name="_Toc101019414"/>
      <w:r>
        <w:br w:type="page"/>
      </w:r>
    </w:p>
    <w:bookmarkStart w:id="704" w:name="_Toc126573243" w:displacedByCustomXml="next"/>
    <w:sdt>
      <w:sdtPr>
        <w:rPr>
          <w:rFonts w:asciiTheme="minorHAnsi" w:hAnsiTheme="minorHAnsi"/>
          <w:b w:val="0"/>
          <w:color w:val="262626" w:themeColor="text1" w:themeTint="D9"/>
          <w:sz w:val="20"/>
          <w:szCs w:val="20"/>
        </w:rPr>
        <w:id w:val="-1498410624"/>
        <w:docPartObj>
          <w:docPartGallery w:val="Bibliographies"/>
          <w:docPartUnique/>
        </w:docPartObj>
      </w:sdtPr>
      <w:sdtEndPr>
        <w:rPr>
          <w:rFonts w:asciiTheme="majorHAnsi" w:hAnsiTheme="majorHAnsi"/>
          <w:b/>
          <w:color w:val="014463" w:themeColor="text2"/>
          <w:sz w:val="60"/>
          <w:szCs w:val="60"/>
        </w:rPr>
      </w:sdtEndPr>
      <w:sdtContent>
        <w:p w14:paraId="6AB2435D" w14:textId="5C0DDC54" w:rsidR="00961D0C" w:rsidRDefault="00961D0C" w:rsidP="004A1BE0">
          <w:pPr>
            <w:pStyle w:val="Heading1"/>
          </w:pPr>
          <w:r>
            <w:t>Bibliography</w:t>
          </w:r>
        </w:p>
      </w:sdtContent>
    </w:sdt>
    <w:bookmarkEnd w:id="704" w:displacedByCustomXml="prev"/>
    <w:p w14:paraId="006996A1" w14:textId="77777777" w:rsidR="004067E3" w:rsidRDefault="006B4A7D" w:rsidP="004067E3">
      <w:pPr>
        <w:pStyle w:val="Bibliography"/>
      </w:pPr>
      <w:r w:rsidRPr="009D0A4A">
        <w:rPr>
          <w:color w:val="262626" w:themeColor="text1" w:themeTint="D9"/>
          <w:sz w:val="20"/>
          <w:szCs w:val="20"/>
        </w:rPr>
        <w:fldChar w:fldCharType="begin"/>
      </w:r>
      <w:r w:rsidRPr="009D0A4A">
        <w:instrText xml:space="preserve"> ADDIN ZOTERO_BIBL {"uncited":[],"omitted":[],"custom":[]} CSL_BIBLIOGRAPHY </w:instrText>
      </w:r>
      <w:r w:rsidRPr="009D0A4A">
        <w:rPr>
          <w:color w:val="262626" w:themeColor="text1" w:themeTint="D9"/>
          <w:sz w:val="20"/>
          <w:szCs w:val="20"/>
        </w:rPr>
        <w:fldChar w:fldCharType="separate"/>
      </w:r>
      <w:r w:rsidR="004067E3">
        <w:t xml:space="preserve">AIOH 2021, </w:t>
      </w:r>
      <w:r w:rsidR="004067E3">
        <w:rPr>
          <w:i/>
          <w:iCs/>
        </w:rPr>
        <w:t>AIOH Submission to the 2021 NSW Dust Diseases Scheme</w:t>
      </w:r>
      <w:r w:rsidR="004067E3">
        <w:t>, viewed 30 June 2022, &lt;https://www.aioh.org.au/media/2014/06/AIOH_SUB_NSWDustDiseasesReview_2021.pdf&gt;.</w:t>
      </w:r>
    </w:p>
    <w:p w14:paraId="6DC43BC8" w14:textId="77777777" w:rsidR="004067E3" w:rsidRDefault="004067E3" w:rsidP="004067E3">
      <w:pPr>
        <w:pStyle w:val="Bibliography"/>
      </w:pPr>
      <w:r>
        <w:t xml:space="preserve">Alamango, K, Whitelaw, J, &amp; Apthorpe, L 2015,‘Have you got your head in the sand? Respirable crystalline exposures of restorative stonemasons’, in, </w:t>
      </w:r>
      <w:r>
        <w:rPr>
          <w:i/>
          <w:iCs/>
        </w:rPr>
        <w:t>Proceedings of the Australian Institute of Occupational Hygienists Annual Conference and Exhibition 2015</w:t>
      </w:r>
      <w:r>
        <w:t>, pp.10–16, &lt;https://ro.uow.edu.au/sspapers/2121&gt;.</w:t>
      </w:r>
    </w:p>
    <w:p w14:paraId="1C3668B0" w14:textId="77777777" w:rsidR="004067E3" w:rsidRDefault="004067E3" w:rsidP="004067E3">
      <w:pPr>
        <w:pStyle w:val="Bibliography"/>
      </w:pPr>
      <w:r>
        <w:t xml:space="preserve">Alif, S et al. 2020, </w:t>
      </w:r>
      <w:r>
        <w:rPr>
          <w:i/>
          <w:iCs/>
        </w:rPr>
        <w:t>Occupational lung diseases in Australia 2006 – 2019</w:t>
      </w:r>
      <w:r>
        <w:t>, viewed 30 June 2022, &lt;https://www.safeworkaustralia.gov.au/doc/occupational-lung-diseases-australia-2006-2019&gt;.</w:t>
      </w:r>
    </w:p>
    <w:p w14:paraId="6E5AE18E" w14:textId="77777777" w:rsidR="004067E3" w:rsidRDefault="004067E3" w:rsidP="004067E3">
      <w:pPr>
        <w:pStyle w:val="Bibliography"/>
      </w:pPr>
      <w:r>
        <w:t xml:space="preserve">Australian Bureau of Statistics 2021a, </w:t>
      </w:r>
      <w:r>
        <w:rPr>
          <w:i/>
          <w:iCs/>
        </w:rPr>
        <w:t>Labour Force, Australia, Detailed, August 2021</w:t>
      </w:r>
      <w:r>
        <w:t>, viewed 30 June 2022, &lt;https://www.abs.gov.au/statistics/labour/employment-and-unemployment/labour-force-australia-detailed/aug-2021&gt;.</w:t>
      </w:r>
    </w:p>
    <w:p w14:paraId="2F8BF894" w14:textId="77777777" w:rsidR="004067E3" w:rsidRDefault="004067E3" w:rsidP="004067E3">
      <w:pPr>
        <w:pStyle w:val="Bibliography"/>
      </w:pPr>
      <w:r>
        <w:t xml:space="preserve">Australian Bureau of Statistics 2021b, </w:t>
      </w:r>
      <w:r>
        <w:rPr>
          <w:i/>
          <w:iCs/>
        </w:rPr>
        <w:t>Counts of Australian Businesses, including Entries and Exits, July 2017 - June 2021</w:t>
      </w:r>
      <w:r>
        <w:t>, viewed 30 June 2022, &lt;https://www.abs.gov.au/statistics/economy/business-indicators/counts-australian-businesses-including-entries-and-exits/latest-release&gt;.</w:t>
      </w:r>
    </w:p>
    <w:p w14:paraId="27CC0023" w14:textId="77777777" w:rsidR="004067E3" w:rsidRDefault="004067E3" w:rsidP="004067E3">
      <w:pPr>
        <w:pStyle w:val="Bibliography"/>
      </w:pPr>
      <w:r>
        <w:t xml:space="preserve">Australian Bureau of Statistics 2021c, </w:t>
      </w:r>
      <w:r>
        <w:rPr>
          <w:i/>
          <w:iCs/>
        </w:rPr>
        <w:t>Average Weekly Earnings, Australia, November 2021</w:t>
      </w:r>
      <w:r>
        <w:t>, viewed 30 June 2022, &lt;https://www.abs.gov.au/statistics/labour/earnings-and-working-conditions/average-weekly-earnings-australia/latest-release&gt;.</w:t>
      </w:r>
    </w:p>
    <w:p w14:paraId="582E054C" w14:textId="77777777" w:rsidR="004067E3" w:rsidRDefault="004067E3" w:rsidP="004067E3">
      <w:pPr>
        <w:pStyle w:val="Bibliography"/>
      </w:pPr>
      <w:r>
        <w:t xml:space="preserve">Australian Council of Trade Unions 2021, </w:t>
      </w:r>
      <w:r>
        <w:rPr>
          <w:i/>
          <w:iCs/>
        </w:rPr>
        <w:t>We must not leave workers behind on dust disease prevention</w:t>
      </w:r>
      <w:r>
        <w:t>, viewed 30 June 2022, &lt;https://www.actu.org.au/actu-media/media-releases/2021/we-must-not-leave-workers-behind-on-dust-disease-prevention&gt;.</w:t>
      </w:r>
    </w:p>
    <w:p w14:paraId="788E127E" w14:textId="77777777" w:rsidR="004067E3" w:rsidRDefault="004067E3" w:rsidP="004067E3">
      <w:pPr>
        <w:pStyle w:val="Bibliography"/>
      </w:pPr>
      <w:r>
        <w:t xml:space="preserve">Australian Engineered Stone Advisory Group 2019, </w:t>
      </w:r>
      <w:r>
        <w:rPr>
          <w:i/>
          <w:iCs/>
        </w:rPr>
        <w:t>Members of the Australian Engineered Stone Advisory Group (AESAG) Application for authorisation to the Australian Competition and Consumer Commission (ACCC)</w:t>
      </w:r>
      <w:r>
        <w:t>, viewed 30 June 2022, &lt;https://www.accc.gov.au/system/files/public-registers/documents/Australian%20Engineered%20Stone%20Advisory%20Group%20%28AESAG%29%20-%20Application%20Received%20-%2029.11.19%20-%20PR%20VERSION.pdf&gt;.</w:t>
      </w:r>
    </w:p>
    <w:p w14:paraId="7D685C76" w14:textId="77777777" w:rsidR="004067E3" w:rsidRDefault="004067E3" w:rsidP="004067E3">
      <w:pPr>
        <w:pStyle w:val="Bibliography"/>
      </w:pPr>
      <w:r>
        <w:t xml:space="preserve">Australian Government 2022, </w:t>
      </w:r>
      <w:r>
        <w:rPr>
          <w:i/>
          <w:iCs/>
        </w:rPr>
        <w:t>All of governments’ response to the National Dust Disease Taskforce Final Report</w:t>
      </w:r>
      <w:r>
        <w:t>, viewed 30 June 2022, &lt;https://www1.health.gov.au/internet/main/publishing.nsf/Content/45748C2442F5BA74CA2587E4000F8600/$File/All-Govt-Response-Final-Report-Dust-Disease-Taskforce.pdf&gt;.</w:t>
      </w:r>
    </w:p>
    <w:p w14:paraId="27B02244" w14:textId="77777777" w:rsidR="004067E3" w:rsidRDefault="004067E3" w:rsidP="004067E3">
      <w:pPr>
        <w:pStyle w:val="Bibliography"/>
      </w:pPr>
      <w:r>
        <w:t xml:space="preserve">Australian Institute of Health and Welfare 2022, </w:t>
      </w:r>
      <w:r>
        <w:rPr>
          <w:i/>
          <w:iCs/>
        </w:rPr>
        <w:t>Deaths in Australia</w:t>
      </w:r>
      <w:r>
        <w:t>, viewed 30 June 2022, &lt;https://www.aihw.gov.au/getmedia/743dd325-7e96-4674-bb87-9f77420a7ef5/Deaths-in-Australia.pdf&gt;.</w:t>
      </w:r>
    </w:p>
    <w:p w14:paraId="2B1F46DF" w14:textId="77777777" w:rsidR="004067E3" w:rsidRDefault="004067E3" w:rsidP="004067E3">
      <w:pPr>
        <w:pStyle w:val="Bibliography"/>
      </w:pPr>
      <w:r>
        <w:t xml:space="preserve">Australian Workers Union 2021, </w:t>
      </w:r>
      <w:r>
        <w:rPr>
          <w:i/>
          <w:iCs/>
        </w:rPr>
        <w:t>Silica Dust Kills</w:t>
      </w:r>
      <w:r>
        <w:t xml:space="preserve">, </w:t>
      </w:r>
      <w:r>
        <w:rPr>
          <w:i/>
          <w:iCs/>
        </w:rPr>
        <w:t>The Australian Workers’ Union</w:t>
      </w:r>
      <w:r>
        <w:t>, viewed 30 June 2022, &lt;https://www.awu.net.au/national/campaigns/13261/silicosis-kills/&gt;.</w:t>
      </w:r>
    </w:p>
    <w:p w14:paraId="6E496A1A" w14:textId="2408ABF1" w:rsidR="00C80572" w:rsidRDefault="00C80572" w:rsidP="003A01D4">
      <w:pPr>
        <w:pStyle w:val="Bibliography"/>
        <w:rPr>
          <w:noProof/>
          <w:sz w:val="24"/>
          <w:szCs w:val="24"/>
        </w:rPr>
      </w:pPr>
      <w:r>
        <w:rPr>
          <w:noProof/>
        </w:rPr>
        <w:t xml:space="preserve">Bang, K. M 2015. Silicosis mortality trends and new exposures to respirable crystalline silica - United States. </w:t>
      </w:r>
      <w:r>
        <w:rPr>
          <w:i/>
          <w:iCs/>
          <w:noProof/>
        </w:rPr>
        <w:t>Morbidity and mortality weekly report</w:t>
      </w:r>
      <w:r>
        <w:rPr>
          <w:noProof/>
        </w:rPr>
        <w:t>, 117–120.</w:t>
      </w:r>
    </w:p>
    <w:p w14:paraId="69EEAD61" w14:textId="77777777" w:rsidR="004067E3" w:rsidRDefault="004067E3" w:rsidP="004067E3">
      <w:pPr>
        <w:pStyle w:val="Bibliography"/>
      </w:pPr>
      <w:r>
        <w:lastRenderedPageBreak/>
        <w:t xml:space="preserve">Brooks, M &amp; Rae, H 2021,‘Change the way we communicate dry cutting risks’, in, </w:t>
      </w:r>
      <w:r>
        <w:rPr>
          <w:i/>
          <w:iCs/>
        </w:rPr>
        <w:t>Proceedings of the Australian Institute of Occupational Hygienists Annual Conference and Exhibition 2021.</w:t>
      </w:r>
    </w:p>
    <w:p w14:paraId="047E5050" w14:textId="77777777" w:rsidR="004067E3" w:rsidRDefault="004067E3" w:rsidP="004067E3">
      <w:pPr>
        <w:pStyle w:val="Bibliography"/>
      </w:pPr>
      <w:r>
        <w:t xml:space="preserve">Cancer Council 2021, </w:t>
      </w:r>
      <w:r>
        <w:rPr>
          <w:i/>
          <w:iCs/>
        </w:rPr>
        <w:t>Occupational Cancer Risk Series Silica Dust</w:t>
      </w:r>
      <w:r>
        <w:t>, viewed 30 June 2022, &lt;https://www.cancer.org.au/assets/pdf/occupational-cancer-risk-series-silica-dust&gt;.</w:t>
      </w:r>
    </w:p>
    <w:p w14:paraId="5824BCCE" w14:textId="3177360D" w:rsidR="003A01D4" w:rsidRDefault="003A01D4" w:rsidP="003A01D4">
      <w:pPr>
        <w:pStyle w:val="Bibliography"/>
        <w:rPr>
          <w:noProof/>
        </w:rPr>
      </w:pPr>
      <w:r>
        <w:rPr>
          <w:noProof/>
        </w:rPr>
        <w:t xml:space="preserve">Carey, R &amp; Fritschi, L 2022. </w:t>
      </w:r>
      <w:r>
        <w:rPr>
          <w:i/>
          <w:iCs/>
          <w:noProof/>
        </w:rPr>
        <w:t>The future burden of lung cancer and silicosis from occupational silica exposure in Australia: A preliminary analysis.</w:t>
      </w:r>
      <w:r>
        <w:rPr>
          <w:noProof/>
        </w:rPr>
        <w:t xml:space="preserve"> Perth: Curtin University.</w:t>
      </w:r>
    </w:p>
    <w:p w14:paraId="7CDBBA04" w14:textId="77777777" w:rsidR="004067E3" w:rsidRDefault="004067E3" w:rsidP="004067E3">
      <w:pPr>
        <w:pStyle w:val="Bibliography"/>
      </w:pPr>
      <w:r>
        <w:t xml:space="preserve">Cole, K 2017, </w:t>
      </w:r>
      <w:r>
        <w:rPr>
          <w:i/>
          <w:iCs/>
        </w:rPr>
        <w:t>Investigating best practice to prevent illness and disease in tunnel construction workers</w:t>
      </w:r>
      <w:r>
        <w:t>, Winston Churchill Memorial Trust of Australia, viewed 30 June 2022, &lt;https://apo.org.au/node/100921&gt;.</w:t>
      </w:r>
    </w:p>
    <w:p w14:paraId="147C2B0F" w14:textId="77777777" w:rsidR="004067E3" w:rsidRDefault="004067E3" w:rsidP="004067E3">
      <w:pPr>
        <w:pStyle w:val="Bibliography"/>
      </w:pPr>
      <w:r>
        <w:t xml:space="preserve">Cole, K &amp; Fisher, M 2019,‘Controlling exposure to respirable crystalline silica in Sydney demolition workers: A Client-led intervention’, in, </w:t>
      </w:r>
      <w:r>
        <w:rPr>
          <w:i/>
          <w:iCs/>
        </w:rPr>
        <w:t>Proceedings of the Australian Institute of Occupational Hygienists Annual Conference and Exhibition 2019</w:t>
      </w:r>
      <w:r>
        <w:t>.</w:t>
      </w:r>
    </w:p>
    <w:p w14:paraId="7A8C9ECF" w14:textId="77777777" w:rsidR="004067E3" w:rsidRDefault="004067E3" w:rsidP="004067E3">
      <w:pPr>
        <w:pStyle w:val="Bibliography"/>
      </w:pPr>
      <w:r>
        <w:t xml:space="preserve">Construction Material Processors Association 2021, </w:t>
      </w:r>
      <w:r>
        <w:rPr>
          <w:i/>
          <w:iCs/>
        </w:rPr>
        <w:t>Construction Material Processors Association response letter to the Occupational Health and Safety Amendment (Crystalline Silica) Regulations 2021 Regulatory Impact Statement</w:t>
      </w:r>
      <w:r>
        <w:t>, viewed 30 June 2022, &lt;https://engage.vic.gov.au/download/document/20844&gt;.</w:t>
      </w:r>
    </w:p>
    <w:p w14:paraId="7FB56C86" w14:textId="2913EB61" w:rsidR="004067E3" w:rsidRDefault="004067E3" w:rsidP="004067E3">
      <w:pPr>
        <w:pStyle w:val="Bibliography"/>
      </w:pPr>
      <w:r>
        <w:t>Deloitte 2021, ‘Occupational Health and Safety Amendment (Crystalline Silica) Regulations 2021’, p. 75.</w:t>
      </w:r>
    </w:p>
    <w:p w14:paraId="6E113E4C" w14:textId="54F3B1E5" w:rsidR="004067E3" w:rsidRDefault="004067E3" w:rsidP="004067E3">
      <w:pPr>
        <w:pStyle w:val="Bibliography"/>
      </w:pPr>
      <w:r>
        <w:t>Department of Health 2021, ‘National Dust Disease Taskforce Final Report to Minister for Health and Aged Care’, p. 80.</w:t>
      </w:r>
    </w:p>
    <w:p w14:paraId="268FDFEC" w14:textId="77777777" w:rsidR="004067E3" w:rsidRDefault="004067E3" w:rsidP="004067E3">
      <w:pPr>
        <w:pStyle w:val="Bibliography"/>
      </w:pPr>
      <w:r>
        <w:t xml:space="preserve">Department of Health 2022, </w:t>
      </w:r>
      <w:r>
        <w:rPr>
          <w:i/>
          <w:iCs/>
        </w:rPr>
        <w:t>National Guidance for doctors assessing workers exposed to respirable crystalline silica dust</w:t>
      </w:r>
      <w:r>
        <w:t>, viewed 30 June 2022, &lt;https://www1.health.gov.au/internet/main/publishing.nsf/Content/3F0A34A0342D7925CA2587E3001B4C41/$File/National-Guidance.pdf&gt;.</w:t>
      </w:r>
    </w:p>
    <w:p w14:paraId="788E3361" w14:textId="77777777" w:rsidR="004067E3" w:rsidRDefault="004067E3" w:rsidP="004067E3">
      <w:pPr>
        <w:pStyle w:val="Bibliography"/>
      </w:pPr>
      <w:r>
        <w:t xml:space="preserve">Department of Prime Minister and Cabinet 2020, </w:t>
      </w:r>
      <w:r>
        <w:rPr>
          <w:i/>
          <w:iCs/>
        </w:rPr>
        <w:t>Competition and Regulation Guidance Note</w:t>
      </w:r>
      <w:r>
        <w:t>, viewed 30 June 2022, &lt;https://obpr.pmc.gov.au/sites/default/files/2021-06/competition-and-regulation.pdf&gt;.</w:t>
      </w:r>
    </w:p>
    <w:p w14:paraId="0255F77E" w14:textId="77777777" w:rsidR="004067E3" w:rsidRDefault="004067E3" w:rsidP="004067E3">
      <w:pPr>
        <w:pStyle w:val="Bibliography"/>
      </w:pPr>
      <w:r>
        <w:t xml:space="preserve">Department of Prime Minister and Cabinet 2021a, </w:t>
      </w:r>
      <w:r>
        <w:rPr>
          <w:i/>
          <w:iCs/>
        </w:rPr>
        <w:t>Regulatory Impact Analysis Guide for Ministers’ Meetings and National Standard Setting Bodies | OBPR</w:t>
      </w:r>
      <w:r>
        <w:t>, viewed 24 June 2022, &lt;https://obpr.pmc.gov.au/resources/guidance-impact-analysis/regulatory-impact-analysis-guide-ministers-meetings-and-national&gt;.</w:t>
      </w:r>
    </w:p>
    <w:p w14:paraId="37045BF0" w14:textId="77777777" w:rsidR="004067E3" w:rsidRDefault="004067E3" w:rsidP="004067E3">
      <w:pPr>
        <w:pStyle w:val="Bibliography"/>
      </w:pPr>
      <w:r>
        <w:t xml:space="preserve">Department of Prime Minister and Cabinet 2021b, </w:t>
      </w:r>
      <w:r>
        <w:rPr>
          <w:i/>
          <w:iCs/>
        </w:rPr>
        <w:t>Guidance note: value of statistical life</w:t>
      </w:r>
      <w:r>
        <w:t>, viewed 30 June 2022, &lt;https://obpr.pmc.gov.au/resources/guidance-assessing-impacts/value-statistical-life&gt;.</w:t>
      </w:r>
    </w:p>
    <w:p w14:paraId="3D47E4C0" w14:textId="77777777" w:rsidR="004067E3" w:rsidRDefault="004067E3" w:rsidP="004067E3">
      <w:pPr>
        <w:pStyle w:val="Bibliography"/>
      </w:pPr>
      <w:r>
        <w:t xml:space="preserve">Frankel, A, Blake, L, &amp; Yates, D 2015, ‘LATE-BREAKING ABSTRACT: Complicated silicosis in an Australian worker from cutting engineered stone countertops: An embarrassing first for Australia’, </w:t>
      </w:r>
      <w:r>
        <w:rPr>
          <w:i/>
          <w:iCs/>
        </w:rPr>
        <w:t>European Respiratory Journal</w:t>
      </w:r>
      <w:r>
        <w:t>, vol. 46, no. suppl 59, viewed 24 June 2022, &lt;https://erj.ersjournals.com/content/46/suppl_59/PA1144&gt;.</w:t>
      </w:r>
    </w:p>
    <w:p w14:paraId="0A1F6D13" w14:textId="4D1F7EB9" w:rsidR="004067E3" w:rsidRDefault="004067E3" w:rsidP="004067E3">
      <w:pPr>
        <w:pStyle w:val="Bibliography"/>
      </w:pPr>
      <w:r>
        <w:t>Gaskin, S et al. 2018, ‘Respirable Crystalline Silica Exposures in Engineered Stone Benchtop Fabrication’, p. 24.</w:t>
      </w:r>
    </w:p>
    <w:p w14:paraId="72A824C7" w14:textId="77777777" w:rsidR="004067E3" w:rsidRDefault="004067E3" w:rsidP="004067E3">
      <w:pPr>
        <w:pStyle w:val="Bibliography"/>
      </w:pPr>
      <w:r>
        <w:t xml:space="preserve">Glass, D et al. 2022, ‘Changes to Silica Exposure Control Measures in the Artificial Stone Benchtop Industry in Victoria Australia’, </w:t>
      </w:r>
      <w:r>
        <w:rPr>
          <w:i/>
          <w:iCs/>
        </w:rPr>
        <w:t>Abstracts of the 33rd International Congress on Occupational Health 2022 (ICOH 2022) 6–10 February 2022</w:t>
      </w:r>
      <w:r>
        <w:t>, vol. 13, p. S25.</w:t>
      </w:r>
    </w:p>
    <w:p w14:paraId="3797CCF2" w14:textId="50D096D6" w:rsidR="004067E3" w:rsidRDefault="004067E3" w:rsidP="004067E3">
      <w:pPr>
        <w:pStyle w:val="Bibliography"/>
      </w:pPr>
      <w:r>
        <w:t>Golder Associates Pty Ltd 2021, ‘Case Finding Study - Respirable crystalline silica exposure in the NSW manufactured stone industry’, p. 59.</w:t>
      </w:r>
    </w:p>
    <w:p w14:paraId="559E340F" w14:textId="77777777" w:rsidR="004067E3" w:rsidRDefault="004067E3" w:rsidP="004067E3">
      <w:pPr>
        <w:pStyle w:val="Bibliography"/>
      </w:pPr>
      <w:r>
        <w:lastRenderedPageBreak/>
        <w:t xml:space="preserve">Government of Western Australia 2021, </w:t>
      </w:r>
      <w:r>
        <w:rPr>
          <w:i/>
          <w:iCs/>
        </w:rPr>
        <w:t>Media Statements - Health surveillance requirements for silica strengthened</w:t>
      </w:r>
      <w:r>
        <w:t xml:space="preserve">, </w:t>
      </w:r>
      <w:r>
        <w:rPr>
          <w:i/>
          <w:iCs/>
        </w:rPr>
        <w:t>Health surveillance requirements for silica strengthened</w:t>
      </w:r>
      <w:r>
        <w:t>, viewed 30 June 2022, &lt;https://www.mediastatements.wa.gov.au/Pages/McGowan/2021/01/Health-surveillance-requirements-for-silica-strengthened.aspx&gt;.</w:t>
      </w:r>
    </w:p>
    <w:p w14:paraId="313FFC9D" w14:textId="77777777" w:rsidR="004067E3" w:rsidRDefault="004067E3" w:rsidP="004067E3">
      <w:pPr>
        <w:pStyle w:val="Bibliography"/>
      </w:pPr>
      <w:r>
        <w:t xml:space="preserve">Hedges, K 2016, </w:t>
      </w:r>
      <w:r>
        <w:rPr>
          <w:i/>
          <w:iCs/>
        </w:rPr>
        <w:t>Assessment and control of respirable crystalline silica in quarries and dimension stone mines</w:t>
      </w:r>
      <w:r>
        <w:t>, Western Sydney University, viewed 24 June 2022, &lt;https://researchdirect.westernsydney.edu.au/islandora/object/uws%3A36593/&gt;.</w:t>
      </w:r>
    </w:p>
    <w:p w14:paraId="7ECAF2B7" w14:textId="77777777" w:rsidR="004067E3" w:rsidRDefault="004067E3" w:rsidP="004067E3">
      <w:pPr>
        <w:pStyle w:val="Bibliography"/>
      </w:pPr>
      <w:r>
        <w:t xml:space="preserve">Hoy, RF &amp; Chambers, DC 2020, ‘Silica-related diseases in the modern world’, </w:t>
      </w:r>
      <w:r>
        <w:rPr>
          <w:i/>
          <w:iCs/>
        </w:rPr>
        <w:t>Allergy</w:t>
      </w:r>
      <w:r>
        <w:t>, vol. 75, no. 11, pp. 2805–2817.</w:t>
      </w:r>
    </w:p>
    <w:p w14:paraId="4ACE54F6" w14:textId="77777777" w:rsidR="004067E3" w:rsidRDefault="004067E3" w:rsidP="004067E3">
      <w:pPr>
        <w:pStyle w:val="Bibliography"/>
      </w:pPr>
      <w:r>
        <w:t xml:space="preserve">Jennings, M 2021, </w:t>
      </w:r>
      <w:r>
        <w:rPr>
          <w:i/>
          <w:iCs/>
        </w:rPr>
        <w:t>Submission Number 8 Inquiry into 2021 Review of the Dust Diseases Scheme</w:t>
      </w:r>
      <w:r>
        <w:t>, viewed 30 June 2022, &lt;https://www.parliament.nsw.gov.au/lcdocs/submissions/76639/0008%20Mr%20Martin%20Jennings.pdf&gt;.</w:t>
      </w:r>
    </w:p>
    <w:p w14:paraId="689E2C38" w14:textId="77777777" w:rsidR="004067E3" w:rsidRDefault="004067E3" w:rsidP="004067E3">
      <w:pPr>
        <w:pStyle w:val="Bibliography"/>
      </w:pPr>
      <w:r>
        <w:t xml:space="preserve">Kreitals, N, Weller, M, &amp; Nand, A 2022,‘Industry change in the manufactured stone benchtop industry as a result of proactive compliance activities in NSW’, in, </w:t>
      </w:r>
      <w:r>
        <w:rPr>
          <w:i/>
          <w:iCs/>
        </w:rPr>
        <w:t>Proceedings of the Australian Institute of Occupational Hygienists Annual Conference and Exhibition 2021</w:t>
      </w:r>
      <w:r>
        <w:t>.</w:t>
      </w:r>
    </w:p>
    <w:p w14:paraId="17134BCB" w14:textId="77777777" w:rsidR="004067E3" w:rsidRDefault="004067E3" w:rsidP="004067E3">
      <w:pPr>
        <w:pStyle w:val="Bibliography"/>
      </w:pPr>
      <w:r>
        <w:t xml:space="preserve">Lung Foundation Australia n.d., </w:t>
      </w:r>
      <w:r>
        <w:rPr>
          <w:i/>
          <w:iCs/>
        </w:rPr>
        <w:t>Campaigns - Lung Foundation Australia</w:t>
      </w:r>
      <w:r>
        <w:t>, viewed 30 June 2022, &lt;https://lungfoundation.com.au/news-and-advocacy/advocacy/campaigns/&gt;.</w:t>
      </w:r>
    </w:p>
    <w:p w14:paraId="5A4F705A" w14:textId="77777777" w:rsidR="004067E3" w:rsidRDefault="004067E3" w:rsidP="004067E3">
      <w:pPr>
        <w:pStyle w:val="Bibliography"/>
      </w:pPr>
      <w:r>
        <w:t xml:space="preserve">Nicol, LM et al. 2015, ‘Six cases of silicosis: implications for health surveillance of stonemasons’, </w:t>
      </w:r>
      <w:r>
        <w:rPr>
          <w:i/>
          <w:iCs/>
        </w:rPr>
        <w:t>Occupational Medicine</w:t>
      </w:r>
      <w:r>
        <w:t>, vol. 65, no. 3, pp. 220–225.</w:t>
      </w:r>
    </w:p>
    <w:p w14:paraId="34962315" w14:textId="77777777" w:rsidR="004067E3" w:rsidRDefault="004067E3" w:rsidP="004067E3">
      <w:pPr>
        <w:pStyle w:val="Bibliography"/>
      </w:pPr>
      <w:r>
        <w:t xml:space="preserve">NSW Government 2022, </w:t>
      </w:r>
      <w:r>
        <w:rPr>
          <w:i/>
          <w:iCs/>
        </w:rPr>
        <w:t>Silica dashboard</w:t>
      </w:r>
      <w:r>
        <w:t xml:space="preserve">, </w:t>
      </w:r>
      <w:r>
        <w:rPr>
          <w:i/>
          <w:iCs/>
        </w:rPr>
        <w:t>NSW Government</w:t>
      </w:r>
      <w:r>
        <w:t>, viewed 30 June 2022, &lt;https://www.nsw.gov.au/customer-service/publications-and-reports/silica-dashboard&gt;.</w:t>
      </w:r>
    </w:p>
    <w:p w14:paraId="7ECCB62A" w14:textId="77777777" w:rsidR="004067E3" w:rsidRDefault="004067E3" w:rsidP="004067E3">
      <w:pPr>
        <w:pStyle w:val="Bibliography"/>
      </w:pPr>
      <w:r>
        <w:t xml:space="preserve">NSW Legislative Council Standing Committee on Law and Justice 2020, </w:t>
      </w:r>
      <w:r>
        <w:rPr>
          <w:i/>
          <w:iCs/>
        </w:rPr>
        <w:t>2019 Review of the Dust Diseases Scheme</w:t>
      </w:r>
      <w:r>
        <w:t>, viewed 30 June 2022, &lt;https://www.parliament.nsw.gov.au/lcdocs/inquiries/2538/Report%2073%20%E2%80%93%20%202019%20Review%20of%20the%20Dust%20Diseases%20Scheme%20%E2%80%93%2024%20March%202020.pdf&gt;.</w:t>
      </w:r>
    </w:p>
    <w:p w14:paraId="0E756BC9" w14:textId="77777777" w:rsidR="004067E3" w:rsidRDefault="004067E3" w:rsidP="004067E3">
      <w:pPr>
        <w:pStyle w:val="Bibliography"/>
      </w:pPr>
      <w:r>
        <w:t xml:space="preserve">NSW Legislative Council Standing Committee on Law and Justice 2022, </w:t>
      </w:r>
      <w:r>
        <w:rPr>
          <w:i/>
          <w:iCs/>
        </w:rPr>
        <w:t>2021 Review of the Dust Diseases Scheme</w:t>
      </w:r>
      <w:r>
        <w:t>, viewed 30 June 2022, &lt;https://www.parliament.nsw.gov.au/lcdocs/inquiries/2833/Report%20No.%2080%20-%202021%20Review%20of%20the%20Dust%20Diseases%20Scheme.pdf&gt;.</w:t>
      </w:r>
    </w:p>
    <w:p w14:paraId="49B4C1AE" w14:textId="668AE231" w:rsidR="004067E3" w:rsidRDefault="004067E3" w:rsidP="004067E3">
      <w:pPr>
        <w:pStyle w:val="Bibliography"/>
      </w:pPr>
      <w:r>
        <w:t>Quantum Market Research 2021, ‘Dust Disease Research Update’, p. 92.</w:t>
      </w:r>
    </w:p>
    <w:p w14:paraId="36770AE0" w14:textId="77777777" w:rsidR="004067E3" w:rsidRDefault="004067E3" w:rsidP="004067E3">
      <w:pPr>
        <w:pStyle w:val="Bibliography"/>
      </w:pPr>
      <w:r>
        <w:t xml:space="preserve">Queensland Government 2018, </w:t>
      </w:r>
      <w:r>
        <w:rPr>
          <w:i/>
          <w:iCs/>
        </w:rPr>
        <w:t>Safety alert issued for engineered stone benchtop workers</w:t>
      </w:r>
      <w:r>
        <w:t xml:space="preserve">, </w:t>
      </w:r>
      <w:r>
        <w:rPr>
          <w:i/>
          <w:iCs/>
        </w:rPr>
        <w:t>Ministerial Media Statements</w:t>
      </w:r>
      <w:r>
        <w:t>, viewed 30 June 2022, &lt;https://statements.qld.gov.au/statements/85566&gt;.</w:t>
      </w:r>
    </w:p>
    <w:p w14:paraId="0FE904FA" w14:textId="77777777" w:rsidR="004067E3" w:rsidRDefault="004067E3" w:rsidP="004067E3">
      <w:pPr>
        <w:pStyle w:val="Bibliography"/>
      </w:pPr>
      <w:r>
        <w:t xml:space="preserve">Queensland Government 2020, </w:t>
      </w:r>
      <w:r>
        <w:rPr>
          <w:i/>
          <w:iCs/>
        </w:rPr>
        <w:t>WorkCover Screening Outcomes</w:t>
      </w:r>
      <w:r>
        <w:t>, viewed 30 June 2022, &lt;https://www.worksafe.qld.gov.au/claims-and-insurance/work-related-injuries/types-of-injury-or-illness/work-related-respiratory-diseases/silicosis&gt;.</w:t>
      </w:r>
    </w:p>
    <w:p w14:paraId="797096E0" w14:textId="77777777" w:rsidR="004067E3" w:rsidRDefault="004067E3" w:rsidP="004067E3">
      <w:pPr>
        <w:pStyle w:val="Bibliography"/>
      </w:pPr>
      <w:r>
        <w:t xml:space="preserve">Queensland Health 2022, </w:t>
      </w:r>
      <w:r>
        <w:rPr>
          <w:i/>
          <w:iCs/>
        </w:rPr>
        <w:t>About the Notifiable Dust Lung Disease Register</w:t>
      </w:r>
      <w:r>
        <w:t>, viewed 30 June 2022, &lt;https://www.health.qld.gov.au/public-health/industry-environment/dust-lung-disease-register/about-the-register&gt;.</w:t>
      </w:r>
    </w:p>
    <w:p w14:paraId="6F590815" w14:textId="77777777" w:rsidR="004067E3" w:rsidRDefault="004067E3" w:rsidP="004067E3">
      <w:pPr>
        <w:pStyle w:val="Bibliography"/>
      </w:pPr>
      <w:r>
        <w:lastRenderedPageBreak/>
        <w:t xml:space="preserve">Queensland Parliament Coal Workers’ Pneumoconiosis Select Committee 2017, </w:t>
      </w:r>
      <w:r>
        <w:rPr>
          <w:i/>
          <w:iCs/>
        </w:rPr>
        <w:t>Inquiry into occupational  respirable dust issues</w:t>
      </w:r>
      <w:r>
        <w:t>, viewed 30 June 2022, &lt;https://cabinet.qld.gov.au/documents/2018/Feb/RespCWP4/Attachments/Report.PDF&gt;.</w:t>
      </w:r>
    </w:p>
    <w:p w14:paraId="4597FF72" w14:textId="77777777" w:rsidR="004067E3" w:rsidRDefault="004067E3" w:rsidP="004067E3">
      <w:pPr>
        <w:pStyle w:val="Bibliography"/>
      </w:pPr>
      <w:r>
        <w:t xml:space="preserve">Safe Work Australia 2011, </w:t>
      </w:r>
      <w:r>
        <w:rPr>
          <w:i/>
          <w:iCs/>
        </w:rPr>
        <w:t>Interpretive guideline – Model Work Health and Safety Act - the meaning of reasonably practicable</w:t>
      </w:r>
      <w:r>
        <w:t>, viewed 30 June 2022, &lt;https://www.safeworkaustralia.gov.au/doc/interpretive-guideline-model-work-health-and-safety-act-meaning-reasonably-practicable&gt;.</w:t>
      </w:r>
    </w:p>
    <w:p w14:paraId="732F8EF4" w14:textId="77777777" w:rsidR="004067E3" w:rsidRDefault="004067E3" w:rsidP="004067E3">
      <w:pPr>
        <w:pStyle w:val="Bibliography"/>
      </w:pPr>
      <w:r>
        <w:t xml:space="preserve">Safe Work Australia 2013, </w:t>
      </w:r>
      <w:r>
        <w:rPr>
          <w:i/>
          <w:iCs/>
        </w:rPr>
        <w:t>Workplace Exposure Standards for Airborne Contaminants</w:t>
      </w:r>
      <w:r>
        <w:t>, viewed 30 June 2022, &lt;https://www.safeworkaustralia.gov.au/system/files/documents/1705/workplace-exposure-standards-airborne-contaminants-v2.pdf&gt;.</w:t>
      </w:r>
    </w:p>
    <w:p w14:paraId="028C1EFB" w14:textId="77777777" w:rsidR="004067E3" w:rsidRDefault="004067E3" w:rsidP="004067E3">
      <w:pPr>
        <w:pStyle w:val="Bibliography"/>
      </w:pPr>
      <w:r>
        <w:t xml:space="preserve">Safe Work Australia 2018a, </w:t>
      </w:r>
      <w:r>
        <w:rPr>
          <w:i/>
          <w:iCs/>
        </w:rPr>
        <w:t>Model Code of Practice: Construction work</w:t>
      </w:r>
      <w:r>
        <w:t>, viewed 30 June 2022, &lt;https://www.safeworkaustralia.gov.au/doc/model-codes-practice/model-code-practice-construction-work&gt;.</w:t>
      </w:r>
    </w:p>
    <w:p w14:paraId="548D2BDE" w14:textId="77777777" w:rsidR="004067E3" w:rsidRDefault="004067E3" w:rsidP="004067E3">
      <w:pPr>
        <w:pStyle w:val="Bibliography"/>
      </w:pPr>
      <w:r>
        <w:t xml:space="preserve">Safe Work Australia 2018b, </w:t>
      </w:r>
      <w:r>
        <w:rPr>
          <w:i/>
          <w:iCs/>
        </w:rPr>
        <w:t>Model Code of Practice: Demolition work</w:t>
      </w:r>
      <w:r>
        <w:t>, viewed 30 June 2022, &lt;https://www.safeworkaustralia.gov.au/doc/model-codes-practice/model-code-practice-demolition-work&gt;.</w:t>
      </w:r>
    </w:p>
    <w:p w14:paraId="46D8D5B1" w14:textId="77777777" w:rsidR="004067E3" w:rsidRDefault="004067E3" w:rsidP="004067E3">
      <w:pPr>
        <w:pStyle w:val="Bibliography"/>
      </w:pPr>
      <w:r>
        <w:t xml:space="preserve">Safe Work Australia 2018c, </w:t>
      </w:r>
      <w:r>
        <w:rPr>
          <w:i/>
          <w:iCs/>
        </w:rPr>
        <w:t>Model Code of Practice: How to manage work health and safety risks</w:t>
      </w:r>
      <w:r>
        <w:t>, viewed 30 June 2022, &lt;https://www.safeworkaustralia.gov.au/doc/model-codes-practice/model-code-practice-how-manage-work-health-and-safety-risks&gt;.</w:t>
      </w:r>
    </w:p>
    <w:p w14:paraId="078AC351" w14:textId="77777777" w:rsidR="004067E3" w:rsidRDefault="004067E3" w:rsidP="004067E3">
      <w:pPr>
        <w:pStyle w:val="Bibliography"/>
      </w:pPr>
      <w:r>
        <w:t xml:space="preserve">Safe Work Australia 2020a, </w:t>
      </w:r>
      <w:r>
        <w:rPr>
          <w:i/>
          <w:iCs/>
        </w:rPr>
        <w:t>Model Code of Practice: Managing risks of hazardous chemicals in the workplace</w:t>
      </w:r>
      <w:r>
        <w:t>, viewed 30 June 2022, &lt;https://www.safeworkaustralia.gov.au/doc/model-code-practice-managing-risks-hazardous-chemicals-workplace&gt;.</w:t>
      </w:r>
    </w:p>
    <w:p w14:paraId="7173AFFF" w14:textId="77777777" w:rsidR="004067E3" w:rsidRDefault="004067E3" w:rsidP="004067E3">
      <w:pPr>
        <w:pStyle w:val="Bibliography"/>
      </w:pPr>
      <w:r>
        <w:t xml:space="preserve">Safe Work Australia 2020b, </w:t>
      </w:r>
      <w:r>
        <w:rPr>
          <w:i/>
          <w:iCs/>
        </w:rPr>
        <w:t>Measuring respirable crystalline silica</w:t>
      </w:r>
      <w:r>
        <w:t>, viewed 30 June 2022, &lt;https://www.safeworkaustralia.gov.au/doc/report-measuring-respirable-crystalline-silica&gt;.</w:t>
      </w:r>
    </w:p>
    <w:p w14:paraId="7E33C4F7" w14:textId="77777777" w:rsidR="004067E3" w:rsidRDefault="004067E3" w:rsidP="004067E3">
      <w:pPr>
        <w:pStyle w:val="Bibliography"/>
      </w:pPr>
      <w:r>
        <w:t xml:space="preserve">Safe Work Australia 2020c, </w:t>
      </w:r>
      <w:r>
        <w:rPr>
          <w:i/>
          <w:iCs/>
        </w:rPr>
        <w:t>Health monitoring for crystalline silica</w:t>
      </w:r>
      <w:r>
        <w:t>, viewed 30 June 2022, &lt;https://www.safeworkaustralia.gov.au/doc/health-monitoring-crystalline-silica&gt;.</w:t>
      </w:r>
    </w:p>
    <w:p w14:paraId="23183756" w14:textId="77777777" w:rsidR="004067E3" w:rsidRDefault="004067E3" w:rsidP="004067E3">
      <w:pPr>
        <w:pStyle w:val="Bibliography"/>
      </w:pPr>
      <w:r>
        <w:t xml:space="preserve">Safe Work Australia 2020d, </w:t>
      </w:r>
      <w:r>
        <w:rPr>
          <w:i/>
          <w:iCs/>
        </w:rPr>
        <w:t>Health monitoring for registered medical practitioners guide</w:t>
      </w:r>
      <w:r>
        <w:t>, viewed 30 June 2022, &lt;https://www.safeworkaustralia.gov.au/resources-and-publications/guidance-materials/health-monitoring-registered-medical-practitioners-guide&gt;.</w:t>
      </w:r>
    </w:p>
    <w:p w14:paraId="730F9E9A" w14:textId="77777777" w:rsidR="004067E3" w:rsidRDefault="004067E3" w:rsidP="004067E3">
      <w:pPr>
        <w:pStyle w:val="Bibliography"/>
      </w:pPr>
      <w:r>
        <w:t xml:space="preserve">Safe Work Australia 2021a, </w:t>
      </w:r>
      <w:r>
        <w:rPr>
          <w:i/>
          <w:iCs/>
        </w:rPr>
        <w:t>Model Code of Practice: Managing the risks of respirable crystalline silica from engineered stone in the workplace</w:t>
      </w:r>
      <w:r>
        <w:t>, viewed 30 June 2022, &lt;https://www.safeworkaustralia.gov.au/doc/model-code-practice-managing-risks-respirable-crystalline-silica-engineered-stone-workplace&gt;.</w:t>
      </w:r>
    </w:p>
    <w:p w14:paraId="39447B46" w14:textId="77777777" w:rsidR="004067E3" w:rsidRDefault="004067E3" w:rsidP="004067E3">
      <w:pPr>
        <w:pStyle w:val="Bibliography"/>
      </w:pPr>
      <w:r>
        <w:t xml:space="preserve">Safe Work Australia 2021b, </w:t>
      </w:r>
      <w:r>
        <w:rPr>
          <w:i/>
          <w:iCs/>
        </w:rPr>
        <w:t>Decision Regulation Impact Statement: Review of the model Work Health and Safety laws</w:t>
      </w:r>
      <w:r>
        <w:t>, viewed 30 June 2022, &lt;https://www.safeworkaustralia.gov.au/resources-and-publications/corporate-publications/decision-regulation-impact-statement-review-model-work-health-and-safety-laws&gt;.</w:t>
      </w:r>
    </w:p>
    <w:p w14:paraId="1339F3B1" w14:textId="77777777" w:rsidR="004067E3" w:rsidRDefault="004067E3" w:rsidP="004067E3">
      <w:pPr>
        <w:pStyle w:val="Bibliography"/>
      </w:pPr>
      <w:r>
        <w:t xml:space="preserve">Safe Work Australia 2021c, </w:t>
      </w:r>
      <w:r>
        <w:rPr>
          <w:i/>
          <w:iCs/>
        </w:rPr>
        <w:t>Clean Air. Clear Lungs.</w:t>
      </w:r>
      <w:r>
        <w:t>, viewed 30 June 2022, &lt;https://www.safeworkaustralia.gov.au/clearlungs&gt;.</w:t>
      </w:r>
    </w:p>
    <w:p w14:paraId="314676D0" w14:textId="77777777" w:rsidR="004067E3" w:rsidRDefault="004067E3" w:rsidP="004067E3">
      <w:pPr>
        <w:pStyle w:val="Bibliography"/>
      </w:pPr>
      <w:r>
        <w:t xml:space="preserve">Safe Work Australia 2022a, </w:t>
      </w:r>
      <w:r>
        <w:rPr>
          <w:i/>
          <w:iCs/>
        </w:rPr>
        <w:t>Model Code of Practice: Work health and safety consultation, cooperation and coordination</w:t>
      </w:r>
      <w:r>
        <w:t>, viewed 30 June 2022, &lt;https://www.safeworkaustralia.gov.au/doc/model-code-practice-work-health-and-safety-consultation-cooperation-and-coordination&gt;.</w:t>
      </w:r>
    </w:p>
    <w:p w14:paraId="7748D529" w14:textId="77777777" w:rsidR="004067E3" w:rsidRDefault="004067E3" w:rsidP="004067E3">
      <w:pPr>
        <w:pStyle w:val="Bibliography"/>
      </w:pPr>
      <w:r>
        <w:lastRenderedPageBreak/>
        <w:t xml:space="preserve">Safe Work Australia 2022b, </w:t>
      </w:r>
      <w:r>
        <w:rPr>
          <w:i/>
          <w:iCs/>
        </w:rPr>
        <w:t>Safe Work Australia Occupational Lung Diseases work plan</w:t>
      </w:r>
      <w:r>
        <w:t>, viewed 30 June 2022, &lt;https://www.safeworkaustralia.gov.au/doc/safe-work-australia-occupational-lung-diseases-work-plan&gt;.</w:t>
      </w:r>
    </w:p>
    <w:p w14:paraId="402690A9" w14:textId="77777777" w:rsidR="004067E3" w:rsidRDefault="004067E3" w:rsidP="004067E3">
      <w:pPr>
        <w:pStyle w:val="Bibliography"/>
      </w:pPr>
      <w:r>
        <w:t xml:space="preserve">Safe Work Australia 2022c, </w:t>
      </w:r>
      <w:r>
        <w:rPr>
          <w:i/>
          <w:iCs/>
        </w:rPr>
        <w:t>Working with silica and silica containing products</w:t>
      </w:r>
      <w:r>
        <w:t>, viewed 30 June 2022, &lt;https://www.safeworkaustralia.gov.au/doc/working-silica-and-silica-containing-products&gt;.</w:t>
      </w:r>
    </w:p>
    <w:p w14:paraId="22888C85" w14:textId="77777777" w:rsidR="004067E3" w:rsidRDefault="004067E3" w:rsidP="004067E3">
      <w:pPr>
        <w:pStyle w:val="Bibliography"/>
      </w:pPr>
      <w:r>
        <w:t xml:space="preserve">Safe Work Australia 2022d, </w:t>
      </w:r>
      <w:r>
        <w:rPr>
          <w:i/>
          <w:iCs/>
        </w:rPr>
        <w:t>Public Service (Subsection 24(1)—Safe Work Australia Non-SES Employees) Determination 2022</w:t>
      </w:r>
      <w:r>
        <w:t>, viewed 30 June 2022, &lt;https://www.safeworkaustralia.gov.au/doc/public-service-subsection-241-safe-work-australia-non-ses-employees-determination-2022&gt;.</w:t>
      </w:r>
    </w:p>
    <w:p w14:paraId="632A1A6C" w14:textId="77777777" w:rsidR="00715A81" w:rsidRDefault="00715A81" w:rsidP="00715A81">
      <w:pPr>
        <w:pStyle w:val="Bibliography"/>
        <w:rPr>
          <w:noProof/>
        </w:rPr>
      </w:pPr>
      <w:r>
        <w:rPr>
          <w:noProof/>
        </w:rPr>
        <w:t xml:space="preserve">SafeWork NSW. (2022). </w:t>
      </w:r>
      <w:r>
        <w:rPr>
          <w:i/>
          <w:iCs/>
          <w:noProof/>
        </w:rPr>
        <w:t>NSW Dust Disease Register Annual Report 2021-22.</w:t>
      </w:r>
      <w:r>
        <w:rPr>
          <w:noProof/>
        </w:rPr>
        <w:t xml:space="preserve"> Sydney: NSW Government. Retrieved from https://www.nsw.gov.au/sites/default/files/2022-10/nsw-dust-disease-register-annual-report-2021-22.pdf</w:t>
      </w:r>
    </w:p>
    <w:p w14:paraId="6B839E15" w14:textId="45074300" w:rsidR="004067E3" w:rsidRDefault="004067E3" w:rsidP="004067E3">
      <w:pPr>
        <w:pStyle w:val="Bibliography"/>
      </w:pPr>
      <w:r>
        <w:t xml:space="preserve">SafeWork NSW 2021, </w:t>
      </w:r>
      <w:r>
        <w:rPr>
          <w:i/>
          <w:iCs/>
        </w:rPr>
        <w:t>NSW Dust Disease Register Annual Report 2020-2021</w:t>
      </w:r>
      <w:r>
        <w:t>, viewed 30 June 2022, &lt;https://www.nsw.gov.au/sites/default/files/2021-08/nsw-dust-disease-register-annual-report-2020-21.pdf&gt;.</w:t>
      </w:r>
    </w:p>
    <w:p w14:paraId="33548EAE" w14:textId="77777777" w:rsidR="004067E3" w:rsidRDefault="004067E3" w:rsidP="004067E3">
      <w:pPr>
        <w:pStyle w:val="Bibliography"/>
      </w:pPr>
      <w:r>
        <w:t xml:space="preserve">SafeWork NSW 2022, </w:t>
      </w:r>
      <w:r>
        <w:rPr>
          <w:i/>
          <w:iCs/>
        </w:rPr>
        <w:t>Managing the risks of respirable crystalline silica from engineered stone in the workplace</w:t>
      </w:r>
      <w:r>
        <w:t xml:space="preserve">, </w:t>
      </w:r>
      <w:r>
        <w:rPr>
          <w:i/>
          <w:iCs/>
        </w:rPr>
        <w:t>SafeWork NSW</w:t>
      </w:r>
      <w:r>
        <w:t>, viewed 30 June 2022, &lt;https://www.safework.nsw.gov.au/resource-library/list-of-all-codes-of-practice/codes-of-practice/engineered-stone-code-of-practice&gt;.</w:t>
      </w:r>
    </w:p>
    <w:p w14:paraId="4DF27736" w14:textId="6A81D747" w:rsidR="004067E3" w:rsidRDefault="004067E3" w:rsidP="004067E3">
      <w:pPr>
        <w:pStyle w:val="Bibliography"/>
      </w:pPr>
      <w:r>
        <w:t xml:space="preserve">SafeWork SA 2019, </w:t>
      </w:r>
      <w:r>
        <w:rPr>
          <w:i/>
          <w:iCs/>
        </w:rPr>
        <w:t>Respirable Crystalline Silica Compliance Program - 2019 Audit Report</w:t>
      </w:r>
      <w:r>
        <w:t>, viewed 30 June 2022, &lt;https://www.safework.sa.gov.au/__data/assets/pdf_file/0010/187624/rcs_compliance_audit_report_2019.pdf&gt;</w:t>
      </w:r>
    </w:p>
    <w:p w14:paraId="69D42FD3" w14:textId="77777777" w:rsidR="004067E3" w:rsidRDefault="004067E3" w:rsidP="004067E3">
      <w:pPr>
        <w:pStyle w:val="Bibliography"/>
      </w:pPr>
      <w:r>
        <w:t xml:space="preserve">SafeWork SA 2021, </w:t>
      </w:r>
      <w:r>
        <w:rPr>
          <w:i/>
          <w:iCs/>
        </w:rPr>
        <w:t>Respirable Crystalline Silica Campaign Report 2020-21</w:t>
      </w:r>
      <w:r>
        <w:t>, viewed 30 June 2022, &lt;https://www.safework.sa.gov.au/__data/assets/pdf_file/0006/469833/Respirable-Crystalline-Silica-Campaign-Report-2020-21.pdf&gt;.</w:t>
      </w:r>
    </w:p>
    <w:p w14:paraId="0C3BB05C" w14:textId="77777777" w:rsidR="004067E3" w:rsidRDefault="004067E3" w:rsidP="004067E3">
      <w:pPr>
        <w:pStyle w:val="Bibliography"/>
      </w:pPr>
      <w:r>
        <w:t xml:space="preserve">Seevnarain, K, Burke, N, &amp; Newbigin, K 2021, ‘Case series analysis of eight underground tunnellers with chronic silicosis in Queensland’, </w:t>
      </w:r>
      <w:r>
        <w:rPr>
          <w:i/>
          <w:iCs/>
        </w:rPr>
        <w:t>Respirology Case Reports</w:t>
      </w:r>
      <w:r>
        <w:t>, vol. 9, no. 6, p. e00756.</w:t>
      </w:r>
    </w:p>
    <w:p w14:paraId="68E972D1" w14:textId="445F2896" w:rsidR="004067E3" w:rsidRDefault="004067E3" w:rsidP="004067E3">
      <w:pPr>
        <w:pStyle w:val="Bibliography"/>
      </w:pPr>
      <w:r>
        <w:t xml:space="preserve">Si, S et al. 2016, ‘The Australian Work Exposures Study: Prevalence of Occupational Exposure to Respirable Crystalline Silica’, </w:t>
      </w:r>
      <w:r>
        <w:rPr>
          <w:i/>
          <w:iCs/>
        </w:rPr>
        <w:t>The Annals of Occupational Hygiene</w:t>
      </w:r>
      <w:r>
        <w:t>, vol. 60, no. 5, p. 631–637.</w:t>
      </w:r>
    </w:p>
    <w:p w14:paraId="33B32EDB" w14:textId="77777777" w:rsidR="00715A81" w:rsidRDefault="00715A81" w:rsidP="00715A81">
      <w:pPr>
        <w:pStyle w:val="Bibliography"/>
        <w:rPr>
          <w:noProof/>
        </w:rPr>
      </w:pPr>
      <w:r>
        <w:rPr>
          <w:noProof/>
        </w:rPr>
        <w:t xml:space="preserve">State of Queensland (Queensland Health). (2022). </w:t>
      </w:r>
      <w:r>
        <w:rPr>
          <w:i/>
          <w:iCs/>
          <w:noProof/>
        </w:rPr>
        <w:t>Notifiable Dust Lung Disease Register annual report 2021-2022.</w:t>
      </w:r>
      <w:r>
        <w:rPr>
          <w:noProof/>
        </w:rPr>
        <w:t xml:space="preserve"> Brisbane.</w:t>
      </w:r>
    </w:p>
    <w:p w14:paraId="5EE69B02" w14:textId="77777777" w:rsidR="004067E3" w:rsidRDefault="004067E3" w:rsidP="004067E3">
      <w:pPr>
        <w:pStyle w:val="Bibliography"/>
      </w:pPr>
      <w:r>
        <w:t xml:space="preserve">ThinkPlace 2018, </w:t>
      </w:r>
      <w:r>
        <w:rPr>
          <w:i/>
          <w:iCs/>
        </w:rPr>
        <w:t>Insights report: Exploring dust exposure in the stone industry</w:t>
      </w:r>
      <w:r>
        <w:t>, viewed 30 June 2022, &lt;https://www.safeworkaustralia.gov.au/system/files/documents/1903/insights-report-exploring-dust-exposure-stone-industry.pdf&gt;.</w:t>
      </w:r>
    </w:p>
    <w:p w14:paraId="4FD588D2" w14:textId="7A5A5F0D" w:rsidR="004067E3" w:rsidRDefault="00D418B5" w:rsidP="004067E3">
      <w:pPr>
        <w:pStyle w:val="Bibliography"/>
      </w:pPr>
      <w:r>
        <w:t>Mining and Quarrying Occupational Health and Safety Committee</w:t>
      </w:r>
      <w:r w:rsidR="004067E3">
        <w:t xml:space="preserve"> 2020, </w:t>
      </w:r>
      <w:r w:rsidR="004067E3">
        <w:rPr>
          <w:i/>
          <w:iCs/>
        </w:rPr>
        <w:t>Silicosis Health Screening Program Baseline findings – September 2020</w:t>
      </w:r>
      <w:r w:rsidR="004067E3">
        <w:t>, viewed 30 June 2022, &lt;https://www.safework.sa.gov.au/workplaces/chemicals-substances-and-explosives/documents/Silicosis-Health-Screening-Program-Baseline-Findings.pdf&gt;.</w:t>
      </w:r>
    </w:p>
    <w:p w14:paraId="4DEECC1C" w14:textId="29BFA611" w:rsidR="004067E3" w:rsidRDefault="004067E3" w:rsidP="004067E3">
      <w:pPr>
        <w:pStyle w:val="Bibliography"/>
      </w:pPr>
      <w:r>
        <w:t xml:space="preserve">WorkSafe ACT 2020, </w:t>
      </w:r>
      <w:r>
        <w:rPr>
          <w:i/>
          <w:iCs/>
        </w:rPr>
        <w:t>Silica dust</w:t>
      </w:r>
      <w:r>
        <w:t>, viewed 30 June 2022, &lt;https://www.worksafe.act.gov.au/health-and-safety-portal/safety-topics/dangerous-goods-and-hazardous-substances/silica-dust&gt;.</w:t>
      </w:r>
    </w:p>
    <w:p w14:paraId="5D19369F" w14:textId="77777777" w:rsidR="004067E3" w:rsidRDefault="004067E3" w:rsidP="004067E3">
      <w:pPr>
        <w:pStyle w:val="Bibliography"/>
      </w:pPr>
      <w:r>
        <w:t xml:space="preserve">WorkSafe ACT 2021, </w:t>
      </w:r>
      <w:r>
        <w:rPr>
          <w:i/>
          <w:iCs/>
        </w:rPr>
        <w:t>Guidance note crystalline silica dust</w:t>
      </w:r>
      <w:r>
        <w:t>, viewed 30 June 2022, &lt;https://www.worksafe.act.gov.au/__data/assets/pdf_file/0011/1793342/WorkSafe-ACT-Crystalline-Silica-Dust-Guidance-note.pdf&gt;.</w:t>
      </w:r>
    </w:p>
    <w:p w14:paraId="2B51538B" w14:textId="77777777" w:rsidR="004067E3" w:rsidRDefault="004067E3" w:rsidP="004067E3">
      <w:pPr>
        <w:pStyle w:val="Bibliography"/>
      </w:pPr>
      <w:r>
        <w:lastRenderedPageBreak/>
        <w:t xml:space="preserve">WorkSafe ACT 2022, </w:t>
      </w:r>
      <w:r>
        <w:rPr>
          <w:i/>
          <w:iCs/>
        </w:rPr>
        <w:t>Managing silica dust at construction sites</w:t>
      </w:r>
      <w:r>
        <w:t>, viewed 30 June 2022, &lt;https://www.worksafe.act.gov.au/__data/assets/pdf_file/0005/1931765/Guidance-note-Managing-silica-dust-at-construction-sites.pdf&gt;.</w:t>
      </w:r>
    </w:p>
    <w:p w14:paraId="5197E983" w14:textId="77777777" w:rsidR="009E27B3" w:rsidRDefault="009E27B3" w:rsidP="009E27B3">
      <w:pPr>
        <w:pStyle w:val="Bibliography"/>
        <w:rPr>
          <w:noProof/>
        </w:rPr>
      </w:pPr>
      <w:r>
        <w:rPr>
          <w:noProof/>
        </w:rPr>
        <w:t xml:space="preserve">WorkSafe ACT 2022. </w:t>
      </w:r>
      <w:r>
        <w:rPr>
          <w:i/>
          <w:iCs/>
          <w:noProof/>
        </w:rPr>
        <w:t>Silica dust exposure in the ACT research report.</w:t>
      </w:r>
      <w:r>
        <w:rPr>
          <w:noProof/>
        </w:rPr>
        <w:t xml:space="preserve"> Canberra: ThinkPlace. Viewed 9 January 2023, &lt;https://www.worksafe.act.gov.au/__data/assets/pdf_file/0007/2138272/WorkSafe-ACT-Silica-dust-exposure-in-the-ACT.pdf&gt;.</w:t>
      </w:r>
    </w:p>
    <w:p w14:paraId="3AEDA166" w14:textId="36C78755" w:rsidR="00F32297" w:rsidRDefault="00F32297" w:rsidP="00A36536">
      <w:pPr>
        <w:pStyle w:val="Bibliography"/>
        <w:rPr>
          <w:noProof/>
        </w:rPr>
      </w:pPr>
      <w:r>
        <w:rPr>
          <w:noProof/>
        </w:rPr>
        <w:t xml:space="preserve">WorkSafe ACT 2023. </w:t>
      </w:r>
      <w:r>
        <w:rPr>
          <w:i/>
          <w:iCs/>
          <w:noProof/>
        </w:rPr>
        <w:t>Silica dust - new silica dust regulations for the ACT</w:t>
      </w:r>
      <w:r>
        <w:rPr>
          <w:noProof/>
        </w:rPr>
        <w:t xml:space="preserve">. </w:t>
      </w:r>
      <w:r w:rsidR="00A36536">
        <w:rPr>
          <w:noProof/>
        </w:rPr>
        <w:t>Viewed 9 January 2023,</w:t>
      </w:r>
      <w:r>
        <w:rPr>
          <w:noProof/>
        </w:rPr>
        <w:t xml:space="preserve"> </w:t>
      </w:r>
      <w:r w:rsidR="00A36536">
        <w:rPr>
          <w:noProof/>
        </w:rPr>
        <w:t>&lt;</w:t>
      </w:r>
      <w:r>
        <w:rPr>
          <w:noProof/>
        </w:rPr>
        <w:t>https://www.worksafe.act.gov.au/health-and-safety-portal/safety-topics/dangerous-goods-and-hazardous-substances/silica-</w:t>
      </w:r>
      <w:r w:rsidR="00A36536">
        <w:rPr>
          <w:noProof/>
        </w:rPr>
        <w:t>d</w:t>
      </w:r>
      <w:r>
        <w:rPr>
          <w:noProof/>
        </w:rPr>
        <w:t>ust#:~:text=Occupations%20and%20tasks%20that%20can%20lead%20to%20exposure&amp;text=The%20effect%20of%20the%20declaration,Prevention%20befor</w:t>
      </w:r>
      <w:r w:rsidR="00A36536">
        <w:rPr>
          <w:noProof/>
        </w:rPr>
        <w:t>&gt;</w:t>
      </w:r>
    </w:p>
    <w:p w14:paraId="69FED6E8" w14:textId="77777777" w:rsidR="004067E3" w:rsidRDefault="004067E3" w:rsidP="004067E3">
      <w:pPr>
        <w:pStyle w:val="Bibliography"/>
      </w:pPr>
      <w:r>
        <w:t xml:space="preserve">WorkSafe Tasmania 2019, </w:t>
      </w:r>
      <w:r>
        <w:rPr>
          <w:i/>
          <w:iCs/>
        </w:rPr>
        <w:t>Silica Dust Awareness Campaign 2019</w:t>
      </w:r>
      <w:r>
        <w:t>, 10, viewed 30 June 2022, &lt;https://worksafe.tas.gov.au/__data/assets/pdf_file/0007/548971/Silica-Dust-Awareness-Campaign-Kit.pdf&gt;.</w:t>
      </w:r>
    </w:p>
    <w:p w14:paraId="70877332" w14:textId="77777777" w:rsidR="004067E3" w:rsidRDefault="004067E3" w:rsidP="004067E3">
      <w:pPr>
        <w:pStyle w:val="Bibliography"/>
      </w:pPr>
      <w:r>
        <w:t xml:space="preserve">WorkSafe Tasmania 2022, </w:t>
      </w:r>
      <w:r>
        <w:rPr>
          <w:i/>
          <w:iCs/>
        </w:rPr>
        <w:t>Managing the risks of respirable crystalline silica from engineered stone in the workplace</w:t>
      </w:r>
      <w:r>
        <w:t>, viewed 30 June 2022, &lt;https://worksafe.tas.gov.au/topics/laws-and-compliance/codes-of-practice/cop-folder/managing-the-risks-of-respirable-crystalline-silica-from-engineered-stone-in-the-workplace&gt;.</w:t>
      </w:r>
    </w:p>
    <w:p w14:paraId="175B3B1B" w14:textId="77777777" w:rsidR="004067E3" w:rsidRDefault="004067E3" w:rsidP="004067E3">
      <w:pPr>
        <w:pStyle w:val="Bibliography"/>
      </w:pPr>
      <w:r>
        <w:t>WorkSafe Victoria 2020, ‘Compliance Code: Managing Exposure to Crystalline Silica - Engineered Stone’, viewed 30 June 2022, &lt;https://content.api.worksafe.vic.gov.au/sites/default/files/2020-02/ISBN-Compliance-code-managing-exposure-crystalline-silica-engineered-stone-2020-02.pdf&gt;.</w:t>
      </w:r>
    </w:p>
    <w:p w14:paraId="21F72AB1" w14:textId="77777777" w:rsidR="004067E3" w:rsidRDefault="004067E3" w:rsidP="004067E3">
      <w:pPr>
        <w:pStyle w:val="Bibliography"/>
      </w:pPr>
      <w:r>
        <w:t xml:space="preserve">WorkSafe Victoria 2021, </w:t>
      </w:r>
      <w:r>
        <w:rPr>
          <w:i/>
          <w:iCs/>
        </w:rPr>
        <w:t>Changes to protect Victorians working with crystalline silica</w:t>
      </w:r>
      <w:r>
        <w:t>, viewed 24 June 2022, &lt;https://www.worksafe.vic.gov.au/changes-protect-victorians-working-crystalline-silica&gt;.</w:t>
      </w:r>
    </w:p>
    <w:p w14:paraId="222D7E67" w14:textId="77777777" w:rsidR="004067E3" w:rsidRDefault="004067E3" w:rsidP="004067E3">
      <w:pPr>
        <w:pStyle w:val="Bibliography"/>
      </w:pPr>
      <w:r>
        <w:t xml:space="preserve">WorkSafe Western Australia 2018, </w:t>
      </w:r>
      <w:r>
        <w:rPr>
          <w:i/>
          <w:iCs/>
        </w:rPr>
        <w:t>Safety alert 11/2018 - Stone benchtop workers at risk of silicosis</w:t>
      </w:r>
      <w:r>
        <w:t>, viewed 28 June 2022, &lt;https://www.commerce.wa.gov.au/publications/safety-alert-112018-stone-benchtop-workers-risk-silicosis&gt;.</w:t>
      </w:r>
    </w:p>
    <w:p w14:paraId="4656EE70" w14:textId="77777777" w:rsidR="004067E3" w:rsidRDefault="004067E3" w:rsidP="004067E3">
      <w:pPr>
        <w:pStyle w:val="Bibliography"/>
      </w:pPr>
      <w:r>
        <w:t xml:space="preserve">WorkSafe Western Australia 2021, </w:t>
      </w:r>
      <w:r>
        <w:rPr>
          <w:i/>
          <w:iCs/>
        </w:rPr>
        <w:t>WorkSafe Western Australia silica compliance project - report</w:t>
      </w:r>
      <w:r>
        <w:t>, viewed 30 June 2022, &lt;https://www.commerce.wa.gov.au/sites/default/files/atoms/files/silica_compliance_report.pdf&gt;.</w:t>
      </w:r>
    </w:p>
    <w:p w14:paraId="5F19C6A4" w14:textId="56381595" w:rsidR="00C75317" w:rsidRPr="009D0A4A" w:rsidRDefault="006B4A7D" w:rsidP="00E0510C">
      <w:pPr>
        <w:pStyle w:val="Heading1"/>
        <w:numPr>
          <w:ilvl w:val="0"/>
          <w:numId w:val="0"/>
        </w:numPr>
      </w:pPr>
      <w:r w:rsidRPr="009D0A4A">
        <w:fldChar w:fldCharType="end"/>
      </w:r>
    </w:p>
    <w:p w14:paraId="77361106" w14:textId="77777777" w:rsidR="00C75317" w:rsidRPr="009D0A4A" w:rsidRDefault="00C75317">
      <w:pPr>
        <w:rPr>
          <w:rFonts w:asciiTheme="majorHAnsi" w:hAnsiTheme="majorHAnsi"/>
          <w:b/>
          <w:color w:val="014463" w:themeColor="text2"/>
          <w:sz w:val="60"/>
          <w:szCs w:val="60"/>
        </w:rPr>
      </w:pPr>
      <w:r w:rsidRPr="009D0A4A">
        <w:br w:type="page"/>
      </w:r>
    </w:p>
    <w:p w14:paraId="30868A13" w14:textId="7AE67C28" w:rsidR="00262C50" w:rsidRPr="009D0A4A" w:rsidRDefault="00262C50" w:rsidP="00E0510C">
      <w:pPr>
        <w:pStyle w:val="Heading1"/>
        <w:numPr>
          <w:ilvl w:val="0"/>
          <w:numId w:val="0"/>
        </w:numPr>
      </w:pPr>
      <w:bookmarkStart w:id="705" w:name="_Toc126573244"/>
      <w:r>
        <w:lastRenderedPageBreak/>
        <w:t>Appendix A</w:t>
      </w:r>
      <w:r w:rsidR="00F84B44">
        <w:t>:</w:t>
      </w:r>
      <w:r>
        <w:t xml:space="preserve"> Legislative and regulatory framework for crystalline silica under the model WHS laws</w:t>
      </w:r>
      <w:bookmarkEnd w:id="702"/>
      <w:bookmarkEnd w:id="705"/>
    </w:p>
    <w:p w14:paraId="25825619" w14:textId="77777777" w:rsidR="00262C50" w:rsidRPr="009D0A4A" w:rsidRDefault="00262C50" w:rsidP="007C2A48">
      <w:pPr>
        <w:pStyle w:val="Heading5"/>
      </w:pPr>
      <w:r w:rsidRPr="009D0A4A">
        <w:t>What are the duties of PCBUs?</w:t>
      </w:r>
    </w:p>
    <w:p w14:paraId="142DB55B" w14:textId="3BEFFAC6" w:rsidR="00262C50" w:rsidRPr="009D0A4A" w:rsidRDefault="00262C50" w:rsidP="007C2A48">
      <w:pPr>
        <w:pStyle w:val="BodyText"/>
      </w:pPr>
      <w:r w:rsidRPr="009D0A4A">
        <w:t xml:space="preserve">Under the model WHS laws, a PCBU has a primary duty of care to ensure the health and safety of workers while they are at work in the business or undertaking and </w:t>
      </w:r>
      <w:r w:rsidR="00951981" w:rsidRPr="009D0A4A">
        <w:t>that the health and safety of</w:t>
      </w:r>
      <w:r w:rsidRPr="009D0A4A">
        <w:t xml:space="preserve"> others </w:t>
      </w:r>
      <w:r w:rsidR="00951981" w:rsidRPr="009D0A4A">
        <w:t>is not put at risk from</w:t>
      </w:r>
      <w:r w:rsidRPr="009D0A4A">
        <w:t xml:space="preserve"> carrying out of the work. </w:t>
      </w:r>
    </w:p>
    <w:p w14:paraId="38932758" w14:textId="6503C79D" w:rsidR="00262C50" w:rsidRPr="009D0A4A" w:rsidRDefault="00262C50" w:rsidP="007C2A48">
      <w:pPr>
        <w:pStyle w:val="BodyText"/>
      </w:pPr>
      <w:r w:rsidRPr="009D0A4A">
        <w:t>A PCBU is often an employer. However, the concept of PCBUs also captures modern work relationships outside of the traditional contract of employment. For example, it includes</w:t>
      </w:r>
      <w:r w:rsidR="00951981" w:rsidRPr="009D0A4A">
        <w:t xml:space="preserve"> principal and subcontractor relationships,</w:t>
      </w:r>
      <w:r w:rsidRPr="009D0A4A">
        <w:t xml:space="preserve"> host employers in a labour hire arrangement, as well as multiple employers in sub-contracting arrangements.</w:t>
      </w:r>
    </w:p>
    <w:p w14:paraId="00593928" w14:textId="2589E271" w:rsidR="00262C50" w:rsidRPr="009D0A4A" w:rsidRDefault="00262C50" w:rsidP="007C2A48">
      <w:pPr>
        <w:pStyle w:val="BodyText"/>
      </w:pPr>
      <w:r w:rsidRPr="009D0A4A">
        <w:t>It is the PCBU’s responsibility to eliminate risks arising from exposure to RCS or, where not reasonably practicable</w:t>
      </w:r>
      <w:r w:rsidRPr="009D0A4A">
        <w:rPr>
          <w:rStyle w:val="FootnoteReference"/>
        </w:rPr>
        <w:footnoteReference w:id="26"/>
      </w:r>
      <w:r w:rsidRPr="009D0A4A">
        <w:t>, minimise the risks so far as is reasonably practicable to workers and other persons at the workplace</w:t>
      </w:r>
      <w:r w:rsidRPr="009D0A4A">
        <w:rPr>
          <w:vertAlign w:val="superscript"/>
        </w:rPr>
        <w:footnoteReference w:id="27"/>
      </w:r>
      <w:r w:rsidRPr="009D0A4A">
        <w:t>. This includes the maintenance and monitoring of the workplace environment, as well as the provision of information, training, instruction, or supervision to protect people from risks to their health and safety.</w:t>
      </w:r>
      <w:r w:rsidR="00722C6A" w:rsidRPr="009D0A4A">
        <w:rPr>
          <w:vertAlign w:val="superscript"/>
        </w:rPr>
        <w:footnoteReference w:id="28"/>
      </w:r>
      <w:r w:rsidRPr="009D0A4A">
        <w:t xml:space="preserve"> PCBUs must also, so far as is reasonably </w:t>
      </w:r>
      <w:r w:rsidR="00766B90" w:rsidRPr="009D0A4A">
        <w:t>practicable</w:t>
      </w:r>
      <w:r w:rsidRPr="009D0A4A">
        <w:t>, consult with workers who carry out work for the business or undertaking</w:t>
      </w:r>
      <w:r w:rsidR="00951981" w:rsidRPr="009D0A4A">
        <w:t xml:space="preserve"> </w:t>
      </w:r>
      <w:r w:rsidRPr="009D0A4A">
        <w:t xml:space="preserve">who are </w:t>
      </w:r>
      <w:r w:rsidR="00951981" w:rsidRPr="009D0A4A">
        <w:t xml:space="preserve">or are likely to be </w:t>
      </w:r>
      <w:r w:rsidRPr="009D0A4A">
        <w:t>directly affected by a work health and safety matter.</w:t>
      </w:r>
      <w:r w:rsidRPr="009D0A4A">
        <w:rPr>
          <w:vertAlign w:val="superscript"/>
        </w:rPr>
        <w:footnoteReference w:id="29"/>
      </w:r>
      <w:r w:rsidRPr="009D0A4A">
        <w:t xml:space="preserve"> </w:t>
      </w:r>
      <w:r w:rsidR="00951981" w:rsidRPr="009D0A4A">
        <w:t>PCBUs must also consult with the workers’ health and safety representatives on work health and safety matters.</w:t>
      </w:r>
      <w:r w:rsidR="00951981" w:rsidRPr="009D0A4A">
        <w:rPr>
          <w:rStyle w:val="FootnoteReference"/>
        </w:rPr>
        <w:footnoteReference w:id="30"/>
      </w:r>
      <w:r w:rsidR="00951981" w:rsidRPr="009D0A4A">
        <w:t xml:space="preserve"> </w:t>
      </w:r>
      <w:r w:rsidR="00766B90" w:rsidRPr="009D0A4A">
        <w:t>For PCBUs working with RCS, examples of when c</w:t>
      </w:r>
      <w:r w:rsidRPr="009D0A4A">
        <w:t xml:space="preserve">onsultation must occur include </w:t>
      </w:r>
      <w:r w:rsidR="00766B90" w:rsidRPr="009D0A4A">
        <w:t xml:space="preserve">when </w:t>
      </w:r>
      <w:r w:rsidRPr="009D0A4A">
        <w:t xml:space="preserve">preparing risk assessments and </w:t>
      </w:r>
      <w:r w:rsidR="00951981" w:rsidRPr="009D0A4A">
        <w:t xml:space="preserve">SWMS, </w:t>
      </w:r>
      <w:r w:rsidRPr="009D0A4A">
        <w:t>developing a silica dust control plan, deciding on control measures and selecting the medical practitioner to undertake health monitoring.</w:t>
      </w:r>
      <w:r w:rsidRPr="009D0A4A">
        <w:rPr>
          <w:vertAlign w:val="superscript"/>
        </w:rPr>
        <w:footnoteReference w:id="31"/>
      </w:r>
      <w:r w:rsidRPr="009D0A4A">
        <w:t xml:space="preserve"> </w:t>
      </w:r>
    </w:p>
    <w:p w14:paraId="35C0C67E" w14:textId="542AA2C2" w:rsidR="00951981" w:rsidRPr="009D0A4A" w:rsidRDefault="00951981" w:rsidP="007C2A48">
      <w:pPr>
        <w:pStyle w:val="BodyText"/>
      </w:pPr>
      <w:r w:rsidRPr="009D0A4A">
        <w:t>Where there is more than one person responsible for a duty in relation to the same WHS matter, each person with the duty must, so far as is reasonably practicable, consult, cooperate and coordinate activities with all other persons who also owe the have a duty in relation to the same matter.</w:t>
      </w:r>
      <w:r w:rsidRPr="009D0A4A">
        <w:rPr>
          <w:vertAlign w:val="superscript"/>
        </w:rPr>
        <w:footnoteReference w:id="32"/>
      </w:r>
      <w:r w:rsidRPr="009D0A4A">
        <w:t xml:space="preserve">   </w:t>
      </w:r>
    </w:p>
    <w:p w14:paraId="6540D40F" w14:textId="77777777" w:rsidR="00262C50" w:rsidRPr="009D0A4A" w:rsidRDefault="00262C50" w:rsidP="007C2A48">
      <w:pPr>
        <w:pStyle w:val="Heading5"/>
      </w:pPr>
      <w:r w:rsidRPr="009D0A4A">
        <w:lastRenderedPageBreak/>
        <w:t>Workplace exposure standard for RCS</w:t>
      </w:r>
    </w:p>
    <w:p w14:paraId="031435DE" w14:textId="73003ADE" w:rsidR="00262C50" w:rsidRPr="009D0A4A" w:rsidRDefault="00262C50" w:rsidP="007C2A48">
      <w:pPr>
        <w:pStyle w:val="BodyText"/>
      </w:pPr>
      <w:r w:rsidRPr="009D0A4A">
        <w:t>A PCBU must ensure that no person at the workplace is exposed to a substance or mixture in an airborne concentration that exceeds the exposure standard for the substance or mixture.</w:t>
      </w:r>
      <w:r w:rsidRPr="009D0A4A">
        <w:rPr>
          <w:vertAlign w:val="superscript"/>
        </w:rPr>
        <w:footnoteReference w:id="33"/>
      </w:r>
      <w:r w:rsidRPr="009D0A4A">
        <w:t xml:space="preserve"> The duty to ensure the </w:t>
      </w:r>
      <w:r w:rsidR="00766B90" w:rsidRPr="009D0A4A">
        <w:t>WES</w:t>
      </w:r>
      <w:r w:rsidRPr="009D0A4A">
        <w:t xml:space="preserve"> is not exceeded is absolute and not qualified by so far as is reasonably practicable. A </w:t>
      </w:r>
      <w:r w:rsidR="00E73EFC" w:rsidRPr="009D0A4A">
        <w:t>WES</w:t>
      </w:r>
      <w:r w:rsidRPr="009D0A4A">
        <w:t xml:space="preserve"> must not be adjusted upwards, even for shifts of less than eight hours</w:t>
      </w:r>
      <w:r w:rsidR="00722C6A" w:rsidRPr="009D0A4A">
        <w:t xml:space="preserve"> </w:t>
      </w:r>
      <w:r w:rsidR="00722C6A" w:rsidRPr="009D0A4A">
        <w:fldChar w:fldCharType="begin"/>
      </w:r>
      <w:r w:rsidR="004067E3">
        <w:instrText xml:space="preserve"> ADDIN ZOTERO_ITEM CSL_CITATION {"citationID":"3eTeH8Ks","properties":{"formattedCitation":"(Safe Work Australia 2021a)","plainCitation":"(Safe Work Australia 2021a)","noteIndex":0},"citationItems":[{"id":815,"uris":["http://zotero.org/users/6230888/items/VLQNCP7D"],"itemData":{"id":815,"type":"report","page":"59","title":"Model Code of Practice: Managing the risks of respirable crystalline silica from engineered stone in the workplace","URL":"https://www.safeworkaustralia.gov.au/doc/model-code-practice-managing-risks-respirable-crystalline-silica-engineered-stone-workplace","author":[{"literal":"Safe Work Australia"}],"accessed":{"date-parts":[["2022",6,30]]},"issued":{"date-parts":[["2021"]]}}}],"schema":"https://github.com/citation-style-language/schema/raw/master/csl-citation.json"} </w:instrText>
      </w:r>
      <w:r w:rsidR="00722C6A" w:rsidRPr="009D0A4A">
        <w:fldChar w:fldCharType="separate"/>
      </w:r>
      <w:r w:rsidR="006B4A7D" w:rsidRPr="009D0A4A">
        <w:rPr>
          <w:rFonts w:ascii="Calibri" w:hAnsi="Calibri" w:cs="Calibri"/>
        </w:rPr>
        <w:t>(Safe Work Australia 2021a)</w:t>
      </w:r>
      <w:r w:rsidR="00722C6A" w:rsidRPr="009D0A4A">
        <w:fldChar w:fldCharType="end"/>
      </w:r>
      <w:r w:rsidRPr="009D0A4A">
        <w:t>.</w:t>
      </w:r>
    </w:p>
    <w:p w14:paraId="39634723" w14:textId="1A77B27C" w:rsidR="00262C50" w:rsidRPr="009D0A4A" w:rsidRDefault="00262C50" w:rsidP="007C2A48">
      <w:pPr>
        <w:pStyle w:val="BodyText"/>
        <w:rPr>
          <w:rFonts w:cstheme="minorHAnsi"/>
          <w:szCs w:val="24"/>
        </w:rPr>
      </w:pPr>
      <w:r w:rsidRPr="009D0A4A">
        <w:rPr>
          <w:rFonts w:cstheme="minorHAnsi"/>
          <w:szCs w:val="24"/>
        </w:rPr>
        <w:t xml:space="preserve">This means that a PCBU must ensure that no person at the workplace is exposed to RCS at a concentration above the </w:t>
      </w:r>
      <w:r w:rsidR="00E73EFC" w:rsidRPr="009D0A4A">
        <w:rPr>
          <w:rFonts w:cstheme="minorHAnsi"/>
          <w:szCs w:val="24"/>
        </w:rPr>
        <w:t xml:space="preserve">WES, which </w:t>
      </w:r>
      <w:r w:rsidR="00E73EFC" w:rsidRPr="009D0A4A">
        <w:t>is an eight-hour TWA of 0.05 mg/m</w:t>
      </w:r>
      <w:r w:rsidR="00E73EFC" w:rsidRPr="009D0A4A">
        <w:rPr>
          <w:vertAlign w:val="superscript"/>
        </w:rPr>
        <w:t>3</w:t>
      </w:r>
      <w:r w:rsidR="00E73EFC" w:rsidRPr="009D0A4A">
        <w:t xml:space="preserve">. </w:t>
      </w:r>
      <w:r w:rsidRPr="009D0A4A">
        <w:rPr>
          <w:rFonts w:cstheme="minorHAnsi"/>
          <w:szCs w:val="24"/>
        </w:rPr>
        <w:t xml:space="preserve">An exposure standard represents the airborne concentration of a particular substance or mixture that must not be exceeded. However, it does not represent a line between a ‘safe’ and ‘unsafe’ concentration of an airborne substance or mixture. The exposure standard does not eliminate risk of disease and some people might experience adverse health effects below the exposure standard. </w:t>
      </w:r>
    </w:p>
    <w:p w14:paraId="7238778E" w14:textId="77777777" w:rsidR="00262C50" w:rsidRPr="009D0A4A" w:rsidRDefault="00262C50" w:rsidP="007C2A48">
      <w:pPr>
        <w:pStyle w:val="Heading5"/>
      </w:pPr>
      <w:r w:rsidRPr="009D0A4A">
        <w:t>Air monitoring</w:t>
      </w:r>
    </w:p>
    <w:p w14:paraId="7B4F6770" w14:textId="71A7CE34" w:rsidR="00262C50" w:rsidRPr="009D0A4A" w:rsidRDefault="00262C50" w:rsidP="007C2A48">
      <w:pPr>
        <w:pStyle w:val="BodyText"/>
      </w:pPr>
      <w:r w:rsidRPr="009D0A4A">
        <w:t xml:space="preserve">A PCBU must undertake air monitoring in the breathing zone of workers </w:t>
      </w:r>
      <w:r w:rsidR="005F604B" w:rsidRPr="009D0A4A">
        <w:fldChar w:fldCharType="begin"/>
      </w:r>
      <w:r w:rsidR="004067E3">
        <w:instrText xml:space="preserve"> ADDIN ZOTERO_ITEM CSL_CITATION {"citationID":"bvw1dB5y","properties":{"formattedCitation":"(Safe Work Australia 2013)","plainCitation":"(Safe Work Australia 2013)","noteIndex":0},"citationItems":[{"id":906,"uris":["http://zotero.org/users/6230888/items/8YYZRRMQ"],"itemData":{"id":906,"type":"report","page":"43","title":"Workplace Exposure Standards for Airborne Contaminants","URL":"https://www.safeworkaustralia.gov.au/system/files/documents/1705/workplace-exposure-standards-airborne-contaminants-v2.pdf","author":[{"literal":"Safe Work Australia"}],"accessed":{"date-parts":[["2022",6,30]]},"issued":{"date-parts":[["2013"]]}}}],"schema":"https://github.com/citation-style-language/schema/raw/master/csl-citation.json"} </w:instrText>
      </w:r>
      <w:r w:rsidR="005F604B" w:rsidRPr="009D0A4A">
        <w:fldChar w:fldCharType="separate"/>
      </w:r>
      <w:r w:rsidR="006B4A7D" w:rsidRPr="009D0A4A">
        <w:rPr>
          <w:rFonts w:ascii="Calibri" w:hAnsi="Calibri" w:cs="Calibri"/>
        </w:rPr>
        <w:t>(Safe Work Australia 2013)</w:t>
      </w:r>
      <w:r w:rsidR="005F604B" w:rsidRPr="009D0A4A">
        <w:fldChar w:fldCharType="end"/>
      </w:r>
      <w:r w:rsidR="005F604B" w:rsidRPr="009D0A4A">
        <w:t xml:space="preserve"> </w:t>
      </w:r>
      <w:r w:rsidRPr="009D0A4A">
        <w:t>if there is uncertainty that the workplace exposure standard is being exceeded or if it is necessary to determine whether there is a risk to a worker’s health.</w:t>
      </w:r>
      <w:r w:rsidRPr="009D0A4A">
        <w:rPr>
          <w:vertAlign w:val="superscript"/>
        </w:rPr>
        <w:footnoteReference w:id="34"/>
      </w:r>
      <w:r w:rsidRPr="009D0A4A">
        <w:t xml:space="preserve"> Air monitoring records must be kept for a period of 30 years and must be readily accessible to persons in the workplace who may be exposed to RCS.</w:t>
      </w:r>
      <w:r w:rsidRPr="009D0A4A">
        <w:rPr>
          <w:vertAlign w:val="superscript"/>
        </w:rPr>
        <w:footnoteReference w:id="35"/>
      </w:r>
      <w:r w:rsidRPr="009D0A4A">
        <w:t xml:space="preserve"> The air monitoring report should be made available to a work health and safety inspector on request and to a registered medical practitioner carrying out or supervising health monitoring</w:t>
      </w:r>
      <w:r w:rsidR="005F604B" w:rsidRPr="009D0A4A">
        <w:t xml:space="preserve"> </w:t>
      </w:r>
      <w:r w:rsidR="005F604B" w:rsidRPr="009D0A4A">
        <w:fldChar w:fldCharType="begin"/>
      </w:r>
      <w:r w:rsidR="004067E3">
        <w:instrText xml:space="preserve"> ADDIN ZOTERO_ITEM CSL_CITATION {"citationID":"oGJEJ7pV","properties":{"formattedCitation":"(Safe Work Australia 2021a)","plainCitation":"(Safe Work Australia 2021a)","noteIndex":0},"citationItems":[{"id":815,"uris":["http://zotero.org/users/6230888/items/VLQNCP7D"],"itemData":{"id":815,"type":"report","page":"59","title":"Model Code of Practice: Managing the risks of respirable crystalline silica from engineered stone in the workplace","URL":"https://www.safeworkaustralia.gov.au/doc/model-code-practice-managing-risks-respirable-crystalline-silica-engineered-stone-workplace","author":[{"literal":"Safe Work Australia"}],"accessed":{"date-parts":[["2022",6,30]]},"issued":{"date-parts":[["2021"]]}}}],"schema":"https://github.com/citation-style-language/schema/raw/master/csl-citation.json"} </w:instrText>
      </w:r>
      <w:r w:rsidR="005F604B" w:rsidRPr="009D0A4A">
        <w:fldChar w:fldCharType="separate"/>
      </w:r>
      <w:r w:rsidR="006B4A7D" w:rsidRPr="009D0A4A">
        <w:rPr>
          <w:rFonts w:ascii="Calibri" w:hAnsi="Calibri" w:cs="Calibri"/>
        </w:rPr>
        <w:t>(Safe Work Australia 2021a)</w:t>
      </w:r>
      <w:r w:rsidR="005F604B" w:rsidRPr="009D0A4A">
        <w:fldChar w:fldCharType="end"/>
      </w:r>
      <w:r w:rsidR="005F604B" w:rsidRPr="009D0A4A">
        <w:t>.</w:t>
      </w:r>
    </w:p>
    <w:p w14:paraId="30402069" w14:textId="77777777" w:rsidR="00262C50" w:rsidRPr="009D0A4A" w:rsidRDefault="00262C50" w:rsidP="007C2A48">
      <w:pPr>
        <w:pStyle w:val="Heading5"/>
      </w:pPr>
      <w:r w:rsidRPr="009D0A4A">
        <w:t>Health monitoring</w:t>
      </w:r>
    </w:p>
    <w:p w14:paraId="21EFE643" w14:textId="6FF98257" w:rsidR="00951981" w:rsidRPr="009D0A4A" w:rsidRDefault="00951981" w:rsidP="007C2A48">
      <w:pPr>
        <w:pStyle w:val="BodyText"/>
      </w:pPr>
      <w:r w:rsidRPr="009D0A4A">
        <w:t>PCBUs must also provide and pay for health monitoring for workers if they carry out ongoing work generating RCS, or there is a significant risk to the worker’s health because of exposure.</w:t>
      </w:r>
      <w:r w:rsidRPr="009D0A4A">
        <w:rPr>
          <w:vertAlign w:val="superscript"/>
        </w:rPr>
        <w:footnoteReference w:id="36"/>
      </w:r>
      <w:r w:rsidRPr="009D0A4A">
        <w:t xml:space="preserve"> Health monitoring must be undertaken by or under the supervision of a medical practitioner with experience in health monitoring and a record must be kept for a period of 30 years and be given to the worker  as soon as practicable after receipt and to the </w:t>
      </w:r>
      <w:r w:rsidR="00DE04DE">
        <w:t xml:space="preserve">WHS </w:t>
      </w:r>
      <w:r w:rsidRPr="009D0A4A">
        <w:t>regulator in certain circumstances.</w:t>
      </w:r>
      <w:r w:rsidRPr="009D0A4A">
        <w:rPr>
          <w:vertAlign w:val="superscript"/>
        </w:rPr>
        <w:footnoteReference w:id="37"/>
      </w:r>
    </w:p>
    <w:p w14:paraId="4A27F330" w14:textId="77777777" w:rsidR="00262C50" w:rsidRPr="009D0A4A" w:rsidRDefault="00262C50" w:rsidP="007C2A48">
      <w:pPr>
        <w:pStyle w:val="BodyText"/>
      </w:pPr>
      <w:r w:rsidRPr="009D0A4A">
        <w:t xml:space="preserve">Under Schedule 14 to the model WHS Regulations, the minimum requirements for health monitoring for crystalline silica through exposure to RCS are: </w:t>
      </w:r>
    </w:p>
    <w:p w14:paraId="79A95439" w14:textId="77777777" w:rsidR="00262C50" w:rsidRPr="009D0A4A" w:rsidRDefault="00262C50" w:rsidP="007C2A48">
      <w:pPr>
        <w:pStyle w:val="ListBullet"/>
      </w:pPr>
      <w:r w:rsidRPr="009D0A4A">
        <w:t>collection of demographic, medical and occupational history</w:t>
      </w:r>
    </w:p>
    <w:p w14:paraId="7010FC1A" w14:textId="77777777" w:rsidR="00262C50" w:rsidRPr="009D0A4A" w:rsidRDefault="00262C50" w:rsidP="007C2A48">
      <w:pPr>
        <w:pStyle w:val="ListBullet"/>
      </w:pPr>
      <w:r w:rsidRPr="009D0A4A">
        <w:t>records of personal exposure</w:t>
      </w:r>
    </w:p>
    <w:p w14:paraId="56A452C7" w14:textId="77777777" w:rsidR="00262C50" w:rsidRPr="009D0A4A" w:rsidRDefault="00262C50" w:rsidP="007C2A48">
      <w:pPr>
        <w:pStyle w:val="ListBullet"/>
      </w:pPr>
      <w:r w:rsidRPr="009D0A4A">
        <w:t>standardised respiratory questionnaire</w:t>
      </w:r>
    </w:p>
    <w:p w14:paraId="79087455" w14:textId="77777777" w:rsidR="00262C50" w:rsidRPr="009D0A4A" w:rsidRDefault="00262C50" w:rsidP="007C2A48">
      <w:pPr>
        <w:pStyle w:val="ListBullet"/>
      </w:pPr>
      <w:r w:rsidRPr="009D0A4A">
        <w:t xml:space="preserve">standardised respiratory function tests, and </w:t>
      </w:r>
    </w:p>
    <w:p w14:paraId="5463CB20" w14:textId="68AE4451" w:rsidR="00262C50" w:rsidRPr="009D0A4A" w:rsidRDefault="00262C50" w:rsidP="007C2A48">
      <w:pPr>
        <w:pStyle w:val="ListBullet"/>
      </w:pPr>
      <w:r w:rsidRPr="009D0A4A">
        <w:t>chest X-Ray full posterior-anterior view.</w:t>
      </w:r>
    </w:p>
    <w:p w14:paraId="13747A59" w14:textId="5D7A3578" w:rsidR="00262C50" w:rsidRPr="009D0A4A" w:rsidRDefault="00262C50" w:rsidP="007C2A48">
      <w:pPr>
        <w:pStyle w:val="BodyText"/>
      </w:pPr>
      <w:r w:rsidRPr="009D0A4A">
        <w:lastRenderedPageBreak/>
        <w:t>The model WHS Regulations allow for alternative types of health monitoring if they are equal or better to these methods and the use of that other type of monitoring is recommended by a registered medical practitioner with experience in health monitoring.</w:t>
      </w:r>
      <w:r w:rsidRPr="009D0A4A">
        <w:rPr>
          <w:rStyle w:val="FootnoteReference"/>
        </w:rPr>
        <w:footnoteReference w:id="38"/>
      </w:r>
      <w:r w:rsidRPr="009D0A4A">
        <w:t xml:space="preserve"> In Western Australia </w:t>
      </w:r>
      <w:r w:rsidR="00E73EFC" w:rsidRPr="009D0A4A">
        <w:t xml:space="preserve">low dose </w:t>
      </w:r>
      <w:r w:rsidRPr="009D0A4A">
        <w:t xml:space="preserve">HRCT is explicitly required instead of chest X-Ray for health monitoring. </w:t>
      </w:r>
    </w:p>
    <w:p w14:paraId="76865523" w14:textId="627B0069" w:rsidR="00262C50" w:rsidRPr="009D0A4A" w:rsidRDefault="00262C50" w:rsidP="007C2A48">
      <w:pPr>
        <w:pStyle w:val="BodyText"/>
      </w:pPr>
      <w:r w:rsidRPr="009D0A4A">
        <w:t>The PCBU is also responsible for providing information to staff about health monitoring, and for providing copies of the health monitoring report to the worker, other PCBUs who have a duty to the worker, and in some cases the WHS regulator</w:t>
      </w:r>
      <w:r w:rsidR="005F604B" w:rsidRPr="009D0A4A">
        <w:t xml:space="preserve"> </w:t>
      </w:r>
      <w:r w:rsidR="005F604B" w:rsidRPr="009D0A4A">
        <w:fldChar w:fldCharType="begin"/>
      </w:r>
      <w:r w:rsidR="004067E3">
        <w:instrText xml:space="preserve"> ADDIN ZOTERO_ITEM CSL_CITATION {"citationID":"2DgHLzFf","properties":{"formattedCitation":"(Safe Work Australia 2021a)","plainCitation":"(Safe Work Australia 2021a)","noteIndex":0},"citationItems":[{"id":815,"uris":["http://zotero.org/users/6230888/items/VLQNCP7D"],"itemData":{"id":815,"type":"report","page":"59","title":"Model Code of Practice: Managing the risks of respirable crystalline silica from engineered stone in the workplace","URL":"https://www.safeworkaustralia.gov.au/doc/model-code-practice-managing-risks-respirable-crystalline-silica-engineered-stone-workplace","author":[{"literal":"Safe Work Australia"}],"accessed":{"date-parts":[["2022",6,30]]},"issued":{"date-parts":[["2021"]]}}}],"schema":"https://github.com/citation-style-language/schema/raw/master/csl-citation.json"} </w:instrText>
      </w:r>
      <w:r w:rsidR="005F604B" w:rsidRPr="009D0A4A">
        <w:fldChar w:fldCharType="separate"/>
      </w:r>
      <w:r w:rsidR="006B4A7D" w:rsidRPr="009D0A4A">
        <w:rPr>
          <w:rFonts w:ascii="Calibri" w:hAnsi="Calibri" w:cs="Calibri"/>
        </w:rPr>
        <w:t>(Safe Work Australia 2021a)</w:t>
      </w:r>
      <w:r w:rsidR="005F604B" w:rsidRPr="009D0A4A">
        <w:fldChar w:fldCharType="end"/>
      </w:r>
      <w:r w:rsidRPr="009D0A4A">
        <w:t>. If a report indicates that a worker is experiencing adverse health effects or signs of illness because of exposure to RCS, control measure</w:t>
      </w:r>
      <w:r w:rsidR="00951981" w:rsidRPr="009D0A4A">
        <w:t>s</w:t>
      </w:r>
      <w:r w:rsidRPr="009D0A4A">
        <w:t xml:space="preserve"> in the workplace must be reviewed and revised as necessary</w:t>
      </w:r>
      <w:r w:rsidR="005F604B" w:rsidRPr="009D0A4A">
        <w:t xml:space="preserve"> </w:t>
      </w:r>
      <w:r w:rsidR="005F604B" w:rsidRPr="009D0A4A">
        <w:fldChar w:fldCharType="begin"/>
      </w:r>
      <w:r w:rsidR="004067E3">
        <w:instrText xml:space="preserve"> ADDIN ZOTERO_ITEM CSL_CITATION {"citationID":"h5BNMrZM","properties":{"formattedCitation":"(Safe Work Australia 2021a)","plainCitation":"(Safe Work Australia 2021a)","noteIndex":0},"citationItems":[{"id":815,"uris":["http://zotero.org/users/6230888/items/VLQNCP7D"],"itemData":{"id":815,"type":"report","page":"59","title":"Model Code of Practice: Managing the risks of respirable crystalline silica from engineered stone in the workplace","URL":"https://www.safeworkaustralia.gov.au/doc/model-code-practice-managing-risks-respirable-crystalline-silica-engineered-stone-workplace","author":[{"literal":"Safe Work Australia"}],"accessed":{"date-parts":[["2022",6,30]]},"issued":{"date-parts":[["2021"]]}}}],"schema":"https://github.com/citation-style-language/schema/raw/master/csl-citation.json"} </w:instrText>
      </w:r>
      <w:r w:rsidR="005F604B" w:rsidRPr="009D0A4A">
        <w:fldChar w:fldCharType="separate"/>
      </w:r>
      <w:r w:rsidR="006B4A7D" w:rsidRPr="009D0A4A">
        <w:rPr>
          <w:rFonts w:ascii="Calibri" w:hAnsi="Calibri" w:cs="Calibri"/>
        </w:rPr>
        <w:t>(Safe Work Australia 2021a)</w:t>
      </w:r>
      <w:r w:rsidR="005F604B" w:rsidRPr="009D0A4A">
        <w:fldChar w:fldCharType="end"/>
      </w:r>
      <w:r w:rsidRPr="009D0A4A">
        <w:t>.</w:t>
      </w:r>
    </w:p>
    <w:p w14:paraId="1A7D1162" w14:textId="0A2E3A0C" w:rsidR="00262C50" w:rsidRPr="009D0A4A" w:rsidRDefault="00262C50" w:rsidP="007C2A48">
      <w:pPr>
        <w:pStyle w:val="Heading5"/>
      </w:pPr>
      <w:r w:rsidRPr="009D0A4A">
        <w:t>High risk construction work and preparation of SWMS</w:t>
      </w:r>
    </w:p>
    <w:p w14:paraId="4B10A535" w14:textId="0A1B025A" w:rsidR="00262C50" w:rsidRPr="009D0A4A" w:rsidRDefault="00262C50" w:rsidP="007C2A48">
      <w:pPr>
        <w:pStyle w:val="BodyText"/>
      </w:pPr>
      <w:r w:rsidRPr="009D0A4A">
        <w:t>Construction work is defined in the model WHS Regulations as any work carried out in connection with the construction, alteration, conversion, fitting-out, commissioning, renovation, repair, maintenance, refurbishment, demolition, decommissioning or dismantling of a structure. Regulation 291 of the model WHS Regulations sets out a list of high risk construction work for which a SWMS is required. This includes work carried out in an area that may have a contaminated or flammable atmosphere. Construction work that involves processing silica</w:t>
      </w:r>
      <w:r w:rsidR="00B93268">
        <w:t>-</w:t>
      </w:r>
      <w:r w:rsidRPr="009D0A4A">
        <w:t xml:space="preserve">containing materials is high risk construction work </w:t>
      </w:r>
      <w:r w:rsidR="00E73EFC" w:rsidRPr="009D0A4A">
        <w:t xml:space="preserve">when </w:t>
      </w:r>
      <w:r w:rsidRPr="009D0A4A">
        <w:t xml:space="preserve">it generates RCS that may contaminate the workplace’s atmosphere and </w:t>
      </w:r>
      <w:r w:rsidR="00E73EFC" w:rsidRPr="009D0A4A">
        <w:t xml:space="preserve">would </w:t>
      </w:r>
      <w:r w:rsidRPr="009D0A4A">
        <w:t>require a SWMS</w:t>
      </w:r>
      <w:r w:rsidR="005F604B" w:rsidRPr="009D0A4A">
        <w:t xml:space="preserve"> </w:t>
      </w:r>
      <w:r w:rsidR="005F604B" w:rsidRPr="009D0A4A">
        <w:fldChar w:fldCharType="begin"/>
      </w:r>
      <w:r w:rsidR="004067E3">
        <w:instrText xml:space="preserve"> ADDIN ZOTERO_ITEM CSL_CITATION {"citationID":"QhAMx97o","properties":{"formattedCitation":"(Safe Work Australia 2021a)","plainCitation":"(Safe Work Australia 2021a)","noteIndex":0},"citationItems":[{"id":815,"uris":["http://zotero.org/users/6230888/items/VLQNCP7D"],"itemData":{"id":815,"type":"report","page":"59","title":"Model Code of Practice: Managing the risks of respirable crystalline silica from engineered stone in the workplace","URL":"https://www.safeworkaustralia.gov.au/doc/model-code-practice-managing-risks-respirable-crystalline-silica-engineered-stone-workplace","author":[{"literal":"Safe Work Australia"}],"accessed":{"date-parts":[["2022",6,30]]},"issued":{"date-parts":[["2021"]]}}}],"schema":"https://github.com/citation-style-language/schema/raw/master/csl-citation.json"} </w:instrText>
      </w:r>
      <w:r w:rsidR="005F604B" w:rsidRPr="009D0A4A">
        <w:fldChar w:fldCharType="separate"/>
      </w:r>
      <w:r w:rsidR="006B4A7D" w:rsidRPr="009D0A4A">
        <w:rPr>
          <w:rFonts w:ascii="Calibri" w:hAnsi="Calibri" w:cs="Calibri"/>
        </w:rPr>
        <w:t>(Safe Work Australia 2021a)</w:t>
      </w:r>
      <w:r w:rsidR="005F604B" w:rsidRPr="009D0A4A">
        <w:fldChar w:fldCharType="end"/>
      </w:r>
      <w:r w:rsidRPr="009D0A4A">
        <w:t>.</w:t>
      </w:r>
    </w:p>
    <w:p w14:paraId="589EBC77" w14:textId="77777777" w:rsidR="00262C50" w:rsidRPr="009D0A4A" w:rsidRDefault="00262C50" w:rsidP="007C2A48">
      <w:pPr>
        <w:pStyle w:val="BodyText"/>
      </w:pPr>
      <w:r w:rsidRPr="009D0A4A">
        <w:t>The SWMS must be accessible and understandable to any individual who needs to use it.</w:t>
      </w:r>
      <w:r w:rsidRPr="009D0A4A">
        <w:rPr>
          <w:vertAlign w:val="superscript"/>
        </w:rPr>
        <w:footnoteReference w:id="39"/>
      </w:r>
      <w:r w:rsidRPr="009D0A4A">
        <w:rPr>
          <w:vertAlign w:val="superscript"/>
        </w:rPr>
        <w:t xml:space="preserve"> </w:t>
      </w:r>
      <w:r w:rsidRPr="009D0A4A">
        <w:t>If any high risk construction work is carried out, outside the manner stipulated in the SWMS, the PCBU must ensure that the work is stopped immediately or as soon as it is safe to do so, and only resumed in accordance with the SWMS.</w:t>
      </w:r>
      <w:r w:rsidRPr="009D0A4A">
        <w:rPr>
          <w:vertAlign w:val="superscript"/>
        </w:rPr>
        <w:footnoteReference w:id="40"/>
      </w:r>
    </w:p>
    <w:p w14:paraId="5CB115BE" w14:textId="77777777" w:rsidR="00262C50" w:rsidRPr="009D0A4A" w:rsidRDefault="00262C50" w:rsidP="007C2A48">
      <w:pPr>
        <w:pStyle w:val="Heading5"/>
      </w:pPr>
      <w:r w:rsidRPr="009D0A4A">
        <w:t>Other duties for PCBUs working with engineered stone</w:t>
      </w:r>
    </w:p>
    <w:p w14:paraId="109C052D" w14:textId="13F3C9C9" w:rsidR="00262C50" w:rsidRPr="009D0A4A" w:rsidRDefault="00262C50" w:rsidP="007C2A48">
      <w:pPr>
        <w:pStyle w:val="BodyText"/>
      </w:pPr>
      <w:r w:rsidRPr="009D0A4A">
        <w:t xml:space="preserve">The </w:t>
      </w:r>
      <w:r w:rsidR="00E73EFC" w:rsidRPr="009D0A4A">
        <w:t>model Code of Practice: Managing the risks of respirable crystalline silica from engineered stone in the workplace</w:t>
      </w:r>
      <w:r w:rsidRPr="009D0A4A">
        <w:t xml:space="preserve"> (the model Code), published in October 2021, outlines specific duties for PCBUs working with engineered stone. </w:t>
      </w:r>
    </w:p>
    <w:p w14:paraId="4C7F3915" w14:textId="50A2D924" w:rsidR="00262C50" w:rsidRPr="009D0A4A" w:rsidRDefault="00262C50" w:rsidP="007C2A48">
      <w:pPr>
        <w:pStyle w:val="BodyText"/>
      </w:pPr>
      <w:r w:rsidRPr="009D0A4A">
        <w:t xml:space="preserve">To have legal effect in a jurisdiction, a model Code must be approved as a code of practice in that jurisdiction. As of </w:t>
      </w:r>
      <w:r w:rsidR="005A0504" w:rsidRPr="009D0A4A">
        <w:t>June</w:t>
      </w:r>
      <w:r w:rsidRPr="009D0A4A">
        <w:t xml:space="preserve"> 2022, the model Code has been enacted in New South Wales and Tasmania. </w:t>
      </w:r>
      <w:r w:rsidR="00E73EFC" w:rsidRPr="009D0A4A">
        <w:t>In 2019, Queensland implemented a Code of Practice: Managing respirable crystalline silica dust exposure in the stone benchtop industry covering natural and engineered stone</w:t>
      </w:r>
      <w:r w:rsidR="005F604B" w:rsidRPr="009D0A4A">
        <w:t xml:space="preserve"> </w:t>
      </w:r>
      <w:r w:rsidR="005F604B" w:rsidRPr="009D0A4A">
        <w:rPr>
          <w:rFonts w:ascii="Calibri" w:hAnsi="Calibri" w:cs="Calibri"/>
        </w:rPr>
        <w:t>(Workplace Health and Safety Queensland 2019)</w:t>
      </w:r>
      <w:r w:rsidR="00E73EFC" w:rsidRPr="009D0A4A">
        <w:t>. WorkSafe Victoria has also implemented a Compliance Code: Managing Exposure to Crystalline Silica - Engineered Stone</w:t>
      </w:r>
      <w:r w:rsidR="00474FA2" w:rsidRPr="009D0A4A">
        <w:t xml:space="preserve"> </w:t>
      </w:r>
      <w:r w:rsidR="00474FA2" w:rsidRPr="009D0A4A">
        <w:fldChar w:fldCharType="begin"/>
      </w:r>
      <w:r w:rsidR="004067E3">
        <w:instrText xml:space="preserve"> ADDIN ZOTERO_ITEM CSL_CITATION {"citationID":"jVohT0Ti","properties":{"formattedCitation":"(WorkSafe Victoria 2020)","plainCitation":"(WorkSafe Victoria 2020)","noteIndex":0},"citationItems":[{"id":910,"uris":["http://zotero.org/users/6230888/items/TKUYXSS4"],"itemData":{"id":910,"type":"document","title":"Compliance Code: Managing Exposure to Crystalline Silica - Engineered Stone","URL":"https://content.api.worksafe.vic.gov.au/sites/default/files/2020-02/ISBN-Compliance-code-managing-exposure-crystalline-silica-engineered-stone-2020-02.pdf","author":[{"literal":"WorkSafe Victoria"}],"accessed":{"date-parts":[["2022",6,30]]},"issued":{"date-parts":[["2020"]]}}}],"schema":"https://github.com/citation-style-language/schema/raw/master/csl-citation.json"} </w:instrText>
      </w:r>
      <w:r w:rsidR="00474FA2" w:rsidRPr="009D0A4A">
        <w:fldChar w:fldCharType="separate"/>
      </w:r>
      <w:r w:rsidR="006B4A7D" w:rsidRPr="009D0A4A">
        <w:rPr>
          <w:rFonts w:ascii="Calibri" w:hAnsi="Calibri" w:cs="Calibri"/>
        </w:rPr>
        <w:t>(WorkSafe Victoria 2020)</w:t>
      </w:r>
      <w:r w:rsidR="00474FA2" w:rsidRPr="009D0A4A">
        <w:fldChar w:fldCharType="end"/>
      </w:r>
      <w:r w:rsidR="00E73EFC" w:rsidRPr="009D0A4A">
        <w:t>.</w:t>
      </w:r>
    </w:p>
    <w:p w14:paraId="47BDBB23" w14:textId="77777777" w:rsidR="00262C50" w:rsidRPr="009D0A4A" w:rsidRDefault="00262C50" w:rsidP="007C2A48">
      <w:pPr>
        <w:pStyle w:val="BodyText"/>
      </w:pPr>
      <w:r w:rsidRPr="009D0A4A">
        <w:t>The model Code:</w:t>
      </w:r>
    </w:p>
    <w:p w14:paraId="54C105C1" w14:textId="77777777" w:rsidR="00262C50" w:rsidRPr="009D0A4A" w:rsidRDefault="00262C50" w:rsidP="007C2A48">
      <w:pPr>
        <w:pStyle w:val="ListBullet"/>
      </w:pPr>
      <w:r w:rsidRPr="009D0A4A">
        <w:t>provides a definition of engineered stone</w:t>
      </w:r>
    </w:p>
    <w:p w14:paraId="0C06A75D" w14:textId="77777777" w:rsidR="00262C50" w:rsidRPr="009D0A4A" w:rsidRDefault="00262C50" w:rsidP="007C2A48">
      <w:pPr>
        <w:pStyle w:val="ListBullet"/>
      </w:pPr>
      <w:r w:rsidRPr="009D0A4A">
        <w:t>clarifies that the on-site installation of engineered stone is considered high risk construction work if the processes used to install, modify or repair the engineered stone such as, cutting, grinding, trimming, drilling, sanding, or polishing generate RCS and contaminates the work area</w:t>
      </w:r>
    </w:p>
    <w:p w14:paraId="5FB81AC0" w14:textId="1CB66DB2" w:rsidR="004F3309" w:rsidRPr="009D0A4A" w:rsidRDefault="00262C50" w:rsidP="007C2A48">
      <w:pPr>
        <w:pStyle w:val="ListBullet"/>
      </w:pPr>
      <w:r w:rsidRPr="009D0A4A">
        <w:lastRenderedPageBreak/>
        <w:t xml:space="preserve">requires PCBU(s) to prepare a SWMS before any on-site installation of engineered stone that involves any processing, modification or repair of engineered stone that may generate RCS </w:t>
      </w:r>
    </w:p>
    <w:p w14:paraId="764F63FD" w14:textId="2B0E9930" w:rsidR="00262C50" w:rsidRPr="009D0A4A" w:rsidRDefault="004F3309" w:rsidP="007C2A48">
      <w:pPr>
        <w:pStyle w:val="ListBullet"/>
      </w:pPr>
      <w:r w:rsidRPr="009D0A4A">
        <w:t xml:space="preserve">clarifies the duties for PCBUs working with engineered stone to undertake air and health monitoring, </w:t>
      </w:r>
      <w:r w:rsidR="00262C50" w:rsidRPr="009D0A4A">
        <w:t xml:space="preserve">and </w:t>
      </w:r>
    </w:p>
    <w:p w14:paraId="5EBBCC81" w14:textId="77777777" w:rsidR="00262C50" w:rsidRPr="009D0A4A" w:rsidRDefault="00262C50" w:rsidP="007C2A48">
      <w:pPr>
        <w:pStyle w:val="ListBullet"/>
      </w:pPr>
      <w:r w:rsidRPr="009D0A4A">
        <w:t xml:space="preserve">specifies that PCBUs must not direct or allow workers to undertake uncontrolled dry cutting or processing of engineered stone. </w:t>
      </w:r>
    </w:p>
    <w:p w14:paraId="7C89F5B5" w14:textId="77777777" w:rsidR="00262C50" w:rsidRPr="009D0A4A" w:rsidRDefault="00262C50" w:rsidP="007C2A48">
      <w:pPr>
        <w:pStyle w:val="Heading5"/>
      </w:pPr>
      <w:r>
        <w:t>Duties of designers, manufacturers, importers, suppliers and those who install or commission plant or structures</w:t>
      </w:r>
    </w:p>
    <w:p w14:paraId="53A42168" w14:textId="77777777" w:rsidR="00262C50" w:rsidRPr="009D0A4A" w:rsidRDefault="00262C50" w:rsidP="007C2A48">
      <w:pPr>
        <w:pStyle w:val="BodyText"/>
      </w:pPr>
      <w:r w:rsidRPr="009D0A4A">
        <w:t xml:space="preserve">A designer, manufacturer, importer or supplier of silica containing products must ensure, so far as is reasonably practicable, that the silica containing products they design, manufacture, import, supply or install is without risk to health and safety. This includes undertaking necessary testing and providing adequate information about the silica containing products. </w:t>
      </w:r>
    </w:p>
    <w:p w14:paraId="5AA267F9" w14:textId="77777777" w:rsidR="00262C50" w:rsidRPr="009D0A4A" w:rsidRDefault="00262C50" w:rsidP="007C2A48">
      <w:pPr>
        <w:pStyle w:val="BodyText"/>
      </w:pPr>
      <w:r w:rsidRPr="009D0A4A">
        <w:t xml:space="preserve">Suppliers of equipment (such as hand-held water-fed power tools or RPE) should take all reasonable steps to ensure appropriate information about the safe use of the equipment is available. </w:t>
      </w:r>
    </w:p>
    <w:p w14:paraId="237BA974" w14:textId="77777777" w:rsidR="00262C50" w:rsidRPr="009D0A4A" w:rsidRDefault="00262C50" w:rsidP="007C2A48">
      <w:pPr>
        <w:pStyle w:val="BodyText"/>
        <w:rPr>
          <w:lang w:eastAsia="en-AU"/>
        </w:rPr>
      </w:pPr>
      <w:r w:rsidRPr="009D0A4A">
        <w:rPr>
          <w:lang w:eastAsia="en-AU"/>
        </w:rPr>
        <w:t>A PCBU who installs, constructs or commissions structures must also ensure, so far as is reasonably practicable, all workplace activity relating to the plant or structure including its decommissioning or dismantling is without risks to health or safety. A structure is defined as anything that is constructed, whether fixed or moveable, temporary or permanent, including buildings and underground works (such as shafts or tunnels).</w:t>
      </w:r>
    </w:p>
    <w:p w14:paraId="5A20937E" w14:textId="77777777" w:rsidR="00262C50" w:rsidRPr="009D0A4A" w:rsidRDefault="00262C50" w:rsidP="007C2A48">
      <w:pPr>
        <w:pStyle w:val="Heading5"/>
      </w:pPr>
      <w:r w:rsidRPr="009D0A4A">
        <w:t>Duties of principal contractors</w:t>
      </w:r>
    </w:p>
    <w:p w14:paraId="2EC72623" w14:textId="09ACDCF1" w:rsidR="00262C50" w:rsidRPr="009D0A4A" w:rsidRDefault="00262C50" w:rsidP="007C2A48">
      <w:pPr>
        <w:pStyle w:val="BodyText"/>
      </w:pPr>
      <w:r w:rsidRPr="009D0A4A">
        <w:t xml:space="preserve">Projects involving construction work that cost $250,000 or more are classified as ‘construction projects’ under the model WHS laws. Each construction project has a ‘principal contractor’. A principal contractor is also a PCBU. </w:t>
      </w:r>
    </w:p>
    <w:p w14:paraId="290ECCA1" w14:textId="77777777" w:rsidR="00262C50" w:rsidRPr="009D0A4A" w:rsidRDefault="00262C50" w:rsidP="007C2A48">
      <w:pPr>
        <w:pStyle w:val="BodyText"/>
      </w:pPr>
      <w:r w:rsidRPr="009D0A4A">
        <w:t>In addition to the primary duties imposed on a principal contractor as a PCBU, the principal contractor has duties relating to WHS management plans, ensuring general compliance, and managing specific risks.</w:t>
      </w:r>
    </w:p>
    <w:p w14:paraId="37CD1401" w14:textId="77777777" w:rsidR="00262C50" w:rsidRPr="009D0A4A" w:rsidRDefault="00262C50" w:rsidP="007C2A48">
      <w:pPr>
        <w:pStyle w:val="Heading5"/>
      </w:pPr>
      <w:r w:rsidRPr="009D0A4A">
        <w:t>Duties of workers</w:t>
      </w:r>
    </w:p>
    <w:p w14:paraId="51854A32" w14:textId="77777777" w:rsidR="00262C50" w:rsidRPr="009D0A4A" w:rsidRDefault="00262C50" w:rsidP="007C2A48">
      <w:pPr>
        <w:pStyle w:val="BodyText"/>
        <w:rPr>
          <w:rFonts w:cstheme="minorHAnsi"/>
        </w:rPr>
      </w:pPr>
      <w:r w:rsidRPr="1D66328E">
        <w:t>Workers have a duty to take reasonable care for their own health and safety, and to take reasonable care to not adversely affect the health and safety of other persons.</w:t>
      </w:r>
      <w:r w:rsidRPr="1D66328E">
        <w:rPr>
          <w:rStyle w:val="FootnoteReference"/>
        </w:rPr>
        <w:footnoteReference w:id="41"/>
      </w:r>
      <w:r w:rsidRPr="1D66328E">
        <w:t xml:space="preserve"> </w:t>
      </w:r>
    </w:p>
    <w:p w14:paraId="017C4638" w14:textId="77777777" w:rsidR="00262C50" w:rsidRPr="009D0A4A" w:rsidRDefault="00262C50" w:rsidP="007C2A48">
      <w:pPr>
        <w:pStyle w:val="BodyText"/>
        <w:rPr>
          <w:rFonts w:cstheme="minorHAnsi"/>
        </w:rPr>
      </w:pPr>
      <w:r w:rsidRPr="009D0A4A">
        <w:rPr>
          <w:rFonts w:cstheme="minorHAnsi"/>
        </w:rPr>
        <w:t>Workers must also:</w:t>
      </w:r>
    </w:p>
    <w:p w14:paraId="179E94F5" w14:textId="77777777" w:rsidR="00262C50" w:rsidRPr="009D0A4A" w:rsidRDefault="00262C50" w:rsidP="007C2A48">
      <w:pPr>
        <w:pStyle w:val="ListBullet"/>
      </w:pPr>
      <w:r w:rsidRPr="009D0A4A">
        <w:t>comply as far as they are reasonably able with any reasonable WHS instructions given by the PCBU, such as participating in health monitoring and wearing relevant personal protective equipment (PPE), and</w:t>
      </w:r>
    </w:p>
    <w:p w14:paraId="39C540D7" w14:textId="77777777" w:rsidR="00262C50" w:rsidRPr="009D0A4A" w:rsidRDefault="00262C50" w:rsidP="007C2A48">
      <w:pPr>
        <w:pStyle w:val="ListBullet"/>
        <w:rPr>
          <w:rFonts w:cstheme="minorHAnsi"/>
        </w:rPr>
      </w:pPr>
      <w:r w:rsidRPr="009D0A4A">
        <w:t>co-operate with any reasonable policy or procedure relating to WHS at the workplace that has been notified to them</w:t>
      </w:r>
      <w:r w:rsidRPr="1D66328E">
        <w:t>.</w:t>
      </w:r>
      <w:r w:rsidRPr="1D66328E">
        <w:rPr>
          <w:rStyle w:val="FootnoteReference"/>
        </w:rPr>
        <w:footnoteReference w:id="42"/>
      </w:r>
    </w:p>
    <w:p w14:paraId="5F55422C" w14:textId="4935E4C7" w:rsidR="00262C50" w:rsidRPr="009D0A4A" w:rsidRDefault="00262C50" w:rsidP="007C2A48">
      <w:pPr>
        <w:pStyle w:val="BodyText"/>
      </w:pPr>
      <w:r w:rsidRPr="009D0A4A">
        <w:t>The PCBU must make workers aware of the hazards associated with the use of silica</w:t>
      </w:r>
      <w:r w:rsidR="00B93268">
        <w:t>-</w:t>
      </w:r>
      <w:r w:rsidRPr="009D0A4A">
        <w:t xml:space="preserve">containing materials, including the process for reporting safety incidents. </w:t>
      </w:r>
    </w:p>
    <w:p w14:paraId="64D86DD8" w14:textId="5AD1E794" w:rsidR="00262C50" w:rsidRPr="009D0A4A" w:rsidRDefault="00262C50" w:rsidP="007C2A48">
      <w:pPr>
        <w:pStyle w:val="BodyText"/>
        <w:rPr>
          <w:szCs w:val="24"/>
        </w:rPr>
      </w:pPr>
      <w:r w:rsidRPr="009D0A4A">
        <w:t xml:space="preserve">If a worker refuses to participate in health monitoring or refuses to use PPE as they have been trained and instructed, a PCBU </w:t>
      </w:r>
      <w:r w:rsidR="00951981" w:rsidRPr="009D0A4A">
        <w:t xml:space="preserve">would need to take other action </w:t>
      </w:r>
      <w:r w:rsidRPr="009D0A4A">
        <w:t>to meet its duties under the WHS laws. This could include removing the worker from the source of exposure to RCS.</w:t>
      </w:r>
    </w:p>
    <w:p w14:paraId="5DFAEBD5" w14:textId="77777777" w:rsidR="00262C50" w:rsidRPr="009D0A4A" w:rsidRDefault="00262C50" w:rsidP="007C2A48">
      <w:pPr>
        <w:pStyle w:val="Heading5"/>
      </w:pPr>
      <w:r w:rsidRPr="009D0A4A">
        <w:lastRenderedPageBreak/>
        <w:t xml:space="preserve">Duties of officers </w:t>
      </w:r>
    </w:p>
    <w:p w14:paraId="7E362796" w14:textId="654A2D2E" w:rsidR="00262C50" w:rsidRPr="009D0A4A" w:rsidRDefault="00262C50" w:rsidP="007C2A48">
      <w:pPr>
        <w:pStyle w:val="BodyText"/>
      </w:pPr>
      <w:r w:rsidRPr="009D0A4A">
        <w:t>An officer (for example a company director) must exercise due diligence to ensure the PCBU complies with the WHS Act and WHS Regulations.</w:t>
      </w:r>
      <w:r w:rsidRPr="009D0A4A">
        <w:rPr>
          <w:rStyle w:val="FootnoteReference"/>
        </w:rPr>
        <w:footnoteReference w:id="43"/>
      </w:r>
      <w:r w:rsidRPr="009D0A4A">
        <w:t xml:space="preserve"> This includes taking reasonable steps to ensure the PCBU has and uses appropriate resources and processes to eliminate or minimise risks of working with silica and silica containing products. This includes:</w:t>
      </w:r>
    </w:p>
    <w:p w14:paraId="7E99A431" w14:textId="77777777" w:rsidR="00262C50" w:rsidRPr="009D0A4A" w:rsidRDefault="00262C50" w:rsidP="007C2A48">
      <w:pPr>
        <w:pStyle w:val="ListBullet"/>
      </w:pPr>
      <w:r w:rsidRPr="009D0A4A">
        <w:t>identifying the hazard of RCS</w:t>
      </w:r>
    </w:p>
    <w:p w14:paraId="673CF1FF" w14:textId="77777777" w:rsidR="00262C50" w:rsidRPr="009D0A4A" w:rsidRDefault="00262C50" w:rsidP="007C2A48">
      <w:pPr>
        <w:pStyle w:val="ListBullet"/>
      </w:pPr>
      <w:r w:rsidRPr="009D0A4A">
        <w:t>controlling the risk of exposure to RCS</w:t>
      </w:r>
    </w:p>
    <w:p w14:paraId="281CA9C4" w14:textId="77777777" w:rsidR="00262C50" w:rsidRPr="009D0A4A" w:rsidRDefault="00262C50" w:rsidP="007C2A48">
      <w:pPr>
        <w:pStyle w:val="ListBullet"/>
      </w:pPr>
      <w:r w:rsidRPr="009D0A4A">
        <w:t>conducting air monitoring, and</w:t>
      </w:r>
    </w:p>
    <w:p w14:paraId="6EA98DC8" w14:textId="77777777" w:rsidR="00262C50" w:rsidRPr="009D0A4A" w:rsidRDefault="00262C50" w:rsidP="007C2A48">
      <w:pPr>
        <w:pStyle w:val="ListBullet"/>
      </w:pPr>
      <w:r w:rsidRPr="009D0A4A">
        <w:t xml:space="preserve">providing health monitoring for workers. </w:t>
      </w:r>
    </w:p>
    <w:p w14:paraId="79B119BA" w14:textId="77777777" w:rsidR="00262C50" w:rsidRPr="009D0A4A" w:rsidRDefault="00262C50" w:rsidP="007C2A48">
      <w:pPr>
        <w:pStyle w:val="Heading5"/>
      </w:pPr>
      <w:r w:rsidRPr="009D0A4A">
        <w:t>Duties of other persons at the workplace</w:t>
      </w:r>
    </w:p>
    <w:p w14:paraId="1A350050" w14:textId="77777777" w:rsidR="00262C50" w:rsidRPr="009D0A4A" w:rsidRDefault="00262C50" w:rsidP="007C2A48">
      <w:pPr>
        <w:pStyle w:val="BodyText"/>
        <w:rPr>
          <w:bCs/>
          <w:sz w:val="32"/>
          <w:szCs w:val="32"/>
        </w:rPr>
      </w:pPr>
      <w:r w:rsidRPr="009D0A4A">
        <w:t>Other persons at the workplace, like visitors, must take reasonable care for their own health and safety and must take care not to adversely affect other people’s health and safety.</w:t>
      </w:r>
      <w:r w:rsidRPr="009D0A4A">
        <w:rPr>
          <w:rStyle w:val="FootnoteReference"/>
          <w:rFonts w:eastAsia="Calibri" w:cs="Arial"/>
        </w:rPr>
        <w:footnoteReference w:id="44"/>
      </w:r>
      <w:r w:rsidRPr="009D0A4A">
        <w:t xml:space="preserve"> They must comply, so far as they are reasonably able, with reasonable instructions given by the PCBU to allow that person to comply with the WHS Act. </w:t>
      </w:r>
    </w:p>
    <w:p w14:paraId="0277B815" w14:textId="77777777" w:rsidR="00F84B44" w:rsidRPr="009D0A4A" w:rsidRDefault="00F84B44">
      <w:pPr>
        <w:rPr>
          <w:rFonts w:asciiTheme="majorHAnsi" w:hAnsiTheme="majorHAnsi"/>
          <w:b/>
          <w:color w:val="014463" w:themeColor="text2"/>
          <w:sz w:val="60"/>
          <w:szCs w:val="60"/>
        </w:rPr>
      </w:pPr>
      <w:r w:rsidRPr="009D0A4A">
        <w:br w:type="page"/>
      </w:r>
    </w:p>
    <w:p w14:paraId="37203717" w14:textId="0FB088AB" w:rsidR="00262C50" w:rsidRPr="009D0A4A" w:rsidRDefault="00262C50" w:rsidP="00E0510C">
      <w:pPr>
        <w:pStyle w:val="Heading1"/>
        <w:numPr>
          <w:ilvl w:val="0"/>
          <w:numId w:val="0"/>
        </w:numPr>
      </w:pPr>
      <w:bookmarkStart w:id="706" w:name="_Toc126573245"/>
      <w:r>
        <w:lastRenderedPageBreak/>
        <w:t>Appendix B</w:t>
      </w:r>
      <w:r w:rsidR="00F84B44">
        <w:t>:</w:t>
      </w:r>
      <w:r>
        <w:t xml:space="preserve"> Complementary initiatives</w:t>
      </w:r>
      <w:bookmarkEnd w:id="706"/>
    </w:p>
    <w:p w14:paraId="26390300" w14:textId="530F1BD5" w:rsidR="00BE02B3" w:rsidRPr="009D0A4A" w:rsidRDefault="00BE02B3" w:rsidP="007C2A48">
      <w:pPr>
        <w:pStyle w:val="Heading5"/>
      </w:pPr>
      <w:r w:rsidRPr="009D0A4A">
        <w:t>Whole of Australian Governments</w:t>
      </w:r>
      <w:r w:rsidR="004E3629" w:rsidRPr="009D0A4A">
        <w:t>’</w:t>
      </w:r>
      <w:r w:rsidRPr="009D0A4A">
        <w:t xml:space="preserve"> response to the National Dust Disease Taskforce Final Report</w:t>
      </w:r>
    </w:p>
    <w:p w14:paraId="6A9EFB93" w14:textId="5CD61B44" w:rsidR="00880E8E" w:rsidRPr="007C2A48" w:rsidRDefault="00880E8E" w:rsidP="007C2A48">
      <w:pPr>
        <w:pStyle w:val="BodyText"/>
      </w:pPr>
      <w:r w:rsidRPr="007C2A48">
        <w:t xml:space="preserve">In April 2022, the Commonwealth, in consultation with state and territory governments, released the All of Governments’ Response to the Final Report of the National Dust Disease Taskforce </w:t>
      </w:r>
      <w:r w:rsidRPr="007C2A48">
        <w:fldChar w:fldCharType="begin"/>
      </w:r>
      <w:r w:rsidR="004067E3" w:rsidRPr="007C2A48">
        <w:instrText xml:space="preserve"> ADDIN ZOTERO_ITEM CSL_CITATION {"citationID":"RV8URXbO","properties":{"formattedCitation":"(Australian Government 2022)","plainCitation":"(Australian Government 2022)","noteIndex":0},"citationItems":[{"id":881,"uris":["http://zotero.org/users/6230888/items/MBL8JFFI"],"itemData":{"id":881,"type":"report","page":"64","title":"All of governments’ response to the National Dust Disease Taskforce Final Report","URL":"https://www1.health.gov.au/internet/main/publishing.nsf/Content/45748C2442F5BA74CA2587E4000F8600/$File/All-Govt-Response-Final-Report-Dust-Disease-Taskforce.pdf","author":[{"literal":"Australian Government"}],"accessed":{"date-parts":[["2022",6,30]]},"issued":{"date-parts":[["2022"]]}}}],"schema":"https://github.com/citation-style-language/schema/raw/master/csl-citation.json"} </w:instrText>
      </w:r>
      <w:r w:rsidRPr="007C2A48">
        <w:fldChar w:fldCharType="separate"/>
      </w:r>
      <w:r w:rsidRPr="007C2A48">
        <w:t>(Australian Government 2022)</w:t>
      </w:r>
      <w:r w:rsidRPr="007C2A48">
        <w:fldChar w:fldCharType="end"/>
      </w:r>
      <w:r w:rsidRPr="007C2A48">
        <w:t>. Australian governments supported 14 of the National Dust Disease Taskforce’s sub-recommendations, and noted 2 others related to a full or partial ban on importation of engineered stone by July 2024 and funding multi-disciplinary teams of medical professionals to support treatment of patients with silicosis.</w:t>
      </w:r>
    </w:p>
    <w:p w14:paraId="702631A8" w14:textId="77777777" w:rsidR="00880E8E" w:rsidRPr="007C2A48" w:rsidRDefault="00880E8E" w:rsidP="007C2A48">
      <w:pPr>
        <w:pStyle w:val="BodyText"/>
      </w:pPr>
      <w:r w:rsidRPr="007C2A48">
        <w:t>Key initiatives not otherwise mentioned in this CRIS include:</w:t>
      </w:r>
    </w:p>
    <w:p w14:paraId="044BF285" w14:textId="52F20E82" w:rsidR="00880E8E" w:rsidRPr="009D0A4A" w:rsidRDefault="00880E8E" w:rsidP="007C2A48">
      <w:pPr>
        <w:pStyle w:val="ListBullet"/>
      </w:pPr>
      <w:r w:rsidRPr="009D0A4A">
        <w:t>a request for Heads of Workplace Safety Authorities to consider developing best practice compliance and enforcement principles in relation to the risks associated with RCS</w:t>
      </w:r>
    </w:p>
    <w:p w14:paraId="70A38EC9" w14:textId="397830B9" w:rsidR="00880E8E" w:rsidRPr="009D0A4A" w:rsidRDefault="00880E8E" w:rsidP="007C2A48">
      <w:pPr>
        <w:pStyle w:val="ListBullet"/>
      </w:pPr>
      <w:r w:rsidRPr="009D0A4A">
        <w:t>collaboration between Commonwealth, state and territory governments to develop a framework to measure the progress and impact of initiatives on worker safety and health outcomes, and to support evaluation of a full or partial ban on importation of engineered stone by July 2024</w:t>
      </w:r>
    </w:p>
    <w:p w14:paraId="4DA9B73F" w14:textId="42802499" w:rsidR="00880E8E" w:rsidRPr="009D0A4A" w:rsidRDefault="00880E8E" w:rsidP="007C2A48">
      <w:pPr>
        <w:pStyle w:val="ListBullet"/>
      </w:pPr>
      <w:r w:rsidRPr="009D0A4A">
        <w:t xml:space="preserve">development of National Guidance for doctors assessing workers exposed to respirable crystalline silica dust with specific reference to engineered stone related silicosis, which was published in February 2022 </w:t>
      </w:r>
      <w:r w:rsidRPr="009D0A4A">
        <w:fldChar w:fldCharType="begin"/>
      </w:r>
      <w:r w:rsidR="004067E3">
        <w:instrText xml:space="preserve"> ADDIN ZOTERO_ITEM CSL_CITATION {"citationID":"51hxvRle","properties":{"formattedCitation":"(Department of Health 2022)","plainCitation":"(Department of Health 2022)","noteIndex":0},"citationItems":[{"id":895,"uris":["http://zotero.org/users/6230888/items/EPA2GZUG"],"itemData":{"id":895,"type":"report","page":"73","title":"National Guidance for doctors assessing workers exposed to respirable crystalline silica dust","URL":"https://www1.health.gov.au/internet/main/publishing.nsf/Content/3F0A34A0342D7925CA2587E3001B4C41/$File/National-Guidance.pdf","author":[{"literal":"Department of Health"}],"accessed":{"date-parts":[["2022",6,30]]},"issued":{"date-parts":[["2022"]]}}}],"schema":"https://github.com/citation-style-language/schema/raw/master/csl-citation.json"} </w:instrText>
      </w:r>
      <w:r w:rsidRPr="009D0A4A">
        <w:fldChar w:fldCharType="separate"/>
      </w:r>
      <w:r w:rsidRPr="009D0A4A">
        <w:t>(Department of Health 2022)</w:t>
      </w:r>
      <w:r w:rsidRPr="009D0A4A">
        <w:fldChar w:fldCharType="end"/>
      </w:r>
    </w:p>
    <w:p w14:paraId="02E7BA0A" w14:textId="4A512B4C" w:rsidR="00880E8E" w:rsidRPr="009D0A4A" w:rsidRDefault="00880E8E" w:rsidP="007C2A48">
      <w:pPr>
        <w:pStyle w:val="ListBullet"/>
      </w:pPr>
      <w:r w:rsidRPr="009D0A4A">
        <w:t>funding for the continued operation of the National Occupational Respiratory Disease (building on the election commitment of $1.6 million provided through the 2019-20 Budget), which will capture mandatory notifications of silicosis diagnoses by respiratory and occupational physicians</w:t>
      </w:r>
    </w:p>
    <w:p w14:paraId="0ED8D66C" w14:textId="77777777" w:rsidR="00880E8E" w:rsidRPr="009D0A4A" w:rsidRDefault="00880E8E" w:rsidP="007C2A48">
      <w:pPr>
        <w:pStyle w:val="ListBullet"/>
      </w:pPr>
      <w:r w:rsidRPr="009D0A4A">
        <w:t>finalisation of the National Silicosis Prevention Strategy and National Action Plan, to support more effective prevention of silicosis in Australia</w:t>
      </w:r>
    </w:p>
    <w:p w14:paraId="2FA696F9" w14:textId="4131E978" w:rsidR="00880E8E" w:rsidRPr="009D0A4A" w:rsidRDefault="00880E8E" w:rsidP="007C2A48">
      <w:pPr>
        <w:pStyle w:val="ListBullet"/>
      </w:pPr>
      <w:r w:rsidRPr="009D0A4A">
        <w:t>Commonwealth funding for specific education and awareness activities to raise awareness about the risks to lung health in the workplace, targeting high risk employees, high risk industries, carers and families of those impacted, and culturally and linguistically diverse employees and employers</w:t>
      </w:r>
    </w:p>
    <w:p w14:paraId="24FA9F9B" w14:textId="77777777" w:rsidR="00880E8E" w:rsidRPr="009D0A4A" w:rsidRDefault="00880E8E" w:rsidP="007C2A48">
      <w:pPr>
        <w:pStyle w:val="ListBullet"/>
      </w:pPr>
      <w:r w:rsidRPr="009D0A4A">
        <w:t>developing a silicosis care management plan for health professionals to use in consultation with their silicosis patients</w:t>
      </w:r>
    </w:p>
    <w:p w14:paraId="3DC9CC49" w14:textId="77777777" w:rsidR="00880E8E" w:rsidRPr="009D0A4A" w:rsidRDefault="00880E8E" w:rsidP="007C2A48">
      <w:pPr>
        <w:pStyle w:val="ListBullet"/>
      </w:pPr>
      <w:r w:rsidRPr="009D0A4A">
        <w:t xml:space="preserve">funding to support additional training for medical practitioners to better recognise, diagnose and treat silicosis and other occupational respiratory diseases </w:t>
      </w:r>
    </w:p>
    <w:p w14:paraId="01AED13C" w14:textId="5D82260A" w:rsidR="00880E8E" w:rsidRPr="009D0A4A" w:rsidRDefault="00880E8E" w:rsidP="007C2A48">
      <w:pPr>
        <w:pStyle w:val="ListBullet"/>
      </w:pPr>
      <w:r w:rsidRPr="009D0A4A">
        <w:t>funding to deliver a support service for affected workers and their families to provide information, advice and referrals, and peer to peer virtual support groups</w:t>
      </w:r>
    </w:p>
    <w:p w14:paraId="2A9D8D91" w14:textId="25197AA1" w:rsidR="00880E8E" w:rsidRPr="009D0A4A" w:rsidRDefault="00880E8E" w:rsidP="007C2A48">
      <w:pPr>
        <w:pStyle w:val="ListBullet"/>
      </w:pPr>
      <w:r w:rsidRPr="009D0A4A">
        <w:t>establishment a research forum focused on further developing the evidence base in relation to dust diseases, and</w:t>
      </w:r>
    </w:p>
    <w:p w14:paraId="794CB1F1" w14:textId="77777777" w:rsidR="00880E8E" w:rsidRPr="009D0A4A" w:rsidRDefault="00880E8E" w:rsidP="007C2A48">
      <w:pPr>
        <w:pStyle w:val="ListBullet"/>
      </w:pPr>
      <w:r w:rsidRPr="009D0A4A">
        <w:t>funding for the development of a protocol to enable the early identification of and response to, emerging occupational respiratory risks and associated diseases.</w:t>
      </w:r>
    </w:p>
    <w:p w14:paraId="6D3C928A" w14:textId="77AC1B96" w:rsidR="00BE02B3" w:rsidRPr="009D0A4A" w:rsidRDefault="001B266B" w:rsidP="007C2A48">
      <w:pPr>
        <w:pStyle w:val="Heading5"/>
      </w:pPr>
      <w:r w:rsidRPr="009D0A4A">
        <w:lastRenderedPageBreak/>
        <w:t>Silica</w:t>
      </w:r>
      <w:r w:rsidR="00BE02B3" w:rsidRPr="009D0A4A">
        <w:t xml:space="preserve"> safety</w:t>
      </w:r>
      <w:r w:rsidR="00745E60" w:rsidRPr="009D0A4A">
        <w:t xml:space="preserve"> awareness – nationally recognised</w:t>
      </w:r>
      <w:r w:rsidR="00BE02B3" w:rsidRPr="009D0A4A">
        <w:t xml:space="preserve"> training</w:t>
      </w:r>
    </w:p>
    <w:p w14:paraId="47CEA24E" w14:textId="71BADA63" w:rsidR="00BE02B3" w:rsidRPr="007C2A48" w:rsidRDefault="00BE02B3" w:rsidP="007C2A48">
      <w:pPr>
        <w:pStyle w:val="BodyText"/>
      </w:pPr>
      <w:r w:rsidRPr="007C2A48">
        <w:t xml:space="preserve">In February 2021, the Construction, Plumbing and Services Industry Reference Committee agreed to develop a Silica Safety training package to address WHS skills gaps related to RCS. </w:t>
      </w:r>
    </w:p>
    <w:p w14:paraId="5D357302" w14:textId="77777777" w:rsidR="00BE02B3" w:rsidRPr="007C2A48" w:rsidRDefault="00BE02B3" w:rsidP="007C2A48">
      <w:pPr>
        <w:pStyle w:val="BodyText"/>
      </w:pPr>
      <w:r w:rsidRPr="007C2A48">
        <w:t>With Commonwealth funding, four units of competency were subsequently developed:</w:t>
      </w:r>
    </w:p>
    <w:p w14:paraId="668A0A69" w14:textId="77777777" w:rsidR="00BE02B3" w:rsidRPr="009D0A4A" w:rsidRDefault="00BE02B3" w:rsidP="007C2A48">
      <w:pPr>
        <w:pStyle w:val="ListBullet"/>
      </w:pPr>
      <w:r w:rsidRPr="009D0A4A">
        <w:t xml:space="preserve">CPCSIL1001 Prepare to work safely with products and materials containing crystalline silica, </w:t>
      </w:r>
    </w:p>
    <w:p w14:paraId="58BE538E" w14:textId="77777777" w:rsidR="00BE02B3" w:rsidRPr="009D0A4A" w:rsidRDefault="00BE02B3" w:rsidP="007C2A48">
      <w:pPr>
        <w:pStyle w:val="ListBullet"/>
      </w:pPr>
      <w:r w:rsidRPr="009D0A4A">
        <w:t xml:space="preserve">CPCSIL2001 Use and maintain respiratory protective equipment, </w:t>
      </w:r>
    </w:p>
    <w:p w14:paraId="189860A1" w14:textId="77777777" w:rsidR="00BE02B3" w:rsidRPr="009D0A4A" w:rsidRDefault="00BE02B3" w:rsidP="007C2A48">
      <w:pPr>
        <w:pStyle w:val="ListBullet"/>
      </w:pPr>
      <w:r w:rsidRPr="009D0A4A">
        <w:t>CPCSIL3001 Work with products and materials containing crystalline silica, and</w:t>
      </w:r>
    </w:p>
    <w:p w14:paraId="28BFC580" w14:textId="479CCBFB" w:rsidR="00BE02B3" w:rsidRPr="009D0A4A" w:rsidRDefault="00BE02B3" w:rsidP="007C2A48">
      <w:pPr>
        <w:pStyle w:val="ListBullet"/>
      </w:pPr>
      <w:r w:rsidRPr="009D0A4A">
        <w:t>CPCSIL4001 Supervise and manage work with products and materials generating respirable crystalline silica</w:t>
      </w:r>
      <w:r w:rsidR="00C50F73">
        <w:t>.</w:t>
      </w:r>
    </w:p>
    <w:p w14:paraId="60087E23" w14:textId="69DD88CA" w:rsidR="00BE02B3" w:rsidRPr="007C2A48" w:rsidRDefault="00BE02B3" w:rsidP="007C2A48">
      <w:pPr>
        <w:pStyle w:val="BodyText"/>
      </w:pPr>
      <w:r w:rsidRPr="007C2A48">
        <w:t xml:space="preserve">At its April 2022 meeting, the </w:t>
      </w:r>
      <w:r w:rsidR="00951981" w:rsidRPr="007C2A48">
        <w:t>Australian Industry and Skills Committee</w:t>
      </w:r>
      <w:r w:rsidRPr="007C2A48">
        <w:t xml:space="preserve"> agreed to approve these units of competency.</w:t>
      </w:r>
      <w:r w:rsidR="002F7F67">
        <w:t xml:space="preserve"> Skills ministers endorsed</w:t>
      </w:r>
      <w:r w:rsidR="00993D87">
        <w:t xml:space="preserve"> </w:t>
      </w:r>
      <w:r w:rsidR="00104AFD">
        <w:t>three of the four units of competency, with only CPCSIL1001 not endorsed.</w:t>
      </w:r>
      <w:r w:rsidR="00993D87">
        <w:t xml:space="preserve"> </w:t>
      </w:r>
    </w:p>
    <w:p w14:paraId="411EEED2" w14:textId="77777777" w:rsidR="00262C50" w:rsidRPr="009D0A4A" w:rsidRDefault="00262C50" w:rsidP="00234FEF">
      <w:pPr>
        <w:pStyle w:val="BodyText"/>
      </w:pPr>
    </w:p>
    <w:p w14:paraId="20640D72" w14:textId="77777777" w:rsidR="00B7408F" w:rsidRDefault="00B7408F">
      <w:pPr>
        <w:spacing w:after="120" w:line="264" w:lineRule="auto"/>
        <w:rPr>
          <w:rFonts w:asciiTheme="majorHAnsi" w:hAnsiTheme="majorHAnsi"/>
          <w:b/>
          <w:color w:val="014463" w:themeColor="text2"/>
          <w:sz w:val="60"/>
          <w:szCs w:val="60"/>
        </w:rPr>
      </w:pPr>
      <w:r>
        <w:br w:type="page"/>
      </w:r>
    </w:p>
    <w:p w14:paraId="57DE6ACB" w14:textId="5662B9C2" w:rsidR="00105526" w:rsidRPr="009D0A4A" w:rsidRDefault="00105526" w:rsidP="00E0510C">
      <w:pPr>
        <w:pStyle w:val="Heading1"/>
        <w:numPr>
          <w:ilvl w:val="0"/>
          <w:numId w:val="0"/>
        </w:numPr>
      </w:pPr>
      <w:bookmarkStart w:id="707" w:name="_Toc126573246"/>
      <w:r>
        <w:lastRenderedPageBreak/>
        <w:t xml:space="preserve">Appendix </w:t>
      </w:r>
      <w:r w:rsidR="5DF522CB">
        <w:t>C</w:t>
      </w:r>
      <w:r w:rsidR="00F84B44">
        <w:t>:</w:t>
      </w:r>
      <w:r>
        <w:t xml:space="preserve"> Cost modelling key assumptions and methodology</w:t>
      </w:r>
      <w:bookmarkEnd w:id="703"/>
      <w:bookmarkEnd w:id="707"/>
    </w:p>
    <w:p w14:paraId="497F2B77" w14:textId="77777777" w:rsidR="00150A13" w:rsidRPr="00150A13" w:rsidRDefault="00150A13" w:rsidP="00A8086D">
      <w:pPr>
        <w:pStyle w:val="Heading5"/>
        <w:rPr>
          <w:rFonts w:eastAsiaTheme="majorEastAsia" w:cstheme="majorBidi"/>
          <w:color w:val="014463" w:themeColor="text2"/>
          <w:sz w:val="24"/>
          <w:szCs w:val="30"/>
        </w:rPr>
      </w:pPr>
      <w:r w:rsidRPr="00150A13">
        <w:t>Key assumptions</w:t>
      </w:r>
    </w:p>
    <w:p w14:paraId="2EB3545D" w14:textId="77777777" w:rsidR="00150A13" w:rsidRPr="00150A13" w:rsidRDefault="00150A13" w:rsidP="00A8086D">
      <w:pPr>
        <w:pStyle w:val="BodyText"/>
      </w:pPr>
      <w:r w:rsidRPr="00150A13">
        <w:t>The following tables present the key assumptions and methodology used to estimate the total cost to industry and government for each option. This analysis was conducted in April 2022, and parameter assumptions were current at that point in time, with key assumptions updated to incorporate feedback from stakeholders provided in their response to the CRIS.</w:t>
      </w:r>
    </w:p>
    <w:p w14:paraId="30B84F59" w14:textId="77777777" w:rsidR="00150A13" w:rsidRPr="00150A13" w:rsidRDefault="00150A13" w:rsidP="00150A13">
      <w:pPr>
        <w:spacing w:before="240" w:after="120" w:line="264" w:lineRule="auto"/>
        <w:ind w:left="1134" w:hanging="1134"/>
        <w:outlineLvl w:val="3"/>
        <w:rPr>
          <w:rFonts w:asciiTheme="majorHAnsi" w:hAnsiTheme="majorHAnsi"/>
          <w:color w:val="015E8A" w:themeColor="text2" w:themeTint="E6"/>
          <w:sz w:val="20"/>
          <w:szCs w:val="24"/>
        </w:rPr>
      </w:pPr>
      <w:r w:rsidRPr="00150A13">
        <w:rPr>
          <w:rFonts w:asciiTheme="majorHAnsi" w:hAnsiTheme="majorHAnsi"/>
          <w:color w:val="015E8A" w:themeColor="text2" w:themeTint="E6"/>
          <w:sz w:val="20"/>
          <w:szCs w:val="24"/>
        </w:rPr>
        <w:t xml:space="preserve">Number of businesses covered by regulatory and non-regulatory options </w:t>
      </w:r>
    </w:p>
    <w:p w14:paraId="29C8E1D3" w14:textId="77777777" w:rsidR="00150A13" w:rsidRPr="00A8086D" w:rsidRDefault="00150A13" w:rsidP="00A8086D">
      <w:pPr>
        <w:pStyle w:val="BodyText"/>
        <w:rPr>
          <w:b/>
          <w:sz w:val="20"/>
          <w:szCs w:val="20"/>
        </w:rPr>
      </w:pPr>
      <w:r w:rsidRPr="00A8086D">
        <w:rPr>
          <w:b/>
        </w:rPr>
        <w:t>Industry classification</w:t>
      </w:r>
    </w:p>
    <w:p w14:paraId="1A8C22FD" w14:textId="77777777" w:rsidR="00150A13" w:rsidRPr="00150A13" w:rsidRDefault="00150A13" w:rsidP="00A8086D">
      <w:pPr>
        <w:pStyle w:val="BodyText"/>
      </w:pPr>
      <w:r w:rsidRPr="00150A13">
        <w:t xml:space="preserve">The number of businesses captured by the regulatory and non-regulatory options assessed were estimated using </w:t>
      </w:r>
      <w:r w:rsidRPr="00150A13">
        <w:rPr>
          <w:i/>
        </w:rPr>
        <w:t>Counts of Australian Businesses</w:t>
      </w:r>
      <w:r w:rsidRPr="00150A13">
        <w:t xml:space="preserve"> data published by the Australian Bureau of Statistics </w:t>
      </w:r>
      <w:r w:rsidRPr="00150A13">
        <w:fldChar w:fldCharType="begin"/>
      </w:r>
      <w:r w:rsidRPr="00150A13">
        <w:instrText xml:space="preserve"> ADDIN ZOTERO_ITEM CSL_CITATION {"citationID":"0ZvEbr9e","properties":{"formattedCitation":"(2021b)","plainCitation":"(2021b)","noteIndex":0},"citationItems":[{"id":911,"uris":["http://zotero.org/users/6230888/items/MILQ3B8N"],"itemData":{"id":911,"type":"webpage","abstract":"Contains counts of actively trading businesses, rates of entry to and exit from the market sector of the economy, and rates of business survival.","language":"en","title":"Counts of Australian Businesses, including Entries and Exits, July 2017 - June 2021","URL":"https://www.abs.gov.au/statistics/economy/business-indicators/counts-australian-businesses-including-entries-and-exits/latest-release","author":[{"literal":"Australian Bureau of Statistics"}],"accessed":{"date-parts":[["2022",6,30]]},"issued":{"date-parts":[["2021"]]}},"suppress-author":true}],"schema":"https://github.com/citation-style-language/schema/raw/master/csl-citation.json"} </w:instrText>
      </w:r>
      <w:r w:rsidRPr="00150A13">
        <w:fldChar w:fldCharType="separate"/>
      </w:r>
      <w:r w:rsidRPr="00150A13">
        <w:rPr>
          <w:rFonts w:ascii="Calibri" w:hAnsi="Calibri" w:cs="Calibri"/>
        </w:rPr>
        <w:t>(2021b)</w:t>
      </w:r>
      <w:r w:rsidRPr="00150A13">
        <w:fldChar w:fldCharType="end"/>
      </w:r>
      <w:r w:rsidRPr="00150A13">
        <w:t>. This data presented the total number of businesses at the four-digit ANZIC industry classification level for each jurisdiction. An assessment of all four-digit ANZIC categories was undertaken to determine which industries undertake high risk silica processes and would be covered by the proposed regulatory and non-regulatory options.</w:t>
      </w:r>
    </w:p>
    <w:p w14:paraId="0D26F464" w14:textId="2CEC415C" w:rsidR="00150A13" w:rsidRPr="00150A13" w:rsidRDefault="00150A13" w:rsidP="00A8086D">
      <w:pPr>
        <w:pStyle w:val="BodyText"/>
        <w:rPr>
          <w:rFonts w:cstheme="minorHAnsi"/>
          <w:color w:val="000000" w:themeColor="text1"/>
          <w:sz w:val="20"/>
          <w:szCs w:val="20"/>
        </w:rPr>
      </w:pPr>
      <w:r w:rsidRPr="00150A13">
        <w:t xml:space="preserve">For the purposes of our analysis, relevant ANZIC industry codes were grouped into broad industry sectors as outlined in </w:t>
      </w:r>
      <w:r w:rsidRPr="00150A13">
        <w:rPr>
          <w:rFonts w:cstheme="minorHAnsi"/>
          <w:color w:val="000000" w:themeColor="text1"/>
          <w:sz w:val="20"/>
          <w:szCs w:val="20"/>
        </w:rPr>
        <w:fldChar w:fldCharType="begin"/>
      </w:r>
      <w:r w:rsidRPr="00150A13">
        <w:rPr>
          <w:rFonts w:cstheme="minorHAnsi"/>
          <w:color w:val="000000" w:themeColor="text1"/>
          <w:sz w:val="20"/>
          <w:szCs w:val="20"/>
        </w:rPr>
        <w:instrText xml:space="preserve"> REF _Ref124836289 \h </w:instrText>
      </w:r>
      <w:r w:rsidR="00DF768D">
        <w:rPr>
          <w:rFonts w:cstheme="minorHAnsi"/>
          <w:color w:val="000000" w:themeColor="text1"/>
          <w:sz w:val="20"/>
          <w:szCs w:val="20"/>
        </w:rPr>
        <w:instrText xml:space="preserve"> \* MERGEFORMAT </w:instrText>
      </w:r>
      <w:r w:rsidRPr="00150A13">
        <w:rPr>
          <w:rFonts w:cstheme="minorHAnsi"/>
          <w:color w:val="000000" w:themeColor="text1"/>
          <w:sz w:val="20"/>
          <w:szCs w:val="20"/>
        </w:rPr>
      </w:r>
      <w:r w:rsidRPr="00150A13">
        <w:rPr>
          <w:rFonts w:cstheme="minorHAnsi"/>
          <w:color w:val="000000" w:themeColor="text1"/>
          <w:sz w:val="20"/>
          <w:szCs w:val="20"/>
        </w:rPr>
        <w:fldChar w:fldCharType="separate"/>
      </w:r>
      <w:r w:rsidR="00DF768D" w:rsidRPr="00150A13">
        <w:rPr>
          <w:rFonts w:cstheme="minorHAnsi"/>
          <w:color w:val="000000" w:themeColor="text1"/>
          <w:sz w:val="20"/>
          <w:szCs w:val="20"/>
        </w:rPr>
        <w:t xml:space="preserve">Table </w:t>
      </w:r>
      <w:r w:rsidR="00DF768D" w:rsidRPr="00DF768D">
        <w:rPr>
          <w:rFonts w:cstheme="minorHAnsi"/>
          <w:color w:val="000000" w:themeColor="text1"/>
          <w:sz w:val="20"/>
          <w:szCs w:val="20"/>
        </w:rPr>
        <w:t>36</w:t>
      </w:r>
      <w:r w:rsidRPr="00150A13">
        <w:rPr>
          <w:rFonts w:cstheme="minorHAnsi"/>
          <w:color w:val="000000" w:themeColor="text1"/>
          <w:sz w:val="20"/>
          <w:szCs w:val="20"/>
        </w:rPr>
        <w:fldChar w:fldCharType="end"/>
      </w:r>
      <w:r w:rsidRPr="00150A13">
        <w:rPr>
          <w:rFonts w:cstheme="minorHAnsi"/>
          <w:color w:val="000000" w:themeColor="text1"/>
          <w:sz w:val="20"/>
          <w:szCs w:val="20"/>
        </w:rPr>
        <w:t>.</w:t>
      </w:r>
    </w:p>
    <w:p w14:paraId="2A7A67D0" w14:textId="015A4E1E" w:rsidR="00150A13" w:rsidRPr="00150A13" w:rsidRDefault="00150A13" w:rsidP="00A8086D">
      <w:pPr>
        <w:pStyle w:val="Caption"/>
      </w:pPr>
      <w:bookmarkStart w:id="708" w:name="_Ref124836289"/>
      <w:r w:rsidRPr="00150A13">
        <w:t xml:space="preserve">Table </w:t>
      </w:r>
      <w:fldSimple w:instr=" SEQ Table \* ARABIC ">
        <w:r w:rsidR="00DF768D">
          <w:rPr>
            <w:noProof/>
          </w:rPr>
          <w:t>36</w:t>
        </w:r>
      </w:fldSimple>
      <w:bookmarkEnd w:id="708"/>
      <w:r w:rsidRPr="00150A13">
        <w:t>: ANZIC industry classification</w:t>
      </w:r>
    </w:p>
    <w:tbl>
      <w:tblPr>
        <w:tblW w:w="5000" w:type="pct"/>
        <w:tblBorders>
          <w:left w:val="single" w:sz="8" w:space="0" w:color="D9D9D9"/>
          <w:bottom w:val="single" w:sz="8" w:space="0" w:color="D9D9D9"/>
          <w:right w:val="single" w:sz="8" w:space="0" w:color="D9D9D9"/>
          <w:insideH w:val="single" w:sz="8" w:space="0" w:color="D9D9D9"/>
          <w:insideV w:val="single" w:sz="8" w:space="0" w:color="D9D9D9"/>
        </w:tblBorders>
        <w:tblCellMar>
          <w:left w:w="0" w:type="dxa"/>
          <w:right w:w="0" w:type="dxa"/>
        </w:tblCellMar>
        <w:tblLook w:val="0420" w:firstRow="1" w:lastRow="0" w:firstColumn="0" w:lastColumn="0" w:noHBand="0" w:noVBand="1"/>
      </w:tblPr>
      <w:tblGrid>
        <w:gridCol w:w="2116"/>
        <w:gridCol w:w="8068"/>
      </w:tblGrid>
      <w:tr w:rsidR="00150A13" w:rsidRPr="00150A13" w14:paraId="676B74C3" w14:textId="77777777" w:rsidTr="00A8086D">
        <w:trPr>
          <w:trHeight w:val="159"/>
          <w:tblHeader/>
        </w:trPr>
        <w:tc>
          <w:tcPr>
            <w:tcW w:w="1039" w:type="pct"/>
            <w:tcBorders>
              <w:top w:val="nil"/>
              <w:left w:val="single" w:sz="8" w:space="0" w:color="D9D9D9"/>
              <w:bottom w:val="single" w:sz="8" w:space="0" w:color="D9D9D9"/>
              <w:right w:val="single" w:sz="8" w:space="0" w:color="D9D9D9"/>
            </w:tcBorders>
            <w:shd w:val="clear" w:color="auto" w:fill="D9D9D9" w:themeFill="background1" w:themeFillShade="D9"/>
            <w:tcMar>
              <w:top w:w="72" w:type="dxa"/>
              <w:left w:w="144" w:type="dxa"/>
              <w:bottom w:w="72" w:type="dxa"/>
              <w:right w:w="144" w:type="dxa"/>
            </w:tcMar>
            <w:vAlign w:val="center"/>
            <w:hideMark/>
          </w:tcPr>
          <w:p w14:paraId="34ED54FB" w14:textId="77777777" w:rsidR="00150A13" w:rsidRPr="00150A13" w:rsidRDefault="00150A13" w:rsidP="00A8086D">
            <w:pPr>
              <w:pStyle w:val="TableHeading"/>
            </w:pPr>
            <w:r w:rsidRPr="00150A13">
              <w:t>Industry category</w:t>
            </w:r>
          </w:p>
        </w:tc>
        <w:tc>
          <w:tcPr>
            <w:tcW w:w="3961" w:type="pct"/>
            <w:tcBorders>
              <w:top w:val="nil"/>
              <w:left w:val="single" w:sz="8" w:space="0" w:color="D9D9D9"/>
              <w:bottom w:val="single" w:sz="8" w:space="0" w:color="D9D9D9"/>
              <w:right w:val="single" w:sz="8" w:space="0" w:color="D9D9D9"/>
            </w:tcBorders>
            <w:shd w:val="clear" w:color="auto" w:fill="D9D9D9" w:themeFill="background1" w:themeFillShade="D9"/>
            <w:hideMark/>
          </w:tcPr>
          <w:p w14:paraId="0FE1E06D" w14:textId="77777777" w:rsidR="00150A13" w:rsidRPr="00150A13" w:rsidRDefault="00150A13" w:rsidP="00A8086D">
            <w:pPr>
              <w:pStyle w:val="TableHeading"/>
              <w:rPr>
                <w:color w:val="262626" w:themeColor="text1" w:themeTint="D9"/>
              </w:rPr>
            </w:pPr>
            <w:r w:rsidRPr="00150A13">
              <w:t xml:space="preserve">ANZIC industry classification </w:t>
            </w:r>
          </w:p>
        </w:tc>
      </w:tr>
      <w:tr w:rsidR="00150A13" w:rsidRPr="00150A13" w14:paraId="4687009A" w14:textId="77777777" w:rsidTr="00A8086D">
        <w:trPr>
          <w:trHeight w:val="159"/>
        </w:trPr>
        <w:tc>
          <w:tcPr>
            <w:tcW w:w="1039" w:type="pct"/>
            <w:tcBorders>
              <w:top w:val="single" w:sz="8" w:space="0" w:color="D9D9D9"/>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hideMark/>
          </w:tcPr>
          <w:p w14:paraId="206B3B67" w14:textId="77777777" w:rsidR="00150A13" w:rsidRPr="00A8086D" w:rsidRDefault="00150A13" w:rsidP="00A8086D">
            <w:pPr>
              <w:pStyle w:val="TableBody"/>
              <w:rPr>
                <w:rFonts w:ascii="EYInterstate Light" w:eastAsia="Times New Roman" w:hAnsi="EYInterstate Light" w:cs="Times New Roman"/>
                <w:i/>
                <w:szCs w:val="18"/>
              </w:rPr>
            </w:pPr>
            <w:r w:rsidRPr="00A8086D">
              <w:rPr>
                <w:i/>
              </w:rPr>
              <w:t>Construction</w:t>
            </w:r>
          </w:p>
        </w:tc>
        <w:tc>
          <w:tcPr>
            <w:tcW w:w="3961"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4CD29ABC" w14:textId="77777777" w:rsidR="00150A13" w:rsidRPr="00150A13" w:rsidRDefault="00150A13" w:rsidP="00A8086D">
            <w:pPr>
              <w:pStyle w:val="TableBody"/>
              <w:rPr>
                <w:rFonts w:cstheme="minorHAnsi"/>
                <w:color w:val="262626" w:themeColor="text1" w:themeTint="D9"/>
                <w:szCs w:val="18"/>
              </w:rPr>
            </w:pPr>
            <w:r w:rsidRPr="00150A13">
              <w:t xml:space="preserve">Bricklaying Services, Concreting Services, </w:t>
            </w:r>
            <w:r w:rsidRPr="00150A13">
              <w:rPr>
                <w:rFonts w:cstheme="minorHAnsi"/>
                <w:color w:val="262626" w:themeColor="text1" w:themeTint="D9"/>
                <w:szCs w:val="18"/>
              </w:rPr>
              <w:t>Non-Residential Building Construction, Other Construction Services, Plastering and Ceiling Services, Plumbing Services, Roofing Services, Tiling and Carpeting Services</w:t>
            </w:r>
          </w:p>
        </w:tc>
      </w:tr>
      <w:tr w:rsidR="00150A13" w:rsidRPr="00150A13" w14:paraId="4D3A08F8" w14:textId="77777777" w:rsidTr="00A8086D">
        <w:trPr>
          <w:trHeight w:val="159"/>
        </w:trPr>
        <w:tc>
          <w:tcPr>
            <w:tcW w:w="1039" w:type="pct"/>
            <w:tcBorders>
              <w:top w:val="single" w:sz="8" w:space="0" w:color="D9D9D9"/>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hideMark/>
          </w:tcPr>
          <w:p w14:paraId="442EF9C6" w14:textId="77777777" w:rsidR="00150A13" w:rsidRPr="00A8086D" w:rsidRDefault="00150A13" w:rsidP="00A8086D">
            <w:pPr>
              <w:pStyle w:val="TableBody"/>
              <w:rPr>
                <w:i/>
                <w:iCs/>
                <w:color w:val="262626" w:themeColor="text1" w:themeTint="D9"/>
              </w:rPr>
            </w:pPr>
            <w:r w:rsidRPr="00A8086D">
              <w:rPr>
                <w:i/>
              </w:rPr>
              <w:t xml:space="preserve">Manufacturing </w:t>
            </w:r>
          </w:p>
        </w:tc>
        <w:tc>
          <w:tcPr>
            <w:tcW w:w="3961"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5930F4FF" w14:textId="77777777" w:rsidR="00150A13" w:rsidRPr="00150A13" w:rsidRDefault="00150A13" w:rsidP="00A8086D">
            <w:pPr>
              <w:pStyle w:val="TableBody"/>
              <w:rPr>
                <w:rFonts w:cstheme="minorHAnsi"/>
                <w:color w:val="262626" w:themeColor="text1" w:themeTint="D9"/>
                <w:szCs w:val="18"/>
              </w:rPr>
            </w:pPr>
            <w:r w:rsidRPr="00150A13">
              <w:t xml:space="preserve">Cement and Lime Manufacturing, Clay Brick Manufacturing, </w:t>
            </w:r>
            <w:r w:rsidRPr="00150A13">
              <w:rPr>
                <w:rFonts w:cstheme="minorHAnsi"/>
                <w:color w:val="262626" w:themeColor="text1" w:themeTint="D9"/>
                <w:szCs w:val="18"/>
              </w:rPr>
              <w:t>Concrete Product Manufacturing</w:t>
            </w:r>
          </w:p>
          <w:p w14:paraId="4633D332" w14:textId="77777777" w:rsidR="00150A13" w:rsidRPr="00150A13" w:rsidRDefault="00150A13" w:rsidP="00A8086D">
            <w:pPr>
              <w:pStyle w:val="TableBody"/>
              <w:rPr>
                <w:rFonts w:cstheme="minorHAnsi"/>
                <w:color w:val="262626" w:themeColor="text1" w:themeTint="D9"/>
                <w:szCs w:val="18"/>
              </w:rPr>
            </w:pPr>
            <w:r w:rsidRPr="00150A13">
              <w:t xml:space="preserve">Other Ceramic Product Manufacturing, Other Non-Metallic Mineral </w:t>
            </w:r>
            <w:r w:rsidRPr="00150A13">
              <w:rPr>
                <w:rFonts w:cstheme="minorHAnsi"/>
                <w:color w:val="262626" w:themeColor="text1" w:themeTint="D9"/>
                <w:szCs w:val="18"/>
              </w:rPr>
              <w:t>Product Manufacturing, Plaster Product Manufacturing, Ready-Mixed Concrete Manufacturing</w:t>
            </w:r>
          </w:p>
        </w:tc>
      </w:tr>
      <w:tr w:rsidR="00150A13" w:rsidRPr="00150A13" w14:paraId="6C76C997" w14:textId="77777777" w:rsidTr="00A8086D">
        <w:trPr>
          <w:trHeight w:val="159"/>
        </w:trPr>
        <w:tc>
          <w:tcPr>
            <w:tcW w:w="1039" w:type="pct"/>
            <w:tcBorders>
              <w:top w:val="single" w:sz="8" w:space="0" w:color="D9D9D9"/>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hideMark/>
          </w:tcPr>
          <w:p w14:paraId="4676E9D6" w14:textId="77777777" w:rsidR="00150A13" w:rsidRPr="00A8086D" w:rsidRDefault="00150A13" w:rsidP="00A8086D">
            <w:pPr>
              <w:pStyle w:val="TableBody"/>
              <w:rPr>
                <w:i/>
                <w:iCs/>
                <w:color w:val="262626" w:themeColor="text1" w:themeTint="D9"/>
              </w:rPr>
            </w:pPr>
            <w:r w:rsidRPr="00A8086D">
              <w:rPr>
                <w:i/>
              </w:rPr>
              <w:t xml:space="preserve">Quarrying </w:t>
            </w:r>
          </w:p>
        </w:tc>
        <w:tc>
          <w:tcPr>
            <w:tcW w:w="3961"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5AF5851E" w14:textId="77777777" w:rsidR="00150A13" w:rsidRPr="00150A13" w:rsidRDefault="00150A13" w:rsidP="00A8086D">
            <w:pPr>
              <w:pStyle w:val="TableBody"/>
              <w:rPr>
                <w:rFonts w:cstheme="minorHAnsi"/>
                <w:color w:val="262626" w:themeColor="text1" w:themeTint="D9"/>
                <w:szCs w:val="18"/>
              </w:rPr>
            </w:pPr>
            <w:r w:rsidRPr="00150A13">
              <w:t>Gravel and Sand Quarrying</w:t>
            </w:r>
          </w:p>
          <w:p w14:paraId="1800A997" w14:textId="77777777" w:rsidR="00150A13" w:rsidRPr="00150A13" w:rsidRDefault="00150A13" w:rsidP="00A8086D">
            <w:pPr>
              <w:pStyle w:val="TableBody"/>
              <w:rPr>
                <w:rFonts w:cstheme="minorHAnsi"/>
                <w:color w:val="262626" w:themeColor="text1" w:themeTint="D9"/>
                <w:szCs w:val="18"/>
              </w:rPr>
            </w:pPr>
            <w:r w:rsidRPr="00150A13">
              <w:t>Other Non-Metallic Mineral Mining and Quarrying</w:t>
            </w:r>
          </w:p>
        </w:tc>
      </w:tr>
      <w:tr w:rsidR="00150A13" w:rsidRPr="00150A13" w14:paraId="3E0B1E22" w14:textId="77777777" w:rsidTr="00A8086D">
        <w:trPr>
          <w:trHeight w:val="159"/>
        </w:trPr>
        <w:tc>
          <w:tcPr>
            <w:tcW w:w="1039" w:type="pct"/>
            <w:tcBorders>
              <w:top w:val="single" w:sz="8" w:space="0" w:color="D9D9D9"/>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hideMark/>
          </w:tcPr>
          <w:p w14:paraId="2420877D" w14:textId="77777777" w:rsidR="00150A13" w:rsidRPr="00A8086D" w:rsidRDefault="00150A13" w:rsidP="00A8086D">
            <w:pPr>
              <w:pStyle w:val="TableBody"/>
              <w:rPr>
                <w:i/>
                <w:iCs/>
                <w:color w:val="262626" w:themeColor="text1" w:themeTint="D9"/>
              </w:rPr>
            </w:pPr>
            <w:r w:rsidRPr="00A8086D">
              <w:rPr>
                <w:i/>
              </w:rPr>
              <w:t>Mining</w:t>
            </w:r>
          </w:p>
        </w:tc>
        <w:tc>
          <w:tcPr>
            <w:tcW w:w="3961"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0EFA93F7" w14:textId="77777777" w:rsidR="00150A13" w:rsidRPr="00150A13" w:rsidRDefault="00150A13" w:rsidP="00A8086D">
            <w:pPr>
              <w:pStyle w:val="TableBody"/>
              <w:rPr>
                <w:rFonts w:cstheme="minorHAnsi"/>
                <w:color w:val="262626" w:themeColor="text1" w:themeTint="D9"/>
                <w:szCs w:val="18"/>
              </w:rPr>
            </w:pPr>
            <w:r w:rsidRPr="00150A13">
              <w:t>Bauxite Mining, Coal Mining, Copper Ore Mining, Gold Ore Mining, Iron Ore</w:t>
            </w:r>
            <w:r w:rsidRPr="00150A13">
              <w:rPr>
                <w:rFonts w:cstheme="minorHAnsi"/>
                <w:color w:val="262626" w:themeColor="text1" w:themeTint="D9"/>
                <w:szCs w:val="18"/>
              </w:rPr>
              <w:t xml:space="preserve"> Mining, Mineral Sand Mining, Nickel Ore Mining, Other Construction Material Mining, Other Metal Ore Mining, Silver-Lead-Zinc Ore Mining</w:t>
            </w:r>
          </w:p>
        </w:tc>
      </w:tr>
      <w:tr w:rsidR="00150A13" w:rsidRPr="00150A13" w14:paraId="1A60EA6F" w14:textId="77777777" w:rsidTr="00A8086D">
        <w:trPr>
          <w:trHeight w:val="159"/>
        </w:trPr>
        <w:tc>
          <w:tcPr>
            <w:tcW w:w="1039" w:type="pct"/>
            <w:tcBorders>
              <w:top w:val="single" w:sz="8" w:space="0" w:color="D9D9D9"/>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hideMark/>
          </w:tcPr>
          <w:p w14:paraId="4B8FC90E" w14:textId="77777777" w:rsidR="00150A13" w:rsidRPr="00A8086D" w:rsidRDefault="00150A13" w:rsidP="00A8086D">
            <w:pPr>
              <w:pStyle w:val="TableBody"/>
              <w:rPr>
                <w:i/>
                <w:iCs/>
                <w:color w:val="262626" w:themeColor="text1" w:themeTint="D9"/>
              </w:rPr>
            </w:pPr>
            <w:r w:rsidRPr="00A8086D">
              <w:rPr>
                <w:i/>
              </w:rPr>
              <w:t>Tunnelling</w:t>
            </w:r>
          </w:p>
        </w:tc>
        <w:tc>
          <w:tcPr>
            <w:tcW w:w="3961"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6620FB98" w14:textId="77777777" w:rsidR="00150A13" w:rsidRPr="00150A13" w:rsidRDefault="00150A13" w:rsidP="00A8086D">
            <w:pPr>
              <w:pStyle w:val="TableBody"/>
              <w:rPr>
                <w:rFonts w:cstheme="minorHAnsi"/>
                <w:color w:val="262626" w:themeColor="text1" w:themeTint="D9"/>
                <w:szCs w:val="18"/>
              </w:rPr>
            </w:pPr>
            <w:r w:rsidRPr="00150A13">
              <w:t>Other Heavy and Civil Engineering Construction, Road and Bridge Construction</w:t>
            </w:r>
          </w:p>
        </w:tc>
      </w:tr>
      <w:tr w:rsidR="00150A13" w:rsidRPr="00150A13" w14:paraId="35E84B45" w14:textId="77777777" w:rsidTr="00A8086D">
        <w:trPr>
          <w:trHeight w:val="159"/>
        </w:trPr>
        <w:tc>
          <w:tcPr>
            <w:tcW w:w="1039" w:type="pct"/>
            <w:tcBorders>
              <w:top w:val="single" w:sz="8" w:space="0" w:color="D9D9D9"/>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hideMark/>
          </w:tcPr>
          <w:p w14:paraId="130E739A" w14:textId="77777777" w:rsidR="00150A13" w:rsidRPr="00A8086D" w:rsidRDefault="00150A13" w:rsidP="00A8086D">
            <w:pPr>
              <w:pStyle w:val="TableBody"/>
              <w:rPr>
                <w:i/>
                <w:iCs/>
                <w:color w:val="262626" w:themeColor="text1" w:themeTint="D9"/>
              </w:rPr>
            </w:pPr>
            <w:r w:rsidRPr="00A8086D">
              <w:rPr>
                <w:i/>
              </w:rPr>
              <w:t>Demolition</w:t>
            </w:r>
          </w:p>
        </w:tc>
        <w:tc>
          <w:tcPr>
            <w:tcW w:w="3961"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2C75952B" w14:textId="77777777" w:rsidR="00150A13" w:rsidRPr="00150A13" w:rsidRDefault="00150A13" w:rsidP="00A8086D">
            <w:pPr>
              <w:pStyle w:val="TableBody"/>
              <w:rPr>
                <w:rFonts w:cstheme="minorHAnsi"/>
                <w:color w:val="262626" w:themeColor="text1" w:themeTint="D9"/>
                <w:szCs w:val="18"/>
              </w:rPr>
            </w:pPr>
            <w:r w:rsidRPr="00150A13">
              <w:t xml:space="preserve">Site </w:t>
            </w:r>
            <w:r w:rsidRPr="00150A13">
              <w:rPr>
                <w:rFonts w:cstheme="minorHAnsi"/>
                <w:color w:val="262626" w:themeColor="text1" w:themeTint="D9"/>
                <w:szCs w:val="18"/>
              </w:rPr>
              <w:t>Preparation Services</w:t>
            </w:r>
          </w:p>
        </w:tc>
      </w:tr>
    </w:tbl>
    <w:p w14:paraId="2B9C55D5" w14:textId="77777777" w:rsidR="00150A13" w:rsidRPr="00A8086D" w:rsidRDefault="00150A13" w:rsidP="00A8086D">
      <w:pPr>
        <w:pStyle w:val="BodyText"/>
        <w:rPr>
          <w:b/>
          <w:sz w:val="20"/>
          <w:szCs w:val="20"/>
        </w:rPr>
      </w:pPr>
      <w:r w:rsidRPr="00A8086D">
        <w:rPr>
          <w:b/>
        </w:rPr>
        <w:br/>
        <w:t xml:space="preserve">Size of the industry </w:t>
      </w:r>
    </w:p>
    <w:p w14:paraId="279595F6" w14:textId="77777777" w:rsidR="00150A13" w:rsidRPr="00150A13" w:rsidRDefault="00150A13" w:rsidP="00A8086D">
      <w:pPr>
        <w:pStyle w:val="BodyText"/>
      </w:pPr>
      <w:r w:rsidRPr="00150A13">
        <w:t xml:space="preserve">Given the variability of some costs is dependent on the size and scale of operations, businesses count data was further split into the following categories to account for this variability: </w:t>
      </w:r>
    </w:p>
    <w:p w14:paraId="30A6C015" w14:textId="77777777" w:rsidR="00150A13" w:rsidRPr="00150A13" w:rsidRDefault="00150A13" w:rsidP="00A8086D">
      <w:pPr>
        <w:pStyle w:val="IAListbullet2"/>
        <w:numPr>
          <w:ilvl w:val="0"/>
          <w:numId w:val="8"/>
        </w:numPr>
      </w:pPr>
      <w:r w:rsidRPr="00150A13">
        <w:lastRenderedPageBreak/>
        <w:t>Sole trader and small: non-employing (sole trader) - 19 employees</w:t>
      </w:r>
    </w:p>
    <w:p w14:paraId="0823A493" w14:textId="77777777" w:rsidR="00150A13" w:rsidRPr="00150A13" w:rsidRDefault="00150A13" w:rsidP="00A8086D">
      <w:pPr>
        <w:pStyle w:val="IAListbullet2"/>
        <w:numPr>
          <w:ilvl w:val="0"/>
          <w:numId w:val="8"/>
        </w:numPr>
      </w:pPr>
      <w:r w:rsidRPr="00150A13">
        <w:t>Medium: 20 – 199 employees</w:t>
      </w:r>
    </w:p>
    <w:p w14:paraId="5A6D3EB1" w14:textId="77777777" w:rsidR="00150A13" w:rsidRPr="00150A13" w:rsidRDefault="00150A13" w:rsidP="00A8086D">
      <w:pPr>
        <w:pStyle w:val="IAListbullet2"/>
        <w:numPr>
          <w:ilvl w:val="0"/>
          <w:numId w:val="8"/>
        </w:numPr>
      </w:pPr>
      <w:r w:rsidRPr="00150A13">
        <w:t>Large: 200+ employees.</w:t>
      </w:r>
    </w:p>
    <w:p w14:paraId="2C0AFB59" w14:textId="4EC28C97" w:rsidR="00150A13" w:rsidRPr="00150A13" w:rsidRDefault="004B0AEC" w:rsidP="00A8086D">
      <w:pPr>
        <w:pStyle w:val="BodyText"/>
      </w:pPr>
      <w:r>
        <w:t>I</w:t>
      </w:r>
      <w:r w:rsidR="00150A13" w:rsidRPr="00150A13">
        <w:t xml:space="preserve">t is likely that not all businesses in each industry would undertake </w:t>
      </w:r>
      <w:r w:rsidR="00150A13" w:rsidRPr="00150A13">
        <w:rPr>
          <w:rFonts w:cstheme="minorHAnsi"/>
        </w:rPr>
        <w:t xml:space="preserve">high risk silica work and therefore would not </w:t>
      </w:r>
      <w:r w:rsidR="00150A13" w:rsidRPr="00150A13">
        <w:t xml:space="preserve">be required to meet </w:t>
      </w:r>
      <w:r w:rsidR="00150A13" w:rsidRPr="004B0AEC">
        <w:t>the</w:t>
      </w:r>
      <w:r w:rsidR="00150A13" w:rsidRPr="00150A13">
        <w:t xml:space="preserve"> additional duties outlined in the proposed options.</w:t>
      </w:r>
    </w:p>
    <w:p w14:paraId="3C594027" w14:textId="1E6E7F9F" w:rsidR="00150A13" w:rsidRPr="00150A13" w:rsidRDefault="00150A13" w:rsidP="00A8086D">
      <w:pPr>
        <w:pStyle w:val="BodyText"/>
        <w:rPr>
          <w:sz w:val="20"/>
          <w:szCs w:val="20"/>
        </w:rPr>
      </w:pPr>
      <w:r w:rsidRPr="00150A13">
        <w:t>Using assumptions developed in the Victorian Occupational Health and Safety Amendment (Crystalline Silica) Regulations 2021 Regulatory Impact Statement</w:t>
      </w:r>
      <w:r w:rsidRPr="00150A13">
        <w:rPr>
          <w:i/>
          <w:sz w:val="20"/>
          <w:szCs w:val="20"/>
        </w:rPr>
        <w:t xml:space="preserve">, </w:t>
      </w:r>
      <w:r w:rsidRPr="00150A13">
        <w:rPr>
          <w:sz w:val="20"/>
          <w:szCs w:val="20"/>
        </w:rPr>
        <w:t xml:space="preserve">a proportion of businesses within each industry category will be required to meet the additional duties beyond the existing model WHS laws as presented in </w:t>
      </w:r>
      <w:r w:rsidRPr="00150A13">
        <w:rPr>
          <w:sz w:val="20"/>
          <w:szCs w:val="20"/>
        </w:rPr>
        <w:fldChar w:fldCharType="begin"/>
      </w:r>
      <w:r w:rsidRPr="00150A13">
        <w:rPr>
          <w:sz w:val="20"/>
          <w:szCs w:val="20"/>
        </w:rPr>
        <w:instrText xml:space="preserve"> REF _Ref124836310 \h </w:instrText>
      </w:r>
      <w:r w:rsidR="00DF768D">
        <w:rPr>
          <w:sz w:val="20"/>
          <w:szCs w:val="20"/>
        </w:rPr>
        <w:instrText xml:space="preserve"> \* MERGEFORMAT </w:instrText>
      </w:r>
      <w:r w:rsidRPr="00150A13">
        <w:rPr>
          <w:sz w:val="20"/>
          <w:szCs w:val="20"/>
        </w:rPr>
      </w:r>
      <w:r w:rsidRPr="00150A13">
        <w:rPr>
          <w:sz w:val="20"/>
          <w:szCs w:val="20"/>
        </w:rPr>
        <w:fldChar w:fldCharType="separate"/>
      </w:r>
      <w:r w:rsidR="00DF768D" w:rsidRPr="00150A13">
        <w:rPr>
          <w:sz w:val="20"/>
          <w:szCs w:val="20"/>
        </w:rPr>
        <w:t xml:space="preserve">Table </w:t>
      </w:r>
      <w:r w:rsidR="00DF768D" w:rsidRPr="00DF768D">
        <w:rPr>
          <w:sz w:val="20"/>
          <w:szCs w:val="20"/>
        </w:rPr>
        <w:t>37</w:t>
      </w:r>
      <w:r w:rsidRPr="00150A13">
        <w:rPr>
          <w:sz w:val="20"/>
          <w:szCs w:val="20"/>
        </w:rPr>
        <w:fldChar w:fldCharType="end"/>
      </w:r>
      <w:r w:rsidRPr="00150A13">
        <w:rPr>
          <w:sz w:val="20"/>
          <w:szCs w:val="20"/>
        </w:rPr>
        <w:t xml:space="preserve"> which includes:  </w:t>
      </w:r>
    </w:p>
    <w:p w14:paraId="46FEE232" w14:textId="77777777" w:rsidR="00150A13" w:rsidRPr="00150A13" w:rsidRDefault="00150A13" w:rsidP="004A71BC">
      <w:pPr>
        <w:pStyle w:val="IAListbullet2"/>
        <w:numPr>
          <w:ilvl w:val="0"/>
          <w:numId w:val="8"/>
        </w:numPr>
      </w:pPr>
      <w:r w:rsidRPr="00150A13">
        <w:t xml:space="preserve">WorkSafe Victoria data informed the assumptions used to estimate the cost to industry for the options assessed in the Victorian Occupational Health and Safety Amendment (Crystalline Silica) Regulations 2021 Regulatory Impact Statement. This data indicated that: </w:t>
      </w:r>
    </w:p>
    <w:p w14:paraId="3B3883B0" w14:textId="77777777" w:rsidR="00150A13" w:rsidRPr="00150A13" w:rsidRDefault="00150A13" w:rsidP="004A71BC">
      <w:pPr>
        <w:pStyle w:val="IAListbullet2"/>
      </w:pPr>
      <w:r w:rsidRPr="00150A13">
        <w:t xml:space="preserve">37% of the earth resources industries (quarrying, tunnelling, mining and demolition) worked with high risk resources containing crystalline silica. </w:t>
      </w:r>
    </w:p>
    <w:p w14:paraId="0220C385" w14:textId="77777777" w:rsidR="00150A13" w:rsidRPr="00150A13" w:rsidRDefault="00150A13" w:rsidP="004A71BC">
      <w:pPr>
        <w:pStyle w:val="IAListbullet2"/>
      </w:pPr>
      <w:r w:rsidRPr="00150A13">
        <w:t>In the manufacturing and construction industries, a lower rate of 10% has been applied after assessing the ANZIC industry sectors included in the analysis. In the absence of more robust data, it is to be noted that these percentages contain a high degree of uncertainty.</w:t>
      </w:r>
    </w:p>
    <w:p w14:paraId="3DF96ADB" w14:textId="77777777" w:rsidR="00150A13" w:rsidRPr="00150A13" w:rsidRDefault="00150A13" w:rsidP="004A71BC">
      <w:pPr>
        <w:pStyle w:val="IAListbullet2"/>
        <w:numPr>
          <w:ilvl w:val="0"/>
          <w:numId w:val="8"/>
        </w:numPr>
      </w:pPr>
      <w:r w:rsidRPr="00150A13">
        <w:t>For bricklaying and concreting services in the construction industry and concrete product manufacturing in the manufacturing sector all businesses are deemed to undertake high risk silica work.</w:t>
      </w:r>
    </w:p>
    <w:p w14:paraId="24852D7A" w14:textId="09CB733C" w:rsidR="00150A13" w:rsidRPr="00150A13" w:rsidRDefault="00150A13" w:rsidP="004A71BC">
      <w:pPr>
        <w:pStyle w:val="Caption"/>
      </w:pPr>
      <w:bookmarkStart w:id="709" w:name="_Ref124836310"/>
      <w:r w:rsidRPr="00150A13">
        <w:t xml:space="preserve">Table </w:t>
      </w:r>
      <w:fldSimple w:instr=" SEQ Table \* ARABIC ">
        <w:r w:rsidR="00DF768D">
          <w:rPr>
            <w:noProof/>
          </w:rPr>
          <w:t>37</w:t>
        </w:r>
      </w:fldSimple>
      <w:bookmarkEnd w:id="709"/>
      <w:r w:rsidRPr="00150A13">
        <w:t xml:space="preserve">: Size of industry and proportion of businesses undertaking high risk silica work </w:t>
      </w:r>
    </w:p>
    <w:tbl>
      <w:tblPr>
        <w:tblW w:w="5000" w:type="pct"/>
        <w:tblBorders>
          <w:left w:val="single" w:sz="8" w:space="0" w:color="D9D9D9"/>
          <w:bottom w:val="single" w:sz="8" w:space="0" w:color="D9D9D9"/>
          <w:right w:val="single" w:sz="8" w:space="0" w:color="D9D9D9"/>
          <w:insideH w:val="single" w:sz="8" w:space="0" w:color="D9D9D9"/>
          <w:insideV w:val="single" w:sz="8" w:space="0" w:color="D9D9D9"/>
        </w:tblBorders>
        <w:tblCellMar>
          <w:left w:w="0" w:type="dxa"/>
          <w:right w:w="0" w:type="dxa"/>
        </w:tblCellMar>
        <w:tblLook w:val="0420" w:firstRow="1" w:lastRow="0" w:firstColumn="0" w:lastColumn="0" w:noHBand="0" w:noVBand="1"/>
      </w:tblPr>
      <w:tblGrid>
        <w:gridCol w:w="1505"/>
        <w:gridCol w:w="6422"/>
        <w:gridCol w:w="2257"/>
      </w:tblGrid>
      <w:tr w:rsidR="00150A13" w:rsidRPr="00150A13" w14:paraId="71376E96" w14:textId="77777777" w:rsidTr="004C687A">
        <w:trPr>
          <w:trHeight w:val="159"/>
          <w:tblHeader/>
        </w:trPr>
        <w:tc>
          <w:tcPr>
            <w:tcW w:w="739" w:type="pct"/>
            <w:tcBorders>
              <w:top w:val="nil"/>
              <w:left w:val="single" w:sz="8" w:space="0" w:color="D9D9D9"/>
              <w:bottom w:val="single" w:sz="8" w:space="0" w:color="D9D9D9"/>
              <w:right w:val="single" w:sz="8" w:space="0" w:color="D9D9D9"/>
            </w:tcBorders>
            <w:shd w:val="clear" w:color="auto" w:fill="D9D9D9" w:themeFill="background1" w:themeFillShade="D9"/>
            <w:tcMar>
              <w:top w:w="72" w:type="dxa"/>
              <w:left w:w="144" w:type="dxa"/>
              <w:bottom w:w="72" w:type="dxa"/>
              <w:right w:w="144" w:type="dxa"/>
            </w:tcMar>
            <w:vAlign w:val="center"/>
            <w:hideMark/>
          </w:tcPr>
          <w:p w14:paraId="242E6A9A" w14:textId="77777777" w:rsidR="00150A13" w:rsidRPr="00150A13" w:rsidRDefault="00150A13" w:rsidP="004A71BC">
            <w:pPr>
              <w:pStyle w:val="TableHeading"/>
            </w:pPr>
            <w:r w:rsidRPr="00150A13">
              <w:t>Industry category</w:t>
            </w:r>
          </w:p>
        </w:tc>
        <w:tc>
          <w:tcPr>
            <w:tcW w:w="3153" w:type="pct"/>
            <w:tcBorders>
              <w:top w:val="nil"/>
              <w:left w:val="single" w:sz="8" w:space="0" w:color="D9D9D9"/>
              <w:bottom w:val="single" w:sz="8" w:space="0" w:color="D9D9D9"/>
              <w:right w:val="single" w:sz="8" w:space="0" w:color="D9D9D9"/>
            </w:tcBorders>
            <w:shd w:val="clear" w:color="auto" w:fill="D9D9D9" w:themeFill="background1" w:themeFillShade="D9"/>
            <w:vAlign w:val="center"/>
            <w:hideMark/>
          </w:tcPr>
          <w:p w14:paraId="23BC6226" w14:textId="77777777" w:rsidR="00150A13" w:rsidRPr="00150A13" w:rsidRDefault="00150A13" w:rsidP="004A71BC">
            <w:pPr>
              <w:pStyle w:val="TableHeading"/>
            </w:pPr>
            <w:r w:rsidRPr="00150A13">
              <w:t>ANZIC industry classification</w:t>
            </w:r>
          </w:p>
        </w:tc>
        <w:tc>
          <w:tcPr>
            <w:tcW w:w="1108" w:type="pct"/>
            <w:tcBorders>
              <w:top w:val="nil"/>
              <w:left w:val="single" w:sz="8" w:space="0" w:color="D9D9D9"/>
              <w:bottom w:val="single" w:sz="8" w:space="0" w:color="D9D9D9"/>
              <w:right w:val="single" w:sz="8" w:space="0" w:color="D9D9D9"/>
            </w:tcBorders>
            <w:shd w:val="clear" w:color="auto" w:fill="D9D9D9" w:themeFill="background1" w:themeFillShade="D9"/>
            <w:vAlign w:val="center"/>
            <w:hideMark/>
          </w:tcPr>
          <w:p w14:paraId="0D0E1B3B" w14:textId="77777777" w:rsidR="00150A13" w:rsidRPr="00150A13" w:rsidRDefault="00150A13" w:rsidP="004A71BC">
            <w:pPr>
              <w:pStyle w:val="TableHeading"/>
            </w:pPr>
            <w:r w:rsidRPr="00150A13">
              <w:t xml:space="preserve">Proportion of businesses covered by options </w:t>
            </w:r>
          </w:p>
        </w:tc>
      </w:tr>
      <w:tr w:rsidR="00150A13" w:rsidRPr="00150A13" w14:paraId="5F495A6A" w14:textId="77777777" w:rsidTr="004C687A">
        <w:trPr>
          <w:trHeight w:val="858"/>
        </w:trPr>
        <w:tc>
          <w:tcPr>
            <w:tcW w:w="739" w:type="pct"/>
            <w:vMerge w:val="restart"/>
            <w:tcBorders>
              <w:top w:val="single" w:sz="8" w:space="0" w:color="D9D9D9"/>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vAlign w:val="center"/>
            <w:hideMark/>
          </w:tcPr>
          <w:p w14:paraId="769A6D9F" w14:textId="77777777" w:rsidR="00150A13" w:rsidRPr="004A71BC" w:rsidRDefault="00150A13" w:rsidP="004A71BC">
            <w:pPr>
              <w:pStyle w:val="TableBody"/>
              <w:rPr>
                <w:rFonts w:ascii="EYInterstate Light" w:eastAsia="Times New Roman" w:hAnsi="EYInterstate Light" w:cs="Times New Roman"/>
                <w:i/>
                <w:szCs w:val="18"/>
              </w:rPr>
            </w:pPr>
            <w:r w:rsidRPr="004A71BC">
              <w:rPr>
                <w:i/>
              </w:rPr>
              <w:t>Construction</w:t>
            </w:r>
          </w:p>
        </w:tc>
        <w:tc>
          <w:tcPr>
            <w:tcW w:w="315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1D6C53CA" w14:textId="77777777" w:rsidR="00150A13" w:rsidRPr="00150A13" w:rsidRDefault="00150A13" w:rsidP="004A71BC">
            <w:pPr>
              <w:pStyle w:val="TableBody"/>
              <w:rPr>
                <w:color w:val="262626" w:themeColor="text1" w:themeTint="D9"/>
              </w:rPr>
            </w:pPr>
            <w:r w:rsidRPr="00150A13">
              <w:rPr>
                <w:color w:val="262626" w:themeColor="text1" w:themeTint="D9"/>
              </w:rPr>
              <w:t>Non-Residential Building Construction, Other Construction Services</w:t>
            </w:r>
            <w:r w:rsidRPr="00150A13">
              <w:rPr>
                <w:rFonts w:cstheme="minorHAnsi"/>
                <w:color w:val="262626" w:themeColor="text1" w:themeTint="D9"/>
                <w:szCs w:val="18"/>
              </w:rPr>
              <w:t xml:space="preserve">, Plastering and Ceiling Services, Plumbing Services, Roofing Services, Tiling and Carpeting Service </w:t>
            </w:r>
          </w:p>
        </w:tc>
        <w:tc>
          <w:tcPr>
            <w:tcW w:w="1108"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5FD73CEE" w14:textId="77777777" w:rsidR="00150A13" w:rsidRPr="00150A13" w:rsidRDefault="00150A13" w:rsidP="004A71BC">
            <w:pPr>
              <w:pStyle w:val="TableBody"/>
              <w:rPr>
                <w:color w:val="262626" w:themeColor="text1" w:themeTint="D9"/>
              </w:rPr>
            </w:pPr>
            <w:r w:rsidRPr="00150A13">
              <w:rPr>
                <w:color w:val="262626" w:themeColor="text1" w:themeTint="D9"/>
              </w:rPr>
              <w:t>10%</w:t>
            </w:r>
          </w:p>
        </w:tc>
      </w:tr>
      <w:tr w:rsidR="00150A13" w:rsidRPr="00150A13" w14:paraId="516F6B60" w14:textId="77777777" w:rsidTr="004C687A">
        <w:trPr>
          <w:trHeight w:val="159"/>
        </w:trPr>
        <w:tc>
          <w:tcPr>
            <w:tcW w:w="0" w:type="auto"/>
            <w:vMerge/>
            <w:tcBorders>
              <w:top w:val="single" w:sz="8" w:space="0" w:color="D9D9D9"/>
              <w:left w:val="single" w:sz="8" w:space="0" w:color="D9D9D9"/>
              <w:bottom w:val="single" w:sz="8" w:space="0" w:color="D9D9D9"/>
              <w:right w:val="single" w:sz="8" w:space="0" w:color="D9D9D9"/>
            </w:tcBorders>
            <w:vAlign w:val="center"/>
            <w:hideMark/>
          </w:tcPr>
          <w:p w14:paraId="1C1E7A30" w14:textId="77777777" w:rsidR="00150A13" w:rsidRPr="004A71BC" w:rsidRDefault="00150A13" w:rsidP="004A71BC">
            <w:pPr>
              <w:pStyle w:val="TableBody"/>
              <w:rPr>
                <w:rFonts w:ascii="EYInterstate Light" w:hAnsi="EYInterstate Light" w:cs="Times New Roman"/>
                <w:i/>
              </w:rPr>
            </w:pPr>
          </w:p>
        </w:tc>
        <w:tc>
          <w:tcPr>
            <w:tcW w:w="315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58424992" w14:textId="77777777" w:rsidR="00150A13" w:rsidRPr="00150A13" w:rsidRDefault="00150A13" w:rsidP="004A71BC">
            <w:pPr>
              <w:pStyle w:val="TableBody"/>
              <w:rPr>
                <w:color w:val="262626" w:themeColor="text1" w:themeTint="D9"/>
              </w:rPr>
            </w:pPr>
            <w:r w:rsidRPr="00150A13">
              <w:rPr>
                <w:color w:val="262626" w:themeColor="text1" w:themeTint="D9"/>
              </w:rPr>
              <w:t>Bricklaying services, Concreting services</w:t>
            </w:r>
          </w:p>
        </w:tc>
        <w:tc>
          <w:tcPr>
            <w:tcW w:w="1108"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020D407B" w14:textId="77777777" w:rsidR="00150A13" w:rsidRPr="00150A13" w:rsidRDefault="00150A13" w:rsidP="004A71BC">
            <w:pPr>
              <w:pStyle w:val="TableBody"/>
              <w:rPr>
                <w:color w:val="262626" w:themeColor="text1" w:themeTint="D9"/>
              </w:rPr>
            </w:pPr>
            <w:r w:rsidRPr="00150A13">
              <w:rPr>
                <w:color w:val="262626" w:themeColor="text1" w:themeTint="D9"/>
              </w:rPr>
              <w:t>100%</w:t>
            </w:r>
          </w:p>
        </w:tc>
      </w:tr>
      <w:tr w:rsidR="00150A13" w:rsidRPr="00150A13" w14:paraId="0C1A67FE" w14:textId="77777777" w:rsidTr="004C687A">
        <w:trPr>
          <w:trHeight w:val="159"/>
        </w:trPr>
        <w:tc>
          <w:tcPr>
            <w:tcW w:w="739" w:type="pct"/>
            <w:vMerge w:val="restart"/>
            <w:tcBorders>
              <w:top w:val="single" w:sz="8" w:space="0" w:color="D9D9D9"/>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vAlign w:val="center"/>
            <w:hideMark/>
          </w:tcPr>
          <w:p w14:paraId="3A7720AA" w14:textId="77777777" w:rsidR="00150A13" w:rsidRPr="004A71BC" w:rsidRDefault="00150A13" w:rsidP="004A71BC">
            <w:pPr>
              <w:pStyle w:val="TableBody"/>
              <w:rPr>
                <w:i/>
                <w:iCs/>
                <w:color w:val="262626" w:themeColor="text1" w:themeTint="D9"/>
              </w:rPr>
            </w:pPr>
            <w:r w:rsidRPr="004A71BC">
              <w:rPr>
                <w:i/>
              </w:rPr>
              <w:t xml:space="preserve">Manufacturing </w:t>
            </w:r>
          </w:p>
        </w:tc>
        <w:tc>
          <w:tcPr>
            <w:tcW w:w="315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072CDBA0" w14:textId="77777777" w:rsidR="00150A13" w:rsidRPr="00150A13" w:rsidRDefault="00150A13" w:rsidP="004A71BC">
            <w:pPr>
              <w:pStyle w:val="TableBody"/>
              <w:rPr>
                <w:color w:val="262626" w:themeColor="text1" w:themeTint="D9"/>
              </w:rPr>
            </w:pPr>
            <w:r w:rsidRPr="00150A13">
              <w:rPr>
                <w:color w:val="262626" w:themeColor="text1" w:themeTint="D9"/>
              </w:rPr>
              <w:t>Cement and Lime Manufacturing, Clay Brick Manufacturing, Other Ceramic Product Manufacturing, Other Non-Metallic Mineral Product Manufacturing, Plaster Product Manufacturing, Ready-Mixed Concrete Manufacturing</w:t>
            </w:r>
          </w:p>
        </w:tc>
        <w:tc>
          <w:tcPr>
            <w:tcW w:w="1108"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5EF22FA3" w14:textId="77777777" w:rsidR="00150A13" w:rsidRPr="00150A13" w:rsidRDefault="00150A13" w:rsidP="004A71BC">
            <w:pPr>
              <w:pStyle w:val="TableBody"/>
              <w:rPr>
                <w:color w:val="262626" w:themeColor="text1" w:themeTint="D9"/>
              </w:rPr>
            </w:pPr>
            <w:r w:rsidRPr="00150A13">
              <w:rPr>
                <w:color w:val="262626" w:themeColor="text1" w:themeTint="D9"/>
              </w:rPr>
              <w:t>10%</w:t>
            </w:r>
          </w:p>
        </w:tc>
      </w:tr>
      <w:tr w:rsidR="00150A13" w:rsidRPr="00150A13" w14:paraId="05B2D0A3" w14:textId="77777777" w:rsidTr="004C687A">
        <w:trPr>
          <w:trHeight w:val="159"/>
        </w:trPr>
        <w:tc>
          <w:tcPr>
            <w:tcW w:w="0" w:type="auto"/>
            <w:vMerge/>
            <w:tcBorders>
              <w:top w:val="single" w:sz="8" w:space="0" w:color="D9D9D9"/>
              <w:left w:val="single" w:sz="8" w:space="0" w:color="D9D9D9"/>
              <w:bottom w:val="single" w:sz="8" w:space="0" w:color="D9D9D9"/>
              <w:right w:val="single" w:sz="8" w:space="0" w:color="D9D9D9"/>
            </w:tcBorders>
            <w:vAlign w:val="center"/>
            <w:hideMark/>
          </w:tcPr>
          <w:p w14:paraId="6C1444B3" w14:textId="77777777" w:rsidR="00150A13" w:rsidRPr="004A71BC" w:rsidRDefault="00150A13" w:rsidP="004A71BC">
            <w:pPr>
              <w:pStyle w:val="TableBody"/>
              <w:rPr>
                <w:i/>
                <w:color w:val="262626" w:themeColor="text1" w:themeTint="D9"/>
              </w:rPr>
            </w:pPr>
          </w:p>
        </w:tc>
        <w:tc>
          <w:tcPr>
            <w:tcW w:w="315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609C8787" w14:textId="77777777" w:rsidR="00150A13" w:rsidRPr="00150A13" w:rsidRDefault="00150A13" w:rsidP="004A71BC">
            <w:pPr>
              <w:pStyle w:val="TableBody"/>
              <w:rPr>
                <w:color w:val="262626" w:themeColor="text1" w:themeTint="D9"/>
              </w:rPr>
            </w:pPr>
            <w:r w:rsidRPr="00150A13">
              <w:rPr>
                <w:color w:val="262626" w:themeColor="text1" w:themeTint="D9"/>
              </w:rPr>
              <w:t>Concrete Product Manufacturing</w:t>
            </w:r>
          </w:p>
        </w:tc>
        <w:tc>
          <w:tcPr>
            <w:tcW w:w="1108"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700833A9" w14:textId="77777777" w:rsidR="00150A13" w:rsidRPr="00150A13" w:rsidRDefault="00150A13" w:rsidP="004A71BC">
            <w:pPr>
              <w:pStyle w:val="TableBody"/>
              <w:rPr>
                <w:color w:val="262626" w:themeColor="text1" w:themeTint="D9"/>
              </w:rPr>
            </w:pPr>
            <w:r w:rsidRPr="00150A13">
              <w:rPr>
                <w:color w:val="262626" w:themeColor="text1" w:themeTint="D9"/>
              </w:rPr>
              <w:t>100%</w:t>
            </w:r>
          </w:p>
        </w:tc>
      </w:tr>
      <w:tr w:rsidR="00150A13" w:rsidRPr="00150A13" w14:paraId="49F510F0" w14:textId="77777777" w:rsidTr="004C687A">
        <w:trPr>
          <w:trHeight w:val="159"/>
        </w:trPr>
        <w:tc>
          <w:tcPr>
            <w:tcW w:w="739" w:type="pct"/>
            <w:tcBorders>
              <w:top w:val="single" w:sz="8" w:space="0" w:color="D9D9D9"/>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vAlign w:val="center"/>
            <w:hideMark/>
          </w:tcPr>
          <w:p w14:paraId="37FAA29B" w14:textId="77777777" w:rsidR="00150A13" w:rsidRPr="004A71BC" w:rsidRDefault="00150A13" w:rsidP="004A71BC">
            <w:pPr>
              <w:pStyle w:val="TableBody"/>
              <w:rPr>
                <w:i/>
                <w:iCs/>
                <w:color w:val="262626" w:themeColor="text1" w:themeTint="D9"/>
              </w:rPr>
            </w:pPr>
            <w:r w:rsidRPr="004A71BC">
              <w:rPr>
                <w:i/>
              </w:rPr>
              <w:t>Quarrying, mining, tunnelling, demolition</w:t>
            </w:r>
          </w:p>
        </w:tc>
        <w:tc>
          <w:tcPr>
            <w:tcW w:w="315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253CE04A" w14:textId="77777777" w:rsidR="00150A13" w:rsidRPr="00150A13" w:rsidRDefault="00150A13" w:rsidP="004A71BC">
            <w:pPr>
              <w:pStyle w:val="TableBody"/>
              <w:rPr>
                <w:color w:val="262626" w:themeColor="text1" w:themeTint="D9"/>
              </w:rPr>
            </w:pPr>
            <w:r w:rsidRPr="00150A13">
              <w:rPr>
                <w:color w:val="262626" w:themeColor="text1" w:themeTint="D9"/>
              </w:rPr>
              <w:t xml:space="preserve">Bauxite Mining, Coal Mining, </w:t>
            </w:r>
            <w:r w:rsidRPr="00150A13">
              <w:rPr>
                <w:rFonts w:cstheme="minorHAnsi"/>
                <w:color w:val="262626" w:themeColor="text1" w:themeTint="D9"/>
                <w:szCs w:val="18"/>
              </w:rPr>
              <w:t>Copper Ore Mining, Gold Ore Mining, Gravel and Sand Quarrying, Iron Ore Mining, Mineral Sand Mining, Nickel Ore Mining, Other Construction Material Mining, Other Heavy and Civil Enginee</w:t>
            </w:r>
            <w:r w:rsidRPr="00150A13">
              <w:rPr>
                <w:color w:val="262626" w:themeColor="text1" w:themeTint="D9"/>
              </w:rPr>
              <w:t>ring Construction, Other Metal Ore Mining, Other Non-Metallic Mineral Mining and Quarrying, Road and Bridge Construction, Silver-Lead-Zinc Ore Mining, Site Preparation Services</w:t>
            </w:r>
          </w:p>
        </w:tc>
        <w:tc>
          <w:tcPr>
            <w:tcW w:w="1108"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2B753167" w14:textId="77777777" w:rsidR="00150A13" w:rsidRPr="00150A13" w:rsidRDefault="00150A13" w:rsidP="004A71BC">
            <w:pPr>
              <w:pStyle w:val="TableBody"/>
              <w:rPr>
                <w:color w:val="262626" w:themeColor="text1" w:themeTint="D9"/>
              </w:rPr>
            </w:pPr>
            <w:r w:rsidRPr="00150A13">
              <w:rPr>
                <w:color w:val="262626" w:themeColor="text1" w:themeTint="D9"/>
              </w:rPr>
              <w:t>37%</w:t>
            </w:r>
          </w:p>
        </w:tc>
      </w:tr>
    </w:tbl>
    <w:p w14:paraId="3025241D" w14:textId="77777777" w:rsidR="004A71BC" w:rsidRDefault="004A71BC" w:rsidP="004A71BC">
      <w:pPr>
        <w:pStyle w:val="BodyText"/>
        <w:rPr>
          <w:b/>
          <w:bCs/>
        </w:rPr>
      </w:pPr>
    </w:p>
    <w:p w14:paraId="0E6D51A0" w14:textId="77777777" w:rsidR="004A71BC" w:rsidRDefault="004A71BC" w:rsidP="004A71BC">
      <w:pPr>
        <w:pStyle w:val="BodyText"/>
        <w:rPr>
          <w:b/>
          <w:bCs/>
        </w:rPr>
      </w:pPr>
    </w:p>
    <w:p w14:paraId="59979CD4" w14:textId="614A91AB" w:rsidR="00150A13" w:rsidRPr="004A71BC" w:rsidRDefault="00150A13" w:rsidP="009829BA">
      <w:pPr>
        <w:pStyle w:val="BodyText"/>
        <w:keepNext/>
        <w:rPr>
          <w:b/>
          <w:sz w:val="20"/>
          <w:szCs w:val="20"/>
        </w:rPr>
      </w:pPr>
      <w:r w:rsidRPr="004A71BC">
        <w:rPr>
          <w:b/>
        </w:rPr>
        <w:lastRenderedPageBreak/>
        <w:t xml:space="preserve">Assumptions around the number of businesses in Australia not </w:t>
      </w:r>
      <w:r w:rsidRPr="004A71BC">
        <w:rPr>
          <w:b/>
          <w:sz w:val="20"/>
          <w:szCs w:val="20"/>
        </w:rPr>
        <w:t>subject to the model WHS laws</w:t>
      </w:r>
    </w:p>
    <w:p w14:paraId="28686275" w14:textId="478C1F65" w:rsidR="00150A13" w:rsidRPr="005D3262" w:rsidRDefault="00150A13" w:rsidP="005D3262">
      <w:pPr>
        <w:pStyle w:val="BodyText"/>
      </w:pPr>
      <w:r w:rsidRPr="005D3262">
        <w:t xml:space="preserve">As mentioned in Section 1.6, the scope of this </w:t>
      </w:r>
      <w:r w:rsidR="0054756F" w:rsidRPr="005D3262">
        <w:t>DRIS</w:t>
      </w:r>
      <w:r w:rsidRPr="005D3262">
        <w:t xml:space="preserve"> covers industries that are subject to the model WHS laws. Therefore, the following exclusions apply: </w:t>
      </w:r>
    </w:p>
    <w:p w14:paraId="4795FC7E" w14:textId="77777777" w:rsidR="00150A13" w:rsidRPr="00150A13" w:rsidRDefault="00150A13" w:rsidP="004A71BC">
      <w:pPr>
        <w:pStyle w:val="IAListbullet2"/>
        <w:numPr>
          <w:ilvl w:val="0"/>
          <w:numId w:val="8"/>
        </w:numPr>
      </w:pPr>
      <w:r w:rsidRPr="00150A13">
        <w:t>Victorian businesses that operate solely within Victoria (small and proportion of medium sized businesses) have been excluded from the total business count estimates. Victorian businesses are not included under Option 4 as it is assumed that a licence acquired to work with engineered stone in Victoria to be reciprocal reciprocated across jurisdictions</w:t>
      </w:r>
    </w:p>
    <w:p w14:paraId="60044D61" w14:textId="77777777" w:rsidR="00150A13" w:rsidRPr="00150A13" w:rsidRDefault="00150A13" w:rsidP="004A71BC">
      <w:pPr>
        <w:pStyle w:val="IAListbullet2"/>
        <w:numPr>
          <w:ilvl w:val="0"/>
          <w:numId w:val="8"/>
        </w:numPr>
      </w:pPr>
      <w:r w:rsidRPr="00150A13">
        <w:t xml:space="preserve">Mining and quarrying businesses in Tasmania, Queensland and New South Wales </w:t>
      </w:r>
    </w:p>
    <w:p w14:paraId="201979C0" w14:textId="77777777" w:rsidR="00150A13" w:rsidRPr="005D3262" w:rsidRDefault="00150A13" w:rsidP="005D3262">
      <w:pPr>
        <w:pStyle w:val="BodyText"/>
      </w:pPr>
      <w:r w:rsidRPr="005D3262">
        <w:t xml:space="preserve">It is to be noted that the business counts data represents a point in time estimate using historical data. No analysis has been undertaken to determine the likely labour market trends across industries impacted by the proposed regulatory and non-regulatory changes over the 10 year forecast period. </w:t>
      </w:r>
    </w:p>
    <w:p w14:paraId="0C6089BA" w14:textId="1022B089" w:rsidR="00150A13" w:rsidRPr="00150A13" w:rsidRDefault="00150A13" w:rsidP="004A71BC">
      <w:pPr>
        <w:pStyle w:val="BodyText"/>
        <w:rPr>
          <w:sz w:val="20"/>
          <w:szCs w:val="20"/>
        </w:rPr>
      </w:pPr>
      <w:r w:rsidRPr="00150A13">
        <w:t xml:space="preserve">The total estimated number of businesses covered by Options 2 and 5 are presented in </w:t>
      </w:r>
      <w:r w:rsidRPr="00150A13">
        <w:rPr>
          <w:sz w:val="20"/>
          <w:szCs w:val="20"/>
        </w:rPr>
        <w:fldChar w:fldCharType="begin"/>
      </w:r>
      <w:r w:rsidRPr="00150A13">
        <w:rPr>
          <w:sz w:val="20"/>
          <w:szCs w:val="20"/>
        </w:rPr>
        <w:instrText xml:space="preserve"> REF _Ref124837852 \h </w:instrText>
      </w:r>
      <w:r w:rsidR="00DF768D">
        <w:rPr>
          <w:sz w:val="20"/>
          <w:szCs w:val="20"/>
        </w:rPr>
        <w:instrText xml:space="preserve"> \* MERGEFORMAT </w:instrText>
      </w:r>
      <w:r w:rsidRPr="00150A13">
        <w:rPr>
          <w:sz w:val="20"/>
          <w:szCs w:val="20"/>
        </w:rPr>
      </w:r>
      <w:r w:rsidRPr="00150A13">
        <w:rPr>
          <w:sz w:val="20"/>
          <w:szCs w:val="20"/>
        </w:rPr>
        <w:fldChar w:fldCharType="separate"/>
      </w:r>
      <w:r w:rsidR="00DF768D" w:rsidRPr="00150A13">
        <w:rPr>
          <w:sz w:val="20"/>
          <w:szCs w:val="20"/>
        </w:rPr>
        <w:t xml:space="preserve">Table </w:t>
      </w:r>
      <w:r w:rsidR="00DF768D" w:rsidRPr="00DF768D">
        <w:rPr>
          <w:sz w:val="20"/>
          <w:szCs w:val="20"/>
        </w:rPr>
        <w:t>38</w:t>
      </w:r>
      <w:r w:rsidRPr="00150A13">
        <w:rPr>
          <w:sz w:val="20"/>
          <w:szCs w:val="20"/>
        </w:rPr>
        <w:fldChar w:fldCharType="end"/>
      </w:r>
      <w:r w:rsidRPr="00150A13">
        <w:rPr>
          <w:sz w:val="20"/>
          <w:szCs w:val="20"/>
        </w:rPr>
        <w:t>.</w:t>
      </w:r>
    </w:p>
    <w:p w14:paraId="6E906947" w14:textId="419C1A09" w:rsidR="00150A13" w:rsidRPr="00150A13" w:rsidRDefault="00150A13" w:rsidP="00150A13">
      <w:pPr>
        <w:keepNext/>
        <w:tabs>
          <w:tab w:val="left" w:pos="851"/>
          <w:tab w:val="left" w:pos="1017"/>
        </w:tabs>
        <w:spacing w:before="120" w:after="120" w:line="264" w:lineRule="auto"/>
        <w:rPr>
          <w:rFonts w:asciiTheme="majorHAnsi" w:hAnsiTheme="majorHAnsi"/>
          <w:b/>
          <w:iCs/>
          <w:color w:val="014463" w:themeColor="text2"/>
          <w:sz w:val="20"/>
          <w:szCs w:val="18"/>
        </w:rPr>
      </w:pPr>
      <w:bookmarkStart w:id="710" w:name="_Ref124837852"/>
      <w:r w:rsidRPr="00150A13">
        <w:rPr>
          <w:rFonts w:asciiTheme="majorHAnsi" w:hAnsiTheme="majorHAnsi"/>
          <w:b/>
          <w:iCs/>
          <w:color w:val="014463" w:themeColor="text2"/>
          <w:sz w:val="20"/>
          <w:szCs w:val="18"/>
        </w:rPr>
        <w:t xml:space="preserve">Table </w:t>
      </w:r>
      <w:r w:rsidRPr="00150A13">
        <w:rPr>
          <w:rFonts w:asciiTheme="majorHAnsi" w:hAnsiTheme="majorHAnsi"/>
          <w:b/>
          <w:iCs/>
          <w:color w:val="014463" w:themeColor="text2"/>
          <w:sz w:val="20"/>
          <w:szCs w:val="18"/>
        </w:rPr>
        <w:fldChar w:fldCharType="begin"/>
      </w:r>
      <w:r w:rsidRPr="00150A13">
        <w:rPr>
          <w:rFonts w:asciiTheme="majorHAnsi" w:hAnsiTheme="majorHAnsi"/>
          <w:b/>
          <w:iCs/>
          <w:color w:val="014463" w:themeColor="text2"/>
          <w:sz w:val="20"/>
          <w:szCs w:val="18"/>
        </w:rPr>
        <w:instrText xml:space="preserve"> SEQ Table \* ARABIC </w:instrText>
      </w:r>
      <w:r w:rsidRPr="00150A13">
        <w:rPr>
          <w:rFonts w:asciiTheme="majorHAnsi" w:hAnsiTheme="majorHAnsi"/>
          <w:b/>
          <w:iCs/>
          <w:color w:val="014463" w:themeColor="text2"/>
          <w:sz w:val="20"/>
          <w:szCs w:val="18"/>
        </w:rPr>
        <w:fldChar w:fldCharType="separate"/>
      </w:r>
      <w:r w:rsidR="00DF768D">
        <w:rPr>
          <w:rFonts w:asciiTheme="majorHAnsi" w:hAnsiTheme="majorHAnsi"/>
          <w:b/>
          <w:iCs/>
          <w:noProof/>
          <w:color w:val="014463" w:themeColor="text2"/>
          <w:sz w:val="20"/>
          <w:szCs w:val="18"/>
        </w:rPr>
        <w:t>38</w:t>
      </w:r>
      <w:r w:rsidRPr="00150A13">
        <w:rPr>
          <w:rFonts w:asciiTheme="majorHAnsi" w:hAnsiTheme="majorHAnsi"/>
          <w:b/>
          <w:iCs/>
          <w:noProof/>
          <w:color w:val="014463" w:themeColor="text2"/>
          <w:sz w:val="20"/>
          <w:szCs w:val="18"/>
        </w:rPr>
        <w:fldChar w:fldCharType="end"/>
      </w:r>
      <w:bookmarkEnd w:id="710"/>
      <w:r w:rsidRPr="00150A13">
        <w:rPr>
          <w:rFonts w:asciiTheme="majorHAnsi" w:hAnsiTheme="majorHAnsi"/>
          <w:b/>
          <w:iCs/>
          <w:color w:val="014463" w:themeColor="text2"/>
          <w:sz w:val="20"/>
          <w:szCs w:val="18"/>
        </w:rPr>
        <w:t xml:space="preserve">: Estimated number of businesses per industry category covered by Options 2and 5a/5b </w:t>
      </w:r>
      <w:r w:rsidRPr="00150A13">
        <w:rPr>
          <w:rFonts w:asciiTheme="majorHAnsi" w:hAnsiTheme="majorHAnsi"/>
          <w:b/>
          <w:iCs/>
          <w:color w:val="014463" w:themeColor="text2"/>
          <w:sz w:val="20"/>
          <w:szCs w:val="18"/>
        </w:rPr>
        <w:fldChar w:fldCharType="begin"/>
      </w:r>
      <w:r w:rsidRPr="00150A13">
        <w:rPr>
          <w:rFonts w:asciiTheme="majorHAnsi" w:hAnsiTheme="majorHAnsi"/>
          <w:b/>
          <w:iCs/>
          <w:color w:val="014463" w:themeColor="text2"/>
          <w:sz w:val="20"/>
          <w:szCs w:val="18"/>
        </w:rPr>
        <w:instrText xml:space="preserve"> ADDIN ZOTERO_ITEM CSL_CITATION {"citationID":"VKueN4Bq","properties":{"formattedCitation":"(Australian Bureau of Statistics 2021b)","plainCitation":"(Australian Bureau of Statistics 2021b)","noteIndex":0},"citationItems":[{"id":911,"uris":["http://zotero.org/users/6230888/items/MILQ3B8N"],"itemData":{"id":911,"type":"webpage","abstract":"Contains counts of actively trading businesses, rates of entry to and exit from the market sector of the economy, and rates of business survival.","language":"en","title":"Counts of Australian Businesses, including Entries and Exits, July 2017 - June 2021","URL":"https://www.abs.gov.au/statistics/economy/business-indicators/counts-australian-businesses-including-entries-and-exits/latest-release","author":[{"literal":"Australian Bureau of Statistics"}],"accessed":{"date-parts":[["2022",6,30]]},"issued":{"date-parts":[["2021"]]}}}],"schema":"https://github.com/citation-style-language/schema/raw/master/csl-citation.json"} </w:instrText>
      </w:r>
      <w:r w:rsidRPr="00150A13">
        <w:rPr>
          <w:rFonts w:asciiTheme="majorHAnsi" w:hAnsiTheme="majorHAnsi"/>
          <w:b/>
          <w:iCs/>
          <w:color w:val="014463" w:themeColor="text2"/>
          <w:sz w:val="20"/>
          <w:szCs w:val="18"/>
        </w:rPr>
        <w:fldChar w:fldCharType="separate"/>
      </w:r>
      <w:r w:rsidRPr="00150A13">
        <w:rPr>
          <w:rFonts w:asciiTheme="majorHAnsi" w:hAnsiTheme="majorHAnsi"/>
          <w:b/>
          <w:iCs/>
          <w:color w:val="014463" w:themeColor="text2"/>
          <w:sz w:val="20"/>
          <w:szCs w:val="18"/>
        </w:rPr>
        <w:t>(Australian Bureau of Statistics 2021b)</w:t>
      </w:r>
      <w:r w:rsidRPr="00150A13">
        <w:rPr>
          <w:rFonts w:asciiTheme="majorHAnsi" w:hAnsiTheme="majorHAnsi"/>
          <w:b/>
          <w:iCs/>
          <w:color w:val="014463" w:themeColor="text2"/>
          <w:sz w:val="20"/>
          <w:szCs w:val="18"/>
        </w:rPr>
        <w:fldChar w:fldCharType="end"/>
      </w:r>
    </w:p>
    <w:tbl>
      <w:tblPr>
        <w:tblW w:w="5000" w:type="pct"/>
        <w:tblBorders>
          <w:left w:val="single" w:sz="8" w:space="0" w:color="D9D9D9"/>
          <w:bottom w:val="single" w:sz="8" w:space="0" w:color="D9D9D9"/>
          <w:right w:val="single" w:sz="8" w:space="0" w:color="D9D9D9"/>
          <w:insideH w:val="single" w:sz="8" w:space="0" w:color="D9D9D9"/>
          <w:insideV w:val="single" w:sz="8" w:space="0" w:color="D9D9D9"/>
        </w:tblBorders>
        <w:tblCellMar>
          <w:left w:w="0" w:type="dxa"/>
          <w:right w:w="0" w:type="dxa"/>
        </w:tblCellMar>
        <w:tblLook w:val="0420" w:firstRow="1" w:lastRow="0" w:firstColumn="0" w:lastColumn="0" w:noHBand="0" w:noVBand="1"/>
      </w:tblPr>
      <w:tblGrid>
        <w:gridCol w:w="1490"/>
        <w:gridCol w:w="1049"/>
        <w:gridCol w:w="1089"/>
        <w:gridCol w:w="1056"/>
        <w:gridCol w:w="1088"/>
        <w:gridCol w:w="1049"/>
        <w:gridCol w:w="1088"/>
        <w:gridCol w:w="1187"/>
        <w:gridCol w:w="1088"/>
      </w:tblGrid>
      <w:tr w:rsidR="00150A13" w:rsidRPr="00150A13" w14:paraId="225604F2" w14:textId="77777777" w:rsidTr="004C687A">
        <w:trPr>
          <w:trHeight w:val="56"/>
          <w:tblHeader/>
        </w:trPr>
        <w:tc>
          <w:tcPr>
            <w:tcW w:w="761" w:type="pct"/>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tcMar>
              <w:top w:w="72" w:type="dxa"/>
              <w:left w:w="144" w:type="dxa"/>
              <w:bottom w:w="72" w:type="dxa"/>
              <w:right w:w="144" w:type="dxa"/>
            </w:tcMar>
            <w:vAlign w:val="center"/>
            <w:hideMark/>
          </w:tcPr>
          <w:p w14:paraId="3523B84A" w14:textId="77777777" w:rsidR="00150A13" w:rsidRPr="00150A13" w:rsidRDefault="00150A13" w:rsidP="004A71BC">
            <w:pPr>
              <w:pStyle w:val="TableHeading"/>
            </w:pPr>
          </w:p>
        </w:tc>
        <w:tc>
          <w:tcPr>
            <w:tcW w:w="1047" w:type="pct"/>
            <w:gridSpan w:val="2"/>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vAlign w:val="center"/>
            <w:hideMark/>
          </w:tcPr>
          <w:p w14:paraId="3661AD26" w14:textId="77777777" w:rsidR="00150A13" w:rsidRPr="00150A13" w:rsidRDefault="00150A13" w:rsidP="004A71BC">
            <w:pPr>
              <w:pStyle w:val="TableHeading"/>
            </w:pPr>
            <w:r w:rsidRPr="00150A13">
              <w:t>Small</w:t>
            </w:r>
          </w:p>
        </w:tc>
        <w:tc>
          <w:tcPr>
            <w:tcW w:w="1054" w:type="pct"/>
            <w:gridSpan w:val="2"/>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vAlign w:val="center"/>
            <w:hideMark/>
          </w:tcPr>
          <w:p w14:paraId="5C3C6278" w14:textId="77777777" w:rsidR="00150A13" w:rsidRPr="00150A13" w:rsidRDefault="00150A13" w:rsidP="004A71BC">
            <w:pPr>
              <w:pStyle w:val="TableHeading"/>
            </w:pPr>
            <w:r w:rsidRPr="00150A13">
              <w:t>Medium</w:t>
            </w:r>
          </w:p>
        </w:tc>
        <w:tc>
          <w:tcPr>
            <w:tcW w:w="995" w:type="pct"/>
            <w:gridSpan w:val="2"/>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vAlign w:val="center"/>
            <w:hideMark/>
          </w:tcPr>
          <w:p w14:paraId="139A835E" w14:textId="77777777" w:rsidR="00150A13" w:rsidRPr="00150A13" w:rsidRDefault="00150A13" w:rsidP="004A71BC">
            <w:pPr>
              <w:pStyle w:val="TableHeading"/>
            </w:pPr>
            <w:r w:rsidRPr="00150A13">
              <w:t>Large</w:t>
            </w:r>
          </w:p>
        </w:tc>
        <w:tc>
          <w:tcPr>
            <w:tcW w:w="1143" w:type="pct"/>
            <w:gridSpan w:val="2"/>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vAlign w:val="center"/>
            <w:hideMark/>
          </w:tcPr>
          <w:p w14:paraId="29AE6499" w14:textId="77777777" w:rsidR="00150A13" w:rsidRPr="00150A13" w:rsidRDefault="00150A13" w:rsidP="004A71BC">
            <w:pPr>
              <w:pStyle w:val="TableHeading"/>
            </w:pPr>
            <w:r w:rsidRPr="00150A13">
              <w:t>Total</w:t>
            </w:r>
          </w:p>
        </w:tc>
      </w:tr>
      <w:tr w:rsidR="00150A13" w:rsidRPr="00150A13" w14:paraId="39EFC04B" w14:textId="77777777" w:rsidTr="004C687A">
        <w:trPr>
          <w:trHeight w:val="56"/>
          <w:tblHeader/>
        </w:trPr>
        <w:tc>
          <w:tcPr>
            <w:tcW w:w="76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tcMar>
              <w:top w:w="72" w:type="dxa"/>
              <w:left w:w="144" w:type="dxa"/>
              <w:bottom w:w="72" w:type="dxa"/>
              <w:right w:w="144" w:type="dxa"/>
            </w:tcMar>
            <w:vAlign w:val="center"/>
            <w:hideMark/>
          </w:tcPr>
          <w:p w14:paraId="590876B4" w14:textId="77777777" w:rsidR="00150A13" w:rsidRPr="00150A13" w:rsidRDefault="00150A13" w:rsidP="004A71BC">
            <w:pPr>
              <w:pStyle w:val="TableHeading"/>
            </w:pPr>
            <w:r w:rsidRPr="00150A13">
              <w:t>Industry category</w:t>
            </w:r>
          </w:p>
        </w:tc>
        <w:tc>
          <w:tcPr>
            <w:tcW w:w="483"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vAlign w:val="center"/>
            <w:hideMark/>
          </w:tcPr>
          <w:p w14:paraId="34BEB979" w14:textId="77777777" w:rsidR="00150A13" w:rsidRPr="00150A13" w:rsidRDefault="00150A13" w:rsidP="004A71BC">
            <w:pPr>
              <w:pStyle w:val="TableHeading"/>
            </w:pPr>
            <w:r w:rsidRPr="00150A13">
              <w:t>Total number of businesses</w:t>
            </w:r>
          </w:p>
        </w:tc>
        <w:tc>
          <w:tcPr>
            <w:tcW w:w="56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vAlign w:val="center"/>
            <w:hideMark/>
          </w:tcPr>
          <w:p w14:paraId="13DE27E2" w14:textId="77777777" w:rsidR="00150A13" w:rsidRPr="00150A13" w:rsidRDefault="00150A13" w:rsidP="004A71BC">
            <w:pPr>
              <w:pStyle w:val="TableHeading"/>
            </w:pPr>
            <w:r w:rsidRPr="00150A13">
              <w:t>Businesses covered by regulations</w:t>
            </w:r>
          </w:p>
        </w:tc>
        <w:tc>
          <w:tcPr>
            <w:tcW w:w="54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vAlign w:val="center"/>
            <w:hideMark/>
          </w:tcPr>
          <w:p w14:paraId="4CACC32C" w14:textId="77777777" w:rsidR="00150A13" w:rsidRPr="00150A13" w:rsidRDefault="00150A13" w:rsidP="004A71BC">
            <w:pPr>
              <w:pStyle w:val="TableHeading"/>
            </w:pPr>
            <w:r w:rsidRPr="00150A13">
              <w:t>Total number of businesses</w:t>
            </w:r>
          </w:p>
        </w:tc>
        <w:tc>
          <w:tcPr>
            <w:tcW w:w="506"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vAlign w:val="center"/>
            <w:hideMark/>
          </w:tcPr>
          <w:p w14:paraId="1AC8400F" w14:textId="77777777" w:rsidR="00150A13" w:rsidRPr="00150A13" w:rsidRDefault="00150A13" w:rsidP="004A71BC">
            <w:pPr>
              <w:pStyle w:val="TableHeading"/>
            </w:pPr>
            <w:r w:rsidRPr="00150A13">
              <w:t>Businesses covered by regulations</w:t>
            </w:r>
          </w:p>
        </w:tc>
        <w:tc>
          <w:tcPr>
            <w:tcW w:w="489"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vAlign w:val="center"/>
            <w:hideMark/>
          </w:tcPr>
          <w:p w14:paraId="0F4E4775" w14:textId="77777777" w:rsidR="00150A13" w:rsidRPr="00150A13" w:rsidRDefault="00150A13" w:rsidP="004A71BC">
            <w:pPr>
              <w:pStyle w:val="TableHeading"/>
            </w:pPr>
            <w:r w:rsidRPr="00150A13">
              <w:t>Total number of businesses</w:t>
            </w:r>
          </w:p>
        </w:tc>
        <w:tc>
          <w:tcPr>
            <w:tcW w:w="506"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vAlign w:val="center"/>
            <w:hideMark/>
          </w:tcPr>
          <w:p w14:paraId="49181C55" w14:textId="77777777" w:rsidR="00150A13" w:rsidRPr="00150A13" w:rsidRDefault="00150A13" w:rsidP="004A71BC">
            <w:pPr>
              <w:pStyle w:val="TableHeading"/>
            </w:pPr>
            <w:r w:rsidRPr="00150A13">
              <w:t>Businesses covered by regulations</w:t>
            </w:r>
          </w:p>
        </w:tc>
        <w:tc>
          <w:tcPr>
            <w:tcW w:w="612"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vAlign w:val="center"/>
            <w:hideMark/>
          </w:tcPr>
          <w:p w14:paraId="3D03D800" w14:textId="77777777" w:rsidR="00150A13" w:rsidRPr="00150A13" w:rsidRDefault="00150A13" w:rsidP="004A71BC">
            <w:pPr>
              <w:pStyle w:val="TableHeading"/>
            </w:pPr>
            <w:r w:rsidRPr="00150A13">
              <w:t>Total number of businesses</w:t>
            </w:r>
          </w:p>
        </w:tc>
        <w:tc>
          <w:tcPr>
            <w:tcW w:w="53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vAlign w:val="center"/>
            <w:hideMark/>
          </w:tcPr>
          <w:p w14:paraId="578239C9" w14:textId="77777777" w:rsidR="00150A13" w:rsidRPr="00150A13" w:rsidRDefault="00150A13" w:rsidP="004A71BC">
            <w:pPr>
              <w:pStyle w:val="TableHeading"/>
            </w:pPr>
            <w:r w:rsidRPr="00150A13">
              <w:t>Businesses covered by regulations</w:t>
            </w:r>
          </w:p>
        </w:tc>
      </w:tr>
      <w:tr w:rsidR="00150A13" w:rsidRPr="00150A13" w14:paraId="029DA262" w14:textId="77777777" w:rsidTr="004C687A">
        <w:trPr>
          <w:trHeight w:val="56"/>
        </w:trPr>
        <w:tc>
          <w:tcPr>
            <w:tcW w:w="76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Mar>
              <w:top w:w="72" w:type="dxa"/>
              <w:left w:w="144" w:type="dxa"/>
              <w:bottom w:w="72" w:type="dxa"/>
              <w:right w:w="144" w:type="dxa"/>
            </w:tcMar>
            <w:vAlign w:val="center"/>
            <w:hideMark/>
          </w:tcPr>
          <w:p w14:paraId="3DB0C2C8" w14:textId="77777777" w:rsidR="00150A13" w:rsidRPr="004A71BC" w:rsidRDefault="00150A13" w:rsidP="004A71BC">
            <w:pPr>
              <w:pStyle w:val="TableBody"/>
              <w:rPr>
                <w:i/>
              </w:rPr>
            </w:pPr>
            <w:r w:rsidRPr="004A71BC">
              <w:rPr>
                <w:i/>
              </w:rPr>
              <w:t>Construction</w:t>
            </w:r>
          </w:p>
        </w:tc>
        <w:tc>
          <w:tcPr>
            <w:tcW w:w="483"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412D3BB6" w14:textId="77777777" w:rsidR="00150A13" w:rsidRPr="00150A13" w:rsidRDefault="00150A13" w:rsidP="004A71BC">
            <w:pPr>
              <w:pStyle w:val="TableBody"/>
              <w:rPr>
                <w:color w:val="262626" w:themeColor="text1" w:themeTint="D9"/>
              </w:rPr>
            </w:pPr>
            <w:r w:rsidRPr="00150A13">
              <w:rPr>
                <w:rFonts w:ascii="Calibri" w:hAnsi="Calibri" w:cs="Calibri"/>
                <w:color w:val="000000"/>
              </w:rPr>
              <w:t>92,745</w:t>
            </w:r>
          </w:p>
        </w:tc>
        <w:tc>
          <w:tcPr>
            <w:tcW w:w="56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7F5892C6" w14:textId="77777777" w:rsidR="00150A13" w:rsidRPr="00150A13" w:rsidRDefault="00150A13" w:rsidP="004A71BC">
            <w:pPr>
              <w:pStyle w:val="TableBody"/>
              <w:rPr>
                <w:color w:val="262626" w:themeColor="text1" w:themeTint="D9"/>
              </w:rPr>
            </w:pPr>
            <w:r w:rsidRPr="00150A13">
              <w:rPr>
                <w:rFonts w:ascii="Calibri" w:hAnsi="Calibri" w:cs="Calibri"/>
                <w:color w:val="000000"/>
              </w:rPr>
              <w:t>16,979</w:t>
            </w:r>
          </w:p>
        </w:tc>
        <w:tc>
          <w:tcPr>
            <w:tcW w:w="54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0403B816" w14:textId="77777777" w:rsidR="00150A13" w:rsidRPr="00150A13" w:rsidRDefault="00150A13" w:rsidP="004A71BC">
            <w:pPr>
              <w:pStyle w:val="TableBody"/>
              <w:rPr>
                <w:rFonts w:ascii="Calibri" w:hAnsi="Calibri" w:cs="Calibri"/>
                <w:color w:val="262626" w:themeColor="text1" w:themeTint="D9"/>
              </w:rPr>
            </w:pPr>
            <w:r w:rsidRPr="00150A13">
              <w:rPr>
                <w:rFonts w:ascii="Calibri" w:hAnsi="Calibri" w:cs="Calibri"/>
                <w:color w:val="000000"/>
              </w:rPr>
              <w:t>1,502</w:t>
            </w:r>
          </w:p>
        </w:tc>
        <w:tc>
          <w:tcPr>
            <w:tcW w:w="506"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1DB9C4BD" w14:textId="77777777" w:rsidR="00150A13" w:rsidRPr="00150A13" w:rsidRDefault="00150A13" w:rsidP="004A71BC">
            <w:pPr>
              <w:pStyle w:val="TableBody"/>
              <w:rPr>
                <w:rFonts w:ascii="Calibri" w:hAnsi="Calibri" w:cs="Calibri"/>
                <w:color w:val="262626" w:themeColor="text1" w:themeTint="D9"/>
              </w:rPr>
            </w:pPr>
            <w:r w:rsidRPr="00150A13">
              <w:rPr>
                <w:rFonts w:ascii="Calibri" w:hAnsi="Calibri" w:cs="Calibri"/>
                <w:color w:val="262626"/>
              </w:rPr>
              <w:t>150</w:t>
            </w:r>
          </w:p>
        </w:tc>
        <w:tc>
          <w:tcPr>
            <w:tcW w:w="489"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7ABD4898" w14:textId="77777777" w:rsidR="00150A13" w:rsidRPr="00150A13" w:rsidRDefault="00150A13" w:rsidP="004A71BC">
            <w:pPr>
              <w:pStyle w:val="TableBody"/>
              <w:rPr>
                <w:rFonts w:ascii="Calibri" w:hAnsi="Calibri" w:cs="Calibri"/>
                <w:color w:val="262626" w:themeColor="text1" w:themeTint="D9"/>
              </w:rPr>
            </w:pPr>
            <w:r w:rsidRPr="00150A13">
              <w:rPr>
                <w:rFonts w:ascii="Calibri" w:hAnsi="Calibri" w:cs="Calibri"/>
                <w:color w:val="000000"/>
              </w:rPr>
              <w:t>42</w:t>
            </w:r>
          </w:p>
        </w:tc>
        <w:tc>
          <w:tcPr>
            <w:tcW w:w="506"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4A96E96D" w14:textId="77777777" w:rsidR="00150A13" w:rsidRPr="00150A13" w:rsidRDefault="00150A13" w:rsidP="004A71BC">
            <w:pPr>
              <w:pStyle w:val="TableBody"/>
              <w:rPr>
                <w:rFonts w:ascii="Calibri" w:hAnsi="Calibri" w:cs="Calibri"/>
                <w:color w:val="262626" w:themeColor="text1" w:themeTint="D9"/>
              </w:rPr>
            </w:pPr>
            <w:r w:rsidRPr="00150A13">
              <w:rPr>
                <w:rFonts w:ascii="Calibri" w:hAnsi="Calibri" w:cs="Calibri"/>
                <w:color w:val="262626"/>
              </w:rPr>
              <w:t>4</w:t>
            </w:r>
          </w:p>
        </w:tc>
        <w:tc>
          <w:tcPr>
            <w:tcW w:w="612"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1A85DE54" w14:textId="77777777" w:rsidR="00150A13" w:rsidRPr="00150A13" w:rsidRDefault="00150A13" w:rsidP="004A71BC">
            <w:pPr>
              <w:pStyle w:val="TableBody"/>
              <w:rPr>
                <w:rFonts w:ascii="Calibri" w:hAnsi="Calibri" w:cs="Calibri"/>
                <w:color w:val="262626" w:themeColor="text1" w:themeTint="D9"/>
              </w:rPr>
            </w:pPr>
            <w:r w:rsidRPr="00150A13">
              <w:rPr>
                <w:rFonts w:ascii="Calibri" w:hAnsi="Calibri" w:cs="Calibri"/>
                <w:color w:val="000000"/>
              </w:rPr>
              <w:t>94,289</w:t>
            </w:r>
          </w:p>
        </w:tc>
        <w:tc>
          <w:tcPr>
            <w:tcW w:w="53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1CAF0D4A" w14:textId="77777777" w:rsidR="00150A13" w:rsidRPr="00150A13" w:rsidRDefault="00150A13" w:rsidP="004A71BC">
            <w:pPr>
              <w:pStyle w:val="TableBody"/>
              <w:rPr>
                <w:rFonts w:ascii="Calibri" w:hAnsi="Calibri" w:cs="Calibri"/>
                <w:color w:val="262626" w:themeColor="text1" w:themeTint="D9"/>
              </w:rPr>
            </w:pPr>
            <w:r w:rsidRPr="00150A13">
              <w:rPr>
                <w:rFonts w:ascii="Calibri" w:hAnsi="Calibri" w:cs="Calibri"/>
                <w:color w:val="000000"/>
              </w:rPr>
              <w:t>17,133</w:t>
            </w:r>
          </w:p>
        </w:tc>
      </w:tr>
      <w:tr w:rsidR="00150A13" w:rsidRPr="00150A13" w14:paraId="1346B9AE" w14:textId="77777777" w:rsidTr="004C687A">
        <w:trPr>
          <w:trHeight w:val="56"/>
        </w:trPr>
        <w:tc>
          <w:tcPr>
            <w:tcW w:w="76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Mar>
              <w:top w:w="72" w:type="dxa"/>
              <w:left w:w="144" w:type="dxa"/>
              <w:bottom w:w="72" w:type="dxa"/>
              <w:right w:w="144" w:type="dxa"/>
            </w:tcMar>
            <w:vAlign w:val="center"/>
            <w:hideMark/>
          </w:tcPr>
          <w:p w14:paraId="746B3C8D" w14:textId="77777777" w:rsidR="00150A13" w:rsidRPr="004A71BC" w:rsidRDefault="00150A13" w:rsidP="004A71BC">
            <w:pPr>
              <w:pStyle w:val="TableBody"/>
              <w:rPr>
                <w:i/>
              </w:rPr>
            </w:pPr>
            <w:r w:rsidRPr="004A71BC">
              <w:rPr>
                <w:i/>
              </w:rPr>
              <w:t>Manufacturing</w:t>
            </w:r>
          </w:p>
        </w:tc>
        <w:tc>
          <w:tcPr>
            <w:tcW w:w="483"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50FEDAD8" w14:textId="77777777" w:rsidR="00150A13" w:rsidRPr="00150A13" w:rsidRDefault="00150A13" w:rsidP="004A71BC">
            <w:pPr>
              <w:pStyle w:val="TableBody"/>
              <w:rPr>
                <w:color w:val="262626" w:themeColor="text1" w:themeTint="D9"/>
              </w:rPr>
            </w:pPr>
            <w:r w:rsidRPr="00150A13">
              <w:rPr>
                <w:rFonts w:ascii="Calibri" w:hAnsi="Calibri" w:cs="Calibri"/>
                <w:color w:val="000000"/>
              </w:rPr>
              <w:t>2,075</w:t>
            </w:r>
          </w:p>
        </w:tc>
        <w:tc>
          <w:tcPr>
            <w:tcW w:w="56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5C1E7758" w14:textId="77777777" w:rsidR="00150A13" w:rsidRPr="004E4183" w:rsidRDefault="00150A13" w:rsidP="004A71BC">
            <w:pPr>
              <w:pStyle w:val="TableBody"/>
              <w:rPr>
                <w:color w:val="262626" w:themeColor="text1" w:themeTint="D9"/>
              </w:rPr>
            </w:pPr>
            <w:r w:rsidRPr="004E4183">
              <w:rPr>
                <w:rFonts w:ascii="Calibri" w:hAnsi="Calibri" w:cs="Calibri"/>
                <w:color w:val="000000"/>
              </w:rPr>
              <w:t>415</w:t>
            </w:r>
          </w:p>
        </w:tc>
        <w:tc>
          <w:tcPr>
            <w:tcW w:w="54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17D553DF" w14:textId="0B3508BC" w:rsidR="00150A13" w:rsidRPr="004E4183" w:rsidRDefault="00150A13" w:rsidP="004A71BC">
            <w:pPr>
              <w:pStyle w:val="TableBody"/>
              <w:rPr>
                <w:rFonts w:ascii="Calibri" w:hAnsi="Calibri" w:cs="Calibri"/>
                <w:color w:val="262626" w:themeColor="text1" w:themeTint="D9"/>
              </w:rPr>
            </w:pPr>
            <w:r w:rsidRPr="004E4183">
              <w:rPr>
                <w:rFonts w:ascii="Calibri" w:hAnsi="Calibri" w:cs="Calibri"/>
                <w:color w:val="000000"/>
              </w:rPr>
              <w:t>1</w:t>
            </w:r>
            <w:r w:rsidR="0065428C">
              <w:rPr>
                <w:rFonts w:ascii="Calibri" w:hAnsi="Calibri" w:cs="Calibri"/>
                <w:color w:val="000000"/>
              </w:rPr>
              <w:t>49</w:t>
            </w:r>
          </w:p>
        </w:tc>
        <w:tc>
          <w:tcPr>
            <w:tcW w:w="506"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6DFF50E0" w14:textId="77C53049" w:rsidR="00150A13" w:rsidRPr="004E4183" w:rsidRDefault="00150A13" w:rsidP="004A71BC">
            <w:pPr>
              <w:pStyle w:val="TableBody"/>
              <w:rPr>
                <w:rFonts w:ascii="Calibri" w:hAnsi="Calibri" w:cs="Calibri"/>
                <w:color w:val="262626" w:themeColor="text1" w:themeTint="D9"/>
              </w:rPr>
            </w:pPr>
            <w:r w:rsidRPr="004E4183">
              <w:rPr>
                <w:rFonts w:ascii="Calibri" w:hAnsi="Calibri" w:cs="Calibri"/>
                <w:color w:val="262626"/>
              </w:rPr>
              <w:t>1</w:t>
            </w:r>
            <w:r w:rsidR="0065428C">
              <w:rPr>
                <w:rFonts w:ascii="Calibri" w:hAnsi="Calibri" w:cs="Calibri"/>
                <w:color w:val="262626"/>
              </w:rPr>
              <w:t>5</w:t>
            </w:r>
          </w:p>
        </w:tc>
        <w:tc>
          <w:tcPr>
            <w:tcW w:w="489"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76CE8A6C" w14:textId="5529DB9C" w:rsidR="00150A13" w:rsidRPr="004E4183" w:rsidRDefault="0065428C" w:rsidP="004A71BC">
            <w:pPr>
              <w:pStyle w:val="TableBody"/>
              <w:rPr>
                <w:rFonts w:ascii="Calibri" w:hAnsi="Calibri" w:cs="Calibri"/>
                <w:color w:val="262626" w:themeColor="text1" w:themeTint="D9"/>
              </w:rPr>
            </w:pPr>
            <w:r>
              <w:rPr>
                <w:rFonts w:ascii="Calibri" w:hAnsi="Calibri" w:cs="Calibri"/>
                <w:color w:val="262626" w:themeColor="text1" w:themeTint="D9"/>
              </w:rPr>
              <w:t>33</w:t>
            </w:r>
          </w:p>
        </w:tc>
        <w:tc>
          <w:tcPr>
            <w:tcW w:w="506"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6CA1448C" w14:textId="77777777" w:rsidR="00150A13" w:rsidRPr="004E4183" w:rsidRDefault="00150A13" w:rsidP="004A71BC">
            <w:pPr>
              <w:pStyle w:val="TableBody"/>
              <w:rPr>
                <w:rFonts w:ascii="Calibri" w:hAnsi="Calibri" w:cs="Calibri"/>
                <w:color w:val="262626" w:themeColor="text1" w:themeTint="D9"/>
              </w:rPr>
            </w:pPr>
            <w:r w:rsidRPr="004E4183">
              <w:rPr>
                <w:rFonts w:ascii="Calibri" w:hAnsi="Calibri" w:cs="Calibri"/>
                <w:color w:val="262626"/>
              </w:rPr>
              <w:t>3</w:t>
            </w:r>
          </w:p>
        </w:tc>
        <w:tc>
          <w:tcPr>
            <w:tcW w:w="612"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01CF9DAF" w14:textId="3DCA59E3" w:rsidR="00150A13" w:rsidRPr="004E4183" w:rsidRDefault="00150A13" w:rsidP="004A71BC">
            <w:pPr>
              <w:pStyle w:val="TableBody"/>
              <w:rPr>
                <w:rFonts w:ascii="Calibri" w:hAnsi="Calibri" w:cs="Calibri"/>
                <w:color w:val="262626" w:themeColor="text1" w:themeTint="D9"/>
              </w:rPr>
            </w:pPr>
            <w:r w:rsidRPr="004E4183">
              <w:rPr>
                <w:rFonts w:ascii="Calibri" w:hAnsi="Calibri" w:cs="Calibri"/>
                <w:color w:val="000000"/>
              </w:rPr>
              <w:t>2,</w:t>
            </w:r>
            <w:r w:rsidR="004E4183">
              <w:rPr>
                <w:rFonts w:ascii="Calibri" w:hAnsi="Calibri" w:cs="Calibri"/>
                <w:color w:val="000000"/>
              </w:rPr>
              <w:t>2</w:t>
            </w:r>
            <w:r w:rsidR="0065428C">
              <w:rPr>
                <w:rFonts w:ascii="Calibri" w:hAnsi="Calibri" w:cs="Calibri"/>
                <w:color w:val="000000"/>
              </w:rPr>
              <w:t>57</w:t>
            </w:r>
          </w:p>
        </w:tc>
        <w:tc>
          <w:tcPr>
            <w:tcW w:w="53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14E0E891" w14:textId="02442678" w:rsidR="00150A13" w:rsidRPr="004E4183" w:rsidRDefault="00AC13DB" w:rsidP="004A71BC">
            <w:pPr>
              <w:pStyle w:val="TableBody"/>
              <w:rPr>
                <w:color w:val="262626" w:themeColor="text1" w:themeTint="D9"/>
              </w:rPr>
            </w:pPr>
            <w:r w:rsidRPr="004E4183">
              <w:rPr>
                <w:rFonts w:ascii="Calibri" w:hAnsi="Calibri" w:cs="Calibri"/>
                <w:color w:val="000000"/>
              </w:rPr>
              <w:t>4</w:t>
            </w:r>
            <w:r w:rsidR="0065428C">
              <w:rPr>
                <w:rFonts w:ascii="Calibri" w:hAnsi="Calibri" w:cs="Calibri"/>
                <w:color w:val="000000"/>
              </w:rPr>
              <w:t>33</w:t>
            </w:r>
          </w:p>
        </w:tc>
      </w:tr>
      <w:tr w:rsidR="00150A13" w:rsidRPr="00150A13" w14:paraId="1EB972F2" w14:textId="77777777" w:rsidTr="004C687A">
        <w:trPr>
          <w:trHeight w:val="56"/>
        </w:trPr>
        <w:tc>
          <w:tcPr>
            <w:tcW w:w="76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Mar>
              <w:top w:w="72" w:type="dxa"/>
              <w:left w:w="144" w:type="dxa"/>
              <w:bottom w:w="72" w:type="dxa"/>
              <w:right w:w="144" w:type="dxa"/>
            </w:tcMar>
            <w:vAlign w:val="center"/>
            <w:hideMark/>
          </w:tcPr>
          <w:p w14:paraId="1B4DF8C4" w14:textId="77777777" w:rsidR="00150A13" w:rsidRPr="004A71BC" w:rsidRDefault="00150A13" w:rsidP="004A71BC">
            <w:pPr>
              <w:pStyle w:val="TableBody"/>
              <w:rPr>
                <w:i/>
              </w:rPr>
            </w:pPr>
            <w:r w:rsidRPr="004A71BC">
              <w:rPr>
                <w:i/>
              </w:rPr>
              <w:t>Quarrying</w:t>
            </w:r>
          </w:p>
        </w:tc>
        <w:tc>
          <w:tcPr>
            <w:tcW w:w="483"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194D45A8" w14:textId="77777777" w:rsidR="00150A13" w:rsidRPr="00150A13" w:rsidRDefault="00150A13" w:rsidP="004A71BC">
            <w:pPr>
              <w:pStyle w:val="TableBody"/>
              <w:rPr>
                <w:color w:val="262626" w:themeColor="text1" w:themeTint="D9"/>
              </w:rPr>
            </w:pPr>
            <w:r w:rsidRPr="00150A13">
              <w:rPr>
                <w:rFonts w:ascii="Calibri" w:hAnsi="Calibri" w:cs="Calibri"/>
                <w:color w:val="000000"/>
              </w:rPr>
              <w:t>109</w:t>
            </w:r>
          </w:p>
        </w:tc>
        <w:tc>
          <w:tcPr>
            <w:tcW w:w="56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4475F853" w14:textId="77777777" w:rsidR="00150A13" w:rsidRPr="00150A13" w:rsidRDefault="00150A13" w:rsidP="004A71BC">
            <w:pPr>
              <w:pStyle w:val="TableBody"/>
              <w:rPr>
                <w:color w:val="262626" w:themeColor="text1" w:themeTint="D9"/>
              </w:rPr>
            </w:pPr>
            <w:r w:rsidRPr="00150A13">
              <w:rPr>
                <w:rFonts w:ascii="Calibri" w:hAnsi="Calibri" w:cs="Calibri"/>
                <w:color w:val="000000"/>
              </w:rPr>
              <w:t>40</w:t>
            </w:r>
          </w:p>
        </w:tc>
        <w:tc>
          <w:tcPr>
            <w:tcW w:w="54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7CC46E20" w14:textId="74771072" w:rsidR="00150A13" w:rsidRPr="00150A13" w:rsidRDefault="0065428C" w:rsidP="004A71BC">
            <w:pPr>
              <w:pStyle w:val="TableBody"/>
              <w:rPr>
                <w:rFonts w:ascii="Calibri" w:hAnsi="Calibri" w:cs="Calibri"/>
                <w:color w:val="262626" w:themeColor="text1" w:themeTint="D9"/>
              </w:rPr>
            </w:pPr>
            <w:r>
              <w:rPr>
                <w:rFonts w:ascii="Calibri" w:hAnsi="Calibri" w:cs="Calibri"/>
                <w:color w:val="262626" w:themeColor="text1" w:themeTint="D9"/>
              </w:rPr>
              <w:t>6</w:t>
            </w:r>
          </w:p>
        </w:tc>
        <w:tc>
          <w:tcPr>
            <w:tcW w:w="506"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16C1C9FF" w14:textId="304E043E" w:rsidR="00150A13" w:rsidRPr="00150A13" w:rsidRDefault="0065428C" w:rsidP="004A71BC">
            <w:pPr>
              <w:pStyle w:val="TableBody"/>
              <w:rPr>
                <w:rFonts w:ascii="Calibri" w:hAnsi="Calibri" w:cs="Calibri"/>
                <w:color w:val="262626" w:themeColor="text1" w:themeTint="D9"/>
              </w:rPr>
            </w:pPr>
            <w:r>
              <w:rPr>
                <w:rFonts w:ascii="Calibri" w:hAnsi="Calibri" w:cs="Calibri"/>
                <w:color w:val="262626" w:themeColor="text1" w:themeTint="D9"/>
              </w:rPr>
              <w:t>2</w:t>
            </w:r>
          </w:p>
        </w:tc>
        <w:tc>
          <w:tcPr>
            <w:tcW w:w="489"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236F0598" w14:textId="4E655E80" w:rsidR="00150A13" w:rsidRPr="00150A13" w:rsidRDefault="004149E2" w:rsidP="004A71BC">
            <w:pPr>
              <w:pStyle w:val="TableBody"/>
              <w:rPr>
                <w:rFonts w:ascii="Calibri" w:hAnsi="Calibri" w:cs="Calibri"/>
                <w:color w:val="262626" w:themeColor="text1" w:themeTint="D9"/>
              </w:rPr>
            </w:pPr>
            <w:r>
              <w:rPr>
                <w:rFonts w:ascii="Calibri" w:hAnsi="Calibri" w:cs="Calibri"/>
                <w:color w:val="000000"/>
              </w:rPr>
              <w:t>0</w:t>
            </w:r>
          </w:p>
        </w:tc>
        <w:tc>
          <w:tcPr>
            <w:tcW w:w="506"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75365668" w14:textId="77777777" w:rsidR="00150A13" w:rsidRPr="00150A13" w:rsidRDefault="00150A13" w:rsidP="004A71BC">
            <w:pPr>
              <w:pStyle w:val="TableBody"/>
              <w:rPr>
                <w:rFonts w:ascii="Calibri" w:hAnsi="Calibri" w:cs="Calibri"/>
                <w:color w:val="262626" w:themeColor="text1" w:themeTint="D9"/>
              </w:rPr>
            </w:pPr>
            <w:r w:rsidRPr="00150A13">
              <w:rPr>
                <w:rFonts w:ascii="Calibri" w:hAnsi="Calibri" w:cs="Calibri"/>
                <w:color w:val="262626"/>
              </w:rPr>
              <w:t>0</w:t>
            </w:r>
          </w:p>
        </w:tc>
        <w:tc>
          <w:tcPr>
            <w:tcW w:w="612"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409DCAD8" w14:textId="52991553" w:rsidR="00150A13" w:rsidRPr="00150A13" w:rsidRDefault="00150A13" w:rsidP="004A71BC">
            <w:pPr>
              <w:pStyle w:val="TableBody"/>
              <w:rPr>
                <w:rFonts w:ascii="Calibri" w:hAnsi="Calibri" w:cs="Calibri"/>
                <w:color w:val="262626" w:themeColor="text1" w:themeTint="D9"/>
              </w:rPr>
            </w:pPr>
            <w:r w:rsidRPr="00150A13">
              <w:rPr>
                <w:rFonts w:ascii="Calibri" w:hAnsi="Calibri" w:cs="Calibri"/>
                <w:color w:val="000000"/>
              </w:rPr>
              <w:t>1</w:t>
            </w:r>
            <w:r w:rsidR="0065428C">
              <w:rPr>
                <w:rFonts w:ascii="Calibri" w:hAnsi="Calibri" w:cs="Calibri"/>
                <w:color w:val="000000"/>
              </w:rPr>
              <w:t>15</w:t>
            </w:r>
          </w:p>
        </w:tc>
        <w:tc>
          <w:tcPr>
            <w:tcW w:w="53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007B8C13" w14:textId="3E388074" w:rsidR="00150A13" w:rsidRPr="00150A13" w:rsidRDefault="00AC13DB" w:rsidP="004A71BC">
            <w:pPr>
              <w:pStyle w:val="TableBody"/>
              <w:rPr>
                <w:color w:val="262626" w:themeColor="text1" w:themeTint="D9"/>
              </w:rPr>
            </w:pPr>
            <w:r>
              <w:rPr>
                <w:rFonts w:ascii="Calibri" w:hAnsi="Calibri" w:cs="Calibri"/>
                <w:color w:val="000000"/>
              </w:rPr>
              <w:t>4</w:t>
            </w:r>
            <w:r w:rsidR="0065428C">
              <w:rPr>
                <w:rFonts w:ascii="Calibri" w:hAnsi="Calibri" w:cs="Calibri"/>
                <w:color w:val="000000"/>
              </w:rPr>
              <w:t>3</w:t>
            </w:r>
          </w:p>
        </w:tc>
      </w:tr>
      <w:tr w:rsidR="00150A13" w:rsidRPr="00150A13" w14:paraId="161B7733" w14:textId="77777777" w:rsidTr="004C687A">
        <w:trPr>
          <w:trHeight w:val="56"/>
        </w:trPr>
        <w:tc>
          <w:tcPr>
            <w:tcW w:w="76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Mar>
              <w:top w:w="72" w:type="dxa"/>
              <w:left w:w="144" w:type="dxa"/>
              <w:bottom w:w="72" w:type="dxa"/>
              <w:right w:w="144" w:type="dxa"/>
            </w:tcMar>
            <w:vAlign w:val="center"/>
            <w:hideMark/>
          </w:tcPr>
          <w:p w14:paraId="4B7B70AD" w14:textId="77777777" w:rsidR="00150A13" w:rsidRPr="004A71BC" w:rsidRDefault="00150A13" w:rsidP="004A71BC">
            <w:pPr>
              <w:pStyle w:val="TableBody"/>
              <w:rPr>
                <w:i/>
              </w:rPr>
            </w:pPr>
            <w:r w:rsidRPr="004A71BC">
              <w:rPr>
                <w:i/>
              </w:rPr>
              <w:t>Mining</w:t>
            </w:r>
          </w:p>
        </w:tc>
        <w:tc>
          <w:tcPr>
            <w:tcW w:w="483"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599E7C1E" w14:textId="77777777" w:rsidR="00150A13" w:rsidRPr="00150A13" w:rsidRDefault="00150A13" w:rsidP="004A71BC">
            <w:pPr>
              <w:pStyle w:val="TableBody"/>
              <w:rPr>
                <w:color w:val="262626" w:themeColor="text1" w:themeTint="D9"/>
              </w:rPr>
            </w:pPr>
            <w:r w:rsidRPr="00150A13">
              <w:rPr>
                <w:rFonts w:ascii="Calibri" w:hAnsi="Calibri" w:cs="Calibri"/>
                <w:color w:val="000000"/>
              </w:rPr>
              <w:t>841</w:t>
            </w:r>
          </w:p>
        </w:tc>
        <w:tc>
          <w:tcPr>
            <w:tcW w:w="56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300C7632" w14:textId="77777777" w:rsidR="00150A13" w:rsidRPr="00150A13" w:rsidRDefault="00150A13" w:rsidP="004A71BC">
            <w:pPr>
              <w:pStyle w:val="TableBody"/>
              <w:rPr>
                <w:color w:val="262626" w:themeColor="text1" w:themeTint="D9"/>
              </w:rPr>
            </w:pPr>
            <w:r w:rsidRPr="00150A13">
              <w:rPr>
                <w:rFonts w:ascii="Calibri" w:hAnsi="Calibri" w:cs="Calibri"/>
                <w:color w:val="000000"/>
              </w:rPr>
              <w:t>311</w:t>
            </w:r>
          </w:p>
        </w:tc>
        <w:tc>
          <w:tcPr>
            <w:tcW w:w="54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691F3A32" w14:textId="4C8C18A1" w:rsidR="00150A13" w:rsidRPr="00150A13" w:rsidRDefault="0065428C" w:rsidP="004A71BC">
            <w:pPr>
              <w:pStyle w:val="TableBody"/>
              <w:rPr>
                <w:rFonts w:ascii="Calibri" w:hAnsi="Calibri" w:cs="Calibri"/>
                <w:color w:val="262626" w:themeColor="text1" w:themeTint="D9"/>
              </w:rPr>
            </w:pPr>
            <w:r>
              <w:rPr>
                <w:rFonts w:ascii="Calibri" w:hAnsi="Calibri" w:cs="Calibri"/>
                <w:color w:val="262626" w:themeColor="text1" w:themeTint="D9"/>
              </w:rPr>
              <w:t>66</w:t>
            </w:r>
          </w:p>
        </w:tc>
        <w:tc>
          <w:tcPr>
            <w:tcW w:w="506"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6E088ECA" w14:textId="64F08B76" w:rsidR="00150A13" w:rsidRPr="00150A13" w:rsidRDefault="00150A13" w:rsidP="004A71BC">
            <w:pPr>
              <w:pStyle w:val="TableBody"/>
              <w:rPr>
                <w:rFonts w:ascii="Calibri" w:hAnsi="Calibri" w:cs="Calibri"/>
                <w:color w:val="262626" w:themeColor="text1" w:themeTint="D9"/>
              </w:rPr>
            </w:pPr>
            <w:r w:rsidRPr="00150A13">
              <w:rPr>
                <w:rFonts w:ascii="Calibri" w:hAnsi="Calibri" w:cs="Calibri"/>
                <w:color w:val="262626"/>
              </w:rPr>
              <w:t>2</w:t>
            </w:r>
            <w:r w:rsidR="0065428C">
              <w:rPr>
                <w:rFonts w:ascii="Calibri" w:hAnsi="Calibri" w:cs="Calibri"/>
                <w:color w:val="262626"/>
              </w:rPr>
              <w:t>4</w:t>
            </w:r>
          </w:p>
        </w:tc>
        <w:tc>
          <w:tcPr>
            <w:tcW w:w="489"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595ADA89" w14:textId="197953E8" w:rsidR="00150A13" w:rsidRPr="00150A13" w:rsidRDefault="0065428C" w:rsidP="004A71BC">
            <w:pPr>
              <w:pStyle w:val="TableBody"/>
              <w:rPr>
                <w:rFonts w:ascii="Calibri" w:hAnsi="Calibri" w:cs="Calibri"/>
                <w:color w:val="262626" w:themeColor="text1" w:themeTint="D9"/>
              </w:rPr>
            </w:pPr>
            <w:r>
              <w:rPr>
                <w:rFonts w:ascii="Calibri" w:hAnsi="Calibri" w:cs="Calibri"/>
                <w:color w:val="262626" w:themeColor="text1" w:themeTint="D9"/>
              </w:rPr>
              <w:t>23</w:t>
            </w:r>
          </w:p>
        </w:tc>
        <w:tc>
          <w:tcPr>
            <w:tcW w:w="506"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0D7E9D0E" w14:textId="77777777" w:rsidR="00150A13" w:rsidRPr="00150A13" w:rsidRDefault="00150A13" w:rsidP="004A71BC">
            <w:pPr>
              <w:pStyle w:val="TableBody"/>
              <w:rPr>
                <w:rFonts w:ascii="Calibri" w:hAnsi="Calibri" w:cs="Calibri"/>
                <w:color w:val="262626" w:themeColor="text1" w:themeTint="D9"/>
              </w:rPr>
            </w:pPr>
            <w:r w:rsidRPr="00150A13">
              <w:rPr>
                <w:rFonts w:ascii="Calibri" w:hAnsi="Calibri" w:cs="Calibri"/>
                <w:color w:val="262626"/>
              </w:rPr>
              <w:t>9</w:t>
            </w:r>
          </w:p>
        </w:tc>
        <w:tc>
          <w:tcPr>
            <w:tcW w:w="612"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4D5BC90C" w14:textId="014DD06B" w:rsidR="00150A13" w:rsidRPr="00150A13" w:rsidRDefault="00150A13" w:rsidP="004A71BC">
            <w:pPr>
              <w:pStyle w:val="TableBody"/>
              <w:rPr>
                <w:rFonts w:ascii="Calibri" w:hAnsi="Calibri" w:cs="Calibri"/>
                <w:color w:val="262626" w:themeColor="text1" w:themeTint="D9"/>
              </w:rPr>
            </w:pPr>
            <w:r w:rsidRPr="00150A13">
              <w:rPr>
                <w:rFonts w:ascii="Calibri" w:hAnsi="Calibri" w:cs="Calibri"/>
                <w:color w:val="000000"/>
              </w:rPr>
              <w:t>9</w:t>
            </w:r>
            <w:r w:rsidR="0065428C">
              <w:rPr>
                <w:rFonts w:ascii="Calibri" w:hAnsi="Calibri" w:cs="Calibri"/>
                <w:color w:val="000000"/>
              </w:rPr>
              <w:t>30</w:t>
            </w:r>
          </w:p>
        </w:tc>
        <w:tc>
          <w:tcPr>
            <w:tcW w:w="53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553CBC95" w14:textId="5F37D9BB" w:rsidR="00150A13" w:rsidRPr="00150A13" w:rsidRDefault="00AC13DB" w:rsidP="004A71BC">
            <w:pPr>
              <w:pStyle w:val="TableBody"/>
              <w:rPr>
                <w:color w:val="262626" w:themeColor="text1" w:themeTint="D9"/>
              </w:rPr>
            </w:pPr>
            <w:r>
              <w:rPr>
                <w:rFonts w:ascii="Calibri" w:hAnsi="Calibri" w:cs="Calibri"/>
                <w:color w:val="000000"/>
              </w:rPr>
              <w:t>34</w:t>
            </w:r>
            <w:r w:rsidR="0065428C">
              <w:rPr>
                <w:rFonts w:ascii="Calibri" w:hAnsi="Calibri" w:cs="Calibri"/>
                <w:color w:val="000000"/>
              </w:rPr>
              <w:t>4</w:t>
            </w:r>
          </w:p>
        </w:tc>
      </w:tr>
      <w:tr w:rsidR="00150A13" w:rsidRPr="00150A13" w14:paraId="0B889C26" w14:textId="77777777" w:rsidTr="004C687A">
        <w:trPr>
          <w:trHeight w:val="56"/>
        </w:trPr>
        <w:tc>
          <w:tcPr>
            <w:tcW w:w="76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Mar>
              <w:top w:w="72" w:type="dxa"/>
              <w:left w:w="144" w:type="dxa"/>
              <w:bottom w:w="72" w:type="dxa"/>
              <w:right w:w="144" w:type="dxa"/>
            </w:tcMar>
            <w:vAlign w:val="center"/>
            <w:hideMark/>
          </w:tcPr>
          <w:p w14:paraId="36B8958D" w14:textId="77777777" w:rsidR="00150A13" w:rsidRPr="004A71BC" w:rsidRDefault="00150A13" w:rsidP="004A71BC">
            <w:pPr>
              <w:pStyle w:val="TableBody"/>
              <w:rPr>
                <w:i/>
              </w:rPr>
            </w:pPr>
            <w:r w:rsidRPr="004A71BC">
              <w:rPr>
                <w:i/>
              </w:rPr>
              <w:t>Tunnelling</w:t>
            </w:r>
          </w:p>
        </w:tc>
        <w:tc>
          <w:tcPr>
            <w:tcW w:w="483"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624E1AA3" w14:textId="77777777" w:rsidR="00150A13" w:rsidRPr="00150A13" w:rsidRDefault="00150A13" w:rsidP="004A71BC">
            <w:pPr>
              <w:pStyle w:val="TableBody"/>
              <w:rPr>
                <w:color w:val="262626" w:themeColor="text1" w:themeTint="D9"/>
              </w:rPr>
            </w:pPr>
            <w:r w:rsidRPr="00150A13">
              <w:rPr>
                <w:rFonts w:ascii="Calibri" w:hAnsi="Calibri" w:cs="Calibri"/>
                <w:color w:val="000000"/>
              </w:rPr>
              <w:t>7,150</w:t>
            </w:r>
          </w:p>
        </w:tc>
        <w:tc>
          <w:tcPr>
            <w:tcW w:w="56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6960C5F0" w14:textId="77777777" w:rsidR="00150A13" w:rsidRPr="00150A13" w:rsidRDefault="00150A13" w:rsidP="004A71BC">
            <w:pPr>
              <w:pStyle w:val="TableBody"/>
              <w:rPr>
                <w:color w:val="262626" w:themeColor="text1" w:themeTint="D9"/>
              </w:rPr>
            </w:pPr>
            <w:r w:rsidRPr="00150A13">
              <w:rPr>
                <w:rFonts w:ascii="Calibri" w:hAnsi="Calibri" w:cs="Calibri"/>
                <w:color w:val="000000"/>
              </w:rPr>
              <w:t>2,646</w:t>
            </w:r>
          </w:p>
        </w:tc>
        <w:tc>
          <w:tcPr>
            <w:tcW w:w="54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40968984" w14:textId="06A86344" w:rsidR="00150A13" w:rsidRPr="00150A13" w:rsidRDefault="00150A13" w:rsidP="004A71BC">
            <w:pPr>
              <w:pStyle w:val="TableBody"/>
              <w:rPr>
                <w:rFonts w:ascii="Calibri" w:hAnsi="Calibri" w:cs="Calibri"/>
                <w:color w:val="262626" w:themeColor="text1" w:themeTint="D9"/>
              </w:rPr>
            </w:pPr>
            <w:r w:rsidRPr="00150A13">
              <w:rPr>
                <w:rFonts w:ascii="Calibri" w:hAnsi="Calibri" w:cs="Calibri"/>
                <w:color w:val="000000"/>
              </w:rPr>
              <w:t>4</w:t>
            </w:r>
            <w:r w:rsidR="0065428C">
              <w:rPr>
                <w:rFonts w:ascii="Calibri" w:hAnsi="Calibri" w:cs="Calibri"/>
                <w:color w:val="000000"/>
              </w:rPr>
              <w:t>78</w:t>
            </w:r>
          </w:p>
        </w:tc>
        <w:tc>
          <w:tcPr>
            <w:tcW w:w="506"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6A26540F" w14:textId="09BBAB69" w:rsidR="00150A13" w:rsidRPr="00150A13" w:rsidRDefault="00150A13" w:rsidP="004A71BC">
            <w:pPr>
              <w:pStyle w:val="TableBody"/>
              <w:rPr>
                <w:rFonts w:ascii="Calibri" w:hAnsi="Calibri" w:cs="Calibri"/>
                <w:color w:val="262626" w:themeColor="text1" w:themeTint="D9"/>
              </w:rPr>
            </w:pPr>
            <w:r w:rsidRPr="00150A13">
              <w:rPr>
                <w:rFonts w:ascii="Calibri" w:hAnsi="Calibri" w:cs="Calibri"/>
                <w:color w:val="262626"/>
              </w:rPr>
              <w:t>1</w:t>
            </w:r>
            <w:r w:rsidR="0065428C">
              <w:rPr>
                <w:rFonts w:ascii="Calibri" w:hAnsi="Calibri" w:cs="Calibri"/>
                <w:color w:val="262626"/>
              </w:rPr>
              <w:t>77</w:t>
            </w:r>
          </w:p>
        </w:tc>
        <w:tc>
          <w:tcPr>
            <w:tcW w:w="489"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5B73ABC0" w14:textId="360F9220" w:rsidR="00150A13" w:rsidRPr="00150A13" w:rsidRDefault="0065428C" w:rsidP="004A71BC">
            <w:pPr>
              <w:pStyle w:val="TableBody"/>
              <w:rPr>
                <w:rFonts w:ascii="Calibri" w:hAnsi="Calibri" w:cs="Calibri"/>
                <w:color w:val="262626" w:themeColor="text1" w:themeTint="D9"/>
              </w:rPr>
            </w:pPr>
            <w:r>
              <w:rPr>
                <w:rFonts w:ascii="Calibri" w:hAnsi="Calibri" w:cs="Calibri"/>
                <w:color w:val="262626" w:themeColor="text1" w:themeTint="D9"/>
              </w:rPr>
              <w:t>64</w:t>
            </w:r>
          </w:p>
        </w:tc>
        <w:tc>
          <w:tcPr>
            <w:tcW w:w="506"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7F90B897" w14:textId="77777777" w:rsidR="00150A13" w:rsidRPr="00150A13" w:rsidRDefault="00150A13" w:rsidP="004A71BC">
            <w:pPr>
              <w:pStyle w:val="TableBody"/>
              <w:rPr>
                <w:rFonts w:ascii="Calibri" w:hAnsi="Calibri" w:cs="Calibri"/>
                <w:color w:val="262626" w:themeColor="text1" w:themeTint="D9"/>
              </w:rPr>
            </w:pPr>
            <w:r w:rsidRPr="00150A13">
              <w:rPr>
                <w:rFonts w:ascii="Calibri" w:hAnsi="Calibri" w:cs="Calibri"/>
                <w:color w:val="262626"/>
              </w:rPr>
              <w:t>24</w:t>
            </w:r>
          </w:p>
        </w:tc>
        <w:tc>
          <w:tcPr>
            <w:tcW w:w="612"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6E0682DF" w14:textId="46E07F45" w:rsidR="00150A13" w:rsidRPr="00150A13" w:rsidRDefault="00150A13" w:rsidP="004A71BC">
            <w:pPr>
              <w:pStyle w:val="TableBody"/>
              <w:rPr>
                <w:rFonts w:ascii="Calibri" w:hAnsi="Calibri" w:cs="Calibri"/>
                <w:color w:val="262626" w:themeColor="text1" w:themeTint="D9"/>
              </w:rPr>
            </w:pPr>
            <w:r w:rsidRPr="00150A13">
              <w:rPr>
                <w:rFonts w:ascii="Calibri" w:hAnsi="Calibri" w:cs="Calibri"/>
                <w:color w:val="000000"/>
              </w:rPr>
              <w:t>7,6</w:t>
            </w:r>
            <w:r w:rsidR="00526E59">
              <w:rPr>
                <w:rFonts w:ascii="Calibri" w:hAnsi="Calibri" w:cs="Calibri"/>
                <w:color w:val="000000"/>
              </w:rPr>
              <w:t>92</w:t>
            </w:r>
          </w:p>
        </w:tc>
        <w:tc>
          <w:tcPr>
            <w:tcW w:w="53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0AD79555" w14:textId="4A8107AA" w:rsidR="00150A13" w:rsidRPr="00150A13" w:rsidRDefault="00AC13DB" w:rsidP="004A71BC">
            <w:pPr>
              <w:pStyle w:val="TableBody"/>
              <w:rPr>
                <w:color w:val="262626" w:themeColor="text1" w:themeTint="D9"/>
              </w:rPr>
            </w:pPr>
            <w:r>
              <w:rPr>
                <w:rFonts w:ascii="Calibri" w:hAnsi="Calibri" w:cs="Calibri"/>
                <w:color w:val="000000"/>
              </w:rPr>
              <w:t>2</w:t>
            </w:r>
            <w:r w:rsidR="004E4183">
              <w:rPr>
                <w:rFonts w:ascii="Calibri" w:hAnsi="Calibri" w:cs="Calibri"/>
                <w:color w:val="000000"/>
              </w:rPr>
              <w:t>,</w:t>
            </w:r>
            <w:r>
              <w:rPr>
                <w:rFonts w:ascii="Calibri" w:hAnsi="Calibri" w:cs="Calibri"/>
                <w:color w:val="000000"/>
              </w:rPr>
              <w:t>8</w:t>
            </w:r>
            <w:r w:rsidR="00526E59">
              <w:rPr>
                <w:rFonts w:ascii="Calibri" w:hAnsi="Calibri" w:cs="Calibri"/>
                <w:color w:val="000000"/>
              </w:rPr>
              <w:t>46</w:t>
            </w:r>
          </w:p>
        </w:tc>
      </w:tr>
      <w:tr w:rsidR="00150A13" w:rsidRPr="00150A13" w14:paraId="24D6AB40" w14:textId="77777777" w:rsidTr="004C687A">
        <w:trPr>
          <w:trHeight w:val="56"/>
        </w:trPr>
        <w:tc>
          <w:tcPr>
            <w:tcW w:w="76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Mar>
              <w:top w:w="72" w:type="dxa"/>
              <w:left w:w="144" w:type="dxa"/>
              <w:bottom w:w="72" w:type="dxa"/>
              <w:right w:w="144" w:type="dxa"/>
            </w:tcMar>
            <w:vAlign w:val="center"/>
            <w:hideMark/>
          </w:tcPr>
          <w:p w14:paraId="12DB0F1C" w14:textId="77777777" w:rsidR="00150A13" w:rsidRPr="004A71BC" w:rsidRDefault="00150A13" w:rsidP="004A71BC">
            <w:pPr>
              <w:pStyle w:val="TableBody"/>
              <w:rPr>
                <w:i/>
              </w:rPr>
            </w:pPr>
            <w:r w:rsidRPr="004A71BC">
              <w:rPr>
                <w:i/>
              </w:rPr>
              <w:t>Demolition</w:t>
            </w:r>
          </w:p>
        </w:tc>
        <w:tc>
          <w:tcPr>
            <w:tcW w:w="483"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78DF6C93" w14:textId="77777777" w:rsidR="00150A13" w:rsidRPr="00150A13" w:rsidRDefault="00150A13" w:rsidP="004A71BC">
            <w:pPr>
              <w:pStyle w:val="TableBody"/>
              <w:rPr>
                <w:color w:val="262626" w:themeColor="text1" w:themeTint="D9"/>
              </w:rPr>
            </w:pPr>
            <w:r w:rsidRPr="00150A13">
              <w:rPr>
                <w:rFonts w:ascii="Calibri" w:hAnsi="Calibri" w:cs="Calibri"/>
                <w:color w:val="000000"/>
              </w:rPr>
              <w:t>14,578</w:t>
            </w:r>
          </w:p>
        </w:tc>
        <w:tc>
          <w:tcPr>
            <w:tcW w:w="56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2E554794" w14:textId="77777777" w:rsidR="00150A13" w:rsidRPr="00150A13" w:rsidRDefault="00150A13" w:rsidP="004A71BC">
            <w:pPr>
              <w:pStyle w:val="TableBody"/>
              <w:rPr>
                <w:color w:val="262626" w:themeColor="text1" w:themeTint="D9"/>
              </w:rPr>
            </w:pPr>
            <w:r w:rsidRPr="00150A13">
              <w:rPr>
                <w:rFonts w:ascii="Calibri" w:hAnsi="Calibri" w:cs="Calibri"/>
                <w:color w:val="000000"/>
              </w:rPr>
              <w:t>1,458</w:t>
            </w:r>
          </w:p>
        </w:tc>
        <w:tc>
          <w:tcPr>
            <w:tcW w:w="54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18A7BC21" w14:textId="76AF6321" w:rsidR="00150A13" w:rsidRPr="00150A13" w:rsidRDefault="00150A13" w:rsidP="004A71BC">
            <w:pPr>
              <w:pStyle w:val="TableBody"/>
              <w:rPr>
                <w:rFonts w:ascii="Calibri" w:hAnsi="Calibri" w:cs="Calibri"/>
                <w:color w:val="262626" w:themeColor="text1" w:themeTint="D9"/>
              </w:rPr>
            </w:pPr>
            <w:r w:rsidRPr="00150A13">
              <w:rPr>
                <w:rFonts w:ascii="Calibri" w:hAnsi="Calibri" w:cs="Calibri"/>
                <w:color w:val="000000"/>
              </w:rPr>
              <w:t>4</w:t>
            </w:r>
            <w:r w:rsidR="00526E59">
              <w:rPr>
                <w:rFonts w:ascii="Calibri" w:hAnsi="Calibri" w:cs="Calibri"/>
                <w:color w:val="000000"/>
              </w:rPr>
              <w:t>84</w:t>
            </w:r>
          </w:p>
        </w:tc>
        <w:tc>
          <w:tcPr>
            <w:tcW w:w="506"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75E8FCC6" w14:textId="22F7B27C" w:rsidR="00150A13" w:rsidRPr="00150A13" w:rsidRDefault="00150A13" w:rsidP="004A71BC">
            <w:pPr>
              <w:pStyle w:val="TableBody"/>
              <w:rPr>
                <w:rFonts w:ascii="Calibri" w:hAnsi="Calibri" w:cs="Calibri"/>
                <w:color w:val="262626" w:themeColor="text1" w:themeTint="D9"/>
              </w:rPr>
            </w:pPr>
            <w:r w:rsidRPr="00150A13">
              <w:rPr>
                <w:rFonts w:ascii="Calibri" w:hAnsi="Calibri" w:cs="Calibri"/>
                <w:color w:val="262626"/>
              </w:rPr>
              <w:t>4</w:t>
            </w:r>
            <w:r w:rsidR="00526E59">
              <w:rPr>
                <w:rFonts w:ascii="Calibri" w:hAnsi="Calibri" w:cs="Calibri"/>
                <w:color w:val="262626"/>
              </w:rPr>
              <w:t>8</w:t>
            </w:r>
          </w:p>
        </w:tc>
        <w:tc>
          <w:tcPr>
            <w:tcW w:w="489"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06364061" w14:textId="3CE75B46" w:rsidR="00150A13" w:rsidRPr="00150A13" w:rsidRDefault="00150A13" w:rsidP="004A71BC">
            <w:pPr>
              <w:pStyle w:val="TableBody"/>
              <w:rPr>
                <w:rFonts w:ascii="Calibri" w:hAnsi="Calibri" w:cs="Calibri"/>
                <w:color w:val="262626" w:themeColor="text1" w:themeTint="D9"/>
              </w:rPr>
            </w:pPr>
            <w:r w:rsidRPr="00150A13">
              <w:rPr>
                <w:rFonts w:ascii="Calibri" w:hAnsi="Calibri" w:cs="Calibri"/>
                <w:color w:val="000000"/>
              </w:rPr>
              <w:t>1</w:t>
            </w:r>
            <w:r w:rsidR="00526E59">
              <w:rPr>
                <w:rFonts w:ascii="Calibri" w:hAnsi="Calibri" w:cs="Calibri"/>
                <w:color w:val="000000"/>
              </w:rPr>
              <w:t>5</w:t>
            </w:r>
          </w:p>
        </w:tc>
        <w:tc>
          <w:tcPr>
            <w:tcW w:w="506"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6A5073DF" w14:textId="77777777" w:rsidR="00150A13" w:rsidRPr="00150A13" w:rsidRDefault="00150A13" w:rsidP="004A71BC">
            <w:pPr>
              <w:pStyle w:val="TableBody"/>
              <w:rPr>
                <w:rFonts w:ascii="Calibri" w:hAnsi="Calibri" w:cs="Calibri"/>
                <w:color w:val="262626" w:themeColor="text1" w:themeTint="D9"/>
              </w:rPr>
            </w:pPr>
            <w:r w:rsidRPr="00150A13">
              <w:rPr>
                <w:rFonts w:ascii="Calibri" w:hAnsi="Calibri" w:cs="Calibri"/>
                <w:color w:val="262626"/>
              </w:rPr>
              <w:t>2</w:t>
            </w:r>
          </w:p>
        </w:tc>
        <w:tc>
          <w:tcPr>
            <w:tcW w:w="612"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2B7A196A" w14:textId="01957CF7" w:rsidR="00150A13" w:rsidRPr="00150A13" w:rsidRDefault="00150A13" w:rsidP="004A71BC">
            <w:pPr>
              <w:pStyle w:val="TableBody"/>
              <w:rPr>
                <w:rFonts w:ascii="Calibri" w:hAnsi="Calibri" w:cs="Calibri"/>
                <w:color w:val="262626" w:themeColor="text1" w:themeTint="D9"/>
              </w:rPr>
            </w:pPr>
            <w:r w:rsidRPr="00150A13">
              <w:rPr>
                <w:rFonts w:ascii="Calibri" w:hAnsi="Calibri" w:cs="Calibri"/>
                <w:color w:val="000000"/>
              </w:rPr>
              <w:t>15,0</w:t>
            </w:r>
            <w:r w:rsidR="00526E59">
              <w:rPr>
                <w:rFonts w:ascii="Calibri" w:hAnsi="Calibri" w:cs="Calibri"/>
                <w:color w:val="000000"/>
              </w:rPr>
              <w:t>77</w:t>
            </w:r>
          </w:p>
        </w:tc>
        <w:tc>
          <w:tcPr>
            <w:tcW w:w="53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062DC477" w14:textId="79615AA5" w:rsidR="00150A13" w:rsidRPr="00150A13" w:rsidRDefault="00AC13DB" w:rsidP="004A71BC">
            <w:pPr>
              <w:pStyle w:val="TableBody"/>
              <w:rPr>
                <w:color w:val="262626" w:themeColor="text1" w:themeTint="D9"/>
              </w:rPr>
            </w:pPr>
            <w:r>
              <w:rPr>
                <w:rFonts w:ascii="Calibri" w:hAnsi="Calibri" w:cs="Calibri"/>
                <w:color w:val="000000"/>
              </w:rPr>
              <w:t>1</w:t>
            </w:r>
            <w:r w:rsidR="00B46E1C">
              <w:rPr>
                <w:rFonts w:ascii="Calibri" w:hAnsi="Calibri" w:cs="Calibri"/>
                <w:color w:val="000000"/>
              </w:rPr>
              <w:t>,</w:t>
            </w:r>
            <w:r>
              <w:rPr>
                <w:rFonts w:ascii="Calibri" w:hAnsi="Calibri" w:cs="Calibri"/>
                <w:color w:val="000000"/>
              </w:rPr>
              <w:t>50</w:t>
            </w:r>
            <w:r w:rsidR="00526E59">
              <w:rPr>
                <w:rFonts w:ascii="Calibri" w:hAnsi="Calibri" w:cs="Calibri"/>
                <w:color w:val="000000"/>
              </w:rPr>
              <w:t>8</w:t>
            </w:r>
          </w:p>
        </w:tc>
      </w:tr>
      <w:tr w:rsidR="00150A13" w:rsidRPr="00150A13" w14:paraId="06C60F1C" w14:textId="77777777" w:rsidTr="004C687A">
        <w:trPr>
          <w:trHeight w:val="56"/>
        </w:trPr>
        <w:tc>
          <w:tcPr>
            <w:tcW w:w="76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Mar>
              <w:top w:w="72" w:type="dxa"/>
              <w:left w:w="144" w:type="dxa"/>
              <w:bottom w:w="72" w:type="dxa"/>
              <w:right w:w="144" w:type="dxa"/>
            </w:tcMar>
            <w:vAlign w:val="center"/>
            <w:hideMark/>
          </w:tcPr>
          <w:p w14:paraId="5A747B8F" w14:textId="77777777" w:rsidR="00150A13" w:rsidRPr="00150A13" w:rsidRDefault="00150A13" w:rsidP="004A71BC">
            <w:pPr>
              <w:pStyle w:val="TableBody"/>
              <w:rPr>
                <w:b/>
              </w:rPr>
            </w:pPr>
            <w:r w:rsidRPr="00150A13">
              <w:rPr>
                <w:b/>
              </w:rPr>
              <w:t>Total</w:t>
            </w:r>
          </w:p>
        </w:tc>
        <w:tc>
          <w:tcPr>
            <w:tcW w:w="483"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41B4F776" w14:textId="77777777" w:rsidR="00150A13" w:rsidRPr="00150A13" w:rsidRDefault="00150A13" w:rsidP="004A71BC">
            <w:pPr>
              <w:pStyle w:val="TableBody"/>
              <w:rPr>
                <w:b/>
                <w:bCs/>
                <w:color w:val="262626" w:themeColor="text1" w:themeTint="D9"/>
              </w:rPr>
            </w:pPr>
            <w:r w:rsidRPr="00150A13">
              <w:rPr>
                <w:rFonts w:ascii="Calibri" w:hAnsi="Calibri" w:cs="Calibri"/>
                <w:b/>
                <w:color w:val="000000"/>
              </w:rPr>
              <w:t>117,498</w:t>
            </w:r>
          </w:p>
        </w:tc>
        <w:tc>
          <w:tcPr>
            <w:tcW w:w="564"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568653E4" w14:textId="61049243" w:rsidR="00150A13" w:rsidRPr="00150A13" w:rsidRDefault="00150A13" w:rsidP="004A71BC">
            <w:pPr>
              <w:pStyle w:val="TableBody"/>
              <w:rPr>
                <w:b/>
                <w:bCs/>
                <w:color w:val="262626" w:themeColor="text1" w:themeTint="D9"/>
              </w:rPr>
            </w:pPr>
            <w:r w:rsidRPr="004E4183">
              <w:rPr>
                <w:rFonts w:ascii="Calibri" w:hAnsi="Calibri" w:cs="Calibri"/>
                <w:b/>
                <w:color w:val="000000"/>
              </w:rPr>
              <w:t>21,84</w:t>
            </w:r>
            <w:r w:rsidR="00B46E1C">
              <w:rPr>
                <w:rFonts w:ascii="Calibri" w:hAnsi="Calibri" w:cs="Calibri"/>
                <w:b/>
                <w:color w:val="000000"/>
              </w:rPr>
              <w:t>9</w:t>
            </w:r>
          </w:p>
        </w:tc>
        <w:tc>
          <w:tcPr>
            <w:tcW w:w="548"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7A4D2C7D" w14:textId="207122AB" w:rsidR="00150A13" w:rsidRPr="00150A13" w:rsidRDefault="00150A13" w:rsidP="004A71BC">
            <w:pPr>
              <w:pStyle w:val="TableBody"/>
              <w:rPr>
                <w:b/>
                <w:bCs/>
                <w:color w:val="262626" w:themeColor="text1" w:themeTint="D9"/>
              </w:rPr>
            </w:pPr>
            <w:r w:rsidRPr="00150A13">
              <w:rPr>
                <w:rFonts w:ascii="Calibri" w:hAnsi="Calibri" w:cs="Calibri"/>
                <w:b/>
                <w:color w:val="000000"/>
              </w:rPr>
              <w:t>2,</w:t>
            </w:r>
            <w:r w:rsidR="00526E59">
              <w:rPr>
                <w:rFonts w:ascii="Calibri" w:hAnsi="Calibri" w:cs="Calibri"/>
                <w:b/>
                <w:color w:val="000000"/>
              </w:rPr>
              <w:t>685</w:t>
            </w:r>
          </w:p>
        </w:tc>
        <w:tc>
          <w:tcPr>
            <w:tcW w:w="506"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7DB0AF5E" w14:textId="606C5BCB" w:rsidR="00150A13" w:rsidRPr="00150A13" w:rsidRDefault="00526E59" w:rsidP="004A71BC">
            <w:pPr>
              <w:pStyle w:val="TableBody"/>
              <w:rPr>
                <w:b/>
                <w:bCs/>
                <w:color w:val="262626" w:themeColor="text1" w:themeTint="D9"/>
              </w:rPr>
            </w:pPr>
            <w:r>
              <w:rPr>
                <w:b/>
                <w:bCs/>
                <w:color w:val="262626" w:themeColor="text1" w:themeTint="D9"/>
              </w:rPr>
              <w:t>416</w:t>
            </w:r>
          </w:p>
        </w:tc>
        <w:tc>
          <w:tcPr>
            <w:tcW w:w="489"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7E44A201" w14:textId="7411A534" w:rsidR="00150A13" w:rsidRPr="00150A13" w:rsidRDefault="00150A13" w:rsidP="004A71BC">
            <w:pPr>
              <w:pStyle w:val="TableBody"/>
              <w:rPr>
                <w:b/>
                <w:bCs/>
                <w:color w:val="262626" w:themeColor="text1" w:themeTint="D9"/>
              </w:rPr>
            </w:pPr>
            <w:r w:rsidRPr="00150A13">
              <w:rPr>
                <w:rFonts w:ascii="Calibri" w:hAnsi="Calibri" w:cs="Calibri"/>
                <w:b/>
                <w:color w:val="000000"/>
              </w:rPr>
              <w:t>1</w:t>
            </w:r>
            <w:r w:rsidR="00526E59">
              <w:rPr>
                <w:rFonts w:ascii="Calibri" w:hAnsi="Calibri" w:cs="Calibri"/>
                <w:b/>
                <w:color w:val="000000"/>
              </w:rPr>
              <w:t>77</w:t>
            </w:r>
          </w:p>
        </w:tc>
        <w:tc>
          <w:tcPr>
            <w:tcW w:w="506"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2A08001E" w14:textId="076BEC3C" w:rsidR="00150A13" w:rsidRPr="00150A13" w:rsidRDefault="00150A13" w:rsidP="004A71BC">
            <w:pPr>
              <w:pStyle w:val="TableBody"/>
              <w:rPr>
                <w:b/>
                <w:bCs/>
                <w:color w:val="262626" w:themeColor="text1" w:themeTint="D9"/>
              </w:rPr>
            </w:pPr>
            <w:r w:rsidRPr="004E4183">
              <w:rPr>
                <w:rFonts w:ascii="Calibri" w:hAnsi="Calibri" w:cs="Calibri"/>
                <w:b/>
                <w:color w:val="000000"/>
              </w:rPr>
              <w:t>4</w:t>
            </w:r>
            <w:r w:rsidR="00B46E1C">
              <w:rPr>
                <w:rFonts w:ascii="Calibri" w:hAnsi="Calibri" w:cs="Calibri"/>
                <w:b/>
                <w:color w:val="000000"/>
              </w:rPr>
              <w:t>2</w:t>
            </w:r>
          </w:p>
        </w:tc>
        <w:tc>
          <w:tcPr>
            <w:tcW w:w="612"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0FF94D34" w14:textId="06C7D10A" w:rsidR="00150A13" w:rsidRPr="00150A13" w:rsidRDefault="00150A13" w:rsidP="004A71BC">
            <w:pPr>
              <w:pStyle w:val="TableBody"/>
              <w:rPr>
                <w:b/>
                <w:bCs/>
                <w:color w:val="262626" w:themeColor="text1" w:themeTint="D9"/>
              </w:rPr>
            </w:pPr>
            <w:r w:rsidRPr="00150A13">
              <w:rPr>
                <w:rFonts w:ascii="Calibri" w:hAnsi="Calibri" w:cs="Calibri"/>
                <w:b/>
                <w:color w:val="000000"/>
              </w:rPr>
              <w:t>120,</w:t>
            </w:r>
            <w:r w:rsidR="00526E59">
              <w:rPr>
                <w:rFonts w:ascii="Calibri" w:hAnsi="Calibri" w:cs="Calibri"/>
                <w:b/>
                <w:color w:val="000000"/>
              </w:rPr>
              <w:t>360</w:t>
            </w:r>
          </w:p>
        </w:tc>
        <w:tc>
          <w:tcPr>
            <w:tcW w:w="53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6A13703F" w14:textId="55E97E98" w:rsidR="00150A13" w:rsidRPr="00150A13" w:rsidRDefault="00AC13DB" w:rsidP="004A71BC">
            <w:pPr>
              <w:pStyle w:val="TableBody"/>
              <w:rPr>
                <w:b/>
                <w:bCs/>
                <w:color w:val="262626" w:themeColor="text1" w:themeTint="D9"/>
              </w:rPr>
            </w:pPr>
            <w:r>
              <w:rPr>
                <w:rFonts w:ascii="Calibri" w:hAnsi="Calibri" w:cs="Calibri"/>
                <w:b/>
                <w:color w:val="000000"/>
              </w:rPr>
              <w:t>22</w:t>
            </w:r>
            <w:r w:rsidR="00B46E1C">
              <w:rPr>
                <w:rFonts w:ascii="Calibri" w:hAnsi="Calibri" w:cs="Calibri"/>
                <w:b/>
                <w:color w:val="000000"/>
              </w:rPr>
              <w:t>,</w:t>
            </w:r>
            <w:r w:rsidR="00526E59">
              <w:rPr>
                <w:rFonts w:ascii="Calibri" w:hAnsi="Calibri" w:cs="Calibri"/>
                <w:b/>
                <w:color w:val="000000"/>
              </w:rPr>
              <w:t>307</w:t>
            </w:r>
          </w:p>
        </w:tc>
      </w:tr>
    </w:tbl>
    <w:p w14:paraId="773E6010" w14:textId="77777777" w:rsidR="00150A13" w:rsidRPr="00150A13" w:rsidRDefault="00150A13" w:rsidP="00150A13">
      <w:pPr>
        <w:spacing w:before="240" w:after="120" w:line="264" w:lineRule="auto"/>
        <w:ind w:left="1134" w:hanging="1134"/>
        <w:outlineLvl w:val="3"/>
        <w:rPr>
          <w:rFonts w:asciiTheme="majorHAnsi" w:hAnsiTheme="majorHAnsi"/>
          <w:color w:val="015E8A" w:themeColor="text2" w:themeTint="E6"/>
          <w:sz w:val="20"/>
          <w:szCs w:val="24"/>
        </w:rPr>
      </w:pPr>
      <w:r w:rsidRPr="00150A13">
        <w:rPr>
          <w:rFonts w:asciiTheme="majorHAnsi" w:hAnsiTheme="majorHAnsi"/>
          <w:color w:val="015E8A" w:themeColor="text2" w:themeTint="E6"/>
          <w:sz w:val="20"/>
          <w:szCs w:val="24"/>
        </w:rPr>
        <w:t xml:space="preserve">Worker wage assumptions </w:t>
      </w:r>
    </w:p>
    <w:p w14:paraId="2EF83D2D" w14:textId="1DDB2CF9" w:rsidR="00150A13" w:rsidRPr="00150A13" w:rsidRDefault="00150A13" w:rsidP="004A71BC">
      <w:pPr>
        <w:pStyle w:val="BodyText"/>
      </w:pPr>
      <w:r w:rsidRPr="00150A13">
        <w:t xml:space="preserve">The average wage per hour has been estimated using Average Weekly Earnings (AWE) data provided by the Australian Bureau of Statistics (ABS). summarises the number of businesses included within this assessment across each industry </w:t>
      </w:r>
      <w:r w:rsidRPr="00150A13">
        <w:rPr>
          <w:sz w:val="20"/>
          <w:szCs w:val="20"/>
        </w:rPr>
        <w:t xml:space="preserve">category. </w:t>
      </w:r>
      <w:r w:rsidRPr="00150A13">
        <w:rPr>
          <w:sz w:val="20"/>
          <w:szCs w:val="20"/>
        </w:rPr>
        <w:fldChar w:fldCharType="begin"/>
      </w:r>
      <w:r w:rsidRPr="00150A13">
        <w:rPr>
          <w:sz w:val="20"/>
          <w:szCs w:val="20"/>
        </w:rPr>
        <w:instrText xml:space="preserve"> REF _Ref124836351 \h </w:instrText>
      </w:r>
      <w:r w:rsidR="00DF768D">
        <w:rPr>
          <w:sz w:val="20"/>
          <w:szCs w:val="20"/>
        </w:rPr>
        <w:instrText xml:space="preserve"> \* MERGEFORMAT </w:instrText>
      </w:r>
      <w:r w:rsidRPr="00150A13">
        <w:rPr>
          <w:sz w:val="20"/>
          <w:szCs w:val="20"/>
        </w:rPr>
      </w:r>
      <w:r w:rsidRPr="00150A13">
        <w:rPr>
          <w:sz w:val="20"/>
          <w:szCs w:val="20"/>
        </w:rPr>
        <w:fldChar w:fldCharType="separate"/>
      </w:r>
      <w:r w:rsidR="00DF768D" w:rsidRPr="00150A13">
        <w:rPr>
          <w:sz w:val="20"/>
          <w:szCs w:val="20"/>
        </w:rPr>
        <w:t xml:space="preserve">Table </w:t>
      </w:r>
      <w:r w:rsidR="00DF768D" w:rsidRPr="00DF768D">
        <w:rPr>
          <w:sz w:val="20"/>
          <w:szCs w:val="20"/>
        </w:rPr>
        <w:t>39</w:t>
      </w:r>
      <w:r w:rsidRPr="00150A13">
        <w:rPr>
          <w:sz w:val="20"/>
          <w:szCs w:val="20"/>
        </w:rPr>
        <w:fldChar w:fldCharType="end"/>
      </w:r>
      <w:r w:rsidRPr="00150A13">
        <w:rPr>
          <w:sz w:val="20"/>
          <w:szCs w:val="20"/>
        </w:rPr>
        <w:t xml:space="preserve"> presents</w:t>
      </w:r>
      <w:r w:rsidRPr="00150A13">
        <w:t xml:space="preserve"> estimates of SWA salary costs per employee. </w:t>
      </w:r>
    </w:p>
    <w:p w14:paraId="044FA877" w14:textId="423BD86E" w:rsidR="00150A13" w:rsidRPr="00150A13" w:rsidRDefault="00150A13" w:rsidP="004A71BC">
      <w:pPr>
        <w:pStyle w:val="Caption"/>
      </w:pPr>
      <w:bookmarkStart w:id="711" w:name="_Ref124836351"/>
      <w:r w:rsidRPr="00150A13">
        <w:lastRenderedPageBreak/>
        <w:t xml:space="preserve">Table </w:t>
      </w:r>
      <w:fldSimple w:instr=" SEQ Table \* ARABIC ">
        <w:r w:rsidR="00DF768D">
          <w:rPr>
            <w:noProof/>
          </w:rPr>
          <w:t>39</w:t>
        </w:r>
      </w:fldSimple>
      <w:bookmarkEnd w:id="711"/>
      <w:r w:rsidRPr="00150A13">
        <w:t xml:space="preserve">: Employee wage by industry category </w:t>
      </w:r>
      <w:r w:rsidRPr="00150A13">
        <w:fldChar w:fldCharType="begin"/>
      </w:r>
      <w:r w:rsidRPr="00150A13">
        <w:instrText xml:space="preserve"> ADDIN ZOTERO_ITEM CSL_CITATION {"citationID":"wsTGLflV","properties":{"formattedCitation":"(Australian Bureau of Statistics 2021c)","plainCitation":"(Australian Bureau of Statistics 2021c)","noteIndex":0},"citationItems":[{"id":913,"uris":["http://zotero.org/users/6230888/items/YWAVMKLE"],"itemData":{"id":913,"type":"webpage","abstract":"Estimates of weekly earnings classified by industry, sector, state and territory","language":"en","title":"Average Weekly Earnings, Australia, November 2021","URL":"https://www.abs.gov.au/statistics/labour/earnings-and-working-conditions/average-weekly-earnings-australia/latest-release","author":[{"literal":"Australian Bureau of Statistics"}],"accessed":{"date-parts":[["2022",6,30]]},"issued":{"date-parts":[["2021"]]}}}],"schema":"https://github.com/citation-style-language/schema/raw/master/csl-citation.json"} </w:instrText>
      </w:r>
      <w:r w:rsidRPr="00150A13">
        <w:fldChar w:fldCharType="separate"/>
      </w:r>
      <w:r w:rsidRPr="00150A13">
        <w:rPr>
          <w:rFonts w:ascii="Century Gothic" w:hAnsi="Century Gothic"/>
        </w:rPr>
        <w:t>(Australian Bureau of Statistics 2021c)</w:t>
      </w:r>
      <w:r w:rsidRPr="00150A13">
        <w:fldChar w:fldCharType="end"/>
      </w:r>
    </w:p>
    <w:tbl>
      <w:tblPr>
        <w:tblW w:w="5000" w:type="pct"/>
        <w:tblBorders>
          <w:left w:val="single" w:sz="8" w:space="0" w:color="D9D9D9"/>
          <w:bottom w:val="single" w:sz="8" w:space="0" w:color="D9D9D9"/>
          <w:right w:val="single" w:sz="8" w:space="0" w:color="D9D9D9"/>
          <w:insideH w:val="single" w:sz="8" w:space="0" w:color="D9D9D9"/>
          <w:insideV w:val="single" w:sz="8" w:space="0" w:color="D9D9D9"/>
        </w:tblBorders>
        <w:tblCellMar>
          <w:left w:w="0" w:type="dxa"/>
          <w:right w:w="0" w:type="dxa"/>
        </w:tblCellMar>
        <w:tblLook w:val="0420" w:firstRow="1" w:lastRow="0" w:firstColumn="0" w:lastColumn="0" w:noHBand="0" w:noVBand="1"/>
      </w:tblPr>
      <w:tblGrid>
        <w:gridCol w:w="2338"/>
        <w:gridCol w:w="2479"/>
        <w:gridCol w:w="2511"/>
        <w:gridCol w:w="2856"/>
      </w:tblGrid>
      <w:tr w:rsidR="00150A13" w:rsidRPr="00150A13" w14:paraId="0625395C" w14:textId="77777777" w:rsidTr="004C687A">
        <w:trPr>
          <w:trHeight w:val="159"/>
          <w:tblHeader/>
        </w:trPr>
        <w:tc>
          <w:tcPr>
            <w:tcW w:w="1148" w:type="pct"/>
            <w:tcBorders>
              <w:top w:val="nil"/>
              <w:left w:val="single" w:sz="8" w:space="0" w:color="D9D9D9"/>
              <w:bottom w:val="single" w:sz="8" w:space="0" w:color="D9D9D9"/>
              <w:right w:val="single" w:sz="8" w:space="0" w:color="D9D9D9"/>
            </w:tcBorders>
            <w:shd w:val="clear" w:color="auto" w:fill="D9D9D9" w:themeFill="background1" w:themeFillShade="D9"/>
            <w:tcMar>
              <w:top w:w="72" w:type="dxa"/>
              <w:left w:w="144" w:type="dxa"/>
              <w:bottom w:w="72" w:type="dxa"/>
              <w:right w:w="144" w:type="dxa"/>
            </w:tcMar>
            <w:vAlign w:val="center"/>
            <w:hideMark/>
          </w:tcPr>
          <w:p w14:paraId="7EFE8AC9" w14:textId="77777777" w:rsidR="00150A13" w:rsidRPr="00150A13" w:rsidRDefault="00150A13" w:rsidP="004A71BC">
            <w:pPr>
              <w:pStyle w:val="TableHeading"/>
            </w:pPr>
            <w:r w:rsidRPr="00150A13">
              <w:t>Industry category</w:t>
            </w:r>
          </w:p>
        </w:tc>
        <w:tc>
          <w:tcPr>
            <w:tcW w:w="1217" w:type="pct"/>
            <w:tcBorders>
              <w:top w:val="nil"/>
              <w:left w:val="single" w:sz="8" w:space="0" w:color="D9D9D9"/>
              <w:bottom w:val="single" w:sz="8" w:space="0" w:color="D9D9D9"/>
              <w:right w:val="single" w:sz="8" w:space="0" w:color="D9D9D9"/>
            </w:tcBorders>
            <w:shd w:val="clear" w:color="auto" w:fill="D9D9D9" w:themeFill="background1" w:themeFillShade="D9"/>
            <w:hideMark/>
          </w:tcPr>
          <w:p w14:paraId="061F2BA5" w14:textId="77777777" w:rsidR="00150A13" w:rsidRPr="00150A13" w:rsidRDefault="00150A13" w:rsidP="004A71BC">
            <w:pPr>
              <w:pStyle w:val="TableHeading"/>
            </w:pPr>
            <w:r w:rsidRPr="00150A13">
              <w:t>Average weekly earnings ($)</w:t>
            </w:r>
          </w:p>
        </w:tc>
        <w:tc>
          <w:tcPr>
            <w:tcW w:w="1233" w:type="pct"/>
            <w:tcBorders>
              <w:top w:val="nil"/>
              <w:left w:val="single" w:sz="8" w:space="0" w:color="D9D9D9"/>
              <w:bottom w:val="single" w:sz="8" w:space="0" w:color="D9D9D9"/>
              <w:right w:val="single" w:sz="8" w:space="0" w:color="D9D9D9"/>
            </w:tcBorders>
            <w:shd w:val="clear" w:color="auto" w:fill="D9D9D9" w:themeFill="background1" w:themeFillShade="D9"/>
            <w:hideMark/>
          </w:tcPr>
          <w:p w14:paraId="74DA1EB2" w14:textId="77777777" w:rsidR="00150A13" w:rsidRPr="00150A13" w:rsidRDefault="00150A13" w:rsidP="004A71BC">
            <w:pPr>
              <w:pStyle w:val="TableHeading"/>
            </w:pPr>
            <w:r w:rsidRPr="00150A13">
              <w:t>Average weekly hours worked (hrs)</w:t>
            </w:r>
          </w:p>
        </w:tc>
        <w:tc>
          <w:tcPr>
            <w:tcW w:w="1402" w:type="pct"/>
            <w:tcBorders>
              <w:top w:val="nil"/>
              <w:left w:val="single" w:sz="8" w:space="0" w:color="D9D9D9"/>
              <w:bottom w:val="single" w:sz="8" w:space="0" w:color="D9D9D9"/>
              <w:right w:val="single" w:sz="8" w:space="0" w:color="D9D9D9"/>
            </w:tcBorders>
            <w:shd w:val="clear" w:color="auto" w:fill="D9D9D9" w:themeFill="background1" w:themeFillShade="D9"/>
            <w:hideMark/>
          </w:tcPr>
          <w:p w14:paraId="6ED896FC" w14:textId="77777777" w:rsidR="00150A13" w:rsidRPr="00150A13" w:rsidRDefault="00150A13" w:rsidP="004A71BC">
            <w:pPr>
              <w:pStyle w:val="TableHeading"/>
            </w:pPr>
            <w:r w:rsidRPr="00150A13">
              <w:t>Employee hourly rate ($)</w:t>
            </w:r>
          </w:p>
        </w:tc>
      </w:tr>
      <w:tr w:rsidR="00150A13" w:rsidRPr="00150A13" w14:paraId="3486659A" w14:textId="77777777" w:rsidTr="004C687A">
        <w:trPr>
          <w:trHeight w:val="391"/>
        </w:trPr>
        <w:tc>
          <w:tcPr>
            <w:tcW w:w="1148" w:type="pct"/>
            <w:tcBorders>
              <w:top w:val="single" w:sz="8" w:space="0" w:color="D9D9D9"/>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hideMark/>
          </w:tcPr>
          <w:p w14:paraId="5D1642FB" w14:textId="77777777" w:rsidR="00150A13" w:rsidRPr="004A71BC" w:rsidRDefault="00150A13" w:rsidP="004A71BC">
            <w:pPr>
              <w:pStyle w:val="TableBody"/>
              <w:rPr>
                <w:rFonts w:ascii="EYInterstate Light" w:eastAsia="Times New Roman" w:hAnsi="EYInterstate Light" w:cs="Times New Roman"/>
                <w:i/>
                <w:szCs w:val="18"/>
              </w:rPr>
            </w:pPr>
            <w:r w:rsidRPr="004A71BC">
              <w:rPr>
                <w:i/>
              </w:rPr>
              <w:t>Construction</w:t>
            </w:r>
          </w:p>
        </w:tc>
        <w:tc>
          <w:tcPr>
            <w:tcW w:w="1217"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3A1478BE" w14:textId="77777777" w:rsidR="00150A13" w:rsidRPr="00150A13" w:rsidRDefault="00150A13" w:rsidP="004A71BC">
            <w:pPr>
              <w:pStyle w:val="TableBody"/>
              <w:rPr>
                <w:color w:val="262626" w:themeColor="text1" w:themeTint="D9"/>
              </w:rPr>
            </w:pPr>
            <w:r w:rsidRPr="00150A13">
              <w:rPr>
                <w:color w:val="262626" w:themeColor="text1" w:themeTint="D9"/>
              </w:rPr>
              <w:t>$1,734.10</w:t>
            </w:r>
          </w:p>
        </w:tc>
        <w:tc>
          <w:tcPr>
            <w:tcW w:w="1233"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3E68D788" w14:textId="77777777" w:rsidR="00150A13" w:rsidRPr="00150A13" w:rsidRDefault="00150A13" w:rsidP="004A71BC">
            <w:pPr>
              <w:pStyle w:val="TableBody"/>
              <w:rPr>
                <w:color w:val="262626" w:themeColor="text1" w:themeTint="D9"/>
              </w:rPr>
            </w:pPr>
            <w:r w:rsidRPr="00150A13">
              <w:rPr>
                <w:color w:val="262626" w:themeColor="text1" w:themeTint="D9"/>
              </w:rPr>
              <w:t>37.5</w:t>
            </w:r>
          </w:p>
        </w:tc>
        <w:tc>
          <w:tcPr>
            <w:tcW w:w="1402"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57215352" w14:textId="77777777" w:rsidR="00150A13" w:rsidRPr="00150A13" w:rsidRDefault="00150A13" w:rsidP="004A71BC">
            <w:pPr>
              <w:pStyle w:val="TableBody"/>
              <w:rPr>
                <w:rFonts w:ascii="Calibri" w:hAnsi="Calibri" w:cs="Calibri"/>
                <w:color w:val="262626" w:themeColor="text1" w:themeTint="D9"/>
              </w:rPr>
            </w:pPr>
            <w:r w:rsidRPr="00150A13">
              <w:rPr>
                <w:rFonts w:ascii="Calibri" w:hAnsi="Calibri" w:cs="Calibri"/>
                <w:color w:val="262626" w:themeColor="text1" w:themeTint="D9"/>
              </w:rPr>
              <w:t>$46.24</w:t>
            </w:r>
          </w:p>
        </w:tc>
      </w:tr>
      <w:tr w:rsidR="00150A13" w:rsidRPr="00150A13" w14:paraId="06B95E74" w14:textId="77777777" w:rsidTr="004C687A">
        <w:trPr>
          <w:trHeight w:val="159"/>
        </w:trPr>
        <w:tc>
          <w:tcPr>
            <w:tcW w:w="1148" w:type="pct"/>
            <w:tcBorders>
              <w:top w:val="single" w:sz="8" w:space="0" w:color="D9D9D9"/>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hideMark/>
          </w:tcPr>
          <w:p w14:paraId="22F4A59B" w14:textId="77777777" w:rsidR="00150A13" w:rsidRPr="004A71BC" w:rsidRDefault="00150A13" w:rsidP="004A71BC">
            <w:pPr>
              <w:pStyle w:val="TableBody"/>
              <w:rPr>
                <w:i/>
                <w:iCs/>
                <w:color w:val="262626" w:themeColor="text1" w:themeTint="D9"/>
              </w:rPr>
            </w:pPr>
            <w:r w:rsidRPr="004A71BC">
              <w:rPr>
                <w:i/>
              </w:rPr>
              <w:t xml:space="preserve">Manufacturing </w:t>
            </w:r>
          </w:p>
        </w:tc>
        <w:tc>
          <w:tcPr>
            <w:tcW w:w="1217"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1E81EAED" w14:textId="77777777" w:rsidR="00150A13" w:rsidRPr="00150A13" w:rsidRDefault="00150A13" w:rsidP="004A71BC">
            <w:pPr>
              <w:pStyle w:val="TableBody"/>
              <w:rPr>
                <w:color w:val="262626" w:themeColor="text1" w:themeTint="D9"/>
              </w:rPr>
            </w:pPr>
            <w:r w:rsidRPr="00150A13">
              <w:rPr>
                <w:color w:val="262626" w:themeColor="text1" w:themeTint="D9"/>
              </w:rPr>
              <w:t>$1,557.10</w:t>
            </w:r>
          </w:p>
        </w:tc>
        <w:tc>
          <w:tcPr>
            <w:tcW w:w="1233"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791E41BD" w14:textId="77777777" w:rsidR="00150A13" w:rsidRPr="00150A13" w:rsidRDefault="00150A13" w:rsidP="004A71BC">
            <w:pPr>
              <w:pStyle w:val="TableBody"/>
              <w:rPr>
                <w:color w:val="262626" w:themeColor="text1" w:themeTint="D9"/>
              </w:rPr>
            </w:pPr>
            <w:r w:rsidRPr="00150A13">
              <w:rPr>
                <w:color w:val="262626" w:themeColor="text1" w:themeTint="D9"/>
              </w:rPr>
              <w:t>37.5</w:t>
            </w:r>
          </w:p>
        </w:tc>
        <w:tc>
          <w:tcPr>
            <w:tcW w:w="1402"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18CCDFFB" w14:textId="77777777" w:rsidR="00150A13" w:rsidRPr="00150A13" w:rsidRDefault="00150A13" w:rsidP="004A71BC">
            <w:pPr>
              <w:pStyle w:val="TableBody"/>
              <w:rPr>
                <w:color w:val="262626" w:themeColor="text1" w:themeTint="D9"/>
              </w:rPr>
            </w:pPr>
            <w:r w:rsidRPr="00150A13">
              <w:rPr>
                <w:rFonts w:ascii="Calibri" w:hAnsi="Calibri" w:cs="Calibri"/>
                <w:color w:val="262626" w:themeColor="text1" w:themeTint="D9"/>
              </w:rPr>
              <w:t>$41.52</w:t>
            </w:r>
          </w:p>
        </w:tc>
      </w:tr>
      <w:tr w:rsidR="00150A13" w:rsidRPr="00150A13" w14:paraId="2FC22711" w14:textId="77777777" w:rsidTr="004C687A">
        <w:trPr>
          <w:trHeight w:val="159"/>
        </w:trPr>
        <w:tc>
          <w:tcPr>
            <w:tcW w:w="1148" w:type="pct"/>
            <w:tcBorders>
              <w:top w:val="single" w:sz="8" w:space="0" w:color="D9D9D9"/>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hideMark/>
          </w:tcPr>
          <w:p w14:paraId="10693972" w14:textId="77777777" w:rsidR="00150A13" w:rsidRPr="004A71BC" w:rsidRDefault="00150A13" w:rsidP="004A71BC">
            <w:pPr>
              <w:pStyle w:val="TableBody"/>
              <w:rPr>
                <w:i/>
                <w:iCs/>
                <w:color w:val="262626" w:themeColor="text1" w:themeTint="D9"/>
              </w:rPr>
            </w:pPr>
            <w:r w:rsidRPr="004A71BC">
              <w:rPr>
                <w:i/>
              </w:rPr>
              <w:t xml:space="preserve">Quarrying </w:t>
            </w:r>
          </w:p>
        </w:tc>
        <w:tc>
          <w:tcPr>
            <w:tcW w:w="1217"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2FCD91D2" w14:textId="77777777" w:rsidR="00150A13" w:rsidRPr="00150A13" w:rsidRDefault="00150A13" w:rsidP="004A71BC">
            <w:pPr>
              <w:pStyle w:val="TableBody"/>
              <w:rPr>
                <w:color w:val="262626" w:themeColor="text1" w:themeTint="D9"/>
              </w:rPr>
            </w:pPr>
            <w:r w:rsidRPr="00150A13">
              <w:rPr>
                <w:color w:val="262626" w:themeColor="text1" w:themeTint="D9"/>
              </w:rPr>
              <w:t>$2,656.30</w:t>
            </w:r>
          </w:p>
        </w:tc>
        <w:tc>
          <w:tcPr>
            <w:tcW w:w="1233"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7C600319" w14:textId="77777777" w:rsidR="00150A13" w:rsidRPr="00150A13" w:rsidRDefault="00150A13" w:rsidP="004A71BC">
            <w:pPr>
              <w:pStyle w:val="TableBody"/>
              <w:rPr>
                <w:color w:val="262626" w:themeColor="text1" w:themeTint="D9"/>
              </w:rPr>
            </w:pPr>
            <w:r w:rsidRPr="00150A13">
              <w:rPr>
                <w:color w:val="262626" w:themeColor="text1" w:themeTint="D9"/>
              </w:rPr>
              <w:t>37.5</w:t>
            </w:r>
          </w:p>
        </w:tc>
        <w:tc>
          <w:tcPr>
            <w:tcW w:w="1402"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0A63BFCF" w14:textId="77777777" w:rsidR="00150A13" w:rsidRPr="00150A13" w:rsidRDefault="00150A13" w:rsidP="004A71BC">
            <w:pPr>
              <w:pStyle w:val="TableBody"/>
              <w:rPr>
                <w:color w:val="262626" w:themeColor="text1" w:themeTint="D9"/>
              </w:rPr>
            </w:pPr>
            <w:r w:rsidRPr="00150A13">
              <w:rPr>
                <w:rFonts w:ascii="Calibri" w:hAnsi="Calibri" w:cs="Calibri"/>
                <w:color w:val="262626" w:themeColor="text1" w:themeTint="D9"/>
              </w:rPr>
              <w:t>$70.83</w:t>
            </w:r>
          </w:p>
        </w:tc>
      </w:tr>
      <w:tr w:rsidR="00150A13" w:rsidRPr="00150A13" w14:paraId="59B059F1" w14:textId="77777777" w:rsidTr="004C687A">
        <w:trPr>
          <w:trHeight w:val="159"/>
        </w:trPr>
        <w:tc>
          <w:tcPr>
            <w:tcW w:w="1148" w:type="pct"/>
            <w:tcBorders>
              <w:top w:val="single" w:sz="8" w:space="0" w:color="D9D9D9"/>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hideMark/>
          </w:tcPr>
          <w:p w14:paraId="466179DD" w14:textId="77777777" w:rsidR="00150A13" w:rsidRPr="004A71BC" w:rsidRDefault="00150A13" w:rsidP="004A71BC">
            <w:pPr>
              <w:pStyle w:val="TableBody"/>
              <w:rPr>
                <w:i/>
                <w:iCs/>
                <w:color w:val="262626" w:themeColor="text1" w:themeTint="D9"/>
              </w:rPr>
            </w:pPr>
            <w:r w:rsidRPr="004A71BC">
              <w:rPr>
                <w:i/>
              </w:rPr>
              <w:t>Mining</w:t>
            </w:r>
          </w:p>
        </w:tc>
        <w:tc>
          <w:tcPr>
            <w:tcW w:w="1217"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248CE017" w14:textId="77777777" w:rsidR="00150A13" w:rsidRPr="00150A13" w:rsidRDefault="00150A13" w:rsidP="004A71BC">
            <w:pPr>
              <w:pStyle w:val="TableBody"/>
              <w:rPr>
                <w:color w:val="262626" w:themeColor="text1" w:themeTint="D9"/>
              </w:rPr>
            </w:pPr>
            <w:r w:rsidRPr="00150A13">
              <w:rPr>
                <w:color w:val="262626" w:themeColor="text1" w:themeTint="D9"/>
              </w:rPr>
              <w:t>$2,656.30</w:t>
            </w:r>
          </w:p>
        </w:tc>
        <w:tc>
          <w:tcPr>
            <w:tcW w:w="1233"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4B7D8CCD" w14:textId="77777777" w:rsidR="00150A13" w:rsidRPr="00150A13" w:rsidRDefault="00150A13" w:rsidP="004A71BC">
            <w:pPr>
              <w:pStyle w:val="TableBody"/>
              <w:rPr>
                <w:color w:val="262626" w:themeColor="text1" w:themeTint="D9"/>
              </w:rPr>
            </w:pPr>
            <w:r w:rsidRPr="00150A13">
              <w:rPr>
                <w:color w:val="262626" w:themeColor="text1" w:themeTint="D9"/>
              </w:rPr>
              <w:t>37.5</w:t>
            </w:r>
          </w:p>
        </w:tc>
        <w:tc>
          <w:tcPr>
            <w:tcW w:w="1402"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2A8F6206" w14:textId="77777777" w:rsidR="00150A13" w:rsidRPr="00150A13" w:rsidRDefault="00150A13" w:rsidP="004A71BC">
            <w:pPr>
              <w:pStyle w:val="TableBody"/>
              <w:rPr>
                <w:color w:val="262626" w:themeColor="text1" w:themeTint="D9"/>
              </w:rPr>
            </w:pPr>
            <w:r w:rsidRPr="00150A13">
              <w:rPr>
                <w:rFonts w:ascii="Calibri" w:hAnsi="Calibri" w:cs="Calibri"/>
                <w:color w:val="262626" w:themeColor="text1" w:themeTint="D9"/>
              </w:rPr>
              <w:t>$70.83</w:t>
            </w:r>
          </w:p>
        </w:tc>
      </w:tr>
      <w:tr w:rsidR="00150A13" w:rsidRPr="00150A13" w14:paraId="13BAB4BB" w14:textId="77777777" w:rsidTr="004C687A">
        <w:trPr>
          <w:trHeight w:val="159"/>
        </w:trPr>
        <w:tc>
          <w:tcPr>
            <w:tcW w:w="1148" w:type="pct"/>
            <w:tcBorders>
              <w:top w:val="single" w:sz="8" w:space="0" w:color="D9D9D9"/>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hideMark/>
          </w:tcPr>
          <w:p w14:paraId="5D77639E" w14:textId="77777777" w:rsidR="00150A13" w:rsidRPr="004A71BC" w:rsidRDefault="00150A13" w:rsidP="004A71BC">
            <w:pPr>
              <w:pStyle w:val="TableBody"/>
              <w:rPr>
                <w:i/>
                <w:iCs/>
                <w:color w:val="262626" w:themeColor="text1" w:themeTint="D9"/>
              </w:rPr>
            </w:pPr>
            <w:r w:rsidRPr="004A71BC">
              <w:rPr>
                <w:i/>
              </w:rPr>
              <w:t>Tunnelling</w:t>
            </w:r>
          </w:p>
        </w:tc>
        <w:tc>
          <w:tcPr>
            <w:tcW w:w="1217"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483581E9" w14:textId="77777777" w:rsidR="00150A13" w:rsidRPr="00150A13" w:rsidRDefault="00150A13" w:rsidP="004A71BC">
            <w:pPr>
              <w:pStyle w:val="TableBody"/>
              <w:rPr>
                <w:color w:val="262626" w:themeColor="text1" w:themeTint="D9"/>
              </w:rPr>
            </w:pPr>
            <w:r w:rsidRPr="00150A13">
              <w:rPr>
                <w:color w:val="262626" w:themeColor="text1" w:themeTint="D9"/>
              </w:rPr>
              <w:t>$1,734.10</w:t>
            </w:r>
          </w:p>
        </w:tc>
        <w:tc>
          <w:tcPr>
            <w:tcW w:w="1233"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47C5957F" w14:textId="77777777" w:rsidR="00150A13" w:rsidRPr="00150A13" w:rsidRDefault="00150A13" w:rsidP="004A71BC">
            <w:pPr>
              <w:pStyle w:val="TableBody"/>
              <w:rPr>
                <w:color w:val="262626" w:themeColor="text1" w:themeTint="D9"/>
              </w:rPr>
            </w:pPr>
            <w:r w:rsidRPr="00150A13">
              <w:rPr>
                <w:color w:val="262626" w:themeColor="text1" w:themeTint="D9"/>
              </w:rPr>
              <w:t>37.5</w:t>
            </w:r>
          </w:p>
        </w:tc>
        <w:tc>
          <w:tcPr>
            <w:tcW w:w="1402"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0204F86A" w14:textId="77777777" w:rsidR="00150A13" w:rsidRPr="00150A13" w:rsidRDefault="00150A13" w:rsidP="004A71BC">
            <w:pPr>
              <w:pStyle w:val="TableBody"/>
              <w:rPr>
                <w:color w:val="262626" w:themeColor="text1" w:themeTint="D9"/>
              </w:rPr>
            </w:pPr>
            <w:r w:rsidRPr="00150A13">
              <w:rPr>
                <w:rFonts w:ascii="Calibri" w:hAnsi="Calibri" w:cs="Calibri"/>
                <w:color w:val="262626" w:themeColor="text1" w:themeTint="D9"/>
              </w:rPr>
              <w:t>$46.24</w:t>
            </w:r>
          </w:p>
        </w:tc>
      </w:tr>
      <w:tr w:rsidR="00150A13" w:rsidRPr="00150A13" w14:paraId="3B409F10" w14:textId="77777777" w:rsidTr="004C687A">
        <w:trPr>
          <w:trHeight w:val="159"/>
        </w:trPr>
        <w:tc>
          <w:tcPr>
            <w:tcW w:w="1148" w:type="pct"/>
            <w:tcBorders>
              <w:top w:val="single" w:sz="8" w:space="0" w:color="D9D9D9"/>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hideMark/>
          </w:tcPr>
          <w:p w14:paraId="7CB42294" w14:textId="77777777" w:rsidR="00150A13" w:rsidRPr="004A71BC" w:rsidRDefault="00150A13" w:rsidP="004A71BC">
            <w:pPr>
              <w:pStyle w:val="TableBody"/>
              <w:rPr>
                <w:i/>
                <w:iCs/>
                <w:color w:val="262626" w:themeColor="text1" w:themeTint="D9"/>
              </w:rPr>
            </w:pPr>
            <w:r w:rsidRPr="004A71BC">
              <w:rPr>
                <w:i/>
              </w:rPr>
              <w:t>Demolition</w:t>
            </w:r>
          </w:p>
        </w:tc>
        <w:tc>
          <w:tcPr>
            <w:tcW w:w="1217"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259F84E6" w14:textId="77777777" w:rsidR="00150A13" w:rsidRPr="00150A13" w:rsidRDefault="00150A13" w:rsidP="004A71BC">
            <w:pPr>
              <w:pStyle w:val="TableBody"/>
              <w:rPr>
                <w:color w:val="262626" w:themeColor="text1" w:themeTint="D9"/>
              </w:rPr>
            </w:pPr>
            <w:r w:rsidRPr="00150A13">
              <w:rPr>
                <w:color w:val="262626" w:themeColor="text1" w:themeTint="D9"/>
              </w:rPr>
              <w:t>$1,734.10</w:t>
            </w:r>
          </w:p>
        </w:tc>
        <w:tc>
          <w:tcPr>
            <w:tcW w:w="1233"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73BA2C37" w14:textId="77777777" w:rsidR="00150A13" w:rsidRPr="00150A13" w:rsidRDefault="00150A13" w:rsidP="004A71BC">
            <w:pPr>
              <w:pStyle w:val="TableBody"/>
              <w:rPr>
                <w:color w:val="262626" w:themeColor="text1" w:themeTint="D9"/>
              </w:rPr>
            </w:pPr>
            <w:r w:rsidRPr="00150A13">
              <w:rPr>
                <w:color w:val="262626" w:themeColor="text1" w:themeTint="D9"/>
              </w:rPr>
              <w:t>37.5</w:t>
            </w:r>
          </w:p>
        </w:tc>
        <w:tc>
          <w:tcPr>
            <w:tcW w:w="1402"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483F30D1" w14:textId="77777777" w:rsidR="00150A13" w:rsidRPr="00150A13" w:rsidRDefault="00150A13" w:rsidP="004A71BC">
            <w:pPr>
              <w:pStyle w:val="TableBody"/>
              <w:rPr>
                <w:color w:val="262626" w:themeColor="text1" w:themeTint="D9"/>
              </w:rPr>
            </w:pPr>
            <w:r w:rsidRPr="00150A13">
              <w:rPr>
                <w:rFonts w:ascii="Calibri" w:hAnsi="Calibri" w:cs="Calibri"/>
                <w:color w:val="262626" w:themeColor="text1" w:themeTint="D9"/>
              </w:rPr>
              <w:t>$46.24</w:t>
            </w:r>
          </w:p>
        </w:tc>
      </w:tr>
    </w:tbl>
    <w:p w14:paraId="3922FA2F" w14:textId="4F556694" w:rsidR="00150A13" w:rsidRPr="00150A13" w:rsidRDefault="00150A13" w:rsidP="004A71BC">
      <w:pPr>
        <w:pStyle w:val="BodyText"/>
        <w:rPr>
          <w:sz w:val="20"/>
          <w:szCs w:val="20"/>
        </w:rPr>
      </w:pPr>
      <w:r w:rsidRPr="00150A13">
        <w:br/>
      </w:r>
      <w:r w:rsidRPr="00150A13">
        <w:rPr>
          <w:sz w:val="20"/>
          <w:szCs w:val="20"/>
        </w:rPr>
        <w:t xml:space="preserve">Annual employee wages for SWA staff have been used to estimate the average annual government labour cost for each option (as presented in </w:t>
      </w:r>
      <w:r w:rsidRPr="00150A13">
        <w:rPr>
          <w:sz w:val="20"/>
          <w:szCs w:val="20"/>
        </w:rPr>
        <w:fldChar w:fldCharType="begin"/>
      </w:r>
      <w:r w:rsidRPr="00150A13">
        <w:rPr>
          <w:sz w:val="20"/>
          <w:szCs w:val="20"/>
        </w:rPr>
        <w:instrText xml:space="preserve"> REF _Ref124836380 \h  \* MERGEFORMAT </w:instrText>
      </w:r>
      <w:r w:rsidRPr="00150A13">
        <w:rPr>
          <w:sz w:val="20"/>
          <w:szCs w:val="20"/>
        </w:rPr>
      </w:r>
      <w:r w:rsidRPr="00150A13">
        <w:rPr>
          <w:sz w:val="20"/>
          <w:szCs w:val="20"/>
        </w:rPr>
        <w:fldChar w:fldCharType="separate"/>
      </w:r>
      <w:r w:rsidR="00DF768D" w:rsidRPr="00150A13">
        <w:rPr>
          <w:sz w:val="20"/>
          <w:szCs w:val="20"/>
        </w:rPr>
        <w:t xml:space="preserve">Table </w:t>
      </w:r>
      <w:r w:rsidR="00DF768D" w:rsidRPr="00DF768D">
        <w:rPr>
          <w:sz w:val="20"/>
          <w:szCs w:val="20"/>
        </w:rPr>
        <w:t>40</w:t>
      </w:r>
      <w:r w:rsidRPr="00150A13">
        <w:rPr>
          <w:sz w:val="20"/>
          <w:szCs w:val="20"/>
        </w:rPr>
        <w:fldChar w:fldCharType="end"/>
      </w:r>
      <w:r w:rsidRPr="00150A13">
        <w:rPr>
          <w:sz w:val="20"/>
          <w:szCs w:val="20"/>
        </w:rPr>
        <w:t>).</w:t>
      </w:r>
      <w:bookmarkStart w:id="712" w:name="_Ref103851499"/>
    </w:p>
    <w:p w14:paraId="0DE4C0F5" w14:textId="05A3E554" w:rsidR="00150A13" w:rsidRPr="00150A13" w:rsidRDefault="00150A13" w:rsidP="004A71BC">
      <w:pPr>
        <w:pStyle w:val="Caption"/>
        <w:rPr>
          <w:noProof/>
        </w:rPr>
      </w:pPr>
      <w:bookmarkStart w:id="713" w:name="_Ref124836380"/>
      <w:bookmarkEnd w:id="712"/>
      <w:r w:rsidRPr="00150A13">
        <w:t>T</w:t>
      </w:r>
      <w:r w:rsidRPr="00150A13">
        <w:rPr>
          <w:sz w:val="20"/>
        </w:rPr>
        <w:t xml:space="preserve">able </w:t>
      </w:r>
      <w:r w:rsidRPr="00150A13">
        <w:rPr>
          <w:noProof/>
        </w:rPr>
        <w:fldChar w:fldCharType="begin"/>
      </w:r>
      <w:r w:rsidRPr="00150A13">
        <w:rPr>
          <w:noProof/>
        </w:rPr>
        <w:instrText xml:space="preserve"> SEQ Table \* ARABIC </w:instrText>
      </w:r>
      <w:r w:rsidRPr="00150A13">
        <w:rPr>
          <w:noProof/>
        </w:rPr>
        <w:fldChar w:fldCharType="separate"/>
      </w:r>
      <w:r w:rsidR="00DF768D">
        <w:rPr>
          <w:noProof/>
        </w:rPr>
        <w:t>40</w:t>
      </w:r>
      <w:r w:rsidRPr="00150A13">
        <w:rPr>
          <w:noProof/>
        </w:rPr>
        <w:fldChar w:fldCharType="end"/>
      </w:r>
      <w:bookmarkEnd w:id="713"/>
      <w:r w:rsidRPr="00150A13">
        <w:rPr>
          <w:noProof/>
        </w:rPr>
        <w:t xml:space="preserve">: Government employee salaries </w:t>
      </w:r>
      <w:r w:rsidRPr="00150A13">
        <w:rPr>
          <w:noProof/>
        </w:rPr>
        <w:fldChar w:fldCharType="begin"/>
      </w:r>
      <w:r w:rsidRPr="00150A13">
        <w:rPr>
          <w:noProof/>
        </w:rPr>
        <w:instrText xml:space="preserve"> ADDIN ZOTERO_ITEM CSL_CITATION {"citationID":"CGgwE0JG","properties":{"formattedCitation":"(Safe Work Australia 2022d)","plainCitation":"(Safe Work Australia 2022d)","noteIndex":0},"citationItems":[{"id":915,"uris":["http://zotero.org/users/6230888/items/YW9R5HBF"],"itemData":{"id":915,"type":"report","title":"Public Service (Subsection 24(1)—Safe Work Australia Non-SES Employees) Determination 2022","URL":"https://www.safeworkaustralia.gov.au/doc/public-service-subsection-241-safe-work-australia-non-ses-employees-determination-2022","author":[{"literal":"Safe Work Australia"}],"accessed":{"date-parts":[["2022",6,30]]},"issued":{"date-parts":[["2022"]]}}}],"schema":"https://github.com/citation-style-language/schema/raw/master/csl-citation.json"} </w:instrText>
      </w:r>
      <w:r w:rsidRPr="00150A13">
        <w:rPr>
          <w:noProof/>
        </w:rPr>
        <w:fldChar w:fldCharType="separate"/>
      </w:r>
      <w:r w:rsidRPr="00150A13">
        <w:rPr>
          <w:noProof/>
        </w:rPr>
        <w:t>(Safe Work Australia 2022d)</w:t>
      </w:r>
      <w:r w:rsidRPr="00150A13">
        <w:rPr>
          <w:noProof/>
        </w:rPr>
        <w:fldChar w:fldCharType="end"/>
      </w:r>
    </w:p>
    <w:tbl>
      <w:tblPr>
        <w:tblW w:w="5000" w:type="pct"/>
        <w:tblBorders>
          <w:left w:val="single" w:sz="8" w:space="0" w:color="D9D9D9"/>
          <w:bottom w:val="single" w:sz="8" w:space="0" w:color="D9D9D9"/>
          <w:right w:val="single" w:sz="8" w:space="0" w:color="D9D9D9"/>
          <w:insideH w:val="single" w:sz="8" w:space="0" w:color="D9D9D9"/>
          <w:insideV w:val="single" w:sz="8" w:space="0" w:color="D9D9D9"/>
        </w:tblBorders>
        <w:tblCellMar>
          <w:left w:w="0" w:type="dxa"/>
          <w:right w:w="0" w:type="dxa"/>
        </w:tblCellMar>
        <w:tblLook w:val="0420" w:firstRow="1" w:lastRow="0" w:firstColumn="0" w:lastColumn="0" w:noHBand="0" w:noVBand="1"/>
      </w:tblPr>
      <w:tblGrid>
        <w:gridCol w:w="4943"/>
        <w:gridCol w:w="5241"/>
      </w:tblGrid>
      <w:tr w:rsidR="00150A13" w:rsidRPr="00150A13" w14:paraId="3F5B9957" w14:textId="77777777" w:rsidTr="004C687A">
        <w:trPr>
          <w:trHeight w:val="159"/>
          <w:tblHeader/>
        </w:trPr>
        <w:tc>
          <w:tcPr>
            <w:tcW w:w="2427" w:type="pct"/>
            <w:tcBorders>
              <w:top w:val="nil"/>
              <w:left w:val="single" w:sz="8" w:space="0" w:color="D9D9D9"/>
              <w:bottom w:val="single" w:sz="8" w:space="0" w:color="D9D9D9"/>
              <w:right w:val="single" w:sz="8" w:space="0" w:color="D9D9D9"/>
            </w:tcBorders>
            <w:shd w:val="clear" w:color="auto" w:fill="D9D9D9" w:themeFill="background1" w:themeFillShade="D9"/>
            <w:tcMar>
              <w:top w:w="72" w:type="dxa"/>
              <w:left w:w="144" w:type="dxa"/>
              <w:bottom w:w="72" w:type="dxa"/>
              <w:right w:w="144" w:type="dxa"/>
            </w:tcMar>
            <w:vAlign w:val="center"/>
            <w:hideMark/>
          </w:tcPr>
          <w:p w14:paraId="1BCB2F5A" w14:textId="77777777" w:rsidR="00150A13" w:rsidRPr="00150A13" w:rsidRDefault="00150A13" w:rsidP="004A71BC">
            <w:pPr>
              <w:pStyle w:val="TableHeading"/>
            </w:pPr>
            <w:r w:rsidRPr="00150A13">
              <w:t>Industry category</w:t>
            </w:r>
          </w:p>
        </w:tc>
        <w:tc>
          <w:tcPr>
            <w:tcW w:w="2573" w:type="pct"/>
            <w:tcBorders>
              <w:top w:val="nil"/>
              <w:left w:val="single" w:sz="8" w:space="0" w:color="D9D9D9"/>
              <w:bottom w:val="single" w:sz="8" w:space="0" w:color="D9D9D9"/>
              <w:right w:val="single" w:sz="8" w:space="0" w:color="D9D9D9"/>
            </w:tcBorders>
            <w:shd w:val="clear" w:color="auto" w:fill="D9D9D9" w:themeFill="background1" w:themeFillShade="D9"/>
            <w:hideMark/>
          </w:tcPr>
          <w:p w14:paraId="5CE459F3" w14:textId="77777777" w:rsidR="00150A13" w:rsidRPr="00150A13" w:rsidRDefault="00150A13" w:rsidP="004A71BC">
            <w:pPr>
              <w:pStyle w:val="TableHeading"/>
            </w:pPr>
            <w:r w:rsidRPr="00150A13">
              <w:t>Average annual salary ($)</w:t>
            </w:r>
          </w:p>
        </w:tc>
      </w:tr>
      <w:tr w:rsidR="00150A13" w:rsidRPr="00150A13" w14:paraId="483599CB" w14:textId="77777777" w:rsidTr="004C687A">
        <w:trPr>
          <w:trHeight w:val="391"/>
        </w:trPr>
        <w:tc>
          <w:tcPr>
            <w:tcW w:w="2427" w:type="pct"/>
            <w:tcBorders>
              <w:top w:val="single" w:sz="8" w:space="0" w:color="D9D9D9"/>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hideMark/>
          </w:tcPr>
          <w:p w14:paraId="3816852F" w14:textId="77777777" w:rsidR="00150A13" w:rsidRPr="004A71BC" w:rsidRDefault="00150A13" w:rsidP="004A71BC">
            <w:pPr>
              <w:pStyle w:val="TableBody"/>
              <w:rPr>
                <w:rFonts w:ascii="EYInterstate Light" w:eastAsia="Times New Roman" w:hAnsi="EYInterstate Light" w:cs="Times New Roman"/>
                <w:i/>
                <w:szCs w:val="18"/>
              </w:rPr>
            </w:pPr>
            <w:r w:rsidRPr="004A71BC">
              <w:rPr>
                <w:i/>
              </w:rPr>
              <w:t>APS 6 or equivalent</w:t>
            </w:r>
          </w:p>
        </w:tc>
        <w:tc>
          <w:tcPr>
            <w:tcW w:w="2573"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5300291A" w14:textId="77777777" w:rsidR="00150A13" w:rsidRPr="00150A13" w:rsidRDefault="00150A13" w:rsidP="004A71BC">
            <w:pPr>
              <w:pStyle w:val="TableBody"/>
              <w:rPr>
                <w:color w:val="262626" w:themeColor="text1" w:themeTint="D9"/>
              </w:rPr>
            </w:pPr>
            <w:r w:rsidRPr="00150A13">
              <w:rPr>
                <w:color w:val="262626" w:themeColor="text1" w:themeTint="D9"/>
              </w:rPr>
              <w:t>$94,966</w:t>
            </w:r>
          </w:p>
        </w:tc>
      </w:tr>
      <w:tr w:rsidR="00150A13" w:rsidRPr="00150A13" w14:paraId="2E019CA4" w14:textId="77777777" w:rsidTr="004C687A">
        <w:trPr>
          <w:trHeight w:val="159"/>
        </w:trPr>
        <w:tc>
          <w:tcPr>
            <w:tcW w:w="2427" w:type="pct"/>
            <w:tcBorders>
              <w:top w:val="single" w:sz="8" w:space="0" w:color="D9D9D9"/>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hideMark/>
          </w:tcPr>
          <w:p w14:paraId="4B59E84C" w14:textId="77777777" w:rsidR="00150A13" w:rsidRPr="004A71BC" w:rsidRDefault="00150A13" w:rsidP="004A71BC">
            <w:pPr>
              <w:pStyle w:val="TableBody"/>
              <w:rPr>
                <w:i/>
                <w:iCs/>
                <w:color w:val="262626" w:themeColor="text1" w:themeTint="D9"/>
              </w:rPr>
            </w:pPr>
            <w:r w:rsidRPr="004A71BC">
              <w:rPr>
                <w:i/>
              </w:rPr>
              <w:t>EL1 or equivalent</w:t>
            </w:r>
          </w:p>
        </w:tc>
        <w:tc>
          <w:tcPr>
            <w:tcW w:w="2573"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5331867F" w14:textId="77777777" w:rsidR="00150A13" w:rsidRPr="00150A13" w:rsidRDefault="00150A13" w:rsidP="004A71BC">
            <w:pPr>
              <w:pStyle w:val="TableBody"/>
              <w:rPr>
                <w:color w:val="262626" w:themeColor="text1" w:themeTint="D9"/>
              </w:rPr>
            </w:pPr>
            <w:r w:rsidRPr="00150A13">
              <w:rPr>
                <w:color w:val="262626" w:themeColor="text1" w:themeTint="D9"/>
              </w:rPr>
              <w:t>$118,733</w:t>
            </w:r>
          </w:p>
        </w:tc>
      </w:tr>
      <w:tr w:rsidR="00150A13" w:rsidRPr="00150A13" w14:paraId="051F4DC1" w14:textId="77777777" w:rsidTr="004C687A">
        <w:trPr>
          <w:trHeight w:val="159"/>
        </w:trPr>
        <w:tc>
          <w:tcPr>
            <w:tcW w:w="2427" w:type="pct"/>
            <w:tcBorders>
              <w:top w:val="single" w:sz="8" w:space="0" w:color="D9D9D9"/>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hideMark/>
          </w:tcPr>
          <w:p w14:paraId="0EE305A4" w14:textId="77777777" w:rsidR="00150A13" w:rsidRPr="004A71BC" w:rsidRDefault="00150A13" w:rsidP="004A71BC">
            <w:pPr>
              <w:pStyle w:val="TableBody"/>
              <w:rPr>
                <w:i/>
                <w:iCs/>
                <w:color w:val="262626" w:themeColor="text1" w:themeTint="D9"/>
              </w:rPr>
            </w:pPr>
            <w:r w:rsidRPr="004A71BC">
              <w:rPr>
                <w:i/>
              </w:rPr>
              <w:t>EL2 or equivalent</w:t>
            </w:r>
          </w:p>
        </w:tc>
        <w:tc>
          <w:tcPr>
            <w:tcW w:w="2573"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365C11B0" w14:textId="77777777" w:rsidR="00150A13" w:rsidRPr="00150A13" w:rsidRDefault="00150A13" w:rsidP="004A71BC">
            <w:pPr>
              <w:pStyle w:val="TableBody"/>
              <w:rPr>
                <w:color w:val="262626" w:themeColor="text1" w:themeTint="D9"/>
              </w:rPr>
            </w:pPr>
            <w:r w:rsidRPr="00150A13">
              <w:rPr>
                <w:color w:val="262626" w:themeColor="text1" w:themeTint="D9"/>
              </w:rPr>
              <w:t>$149,595</w:t>
            </w:r>
          </w:p>
        </w:tc>
      </w:tr>
    </w:tbl>
    <w:p w14:paraId="1CF69D2A" w14:textId="77777777" w:rsidR="00150A13" w:rsidRPr="00150A13" w:rsidRDefault="00150A13" w:rsidP="00150A13">
      <w:pPr>
        <w:keepNext/>
        <w:keepLines/>
        <w:spacing w:before="240" w:line="240" w:lineRule="auto"/>
        <w:ind w:left="1021" w:hanging="1021"/>
        <w:outlineLvl w:val="2"/>
        <w:rPr>
          <w:rFonts w:asciiTheme="majorHAnsi" w:eastAsiaTheme="majorEastAsia" w:hAnsiTheme="majorHAnsi" w:cstheme="majorBidi"/>
          <w:color w:val="014463" w:themeColor="text2"/>
          <w:sz w:val="24"/>
          <w:szCs w:val="30"/>
        </w:rPr>
      </w:pPr>
      <w:r w:rsidRPr="00150A13">
        <w:rPr>
          <w:rFonts w:asciiTheme="majorHAnsi" w:eastAsiaTheme="majorEastAsia" w:hAnsiTheme="majorHAnsi" w:cstheme="majorBidi"/>
          <w:color w:val="014463" w:themeColor="text2"/>
          <w:sz w:val="24"/>
          <w:szCs w:val="30"/>
        </w:rPr>
        <w:t>Methodology</w:t>
      </w:r>
    </w:p>
    <w:p w14:paraId="3BF802A4" w14:textId="7C58FE95" w:rsidR="00150A13" w:rsidRPr="00150A13" w:rsidRDefault="00150A13" w:rsidP="004A71BC">
      <w:pPr>
        <w:pStyle w:val="BodyText"/>
        <w:rPr>
          <w:rFonts w:cstheme="minorHAnsi"/>
          <w:sz w:val="20"/>
          <w:szCs w:val="20"/>
        </w:rPr>
      </w:pPr>
      <w:r w:rsidRPr="00150A13">
        <w:t xml:space="preserve">The methodology and underlying assumptions used to estimate the total costs to industry and government for each option are </w:t>
      </w:r>
      <w:r w:rsidRPr="005D3262">
        <w:t xml:space="preserve">presented in </w:t>
      </w:r>
      <w:r w:rsidRPr="005D3262">
        <w:fldChar w:fldCharType="begin"/>
      </w:r>
      <w:r w:rsidRPr="005D3262">
        <w:instrText xml:space="preserve"> REF _Ref124836410 \h </w:instrText>
      </w:r>
      <w:r w:rsidR="00DF768D" w:rsidRPr="005D3262">
        <w:instrText xml:space="preserve"> \* MERGEFORMAT </w:instrText>
      </w:r>
      <w:r w:rsidRPr="005D3262">
        <w:fldChar w:fldCharType="separate"/>
      </w:r>
      <w:r w:rsidR="00DF768D" w:rsidRPr="005D3262">
        <w:t>Table 41</w:t>
      </w:r>
      <w:r w:rsidRPr="005D3262">
        <w:fldChar w:fldCharType="end"/>
      </w:r>
      <w:r w:rsidRPr="005D3262">
        <w:t xml:space="preserve"> and 42.</w:t>
      </w:r>
      <w:r w:rsidRPr="00150A13">
        <w:rPr>
          <w:sz w:val="20"/>
          <w:szCs w:val="20"/>
        </w:rPr>
        <w:t xml:space="preserve">  </w:t>
      </w:r>
    </w:p>
    <w:p w14:paraId="348A11C4" w14:textId="1C2C29D4" w:rsidR="00150A13" w:rsidRPr="00150A13" w:rsidRDefault="00150A13" w:rsidP="004A71BC">
      <w:pPr>
        <w:pStyle w:val="Caption"/>
      </w:pPr>
      <w:bookmarkStart w:id="714" w:name="_Ref124836410"/>
      <w:r w:rsidRPr="00150A13">
        <w:t xml:space="preserve">Table </w:t>
      </w:r>
      <w:fldSimple w:instr=" SEQ Table \* ARABIC ">
        <w:r w:rsidR="00DF768D">
          <w:rPr>
            <w:noProof/>
          </w:rPr>
          <w:t>41</w:t>
        </w:r>
      </w:fldSimple>
      <w:bookmarkEnd w:id="714"/>
      <w:r w:rsidRPr="00150A13">
        <w:t xml:space="preserve">: Additional cost to industry: key assumptions and cost estimate methodology </w:t>
      </w:r>
    </w:p>
    <w:tbl>
      <w:tblPr>
        <w:tblW w:w="4980" w:type="pct"/>
        <w:tblBorders>
          <w:left w:val="single" w:sz="8" w:space="0" w:color="D9D9D9"/>
          <w:bottom w:val="single" w:sz="8" w:space="0" w:color="D9D9D9"/>
          <w:right w:val="single" w:sz="8" w:space="0" w:color="D9D9D9"/>
          <w:insideH w:val="single" w:sz="8" w:space="0" w:color="D9D9D9"/>
          <w:insideV w:val="single" w:sz="8" w:space="0" w:color="D9D9D9"/>
        </w:tblBorders>
        <w:tblCellMar>
          <w:left w:w="0" w:type="dxa"/>
          <w:right w:w="0" w:type="dxa"/>
        </w:tblCellMar>
        <w:tblLook w:val="0420" w:firstRow="1" w:lastRow="0" w:firstColumn="0" w:lastColumn="0" w:noHBand="0" w:noVBand="1"/>
      </w:tblPr>
      <w:tblGrid>
        <w:gridCol w:w="1418"/>
        <w:gridCol w:w="1692"/>
        <w:gridCol w:w="1521"/>
        <w:gridCol w:w="686"/>
        <w:gridCol w:w="260"/>
        <w:gridCol w:w="649"/>
        <w:gridCol w:w="296"/>
        <w:gridCol w:w="949"/>
        <w:gridCol w:w="2672"/>
      </w:tblGrid>
      <w:tr w:rsidR="00150A13" w:rsidRPr="00150A13" w14:paraId="5981E50E" w14:textId="77777777" w:rsidTr="004C687A">
        <w:trPr>
          <w:trHeight w:val="87"/>
          <w:tblHeader/>
        </w:trPr>
        <w:tc>
          <w:tcPr>
            <w:tcW w:w="699" w:type="pct"/>
            <w:tcBorders>
              <w:top w:val="nil"/>
              <w:left w:val="single" w:sz="8" w:space="0" w:color="D9D9D9"/>
              <w:bottom w:val="single" w:sz="8" w:space="0" w:color="D9D9D9"/>
              <w:right w:val="single" w:sz="8" w:space="0" w:color="D9D9D9"/>
            </w:tcBorders>
            <w:shd w:val="clear" w:color="auto" w:fill="D9D9D9" w:themeFill="background1" w:themeFillShade="D9"/>
            <w:tcMar>
              <w:top w:w="72" w:type="dxa"/>
              <w:left w:w="144" w:type="dxa"/>
              <w:bottom w:w="72" w:type="dxa"/>
              <w:right w:w="144" w:type="dxa"/>
            </w:tcMar>
            <w:vAlign w:val="center"/>
            <w:hideMark/>
          </w:tcPr>
          <w:p w14:paraId="2FD84AEB" w14:textId="77777777" w:rsidR="00150A13" w:rsidRPr="00150A13" w:rsidRDefault="00150A13" w:rsidP="004A71BC">
            <w:pPr>
              <w:pStyle w:val="TableHeading"/>
            </w:pPr>
            <w:r w:rsidRPr="00150A13">
              <w:t>Cost assumption</w:t>
            </w:r>
          </w:p>
        </w:tc>
        <w:tc>
          <w:tcPr>
            <w:tcW w:w="834" w:type="pct"/>
            <w:tcBorders>
              <w:top w:val="nil"/>
              <w:left w:val="single" w:sz="8" w:space="0" w:color="D9D9D9"/>
              <w:bottom w:val="single" w:sz="8" w:space="0" w:color="D9D9D9"/>
              <w:right w:val="single" w:sz="8" w:space="0" w:color="D9D9D9"/>
            </w:tcBorders>
            <w:shd w:val="clear" w:color="auto" w:fill="D9D9D9" w:themeFill="background1" w:themeFillShade="D9"/>
            <w:vAlign w:val="center"/>
            <w:hideMark/>
          </w:tcPr>
          <w:p w14:paraId="17BEF47D" w14:textId="77777777" w:rsidR="00150A13" w:rsidRPr="00150A13" w:rsidRDefault="00150A13" w:rsidP="004A71BC">
            <w:pPr>
              <w:pStyle w:val="TableHeading"/>
            </w:pPr>
            <w:r w:rsidRPr="00150A13">
              <w:t>Description</w:t>
            </w:r>
          </w:p>
        </w:tc>
        <w:tc>
          <w:tcPr>
            <w:tcW w:w="750" w:type="pct"/>
            <w:tcBorders>
              <w:top w:val="nil"/>
              <w:left w:val="single" w:sz="8" w:space="0" w:color="D9D9D9"/>
              <w:bottom w:val="single" w:sz="8" w:space="0" w:color="D9D9D9"/>
              <w:right w:val="single" w:sz="8" w:space="0" w:color="D9D9D9"/>
            </w:tcBorders>
            <w:shd w:val="clear" w:color="auto" w:fill="D9D9D9" w:themeFill="background1" w:themeFillShade="D9"/>
            <w:vAlign w:val="center"/>
          </w:tcPr>
          <w:p w14:paraId="13B60E18" w14:textId="77777777" w:rsidR="00150A13" w:rsidRPr="00150A13" w:rsidRDefault="00150A13" w:rsidP="004A71BC">
            <w:pPr>
              <w:pStyle w:val="TableHeading"/>
            </w:pPr>
            <w:r w:rsidRPr="00150A13">
              <w:t>Variable</w:t>
            </w:r>
          </w:p>
        </w:tc>
        <w:tc>
          <w:tcPr>
            <w:tcW w:w="1400" w:type="pct"/>
            <w:gridSpan w:val="5"/>
            <w:tcBorders>
              <w:top w:val="nil"/>
              <w:left w:val="single" w:sz="8" w:space="0" w:color="D9D9D9"/>
              <w:bottom w:val="single" w:sz="8" w:space="0" w:color="D9D9D9"/>
              <w:right w:val="single" w:sz="8" w:space="0" w:color="D9D9D9"/>
            </w:tcBorders>
            <w:shd w:val="clear" w:color="auto" w:fill="D9D9D9" w:themeFill="background1" w:themeFillShade="D9"/>
            <w:vAlign w:val="center"/>
          </w:tcPr>
          <w:p w14:paraId="4A47686A" w14:textId="77777777" w:rsidR="00150A13" w:rsidRPr="00150A13" w:rsidRDefault="00150A13" w:rsidP="004A71BC">
            <w:pPr>
              <w:pStyle w:val="TableHeading"/>
            </w:pPr>
            <w:r w:rsidRPr="00150A13">
              <w:t>Input/assumption</w:t>
            </w:r>
          </w:p>
        </w:tc>
        <w:tc>
          <w:tcPr>
            <w:tcW w:w="1317" w:type="pct"/>
            <w:tcBorders>
              <w:top w:val="nil"/>
              <w:left w:val="single" w:sz="8" w:space="0" w:color="D9D9D9"/>
              <w:bottom w:val="single" w:sz="8" w:space="0" w:color="D9D9D9"/>
              <w:right w:val="single" w:sz="8" w:space="0" w:color="D9D9D9"/>
            </w:tcBorders>
            <w:shd w:val="clear" w:color="auto" w:fill="D9D9D9" w:themeFill="background1" w:themeFillShade="D9"/>
            <w:vAlign w:val="center"/>
            <w:hideMark/>
          </w:tcPr>
          <w:p w14:paraId="307D7F1A" w14:textId="77777777" w:rsidR="00150A13" w:rsidRPr="00150A13" w:rsidRDefault="00150A13" w:rsidP="004A71BC">
            <w:pPr>
              <w:pStyle w:val="TableHeading"/>
            </w:pPr>
            <w:r w:rsidRPr="00150A13">
              <w:t>Formula</w:t>
            </w:r>
          </w:p>
        </w:tc>
      </w:tr>
      <w:tr w:rsidR="00150A13" w:rsidRPr="00150A13" w14:paraId="32836B25" w14:textId="77777777" w:rsidTr="004C687A">
        <w:trPr>
          <w:trHeight w:val="275"/>
        </w:trPr>
        <w:tc>
          <w:tcPr>
            <w:tcW w:w="5000" w:type="pct"/>
            <w:gridSpan w:val="9"/>
            <w:tcBorders>
              <w:top w:val="single" w:sz="8" w:space="0" w:color="D9D9D9"/>
              <w:left w:val="single" w:sz="8" w:space="0" w:color="D9D9D9"/>
              <w:bottom w:val="single" w:sz="8" w:space="0" w:color="D9D9D9"/>
              <w:right w:val="single" w:sz="8" w:space="0" w:color="D9D9D9"/>
            </w:tcBorders>
            <w:shd w:val="clear" w:color="auto" w:fill="BFBFBF" w:themeFill="background1" w:themeFillShade="BF"/>
            <w:tcMar>
              <w:top w:w="72" w:type="dxa"/>
              <w:left w:w="144" w:type="dxa"/>
              <w:bottom w:w="72" w:type="dxa"/>
              <w:right w:w="144" w:type="dxa"/>
            </w:tcMar>
            <w:vAlign w:val="center"/>
            <w:hideMark/>
          </w:tcPr>
          <w:p w14:paraId="673D3767" w14:textId="77777777" w:rsidR="00150A13" w:rsidRPr="00150A13" w:rsidRDefault="00150A13" w:rsidP="004A71BC">
            <w:pPr>
              <w:pStyle w:val="TableHeading"/>
            </w:pPr>
            <w:r w:rsidRPr="00150A13">
              <w:t>Option 4</w:t>
            </w:r>
          </w:p>
        </w:tc>
      </w:tr>
      <w:tr w:rsidR="00150A13" w:rsidRPr="00150A13" w14:paraId="2C600CB3" w14:textId="77777777" w:rsidTr="004C687A">
        <w:trPr>
          <w:trHeight w:val="20"/>
        </w:trPr>
        <w:tc>
          <w:tcPr>
            <w:tcW w:w="699" w:type="pct"/>
            <w:vMerge w:val="restart"/>
            <w:tcBorders>
              <w:top w:val="single" w:sz="8" w:space="0" w:color="D9D9D9"/>
              <w:left w:val="single" w:sz="8" w:space="0" w:color="D9D9D9"/>
              <w:right w:val="single" w:sz="8" w:space="0" w:color="D9D9D9"/>
            </w:tcBorders>
            <w:shd w:val="clear" w:color="auto" w:fill="F2F2F2" w:themeFill="background1" w:themeFillShade="F2"/>
            <w:tcMar>
              <w:top w:w="72" w:type="dxa"/>
              <w:left w:w="144" w:type="dxa"/>
              <w:bottom w:w="72" w:type="dxa"/>
              <w:right w:w="144" w:type="dxa"/>
            </w:tcMar>
            <w:hideMark/>
          </w:tcPr>
          <w:p w14:paraId="76B24686" w14:textId="77777777" w:rsidR="00150A13" w:rsidRPr="004A71BC" w:rsidRDefault="00150A13" w:rsidP="004A71BC">
            <w:pPr>
              <w:pStyle w:val="TableBody"/>
              <w:rPr>
                <w:i/>
                <w:color w:val="262626" w:themeColor="text1" w:themeTint="D9"/>
              </w:rPr>
            </w:pPr>
            <w:r w:rsidRPr="004A71BC">
              <w:rPr>
                <w:i/>
              </w:rPr>
              <w:t xml:space="preserve">Licence application  </w:t>
            </w:r>
          </w:p>
        </w:tc>
        <w:tc>
          <w:tcPr>
            <w:tcW w:w="834" w:type="pct"/>
            <w:vMerge w:val="restart"/>
            <w:tcBorders>
              <w:top w:val="single" w:sz="8" w:space="0" w:color="D9D9D9"/>
              <w:left w:val="single" w:sz="8" w:space="0" w:color="D9D9D9"/>
              <w:right w:val="single" w:sz="8" w:space="0" w:color="D9D9D9"/>
            </w:tcBorders>
            <w:shd w:val="clear" w:color="auto" w:fill="FFFFFF" w:themeFill="background1"/>
            <w:hideMark/>
          </w:tcPr>
          <w:p w14:paraId="30488BF3" w14:textId="77777777" w:rsidR="00150A13" w:rsidRPr="00150A13" w:rsidRDefault="00150A13" w:rsidP="004A71BC">
            <w:pPr>
              <w:pStyle w:val="TableBody"/>
            </w:pPr>
            <w:r w:rsidRPr="00150A13">
              <w:t>Labour to prepare a licence application for PCBUs working with engineered stone</w:t>
            </w:r>
          </w:p>
        </w:tc>
        <w:tc>
          <w:tcPr>
            <w:tcW w:w="750" w:type="pct"/>
            <w:tcBorders>
              <w:top w:val="single" w:sz="8" w:space="0" w:color="D9D9D9"/>
              <w:left w:val="single" w:sz="8" w:space="0" w:color="D9D9D9"/>
              <w:right w:val="single" w:sz="8" w:space="0" w:color="D9D9D9"/>
            </w:tcBorders>
            <w:shd w:val="clear" w:color="auto" w:fill="FFFFFF" w:themeFill="background1"/>
            <w:vAlign w:val="center"/>
          </w:tcPr>
          <w:p w14:paraId="6A2DBA1F" w14:textId="77777777" w:rsidR="00150A13" w:rsidRPr="00150A13" w:rsidRDefault="00150A13" w:rsidP="004A71BC">
            <w:pPr>
              <w:pStyle w:val="TableBody"/>
              <w:rPr>
                <w:b/>
              </w:rPr>
            </w:pPr>
            <w:r w:rsidRPr="00150A13">
              <w:t>Number of hours to prepare licence application (hours)</w:t>
            </w:r>
          </w:p>
        </w:tc>
        <w:tc>
          <w:tcPr>
            <w:tcW w:w="1400" w:type="pct"/>
            <w:gridSpan w:val="5"/>
            <w:tcBorders>
              <w:top w:val="single" w:sz="8" w:space="0" w:color="D9D9D9"/>
              <w:left w:val="single" w:sz="8" w:space="0" w:color="D9D9D9"/>
              <w:right w:val="single" w:sz="8" w:space="0" w:color="D9D9D9"/>
            </w:tcBorders>
            <w:shd w:val="clear" w:color="auto" w:fill="FFFFFF" w:themeFill="background1"/>
            <w:vAlign w:val="center"/>
          </w:tcPr>
          <w:p w14:paraId="774A3716" w14:textId="77777777" w:rsidR="00150A13" w:rsidRPr="00150A13" w:rsidRDefault="00150A13" w:rsidP="004A71BC">
            <w:pPr>
              <w:pStyle w:val="TableBody"/>
              <w:rPr>
                <w:b/>
              </w:rPr>
            </w:pPr>
            <w:r w:rsidRPr="00150A13">
              <w:t xml:space="preserve">18.75 </w:t>
            </w:r>
            <w:r w:rsidRPr="00150A13">
              <w:fldChar w:fldCharType="begin"/>
            </w:r>
            <w:r w:rsidRPr="00150A13">
              <w:instrText xml:space="preserve"> ADDIN ZOTERO_ITEM CSL_CITATION {"citationID":"16exxXBj","properties":{"formattedCitation":"(Deloitte 2021)","plainCitation":"(Deloitte 2021)","noteIndex":0},"citationItems":[{"id":917,"uris":["http://zotero.org/users/6230888/items/DDIZNKBY"],"itemData":{"id":917,"type":"article-journal","language":"en","page":"75","source":"Zotero","title":"Occupational Health and Safety Amendment (Crystalline Silica) Regulations 2021","author":[{"literal":"Deloitte"}],"issued":{"date-parts":[["2021"]]}}}],"schema":"https://github.com/citation-style-language/schema/raw/master/csl-citation.json"} </w:instrText>
            </w:r>
            <w:r w:rsidRPr="00150A13">
              <w:fldChar w:fldCharType="separate"/>
            </w:r>
            <w:r w:rsidRPr="00150A13">
              <w:rPr>
                <w:rFonts w:ascii="Calibri" w:hAnsi="Calibri" w:cs="Calibri"/>
                <w:szCs w:val="24"/>
              </w:rPr>
              <w:t>(Deloitte 2021)</w:t>
            </w:r>
            <w:r w:rsidRPr="00150A13">
              <w:fldChar w:fldCharType="end"/>
            </w:r>
          </w:p>
        </w:tc>
        <w:tc>
          <w:tcPr>
            <w:tcW w:w="1317" w:type="pct"/>
            <w:vMerge w:val="restart"/>
            <w:tcBorders>
              <w:top w:val="single" w:sz="8" w:space="0" w:color="D9D9D9"/>
              <w:left w:val="single" w:sz="8" w:space="0" w:color="D9D9D9"/>
              <w:right w:val="single" w:sz="8" w:space="0" w:color="D9D9D9"/>
            </w:tcBorders>
            <w:shd w:val="clear" w:color="auto" w:fill="FFFFFF" w:themeFill="background1"/>
            <w:vAlign w:val="center"/>
            <w:hideMark/>
          </w:tcPr>
          <w:p w14:paraId="7530428C" w14:textId="77777777" w:rsidR="00150A13" w:rsidRPr="00150A13" w:rsidRDefault="00150A13" w:rsidP="004A71BC">
            <w:pPr>
              <w:pStyle w:val="TableBody"/>
              <w:jc w:val="center"/>
              <w:rPr>
                <w:b/>
                <w:bCs/>
                <w:color w:val="262626" w:themeColor="text1" w:themeTint="D9"/>
              </w:rPr>
            </w:pPr>
            <w:r w:rsidRPr="00150A13">
              <w:rPr>
                <w:b/>
              </w:rPr>
              <w:t>Total licence application cost</w:t>
            </w:r>
          </w:p>
          <w:p w14:paraId="5775E2EE" w14:textId="77777777" w:rsidR="00150A13" w:rsidRPr="00150A13" w:rsidRDefault="00150A13" w:rsidP="004A71BC">
            <w:pPr>
              <w:pStyle w:val="TableBody"/>
              <w:jc w:val="center"/>
              <w:rPr>
                <w:b/>
                <w:bCs/>
                <w:color w:val="262626" w:themeColor="text1" w:themeTint="D9"/>
              </w:rPr>
            </w:pPr>
            <w:r w:rsidRPr="00150A13">
              <w:rPr>
                <w:b/>
              </w:rPr>
              <w:t>=</w:t>
            </w:r>
          </w:p>
          <w:p w14:paraId="608F97DB" w14:textId="77777777" w:rsidR="00150A13" w:rsidRPr="00150A13" w:rsidRDefault="00150A13" w:rsidP="004A71BC">
            <w:pPr>
              <w:pStyle w:val="TableBody"/>
              <w:jc w:val="center"/>
              <w:rPr>
                <w:color w:val="262626" w:themeColor="text1" w:themeTint="D9"/>
              </w:rPr>
            </w:pPr>
            <w:r w:rsidRPr="00150A13">
              <w:t>Number of hours to prepare licence application</w:t>
            </w:r>
          </w:p>
          <w:p w14:paraId="7FC18CC3" w14:textId="77777777" w:rsidR="00150A13" w:rsidRPr="00150A13" w:rsidRDefault="00150A13" w:rsidP="004A71BC">
            <w:pPr>
              <w:pStyle w:val="TableBody"/>
              <w:jc w:val="center"/>
              <w:rPr>
                <w:color w:val="262626" w:themeColor="text1" w:themeTint="D9"/>
              </w:rPr>
            </w:pPr>
            <w:r w:rsidRPr="00150A13">
              <w:t>×</w:t>
            </w:r>
          </w:p>
          <w:p w14:paraId="3F421DBC" w14:textId="77777777" w:rsidR="00150A13" w:rsidRPr="00150A13" w:rsidRDefault="00150A13" w:rsidP="004A71BC">
            <w:pPr>
              <w:pStyle w:val="TableBody"/>
              <w:jc w:val="center"/>
              <w:rPr>
                <w:color w:val="262626" w:themeColor="text1" w:themeTint="D9"/>
              </w:rPr>
            </w:pPr>
            <w:r w:rsidRPr="00150A13">
              <w:lastRenderedPageBreak/>
              <w:t xml:space="preserve">Average wage/hour </w:t>
            </w:r>
            <w:r w:rsidRPr="00150A13">
              <w:br/>
              <w:t>×</w:t>
            </w:r>
          </w:p>
          <w:p w14:paraId="667B89BD" w14:textId="77777777" w:rsidR="00150A13" w:rsidRPr="00150A13" w:rsidRDefault="00150A13" w:rsidP="004A71BC">
            <w:pPr>
              <w:pStyle w:val="TableBody"/>
              <w:jc w:val="center"/>
              <w:rPr>
                <w:color w:val="262626" w:themeColor="text1" w:themeTint="D9"/>
              </w:rPr>
            </w:pPr>
            <w:r w:rsidRPr="00150A13">
              <w:t>Number of PCBUs working with engineered stone in Australia</w:t>
            </w:r>
          </w:p>
        </w:tc>
      </w:tr>
      <w:tr w:rsidR="00150A13" w:rsidRPr="00150A13" w14:paraId="735615D0" w14:textId="77777777" w:rsidTr="004C687A">
        <w:trPr>
          <w:trHeight w:val="20"/>
        </w:trPr>
        <w:tc>
          <w:tcPr>
            <w:tcW w:w="699"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7BD3FE39" w14:textId="77777777" w:rsidR="00150A13" w:rsidRPr="00150A13" w:rsidRDefault="00150A13" w:rsidP="00150A13">
            <w:pPr>
              <w:spacing w:after="240" w:line="264" w:lineRule="auto"/>
              <w:contextualSpacing/>
              <w:rPr>
                <w:rFonts w:eastAsia="Times New Roman" w:cstheme="minorHAnsi"/>
                <w:i/>
                <w:iCs/>
                <w:sz w:val="18"/>
                <w:szCs w:val="18"/>
              </w:rPr>
            </w:pPr>
          </w:p>
        </w:tc>
        <w:tc>
          <w:tcPr>
            <w:tcW w:w="834" w:type="pct"/>
            <w:vMerge/>
            <w:tcBorders>
              <w:left w:val="single" w:sz="8" w:space="0" w:color="D9D9D9"/>
              <w:right w:val="single" w:sz="8" w:space="0" w:color="D9D9D9"/>
            </w:tcBorders>
            <w:shd w:val="clear" w:color="auto" w:fill="FFFFFF" w:themeFill="background1"/>
          </w:tcPr>
          <w:p w14:paraId="0ECCD0B0" w14:textId="77777777" w:rsidR="00150A13" w:rsidRPr="00150A13" w:rsidRDefault="00150A13" w:rsidP="00150A13">
            <w:pPr>
              <w:spacing w:after="120" w:line="264" w:lineRule="auto"/>
              <w:ind w:left="157"/>
              <w:rPr>
                <w:rFonts w:cstheme="minorHAnsi"/>
                <w:sz w:val="18"/>
                <w:szCs w:val="18"/>
              </w:rPr>
            </w:pPr>
          </w:p>
        </w:tc>
        <w:tc>
          <w:tcPr>
            <w:tcW w:w="750" w:type="pct"/>
            <w:tcBorders>
              <w:left w:val="single" w:sz="8" w:space="0" w:color="D9D9D9"/>
              <w:right w:val="single" w:sz="8" w:space="0" w:color="D9D9D9"/>
            </w:tcBorders>
            <w:shd w:val="clear" w:color="auto" w:fill="FFFFFF" w:themeFill="background1"/>
            <w:vAlign w:val="center"/>
          </w:tcPr>
          <w:p w14:paraId="626EACB4" w14:textId="77777777" w:rsidR="00150A13" w:rsidRPr="00150A13" w:rsidRDefault="00150A13" w:rsidP="004A71BC">
            <w:pPr>
              <w:pStyle w:val="TableBody"/>
              <w:rPr>
                <w:b/>
              </w:rPr>
            </w:pPr>
            <w:r w:rsidRPr="00150A13">
              <w:t>Average wage / hour ($)</w:t>
            </w:r>
          </w:p>
        </w:tc>
        <w:tc>
          <w:tcPr>
            <w:tcW w:w="1400" w:type="pct"/>
            <w:gridSpan w:val="5"/>
            <w:tcBorders>
              <w:left w:val="single" w:sz="8" w:space="0" w:color="D9D9D9"/>
              <w:right w:val="single" w:sz="8" w:space="0" w:color="D9D9D9"/>
            </w:tcBorders>
            <w:shd w:val="clear" w:color="auto" w:fill="FFFFFF" w:themeFill="background1"/>
            <w:vAlign w:val="center"/>
          </w:tcPr>
          <w:p w14:paraId="4AE45B25" w14:textId="77777777" w:rsidR="00150A13" w:rsidRPr="00150A13" w:rsidRDefault="00150A13" w:rsidP="004A71BC">
            <w:pPr>
              <w:pStyle w:val="TableBody"/>
              <w:rPr>
                <w:b/>
              </w:rPr>
            </w:pPr>
            <w:r w:rsidRPr="00150A13">
              <w:t xml:space="preserve">$46.24 </w:t>
            </w:r>
            <w:r w:rsidRPr="00150A13">
              <w:fldChar w:fldCharType="begin"/>
            </w:r>
            <w:r w:rsidRPr="00150A13">
              <w:instrText xml:space="preserve"> ADDIN ZOTERO_ITEM CSL_CITATION {"citationID":"LxwYWaWD","properties":{"formattedCitation":"(Australian Bureau of Statistics 2021c)","plainCitation":"(Australian Bureau of Statistics 2021c)","noteIndex":0},"citationItems":[{"id":913,"uris":["http://zotero.org/users/6230888/items/YWAVMKLE"],"itemData":{"id":913,"type":"webpage","abstract":"Estimates of weekly earnings classified by industry, sector, state and territory","language":"en","title":"Average Weekly Earnings, Australia, November 2021","URL":"https://www.abs.gov.au/statistics/labour/earnings-and-working-conditions/average-weekly-earnings-australia/latest-release","author":[{"literal":"Australian Bureau of Statistics"}],"accessed":{"date-parts":[["2022",6,30]]},"issued":{"date-parts":[["2021"]]}}}],"schema":"https://github.com/citation-style-language/schema/raw/master/csl-citation.json"} </w:instrText>
            </w:r>
            <w:r w:rsidRPr="00150A13">
              <w:fldChar w:fldCharType="separate"/>
            </w:r>
            <w:r w:rsidRPr="00150A13">
              <w:rPr>
                <w:rFonts w:ascii="Calibri" w:hAnsi="Calibri" w:cs="Calibri"/>
                <w:szCs w:val="24"/>
              </w:rPr>
              <w:t>(Australian Bureau of Statistics 2021c)</w:t>
            </w:r>
            <w:r w:rsidRPr="00150A13">
              <w:fldChar w:fldCharType="end"/>
            </w:r>
          </w:p>
        </w:tc>
        <w:tc>
          <w:tcPr>
            <w:tcW w:w="1317" w:type="pct"/>
            <w:vMerge/>
            <w:tcBorders>
              <w:left w:val="single" w:sz="8" w:space="0" w:color="D9D9D9"/>
              <w:right w:val="single" w:sz="8" w:space="0" w:color="D9D9D9"/>
            </w:tcBorders>
            <w:shd w:val="clear" w:color="auto" w:fill="FFFFFF" w:themeFill="background1"/>
            <w:vAlign w:val="center"/>
          </w:tcPr>
          <w:p w14:paraId="3589678B" w14:textId="77777777" w:rsidR="00150A13" w:rsidRPr="00150A13" w:rsidRDefault="00150A13" w:rsidP="00150A13">
            <w:pPr>
              <w:spacing w:after="240" w:line="264" w:lineRule="auto"/>
              <w:ind w:left="425" w:right="130" w:hanging="425"/>
              <w:contextualSpacing/>
              <w:jc w:val="center"/>
              <w:rPr>
                <w:rFonts w:eastAsia="Times New Roman" w:cstheme="minorHAnsi"/>
                <w:b/>
                <w:bCs/>
                <w:sz w:val="18"/>
                <w:szCs w:val="18"/>
              </w:rPr>
            </w:pPr>
          </w:p>
        </w:tc>
      </w:tr>
      <w:tr w:rsidR="00150A13" w:rsidRPr="00150A13" w14:paraId="0350F1C2" w14:textId="77777777" w:rsidTr="004C687A">
        <w:trPr>
          <w:trHeight w:val="20"/>
        </w:trPr>
        <w:tc>
          <w:tcPr>
            <w:tcW w:w="699" w:type="pct"/>
            <w:vMerge/>
            <w:tcBorders>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488FAFFE" w14:textId="77777777" w:rsidR="00150A13" w:rsidRPr="00150A13" w:rsidRDefault="00150A13" w:rsidP="00150A13">
            <w:pPr>
              <w:spacing w:after="240" w:line="264" w:lineRule="auto"/>
              <w:contextualSpacing/>
              <w:rPr>
                <w:rFonts w:eastAsia="Times New Roman" w:cstheme="minorHAnsi"/>
                <w:i/>
                <w:iCs/>
                <w:sz w:val="18"/>
                <w:szCs w:val="18"/>
              </w:rPr>
            </w:pPr>
          </w:p>
        </w:tc>
        <w:tc>
          <w:tcPr>
            <w:tcW w:w="834" w:type="pct"/>
            <w:vMerge/>
            <w:tcBorders>
              <w:left w:val="single" w:sz="8" w:space="0" w:color="D9D9D9"/>
              <w:bottom w:val="single" w:sz="8" w:space="0" w:color="D9D9D9"/>
              <w:right w:val="single" w:sz="8" w:space="0" w:color="D9D9D9"/>
            </w:tcBorders>
            <w:shd w:val="clear" w:color="auto" w:fill="FFFFFF" w:themeFill="background1"/>
          </w:tcPr>
          <w:p w14:paraId="4B5F7E9C" w14:textId="77777777" w:rsidR="00150A13" w:rsidRPr="00150A13" w:rsidRDefault="00150A13" w:rsidP="00150A13">
            <w:pPr>
              <w:spacing w:after="120" w:line="264" w:lineRule="auto"/>
              <w:ind w:left="157"/>
              <w:rPr>
                <w:rFonts w:cstheme="minorHAnsi"/>
                <w:sz w:val="18"/>
                <w:szCs w:val="18"/>
              </w:rPr>
            </w:pPr>
          </w:p>
        </w:tc>
        <w:tc>
          <w:tcPr>
            <w:tcW w:w="750" w:type="pct"/>
            <w:tcBorders>
              <w:left w:val="single" w:sz="8" w:space="0" w:color="D9D9D9"/>
              <w:bottom w:val="single" w:sz="8" w:space="0" w:color="D9D9D9"/>
              <w:right w:val="single" w:sz="8" w:space="0" w:color="D9D9D9"/>
            </w:tcBorders>
            <w:shd w:val="clear" w:color="auto" w:fill="FFFFFF" w:themeFill="background1"/>
            <w:vAlign w:val="center"/>
          </w:tcPr>
          <w:p w14:paraId="2989109F" w14:textId="77777777" w:rsidR="00150A13" w:rsidRPr="00150A13" w:rsidRDefault="00150A13" w:rsidP="004A71BC">
            <w:pPr>
              <w:pStyle w:val="TableBody"/>
              <w:rPr>
                <w:b/>
              </w:rPr>
            </w:pPr>
            <w:r w:rsidRPr="00150A13">
              <w:t>Number of PCBUs working with engineered stone in Australia (#)</w:t>
            </w:r>
          </w:p>
        </w:tc>
        <w:tc>
          <w:tcPr>
            <w:tcW w:w="1400" w:type="pct"/>
            <w:gridSpan w:val="5"/>
            <w:tcBorders>
              <w:left w:val="single" w:sz="8" w:space="0" w:color="D9D9D9"/>
              <w:bottom w:val="single" w:sz="8" w:space="0" w:color="D9D9D9"/>
              <w:right w:val="single" w:sz="8" w:space="0" w:color="D9D9D9"/>
            </w:tcBorders>
            <w:shd w:val="clear" w:color="auto" w:fill="FFFFFF" w:themeFill="background1"/>
            <w:vAlign w:val="center"/>
          </w:tcPr>
          <w:p w14:paraId="0A4F7776" w14:textId="77777777" w:rsidR="00150A13" w:rsidRPr="00150A13" w:rsidRDefault="00150A13" w:rsidP="004A71BC">
            <w:pPr>
              <w:pStyle w:val="TableBody"/>
              <w:rPr>
                <w:b/>
              </w:rPr>
            </w:pPr>
            <w:r w:rsidRPr="00150A13">
              <w:t xml:space="preserve">1,000 </w:t>
            </w:r>
            <w:r w:rsidRPr="00150A13">
              <w:fldChar w:fldCharType="begin"/>
            </w:r>
            <w:r w:rsidRPr="00150A13">
              <w:instrText xml:space="preserve"> ADDIN ZOTERO_ITEM CSL_CITATION {"citationID":"yKxJtM6s","properties":{"formattedCitation":"(Australian Engineered Stone Advisory Group 2019)","plainCitation":"(Australian Engineered Stone Advisory Group 2019)","noteIndex":0},"citationItems":[{"id":918,"uris":["http://zotero.org/users/6230888/items/4WCCIQ5J"],"itemData":{"id":918,"type":"report","page":"102","title":"Members of the Australian Engineered Stone Advisory Group (AESAG) Application for authorisation to the Australian Competition and Consumer Commission (ACCC)","URL":"https://www.accc.gov.au/system/files/public-registers/documents/Australian%20Engineered%20Stone%20Advisory%20Group%20%28AESAG%29%20-%20Application%20Received%20-%2029.11.19%20-%20PR%20VERSION.pdf","author":[{"literal":"Australian Engineered Stone Advisory Group"}],"accessed":{"date-parts":[["2022",6,30]]},"issued":{"date-parts":[["2019"]]}}}],"schema":"https://github.com/citation-style-language/schema/raw/master/csl-citation.json"} </w:instrText>
            </w:r>
            <w:r w:rsidRPr="00150A13">
              <w:fldChar w:fldCharType="separate"/>
            </w:r>
            <w:r w:rsidRPr="00150A13">
              <w:rPr>
                <w:rFonts w:ascii="Calibri" w:hAnsi="Calibri" w:cs="Calibri"/>
                <w:szCs w:val="24"/>
              </w:rPr>
              <w:t>(Australian Engineered Stone Advisory Group 2019)</w:t>
            </w:r>
            <w:r w:rsidRPr="00150A13">
              <w:fldChar w:fldCharType="end"/>
            </w:r>
          </w:p>
        </w:tc>
        <w:tc>
          <w:tcPr>
            <w:tcW w:w="1317" w:type="pct"/>
            <w:vMerge/>
            <w:tcBorders>
              <w:left w:val="single" w:sz="8" w:space="0" w:color="D9D9D9"/>
              <w:bottom w:val="single" w:sz="8" w:space="0" w:color="D9D9D9"/>
              <w:right w:val="single" w:sz="8" w:space="0" w:color="D9D9D9"/>
            </w:tcBorders>
            <w:shd w:val="clear" w:color="auto" w:fill="FFFFFF" w:themeFill="background1"/>
            <w:vAlign w:val="center"/>
          </w:tcPr>
          <w:p w14:paraId="25A69939" w14:textId="77777777" w:rsidR="00150A13" w:rsidRPr="00150A13" w:rsidRDefault="00150A13" w:rsidP="00150A13">
            <w:pPr>
              <w:spacing w:after="240" w:line="264" w:lineRule="auto"/>
              <w:ind w:left="425" w:right="130" w:hanging="425"/>
              <w:contextualSpacing/>
              <w:jc w:val="center"/>
              <w:rPr>
                <w:rFonts w:eastAsia="Times New Roman" w:cstheme="minorHAnsi"/>
                <w:b/>
                <w:bCs/>
                <w:sz w:val="18"/>
                <w:szCs w:val="18"/>
              </w:rPr>
            </w:pPr>
          </w:p>
        </w:tc>
      </w:tr>
      <w:tr w:rsidR="00150A13" w:rsidRPr="00150A13" w14:paraId="20A257C6" w14:textId="77777777" w:rsidTr="004C687A">
        <w:trPr>
          <w:trHeight w:val="20"/>
        </w:trPr>
        <w:tc>
          <w:tcPr>
            <w:tcW w:w="699" w:type="pct"/>
            <w:vMerge w:val="restart"/>
            <w:tcBorders>
              <w:top w:val="single" w:sz="8" w:space="0" w:color="D9D9D9"/>
              <w:left w:val="single" w:sz="8" w:space="0" w:color="D9D9D9"/>
              <w:right w:val="single" w:sz="8" w:space="0" w:color="D9D9D9"/>
            </w:tcBorders>
            <w:shd w:val="clear" w:color="auto" w:fill="F2F2F2" w:themeFill="background1" w:themeFillShade="F2"/>
            <w:tcMar>
              <w:top w:w="72" w:type="dxa"/>
              <w:left w:w="144" w:type="dxa"/>
              <w:bottom w:w="72" w:type="dxa"/>
              <w:right w:w="144" w:type="dxa"/>
            </w:tcMar>
            <w:hideMark/>
          </w:tcPr>
          <w:p w14:paraId="53574EFB" w14:textId="77777777" w:rsidR="00150A13" w:rsidRPr="004A71BC" w:rsidRDefault="00150A13" w:rsidP="004A71BC">
            <w:pPr>
              <w:pStyle w:val="TableBody"/>
              <w:rPr>
                <w:i/>
                <w:color w:val="262626" w:themeColor="text1" w:themeTint="D9"/>
              </w:rPr>
            </w:pPr>
            <w:r w:rsidRPr="004A71BC">
              <w:rPr>
                <w:i/>
              </w:rPr>
              <w:t xml:space="preserve">Licence fee </w:t>
            </w:r>
          </w:p>
        </w:tc>
        <w:tc>
          <w:tcPr>
            <w:tcW w:w="834" w:type="pct"/>
            <w:vMerge w:val="restart"/>
            <w:tcBorders>
              <w:top w:val="single" w:sz="8" w:space="0" w:color="D9D9D9"/>
              <w:left w:val="single" w:sz="8" w:space="0" w:color="D9D9D9"/>
              <w:right w:val="single" w:sz="8" w:space="0" w:color="D9D9D9"/>
            </w:tcBorders>
            <w:shd w:val="clear" w:color="auto" w:fill="FFFFFF" w:themeFill="background1"/>
            <w:hideMark/>
          </w:tcPr>
          <w:p w14:paraId="577DD32B" w14:textId="77777777" w:rsidR="00150A13" w:rsidRPr="00150A13" w:rsidRDefault="00150A13" w:rsidP="004A71BC">
            <w:pPr>
              <w:pStyle w:val="TableBody"/>
            </w:pPr>
            <w:r w:rsidRPr="00150A13">
              <w:t>Licence fee paid by PCBUs to work with engineered stone</w:t>
            </w:r>
          </w:p>
        </w:tc>
        <w:tc>
          <w:tcPr>
            <w:tcW w:w="750" w:type="pct"/>
            <w:tcBorders>
              <w:top w:val="single" w:sz="8" w:space="0" w:color="D9D9D9"/>
              <w:left w:val="single" w:sz="8" w:space="0" w:color="D9D9D9"/>
              <w:right w:val="single" w:sz="8" w:space="0" w:color="D9D9D9"/>
            </w:tcBorders>
            <w:shd w:val="clear" w:color="auto" w:fill="FFFFFF" w:themeFill="background1"/>
            <w:vAlign w:val="center"/>
          </w:tcPr>
          <w:p w14:paraId="111AFD41" w14:textId="77777777" w:rsidR="00150A13" w:rsidRPr="00150A13" w:rsidRDefault="00150A13" w:rsidP="004A71BC">
            <w:pPr>
              <w:pStyle w:val="TableBody"/>
              <w:rPr>
                <w:b/>
                <w:color w:val="262626" w:themeColor="text1" w:themeTint="D9"/>
              </w:rPr>
            </w:pPr>
            <w:r w:rsidRPr="00150A13">
              <w:rPr>
                <w:color w:val="262626" w:themeColor="text1" w:themeTint="D9"/>
              </w:rPr>
              <w:t>Licence fee ($)</w:t>
            </w:r>
          </w:p>
        </w:tc>
        <w:tc>
          <w:tcPr>
            <w:tcW w:w="1400" w:type="pct"/>
            <w:gridSpan w:val="5"/>
            <w:tcBorders>
              <w:top w:val="single" w:sz="8" w:space="0" w:color="D9D9D9"/>
              <w:left w:val="single" w:sz="8" w:space="0" w:color="D9D9D9"/>
              <w:right w:val="single" w:sz="8" w:space="0" w:color="D9D9D9"/>
            </w:tcBorders>
            <w:shd w:val="clear" w:color="auto" w:fill="FFFFFF" w:themeFill="background1"/>
            <w:vAlign w:val="center"/>
          </w:tcPr>
          <w:p w14:paraId="537257EA" w14:textId="77777777" w:rsidR="00150A13" w:rsidRPr="00150A13" w:rsidRDefault="00150A13" w:rsidP="004A71BC">
            <w:pPr>
              <w:pStyle w:val="TableBody"/>
              <w:rPr>
                <w:b/>
              </w:rPr>
            </w:pPr>
            <w:r w:rsidRPr="00150A13">
              <w:t>$302</w:t>
            </w:r>
            <w:r w:rsidRPr="00150A13">
              <w:rPr>
                <w:vertAlign w:val="superscript"/>
              </w:rPr>
              <w:t xml:space="preserve"> </w:t>
            </w:r>
            <w:r w:rsidRPr="00150A13">
              <w:fldChar w:fldCharType="begin"/>
            </w:r>
            <w:r w:rsidRPr="00150A13">
              <w:instrText xml:space="preserve"> ADDIN ZOTERO_ITEM CSL_CITATION {"citationID":"Kdtq1eSI","properties":{"formattedCitation":"(Deloitte 2021)","plainCitation":"(Deloitte 2021)","noteIndex":0},"citationItems":[{"id":917,"uris":["http://zotero.org/users/6230888/items/DDIZNKBY"],"itemData":{"id":917,"type":"article-journal","language":"en","page":"75","source":"Zotero","title":"Occupational Health and Safety Amendment (Crystalline Silica) Regulations 2021","author":[{"literal":"Deloitte"}],"issued":{"date-parts":[["2021"]]}}}],"schema":"https://github.com/citation-style-language/schema/raw/master/csl-citation.json"} </w:instrText>
            </w:r>
            <w:r w:rsidRPr="00150A13">
              <w:fldChar w:fldCharType="separate"/>
            </w:r>
            <w:r w:rsidRPr="00150A13">
              <w:rPr>
                <w:rFonts w:ascii="Calibri" w:hAnsi="Calibri" w:cs="Calibri"/>
                <w:szCs w:val="24"/>
              </w:rPr>
              <w:t>(Deloitte 2021)</w:t>
            </w:r>
            <w:r w:rsidRPr="00150A13">
              <w:fldChar w:fldCharType="end"/>
            </w:r>
          </w:p>
        </w:tc>
        <w:tc>
          <w:tcPr>
            <w:tcW w:w="1317" w:type="pct"/>
            <w:vMerge w:val="restart"/>
            <w:tcBorders>
              <w:top w:val="single" w:sz="8" w:space="0" w:color="D9D9D9"/>
              <w:left w:val="single" w:sz="8" w:space="0" w:color="D9D9D9"/>
              <w:right w:val="single" w:sz="8" w:space="0" w:color="D9D9D9"/>
            </w:tcBorders>
            <w:shd w:val="clear" w:color="auto" w:fill="FFFFFF" w:themeFill="background1"/>
            <w:vAlign w:val="center"/>
            <w:hideMark/>
          </w:tcPr>
          <w:p w14:paraId="64A399C7" w14:textId="77777777" w:rsidR="00150A13" w:rsidRPr="004A71BC" w:rsidRDefault="00150A13" w:rsidP="004A71BC">
            <w:pPr>
              <w:pStyle w:val="TableBody"/>
              <w:jc w:val="center"/>
              <w:rPr>
                <w:b/>
                <w:bCs/>
                <w:color w:val="262626" w:themeColor="text1" w:themeTint="D9"/>
              </w:rPr>
            </w:pPr>
            <w:r w:rsidRPr="004A71BC">
              <w:rPr>
                <w:b/>
              </w:rPr>
              <w:t>Total licence fee cost</w:t>
            </w:r>
          </w:p>
          <w:p w14:paraId="734F451A" w14:textId="77777777" w:rsidR="00150A13" w:rsidRPr="00150A13" w:rsidRDefault="00150A13" w:rsidP="004A71BC">
            <w:pPr>
              <w:pStyle w:val="TableBody"/>
              <w:jc w:val="center"/>
              <w:rPr>
                <w:color w:val="262626" w:themeColor="text1" w:themeTint="D9"/>
              </w:rPr>
            </w:pPr>
            <w:r w:rsidRPr="00150A13">
              <w:t>=</w:t>
            </w:r>
          </w:p>
          <w:p w14:paraId="431AE02B" w14:textId="77777777" w:rsidR="00150A13" w:rsidRPr="00150A13" w:rsidRDefault="00150A13" w:rsidP="004A71BC">
            <w:pPr>
              <w:pStyle w:val="TableBody"/>
              <w:jc w:val="center"/>
              <w:rPr>
                <w:color w:val="262626" w:themeColor="text1" w:themeTint="D9"/>
              </w:rPr>
            </w:pPr>
            <w:r w:rsidRPr="00150A13">
              <w:t>Licence fee</w:t>
            </w:r>
          </w:p>
          <w:p w14:paraId="7916B6D9" w14:textId="77777777" w:rsidR="00150A13" w:rsidRPr="00150A13" w:rsidRDefault="00150A13" w:rsidP="004A71BC">
            <w:pPr>
              <w:pStyle w:val="TableBody"/>
              <w:jc w:val="center"/>
              <w:rPr>
                <w:color w:val="262626" w:themeColor="text1" w:themeTint="D9"/>
              </w:rPr>
            </w:pPr>
            <w:r w:rsidRPr="00150A13">
              <w:t>×</w:t>
            </w:r>
          </w:p>
          <w:p w14:paraId="77718BE1" w14:textId="77777777" w:rsidR="00150A13" w:rsidRPr="00150A13" w:rsidRDefault="00150A13" w:rsidP="004A71BC">
            <w:pPr>
              <w:pStyle w:val="TableBody"/>
              <w:jc w:val="center"/>
              <w:rPr>
                <w:color w:val="262626" w:themeColor="text1" w:themeTint="D9"/>
              </w:rPr>
            </w:pPr>
            <w:r w:rsidRPr="00150A13">
              <w:t>Frequency of licence fee payment</w:t>
            </w:r>
          </w:p>
          <w:p w14:paraId="5A102A0D" w14:textId="77777777" w:rsidR="00150A13" w:rsidRPr="00150A13" w:rsidRDefault="00150A13" w:rsidP="004A71BC">
            <w:pPr>
              <w:pStyle w:val="TableBody"/>
              <w:jc w:val="center"/>
              <w:rPr>
                <w:color w:val="262626" w:themeColor="text1" w:themeTint="D9"/>
              </w:rPr>
            </w:pPr>
            <w:r w:rsidRPr="00150A13">
              <w:t>x</w:t>
            </w:r>
          </w:p>
          <w:p w14:paraId="392A238B" w14:textId="52169888" w:rsidR="00150A13" w:rsidRPr="00150A13" w:rsidRDefault="00150A13" w:rsidP="004A71BC">
            <w:pPr>
              <w:pStyle w:val="TableBody"/>
              <w:jc w:val="center"/>
              <w:rPr>
                <w:color w:val="262626" w:themeColor="text1" w:themeTint="D9"/>
              </w:rPr>
            </w:pPr>
            <w:r w:rsidRPr="00150A13">
              <w:t>Number of PCBUs working with engineered stone in Australia</w:t>
            </w:r>
          </w:p>
        </w:tc>
      </w:tr>
      <w:tr w:rsidR="00150A13" w:rsidRPr="00150A13" w14:paraId="7606F1AF" w14:textId="77777777" w:rsidTr="004C687A">
        <w:trPr>
          <w:trHeight w:val="20"/>
        </w:trPr>
        <w:tc>
          <w:tcPr>
            <w:tcW w:w="699"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0F0E1D53" w14:textId="77777777" w:rsidR="00150A13" w:rsidRPr="00150A13" w:rsidRDefault="00150A13" w:rsidP="004A71BC">
            <w:pPr>
              <w:pStyle w:val="TableBody"/>
            </w:pPr>
          </w:p>
        </w:tc>
        <w:tc>
          <w:tcPr>
            <w:tcW w:w="834" w:type="pct"/>
            <w:vMerge/>
            <w:tcBorders>
              <w:left w:val="single" w:sz="8" w:space="0" w:color="D9D9D9"/>
              <w:right w:val="single" w:sz="8" w:space="0" w:color="D9D9D9"/>
            </w:tcBorders>
            <w:shd w:val="clear" w:color="auto" w:fill="FFFFFF" w:themeFill="background1"/>
          </w:tcPr>
          <w:p w14:paraId="2B87BD30" w14:textId="77777777" w:rsidR="00150A13" w:rsidRPr="00150A13" w:rsidRDefault="00150A13" w:rsidP="004A71BC">
            <w:pPr>
              <w:pStyle w:val="TableBody"/>
            </w:pPr>
          </w:p>
        </w:tc>
        <w:tc>
          <w:tcPr>
            <w:tcW w:w="750" w:type="pct"/>
            <w:tcBorders>
              <w:left w:val="single" w:sz="8" w:space="0" w:color="D9D9D9"/>
              <w:right w:val="single" w:sz="8" w:space="0" w:color="D9D9D9"/>
            </w:tcBorders>
            <w:shd w:val="clear" w:color="auto" w:fill="FFFFFF" w:themeFill="background1"/>
            <w:vAlign w:val="center"/>
          </w:tcPr>
          <w:p w14:paraId="1171B195" w14:textId="77777777" w:rsidR="00150A13" w:rsidRPr="00150A13" w:rsidRDefault="00150A13" w:rsidP="004A71BC">
            <w:pPr>
              <w:pStyle w:val="TableBody"/>
              <w:rPr>
                <w:b/>
                <w:color w:val="262626" w:themeColor="text1" w:themeTint="D9"/>
              </w:rPr>
            </w:pPr>
            <w:r w:rsidRPr="00150A13">
              <w:rPr>
                <w:color w:val="262626" w:themeColor="text1" w:themeTint="D9"/>
              </w:rPr>
              <w:t>Frequency of licence fee (years)</w:t>
            </w:r>
          </w:p>
        </w:tc>
        <w:tc>
          <w:tcPr>
            <w:tcW w:w="1400" w:type="pct"/>
            <w:gridSpan w:val="5"/>
            <w:tcBorders>
              <w:left w:val="single" w:sz="8" w:space="0" w:color="D9D9D9"/>
              <w:right w:val="single" w:sz="8" w:space="0" w:color="D9D9D9"/>
            </w:tcBorders>
            <w:shd w:val="clear" w:color="auto" w:fill="FFFFFF" w:themeFill="background1"/>
            <w:vAlign w:val="center"/>
          </w:tcPr>
          <w:p w14:paraId="51B65E1F" w14:textId="77777777" w:rsidR="00150A13" w:rsidRPr="00150A13" w:rsidRDefault="00150A13" w:rsidP="004A71BC">
            <w:pPr>
              <w:pStyle w:val="TableBody"/>
              <w:rPr>
                <w:b/>
              </w:rPr>
            </w:pPr>
            <w:r w:rsidRPr="00150A13">
              <w:t xml:space="preserve">5 years </w:t>
            </w:r>
            <w:r w:rsidRPr="00150A13">
              <w:fldChar w:fldCharType="begin"/>
            </w:r>
            <w:r w:rsidRPr="00150A13">
              <w:instrText xml:space="preserve"> ADDIN ZOTERO_ITEM CSL_CITATION {"citationID":"vPo3HSLT","properties":{"formattedCitation":"(Deloitte 2021)","plainCitation":"(Deloitte 2021)","noteIndex":0},"citationItems":[{"id":917,"uris":["http://zotero.org/users/6230888/items/DDIZNKBY"],"itemData":{"id":917,"type":"article-journal","language":"en","page":"75","source":"Zotero","title":"Occupational Health and Safety Amendment (Crystalline Silica) Regulations 2021","author":[{"literal":"Deloitte"}],"issued":{"date-parts":[["2021"]]}}}],"schema":"https://github.com/citation-style-language/schema/raw/master/csl-citation.json"} </w:instrText>
            </w:r>
            <w:r w:rsidRPr="00150A13">
              <w:fldChar w:fldCharType="separate"/>
            </w:r>
            <w:r w:rsidRPr="00150A13">
              <w:rPr>
                <w:rFonts w:ascii="Calibri" w:hAnsi="Calibri" w:cs="Calibri"/>
                <w:szCs w:val="24"/>
              </w:rPr>
              <w:t>(Deloitte 2021)</w:t>
            </w:r>
            <w:r w:rsidRPr="00150A13">
              <w:fldChar w:fldCharType="end"/>
            </w:r>
          </w:p>
        </w:tc>
        <w:tc>
          <w:tcPr>
            <w:tcW w:w="1317" w:type="pct"/>
            <w:vMerge/>
            <w:tcBorders>
              <w:left w:val="single" w:sz="8" w:space="0" w:color="D9D9D9"/>
              <w:right w:val="single" w:sz="8" w:space="0" w:color="D9D9D9"/>
            </w:tcBorders>
            <w:shd w:val="clear" w:color="auto" w:fill="FFFFFF" w:themeFill="background1"/>
            <w:vAlign w:val="center"/>
          </w:tcPr>
          <w:p w14:paraId="5C459F8E" w14:textId="77777777" w:rsidR="00150A13" w:rsidRPr="00150A13" w:rsidRDefault="00150A13" w:rsidP="00150A13">
            <w:pPr>
              <w:spacing w:after="240" w:line="264" w:lineRule="auto"/>
              <w:ind w:left="425" w:right="130" w:hanging="425"/>
              <w:contextualSpacing/>
              <w:jc w:val="center"/>
              <w:rPr>
                <w:rFonts w:eastAsia="Times New Roman" w:cstheme="minorHAnsi"/>
                <w:b/>
                <w:bCs/>
                <w:sz w:val="18"/>
                <w:szCs w:val="18"/>
              </w:rPr>
            </w:pPr>
          </w:p>
        </w:tc>
      </w:tr>
      <w:tr w:rsidR="00150A13" w:rsidRPr="00150A13" w14:paraId="74B29998" w14:textId="77777777" w:rsidTr="004C687A">
        <w:trPr>
          <w:trHeight w:val="20"/>
        </w:trPr>
        <w:tc>
          <w:tcPr>
            <w:tcW w:w="699" w:type="pct"/>
            <w:vMerge/>
            <w:tcBorders>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0372C462" w14:textId="77777777" w:rsidR="00150A13" w:rsidRPr="00150A13" w:rsidRDefault="00150A13" w:rsidP="004A71BC">
            <w:pPr>
              <w:pStyle w:val="TableBody"/>
            </w:pPr>
          </w:p>
        </w:tc>
        <w:tc>
          <w:tcPr>
            <w:tcW w:w="834" w:type="pct"/>
            <w:vMerge/>
            <w:tcBorders>
              <w:left w:val="single" w:sz="8" w:space="0" w:color="D9D9D9"/>
              <w:bottom w:val="single" w:sz="8" w:space="0" w:color="D9D9D9"/>
              <w:right w:val="single" w:sz="8" w:space="0" w:color="D9D9D9"/>
            </w:tcBorders>
            <w:shd w:val="clear" w:color="auto" w:fill="FFFFFF" w:themeFill="background1"/>
          </w:tcPr>
          <w:p w14:paraId="64E4962D" w14:textId="77777777" w:rsidR="00150A13" w:rsidRPr="00150A13" w:rsidRDefault="00150A13" w:rsidP="004A71BC">
            <w:pPr>
              <w:pStyle w:val="TableBody"/>
            </w:pPr>
          </w:p>
        </w:tc>
        <w:tc>
          <w:tcPr>
            <w:tcW w:w="750" w:type="pct"/>
            <w:tcBorders>
              <w:left w:val="single" w:sz="8" w:space="0" w:color="D9D9D9"/>
              <w:bottom w:val="single" w:sz="8" w:space="0" w:color="D9D9D9"/>
              <w:right w:val="single" w:sz="8" w:space="0" w:color="D9D9D9"/>
            </w:tcBorders>
            <w:shd w:val="clear" w:color="auto" w:fill="FFFFFF" w:themeFill="background1"/>
            <w:vAlign w:val="center"/>
          </w:tcPr>
          <w:p w14:paraId="30622D7E" w14:textId="77777777" w:rsidR="00150A13" w:rsidRPr="00150A13" w:rsidRDefault="00150A13" w:rsidP="004A71BC">
            <w:pPr>
              <w:pStyle w:val="TableBody"/>
              <w:rPr>
                <w:b/>
                <w:color w:val="262626" w:themeColor="text1" w:themeTint="D9"/>
              </w:rPr>
            </w:pPr>
            <w:r w:rsidRPr="00150A13">
              <w:rPr>
                <w:color w:val="262626" w:themeColor="text1" w:themeTint="D9"/>
              </w:rPr>
              <w:t>Number of PCBUs working with engineered stone in Australia (#)</w:t>
            </w:r>
          </w:p>
        </w:tc>
        <w:tc>
          <w:tcPr>
            <w:tcW w:w="1400" w:type="pct"/>
            <w:gridSpan w:val="5"/>
            <w:tcBorders>
              <w:left w:val="single" w:sz="8" w:space="0" w:color="D9D9D9"/>
              <w:bottom w:val="single" w:sz="8" w:space="0" w:color="D9D9D9"/>
              <w:right w:val="single" w:sz="8" w:space="0" w:color="D9D9D9"/>
            </w:tcBorders>
            <w:shd w:val="clear" w:color="auto" w:fill="FFFFFF" w:themeFill="background1"/>
            <w:vAlign w:val="center"/>
          </w:tcPr>
          <w:p w14:paraId="4177F8E4" w14:textId="77777777" w:rsidR="00150A13" w:rsidRPr="00150A13" w:rsidRDefault="00150A13" w:rsidP="004A71BC">
            <w:pPr>
              <w:pStyle w:val="TableBody"/>
              <w:rPr>
                <w:b/>
              </w:rPr>
            </w:pPr>
            <w:r w:rsidRPr="00150A13">
              <w:t xml:space="preserve">1,000 </w:t>
            </w:r>
            <w:r w:rsidRPr="00150A13">
              <w:fldChar w:fldCharType="begin"/>
            </w:r>
            <w:r w:rsidRPr="00150A13">
              <w:instrText xml:space="preserve"> ADDIN ZOTERO_ITEM CSL_CITATION {"citationID":"kLE8vf9i","properties":{"formattedCitation":"(Australian Engineered Stone Advisory Group 2019)","plainCitation":"(Australian Engineered Stone Advisory Group 2019)","noteIndex":0},"citationItems":[{"id":918,"uris":["http://zotero.org/users/6230888/items/4WCCIQ5J"],"itemData":{"id":918,"type":"report","page":"102","title":"Members of the Australian Engineered Stone Advisory Group (AESAG) Application for authorisation to the Australian Competition and Consumer Commission (ACCC)","URL":"https://www.accc.gov.au/system/files/public-registers/documents/Australian%20Engineered%20Stone%20Advisory%20Group%20%28AESAG%29%20-%20Application%20Received%20-%2029.11.19%20-%20PR%20VERSION.pdf","author":[{"literal":"Australian Engineered Stone Advisory Group"}],"accessed":{"date-parts":[["2022",6,30]]},"issued":{"date-parts":[["2019"]]}}}],"schema":"https://github.com/citation-style-language/schema/raw/master/csl-citation.json"} </w:instrText>
            </w:r>
            <w:r w:rsidRPr="00150A13">
              <w:fldChar w:fldCharType="separate"/>
            </w:r>
            <w:r w:rsidRPr="00150A13">
              <w:rPr>
                <w:rFonts w:ascii="Calibri" w:hAnsi="Calibri" w:cs="Calibri"/>
                <w:szCs w:val="24"/>
              </w:rPr>
              <w:t>(Australian Engineered Stone Advisory Group 2019)</w:t>
            </w:r>
            <w:r w:rsidRPr="00150A13">
              <w:fldChar w:fldCharType="end"/>
            </w:r>
          </w:p>
        </w:tc>
        <w:tc>
          <w:tcPr>
            <w:tcW w:w="1317" w:type="pct"/>
            <w:vMerge/>
            <w:tcBorders>
              <w:left w:val="single" w:sz="8" w:space="0" w:color="D9D9D9"/>
              <w:bottom w:val="single" w:sz="8" w:space="0" w:color="D9D9D9"/>
              <w:right w:val="single" w:sz="8" w:space="0" w:color="D9D9D9"/>
            </w:tcBorders>
            <w:shd w:val="clear" w:color="auto" w:fill="FFFFFF" w:themeFill="background1"/>
            <w:vAlign w:val="center"/>
          </w:tcPr>
          <w:p w14:paraId="32940C8F" w14:textId="77777777" w:rsidR="00150A13" w:rsidRPr="00150A13" w:rsidRDefault="00150A13" w:rsidP="00150A13">
            <w:pPr>
              <w:spacing w:after="240" w:line="264" w:lineRule="auto"/>
              <w:ind w:left="425" w:right="130" w:hanging="425"/>
              <w:contextualSpacing/>
              <w:jc w:val="center"/>
              <w:rPr>
                <w:rFonts w:eastAsia="Times New Roman" w:cstheme="minorHAnsi"/>
                <w:b/>
                <w:bCs/>
                <w:sz w:val="18"/>
                <w:szCs w:val="18"/>
              </w:rPr>
            </w:pPr>
          </w:p>
        </w:tc>
      </w:tr>
      <w:tr w:rsidR="00150A13" w:rsidRPr="00150A13" w14:paraId="2EF7BD37" w14:textId="77777777" w:rsidTr="004C687A">
        <w:trPr>
          <w:trHeight w:val="20"/>
        </w:trPr>
        <w:tc>
          <w:tcPr>
            <w:tcW w:w="699"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02BB5FA6" w14:textId="77777777" w:rsidR="00150A13" w:rsidRPr="00150A13" w:rsidRDefault="00150A13" w:rsidP="004A71BC">
            <w:pPr>
              <w:pStyle w:val="TableBody"/>
            </w:pPr>
          </w:p>
        </w:tc>
        <w:tc>
          <w:tcPr>
            <w:tcW w:w="834" w:type="pct"/>
            <w:vMerge/>
            <w:tcBorders>
              <w:left w:val="single" w:sz="8" w:space="0" w:color="D9D9D9"/>
              <w:right w:val="single" w:sz="8" w:space="0" w:color="D9D9D9"/>
            </w:tcBorders>
            <w:shd w:val="clear" w:color="auto" w:fill="FFFFFF" w:themeFill="background1"/>
          </w:tcPr>
          <w:p w14:paraId="6951077E" w14:textId="77777777" w:rsidR="00150A13" w:rsidRPr="00150A13" w:rsidRDefault="00150A13" w:rsidP="004A71BC">
            <w:pPr>
              <w:pStyle w:val="TableBody"/>
              <w:rPr>
                <w:color w:val="262626" w:themeColor="text1" w:themeTint="D9"/>
              </w:rPr>
            </w:pPr>
          </w:p>
        </w:tc>
        <w:tc>
          <w:tcPr>
            <w:tcW w:w="750"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649962B6" w14:textId="77777777" w:rsidR="00150A13" w:rsidRPr="00150A13" w:rsidRDefault="00150A13" w:rsidP="004A71BC">
            <w:pPr>
              <w:pStyle w:val="TableBody"/>
              <w:rPr>
                <w:b/>
                <w:color w:val="262626" w:themeColor="text1" w:themeTint="D9"/>
              </w:rPr>
            </w:pPr>
            <w:r w:rsidRPr="00150A13">
              <w:rPr>
                <w:color w:val="262626" w:themeColor="text1" w:themeTint="D9"/>
              </w:rPr>
              <w:t>Average wage / hour ($)</w:t>
            </w:r>
          </w:p>
        </w:tc>
        <w:tc>
          <w:tcPr>
            <w:tcW w:w="1400" w:type="pct"/>
            <w:gridSpan w:val="5"/>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6B6CCD36" w14:textId="77777777" w:rsidR="00150A13" w:rsidRPr="00150A13" w:rsidRDefault="00150A13" w:rsidP="004A71BC">
            <w:pPr>
              <w:pStyle w:val="TableBody"/>
              <w:rPr>
                <w:b/>
              </w:rPr>
            </w:pPr>
            <w:r w:rsidRPr="00150A13">
              <w:t xml:space="preserve">$46.24 </w:t>
            </w:r>
            <w:r w:rsidRPr="00150A13">
              <w:fldChar w:fldCharType="begin"/>
            </w:r>
            <w:r w:rsidRPr="00150A13">
              <w:instrText xml:space="preserve"> ADDIN ZOTERO_ITEM CSL_CITATION {"citationID":"Ce9sPwBU","properties":{"formattedCitation":"(Australian Bureau of Statistics 2021c)","plainCitation":"(Australian Bureau of Statistics 2021c)","noteIndex":0},"citationItems":[{"id":913,"uris":["http://zotero.org/users/6230888/items/YWAVMKLE"],"itemData":{"id":913,"type":"webpage","abstract":"Estimates of weekly earnings classified by industry, sector, state and territory","language":"en","title":"Average Weekly Earnings, Australia, November 2021","URL":"https://www.abs.gov.au/statistics/labour/earnings-and-working-conditions/average-weekly-earnings-australia/latest-release","author":[{"literal":"Australian Bureau of Statistics"}],"accessed":{"date-parts":[["2022",6,30]]},"issued":{"date-parts":[["2021"]]}}}],"schema":"https://github.com/citation-style-language/schema/raw/master/csl-citation.json"} </w:instrText>
            </w:r>
            <w:r w:rsidRPr="00150A13">
              <w:fldChar w:fldCharType="separate"/>
            </w:r>
            <w:r w:rsidRPr="00150A13">
              <w:rPr>
                <w:rFonts w:ascii="Calibri" w:hAnsi="Calibri" w:cs="Calibri"/>
                <w:szCs w:val="24"/>
              </w:rPr>
              <w:t>(Australian Bureau of Statistics 2021c)</w:t>
            </w:r>
            <w:r w:rsidRPr="00150A13">
              <w:fldChar w:fldCharType="end"/>
            </w:r>
          </w:p>
        </w:tc>
        <w:tc>
          <w:tcPr>
            <w:tcW w:w="1317" w:type="pct"/>
            <w:vMerge/>
            <w:tcBorders>
              <w:left w:val="single" w:sz="8" w:space="0" w:color="D9D9D9"/>
              <w:right w:val="single" w:sz="8" w:space="0" w:color="D9D9D9"/>
            </w:tcBorders>
            <w:shd w:val="clear" w:color="auto" w:fill="FFFFFF" w:themeFill="background1"/>
            <w:vAlign w:val="center"/>
          </w:tcPr>
          <w:p w14:paraId="48097C70" w14:textId="77777777" w:rsidR="00150A13" w:rsidRPr="00150A13" w:rsidRDefault="00150A13" w:rsidP="00150A13">
            <w:pPr>
              <w:spacing w:after="240" w:line="264" w:lineRule="auto"/>
              <w:ind w:left="425" w:right="130" w:hanging="425"/>
              <w:contextualSpacing/>
              <w:jc w:val="center"/>
              <w:rPr>
                <w:rFonts w:eastAsia="Times New Roman" w:cstheme="minorHAnsi"/>
                <w:b/>
                <w:bCs/>
                <w:sz w:val="18"/>
                <w:szCs w:val="18"/>
              </w:rPr>
            </w:pPr>
          </w:p>
        </w:tc>
      </w:tr>
      <w:tr w:rsidR="00150A13" w:rsidRPr="00150A13" w14:paraId="47D333AF" w14:textId="77777777" w:rsidTr="004C687A">
        <w:trPr>
          <w:trHeight w:val="20"/>
        </w:trPr>
        <w:tc>
          <w:tcPr>
            <w:tcW w:w="699" w:type="pct"/>
            <w:vMerge w:val="restart"/>
            <w:tcBorders>
              <w:top w:val="single" w:sz="8" w:space="0" w:color="D9D9D9"/>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7122A95D" w14:textId="77777777" w:rsidR="00150A13" w:rsidRPr="004A71BC" w:rsidRDefault="00150A13" w:rsidP="004A71BC">
            <w:pPr>
              <w:pStyle w:val="TableBody"/>
              <w:rPr>
                <w:i/>
              </w:rPr>
            </w:pPr>
            <w:r w:rsidRPr="004A71BC">
              <w:rPr>
                <w:i/>
              </w:rPr>
              <w:t xml:space="preserve">Risk assessment: (Initial assessment) - Year 1 </w:t>
            </w:r>
          </w:p>
        </w:tc>
        <w:tc>
          <w:tcPr>
            <w:tcW w:w="834" w:type="pct"/>
            <w:vMerge w:val="restart"/>
            <w:tcBorders>
              <w:top w:val="single" w:sz="8" w:space="0" w:color="D9D9D9"/>
              <w:left w:val="single" w:sz="8" w:space="0" w:color="D9D9D9"/>
              <w:right w:val="single" w:sz="8" w:space="0" w:color="D9D9D9"/>
            </w:tcBorders>
            <w:shd w:val="clear" w:color="auto" w:fill="FFFFFF" w:themeFill="background1"/>
          </w:tcPr>
          <w:p w14:paraId="59C85270" w14:textId="77777777" w:rsidR="00150A13" w:rsidRPr="00150A13" w:rsidRDefault="00150A13" w:rsidP="004A71BC">
            <w:pPr>
              <w:pStyle w:val="TableBody"/>
              <w:rPr>
                <w:rFonts w:cstheme="minorHAnsi"/>
                <w:szCs w:val="18"/>
              </w:rPr>
            </w:pPr>
            <w:r w:rsidRPr="00150A13">
              <w:t xml:space="preserve">Additional labour costs for the preparation of a risk assessment in year 1. This may include seeking expert advice, and baseline analytical tests/analysis of source materials </w:t>
            </w:r>
          </w:p>
          <w:p w14:paraId="750F840D" w14:textId="77777777" w:rsidR="00150A13" w:rsidRPr="00150A13" w:rsidRDefault="00150A13" w:rsidP="004A71BC">
            <w:pPr>
              <w:pStyle w:val="TableBody"/>
            </w:pPr>
          </w:p>
        </w:tc>
        <w:tc>
          <w:tcPr>
            <w:tcW w:w="750"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6F49E01B" w14:textId="77777777" w:rsidR="00150A13" w:rsidRPr="00150A13" w:rsidRDefault="00150A13" w:rsidP="004A71BC">
            <w:pPr>
              <w:pStyle w:val="TableBody"/>
              <w:rPr>
                <w:color w:val="262626" w:themeColor="text1" w:themeTint="D9"/>
              </w:rPr>
            </w:pPr>
            <w:r w:rsidRPr="00150A13">
              <w:t>Cost of consultant to inform risk assessment</w:t>
            </w:r>
          </w:p>
        </w:tc>
        <w:tc>
          <w:tcPr>
            <w:tcW w:w="1400" w:type="pct"/>
            <w:gridSpan w:val="5"/>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00274F8B" w14:textId="77777777" w:rsidR="00150A13" w:rsidRPr="00150A13" w:rsidRDefault="00150A13" w:rsidP="004A71BC">
            <w:pPr>
              <w:pStyle w:val="TableBody"/>
            </w:pPr>
            <w:r w:rsidRPr="00150A13">
              <w:t>$4,500</w:t>
            </w:r>
            <w:r w:rsidRPr="00150A13">
              <w:rPr>
                <w:vertAlign w:val="superscript"/>
              </w:rPr>
              <w:footnoteReference w:id="45"/>
            </w:r>
            <w:r w:rsidRPr="00150A13">
              <w:t xml:space="preserve"> </w:t>
            </w:r>
          </w:p>
        </w:tc>
        <w:tc>
          <w:tcPr>
            <w:tcW w:w="1317" w:type="pct"/>
            <w:vMerge w:val="restart"/>
            <w:tcBorders>
              <w:top w:val="single" w:sz="8" w:space="0" w:color="D9D9D9"/>
              <w:left w:val="single" w:sz="8" w:space="0" w:color="D9D9D9"/>
              <w:right w:val="single" w:sz="8" w:space="0" w:color="D9D9D9"/>
            </w:tcBorders>
            <w:shd w:val="clear" w:color="auto" w:fill="FFFFFF" w:themeFill="background1"/>
            <w:vAlign w:val="center"/>
          </w:tcPr>
          <w:p w14:paraId="7F2331FA" w14:textId="77777777" w:rsidR="00150A13" w:rsidRPr="004A71BC" w:rsidRDefault="00150A13" w:rsidP="004A71BC">
            <w:pPr>
              <w:pStyle w:val="TableBody"/>
              <w:jc w:val="center"/>
              <w:rPr>
                <w:b/>
                <w:bCs/>
                <w:color w:val="262626" w:themeColor="text1" w:themeTint="D9"/>
              </w:rPr>
            </w:pPr>
            <w:r w:rsidRPr="004A71BC">
              <w:rPr>
                <w:b/>
              </w:rPr>
              <w:t xml:space="preserve">Cost of risk </w:t>
            </w:r>
            <w:r w:rsidRPr="004A71BC">
              <w:rPr>
                <w:rFonts w:eastAsia="Times New Roman" w:cstheme="minorHAnsi"/>
                <w:b/>
                <w:szCs w:val="18"/>
              </w:rPr>
              <w:t>assessment report: (Year 1)</w:t>
            </w:r>
          </w:p>
          <w:p w14:paraId="044143A7" w14:textId="77777777" w:rsidR="00150A13" w:rsidRPr="00150A13" w:rsidRDefault="00150A13" w:rsidP="004A71BC">
            <w:pPr>
              <w:pStyle w:val="TableBody"/>
              <w:jc w:val="center"/>
              <w:rPr>
                <w:color w:val="262626" w:themeColor="text1" w:themeTint="D9"/>
              </w:rPr>
            </w:pPr>
            <w:r w:rsidRPr="00150A13">
              <w:t>=</w:t>
            </w:r>
          </w:p>
          <w:p w14:paraId="56CD1AE2" w14:textId="417DA9EE" w:rsidR="00150A13" w:rsidRPr="00150A13" w:rsidRDefault="00150A13" w:rsidP="004A71BC">
            <w:pPr>
              <w:pStyle w:val="TableBody"/>
              <w:jc w:val="center"/>
              <w:rPr>
                <w:color w:val="262626" w:themeColor="text1" w:themeTint="D9"/>
              </w:rPr>
            </w:pPr>
            <w:r w:rsidRPr="00150A13">
              <w:t>Cost of consultant to inform risk assessment</w:t>
            </w:r>
          </w:p>
          <w:p w14:paraId="158D394E" w14:textId="77777777" w:rsidR="00150A13" w:rsidRPr="00150A13" w:rsidRDefault="00150A13" w:rsidP="004A71BC">
            <w:pPr>
              <w:pStyle w:val="TableBody"/>
              <w:jc w:val="center"/>
              <w:rPr>
                <w:color w:val="262626" w:themeColor="text1" w:themeTint="D9"/>
              </w:rPr>
            </w:pPr>
            <w:r w:rsidRPr="00150A13">
              <w:t>×</w:t>
            </w:r>
          </w:p>
          <w:p w14:paraId="65DC19B5" w14:textId="77777777" w:rsidR="00150A13" w:rsidRPr="00150A13" w:rsidRDefault="00150A13" w:rsidP="004A71BC">
            <w:pPr>
              <w:pStyle w:val="TableBody"/>
              <w:jc w:val="center"/>
            </w:pPr>
            <w:r w:rsidRPr="00150A13">
              <w:t>Number of PCBUs working with engineered stone in Australia</w:t>
            </w:r>
          </w:p>
        </w:tc>
      </w:tr>
      <w:tr w:rsidR="00150A13" w:rsidRPr="00150A13" w14:paraId="5D62818B" w14:textId="77777777" w:rsidTr="004C687A">
        <w:trPr>
          <w:trHeight w:val="20"/>
        </w:trPr>
        <w:tc>
          <w:tcPr>
            <w:tcW w:w="699"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0C728EE1" w14:textId="77777777" w:rsidR="00150A13" w:rsidRPr="00150A13" w:rsidRDefault="00150A13" w:rsidP="004A71BC">
            <w:pPr>
              <w:pStyle w:val="TableBody"/>
            </w:pPr>
          </w:p>
        </w:tc>
        <w:tc>
          <w:tcPr>
            <w:tcW w:w="834" w:type="pct"/>
            <w:vMerge/>
            <w:tcBorders>
              <w:left w:val="single" w:sz="8" w:space="0" w:color="D9D9D9"/>
              <w:right w:val="single" w:sz="8" w:space="0" w:color="D9D9D9"/>
            </w:tcBorders>
            <w:shd w:val="clear" w:color="auto" w:fill="FFFFFF" w:themeFill="background1"/>
          </w:tcPr>
          <w:p w14:paraId="21DFFA19" w14:textId="77777777" w:rsidR="00150A13" w:rsidRPr="00150A13" w:rsidRDefault="00150A13" w:rsidP="004A71BC">
            <w:pPr>
              <w:pStyle w:val="TableBody"/>
            </w:pPr>
          </w:p>
        </w:tc>
        <w:tc>
          <w:tcPr>
            <w:tcW w:w="750"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288A58F1" w14:textId="77777777" w:rsidR="00150A13" w:rsidRPr="00150A13" w:rsidRDefault="00150A13" w:rsidP="004A71BC">
            <w:pPr>
              <w:pStyle w:val="TableBody"/>
              <w:rPr>
                <w:color w:val="262626" w:themeColor="text1" w:themeTint="D9"/>
              </w:rPr>
            </w:pPr>
            <w:r w:rsidRPr="00150A13">
              <w:rPr>
                <w:color w:val="262626" w:themeColor="text1" w:themeTint="D9"/>
              </w:rPr>
              <w:t>Number of PCBUs working with engineered stone in Australia (#)</w:t>
            </w:r>
          </w:p>
        </w:tc>
        <w:tc>
          <w:tcPr>
            <w:tcW w:w="1400" w:type="pct"/>
            <w:gridSpan w:val="5"/>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5E82D071" w14:textId="77777777" w:rsidR="00150A13" w:rsidRPr="00150A13" w:rsidRDefault="00150A13" w:rsidP="004A71BC">
            <w:pPr>
              <w:pStyle w:val="TableBody"/>
            </w:pPr>
            <w:r w:rsidRPr="00150A13">
              <w:t xml:space="preserve">1,000 </w:t>
            </w:r>
            <w:r w:rsidRPr="00150A13">
              <w:fldChar w:fldCharType="begin"/>
            </w:r>
            <w:r w:rsidRPr="00150A13">
              <w:instrText xml:space="preserve"> ADDIN ZOTERO_ITEM CSL_CITATION {"citationID":"kLE8vf9i","properties":{"formattedCitation":"(Australian Engineered Stone Advisory Group 2019)","plainCitation":"(Australian Engineered Stone Advisory Group 2019)","noteIndex":0},"citationItems":[{"id":918,"uris":["http://zotero.org/users/6230888/items/4WCCIQ5J"],"itemData":{"id":918,"type":"report","page":"102","title":"Members of the Australian Engineered Stone Advisory Group (AESAG) Application for authorisation to the Australian Competition and Consumer Commission (ACCC)","URL":"https://www.accc.gov.au/system/files/public-registers/documents/Australian%20Engineered%20Stone%20Advisory%20Group%20%28AESAG%29%20-%20Application%20Received%20-%2029.11.19%20-%20PR%20VERSION.pdf","author":[{"literal":"Australian Engineered Stone Advisory Group"}],"accessed":{"date-parts":[["2022",6,30]]},"issued":{"date-parts":[["2019"]]}}}],"schema":"https://github.com/citation-style-language/schema/raw/master/csl-citation.json"} </w:instrText>
            </w:r>
            <w:r w:rsidRPr="00150A13">
              <w:fldChar w:fldCharType="separate"/>
            </w:r>
            <w:r w:rsidRPr="00150A13">
              <w:rPr>
                <w:rFonts w:ascii="Calibri" w:hAnsi="Calibri" w:cs="Calibri"/>
                <w:szCs w:val="24"/>
              </w:rPr>
              <w:t>(Australian Engineered Stone Advisory Group 2019)</w:t>
            </w:r>
            <w:r w:rsidRPr="00150A13">
              <w:fldChar w:fldCharType="end"/>
            </w:r>
          </w:p>
        </w:tc>
        <w:tc>
          <w:tcPr>
            <w:tcW w:w="1317" w:type="pct"/>
            <w:vMerge/>
            <w:tcBorders>
              <w:left w:val="single" w:sz="8" w:space="0" w:color="D9D9D9"/>
              <w:right w:val="single" w:sz="8" w:space="0" w:color="D9D9D9"/>
            </w:tcBorders>
            <w:shd w:val="clear" w:color="auto" w:fill="FFFFFF" w:themeFill="background1"/>
            <w:vAlign w:val="center"/>
          </w:tcPr>
          <w:p w14:paraId="5B837669" w14:textId="77777777" w:rsidR="00150A13" w:rsidRPr="00150A13" w:rsidRDefault="00150A13" w:rsidP="00150A13">
            <w:pPr>
              <w:spacing w:after="240" w:line="264" w:lineRule="auto"/>
              <w:ind w:left="134" w:right="130"/>
              <w:contextualSpacing/>
              <w:jc w:val="center"/>
              <w:rPr>
                <w:rFonts w:eastAsia="Times New Roman" w:cstheme="minorHAnsi"/>
                <w:b/>
                <w:bCs/>
                <w:sz w:val="18"/>
                <w:szCs w:val="18"/>
              </w:rPr>
            </w:pPr>
          </w:p>
        </w:tc>
      </w:tr>
      <w:tr w:rsidR="00150A13" w:rsidRPr="00150A13" w14:paraId="6EC63F57" w14:textId="77777777" w:rsidTr="004C687A">
        <w:trPr>
          <w:trHeight w:val="20"/>
        </w:trPr>
        <w:tc>
          <w:tcPr>
            <w:tcW w:w="699" w:type="pct"/>
            <w:vMerge w:val="restart"/>
            <w:tcBorders>
              <w:top w:val="single" w:sz="8" w:space="0" w:color="D9D9D9"/>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2710A4D0" w14:textId="77777777" w:rsidR="00150A13" w:rsidRPr="004A71BC" w:rsidRDefault="00150A13" w:rsidP="004A71BC">
            <w:pPr>
              <w:pStyle w:val="TableBody"/>
              <w:rPr>
                <w:i/>
              </w:rPr>
            </w:pPr>
            <w:r w:rsidRPr="004A71BC">
              <w:rPr>
                <w:i/>
              </w:rPr>
              <w:t>Risk assessment: all industries (annual assessment) - year 2 – 10</w:t>
            </w:r>
          </w:p>
        </w:tc>
        <w:tc>
          <w:tcPr>
            <w:tcW w:w="834" w:type="pct"/>
            <w:vMerge w:val="restart"/>
            <w:tcBorders>
              <w:top w:val="single" w:sz="8" w:space="0" w:color="D9D9D9"/>
              <w:left w:val="single" w:sz="8" w:space="0" w:color="D9D9D9"/>
              <w:right w:val="single" w:sz="8" w:space="0" w:color="D9D9D9"/>
            </w:tcBorders>
            <w:shd w:val="clear" w:color="auto" w:fill="FFFFFF" w:themeFill="background1"/>
          </w:tcPr>
          <w:p w14:paraId="448F87F1" w14:textId="557F363C" w:rsidR="00150A13" w:rsidRPr="00150A13" w:rsidRDefault="00150A13" w:rsidP="004A71BC">
            <w:pPr>
              <w:pStyle w:val="TableBody"/>
              <w:rPr>
                <w:rFonts w:cstheme="minorHAnsi"/>
                <w:szCs w:val="18"/>
              </w:rPr>
            </w:pPr>
            <w:r w:rsidRPr="00150A13">
              <w:t>Additional labour costs for the preparation/</w:t>
            </w:r>
            <w:r w:rsidR="004A71BC" w:rsidRPr="00150A13">
              <w:t>revision of</w:t>
            </w:r>
            <w:r w:rsidRPr="00150A13">
              <w:rPr>
                <w:rFonts w:cstheme="minorHAnsi"/>
                <w:szCs w:val="18"/>
              </w:rPr>
              <w:t xml:space="preserve"> risk assessment on an annual basis</w:t>
            </w:r>
          </w:p>
          <w:p w14:paraId="515F1439" w14:textId="77777777" w:rsidR="00150A13" w:rsidRPr="00150A13" w:rsidRDefault="00150A13" w:rsidP="004A71BC">
            <w:pPr>
              <w:pStyle w:val="TableBody"/>
            </w:pPr>
          </w:p>
        </w:tc>
        <w:tc>
          <w:tcPr>
            <w:tcW w:w="750"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4797A938" w14:textId="77777777" w:rsidR="00150A13" w:rsidRPr="00150A13" w:rsidRDefault="00150A13" w:rsidP="004A71BC">
            <w:pPr>
              <w:pStyle w:val="TableBody"/>
              <w:rPr>
                <w:color w:val="262626" w:themeColor="text1" w:themeTint="D9"/>
              </w:rPr>
            </w:pPr>
            <w:r w:rsidRPr="00150A13">
              <w:t>Time taken to prepare risk assessment (hours)</w:t>
            </w:r>
          </w:p>
        </w:tc>
        <w:tc>
          <w:tcPr>
            <w:tcW w:w="466" w:type="pct"/>
            <w:gridSpan w:val="2"/>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2043B35F" w14:textId="77777777" w:rsidR="00150A13" w:rsidRPr="00150A13" w:rsidRDefault="00150A13" w:rsidP="004A71BC">
            <w:pPr>
              <w:pStyle w:val="TableBody"/>
              <w:rPr>
                <w:rFonts w:eastAsia="Times New Roman" w:cstheme="minorHAnsi"/>
                <w:szCs w:val="18"/>
              </w:rPr>
            </w:pPr>
            <w:r w:rsidRPr="00150A13">
              <w:t>Small</w:t>
            </w:r>
          </w:p>
          <w:p w14:paraId="6044F7CF" w14:textId="77777777" w:rsidR="00150A13" w:rsidRPr="00150A13" w:rsidRDefault="00150A13" w:rsidP="004A71BC">
            <w:pPr>
              <w:pStyle w:val="TableBody"/>
            </w:pPr>
            <w:r w:rsidRPr="00150A13">
              <w:t>3</w:t>
            </w:r>
          </w:p>
        </w:tc>
        <w:tc>
          <w:tcPr>
            <w:tcW w:w="466" w:type="pct"/>
            <w:gridSpan w:val="2"/>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50E3B829" w14:textId="77777777" w:rsidR="00150A13" w:rsidRPr="00150A13" w:rsidRDefault="00150A13" w:rsidP="004A71BC">
            <w:pPr>
              <w:pStyle w:val="TableBody"/>
              <w:rPr>
                <w:rFonts w:eastAsia="Times New Roman" w:cstheme="minorHAnsi"/>
                <w:szCs w:val="18"/>
              </w:rPr>
            </w:pPr>
            <w:r w:rsidRPr="00150A13">
              <w:t>Medium</w:t>
            </w:r>
          </w:p>
          <w:p w14:paraId="4B1CCF51" w14:textId="77777777" w:rsidR="00150A13" w:rsidRPr="00150A13" w:rsidRDefault="00150A13" w:rsidP="004A71BC">
            <w:pPr>
              <w:pStyle w:val="TableBody"/>
            </w:pPr>
            <w:r w:rsidRPr="00150A13">
              <w:t>3</w:t>
            </w:r>
          </w:p>
        </w:tc>
        <w:tc>
          <w:tcPr>
            <w:tcW w:w="468"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2B4A28C6" w14:textId="77777777" w:rsidR="00150A13" w:rsidRPr="00150A13" w:rsidRDefault="00150A13" w:rsidP="004A71BC">
            <w:pPr>
              <w:pStyle w:val="TableBody"/>
              <w:rPr>
                <w:rFonts w:eastAsia="Times New Roman" w:cstheme="minorHAnsi"/>
                <w:szCs w:val="18"/>
              </w:rPr>
            </w:pPr>
            <w:r w:rsidRPr="00150A13">
              <w:t>Large</w:t>
            </w:r>
          </w:p>
          <w:p w14:paraId="570AFF4E" w14:textId="77777777" w:rsidR="00150A13" w:rsidRPr="00150A13" w:rsidRDefault="00150A13" w:rsidP="004A71BC">
            <w:pPr>
              <w:pStyle w:val="TableBody"/>
            </w:pPr>
            <w:r w:rsidRPr="00150A13">
              <w:t>4</w:t>
            </w:r>
            <w:r w:rsidRPr="00150A13">
              <w:rPr>
                <w:rFonts w:ascii="EYInterstate Light" w:eastAsia="Times New Roman" w:hAnsi="EYInterstate Light" w:cs="Times New Roman"/>
                <w:sz w:val="20"/>
                <w:szCs w:val="24"/>
                <w:vertAlign w:val="superscript"/>
              </w:rPr>
              <w:t xml:space="preserve"> </w:t>
            </w:r>
            <w:r w:rsidRPr="00150A13">
              <w:rPr>
                <w:vertAlign w:val="superscript"/>
              </w:rPr>
              <w:footnoteReference w:id="46"/>
            </w:r>
          </w:p>
        </w:tc>
        <w:tc>
          <w:tcPr>
            <w:tcW w:w="1317" w:type="pct"/>
            <w:vMerge w:val="restart"/>
            <w:tcBorders>
              <w:top w:val="single" w:sz="8" w:space="0" w:color="D9D9D9"/>
              <w:left w:val="single" w:sz="8" w:space="0" w:color="D9D9D9"/>
              <w:right w:val="single" w:sz="8" w:space="0" w:color="D9D9D9"/>
            </w:tcBorders>
            <w:shd w:val="clear" w:color="auto" w:fill="FFFFFF" w:themeFill="background1"/>
            <w:vAlign w:val="center"/>
          </w:tcPr>
          <w:p w14:paraId="5BF14932" w14:textId="77777777" w:rsidR="00150A13" w:rsidRPr="004A71BC" w:rsidRDefault="00150A13" w:rsidP="004A71BC">
            <w:pPr>
              <w:pStyle w:val="TableBody"/>
              <w:jc w:val="center"/>
              <w:rPr>
                <w:b/>
                <w:bCs/>
                <w:color w:val="262626" w:themeColor="text1" w:themeTint="D9"/>
              </w:rPr>
            </w:pPr>
            <w:r w:rsidRPr="004A71BC">
              <w:rPr>
                <w:b/>
              </w:rPr>
              <w:t xml:space="preserve">Cost of risk </w:t>
            </w:r>
            <w:r w:rsidRPr="004A71BC">
              <w:rPr>
                <w:rFonts w:eastAsia="Times New Roman" w:cstheme="minorHAnsi"/>
                <w:b/>
                <w:szCs w:val="18"/>
              </w:rPr>
              <w:t>assessment: (year– 2- 10)</w:t>
            </w:r>
          </w:p>
          <w:p w14:paraId="5291F8A7" w14:textId="77777777" w:rsidR="00150A13" w:rsidRPr="00150A13" w:rsidRDefault="00150A13" w:rsidP="004A71BC">
            <w:pPr>
              <w:pStyle w:val="TableBody"/>
              <w:jc w:val="center"/>
              <w:rPr>
                <w:color w:val="262626" w:themeColor="text1" w:themeTint="D9"/>
              </w:rPr>
            </w:pPr>
            <w:r w:rsidRPr="00150A13">
              <w:t>=</w:t>
            </w:r>
          </w:p>
          <w:p w14:paraId="44FCF150" w14:textId="77777777" w:rsidR="00150A13" w:rsidRPr="00150A13" w:rsidRDefault="00150A13" w:rsidP="004A71BC">
            <w:pPr>
              <w:pStyle w:val="TableBody"/>
              <w:jc w:val="center"/>
              <w:rPr>
                <w:color w:val="262626" w:themeColor="text1" w:themeTint="D9"/>
              </w:rPr>
            </w:pPr>
            <w:r w:rsidRPr="00150A13">
              <w:t>Time taken to prepare risk assessment report</w:t>
            </w:r>
          </w:p>
          <w:p w14:paraId="36C27151" w14:textId="77777777" w:rsidR="00150A13" w:rsidRPr="00150A13" w:rsidRDefault="00150A13" w:rsidP="004A71BC">
            <w:pPr>
              <w:pStyle w:val="TableBody"/>
              <w:jc w:val="center"/>
              <w:rPr>
                <w:color w:val="262626" w:themeColor="text1" w:themeTint="D9"/>
                <w:u w:val="single"/>
              </w:rPr>
            </w:pPr>
            <w:r w:rsidRPr="00150A13">
              <w:t>×</w:t>
            </w:r>
          </w:p>
          <w:p w14:paraId="5C81EF70" w14:textId="0CECEACD" w:rsidR="00150A13" w:rsidRPr="00150A13" w:rsidRDefault="00150A13" w:rsidP="004A71BC">
            <w:pPr>
              <w:pStyle w:val="TableBody"/>
              <w:jc w:val="center"/>
              <w:rPr>
                <w:color w:val="262626" w:themeColor="text1" w:themeTint="D9"/>
              </w:rPr>
            </w:pPr>
            <w:r w:rsidRPr="00150A13">
              <w:t>Average wage/hour</w:t>
            </w:r>
          </w:p>
          <w:p w14:paraId="7FCB92AC" w14:textId="77777777" w:rsidR="00150A13" w:rsidRPr="00150A13" w:rsidRDefault="00150A13" w:rsidP="004A71BC">
            <w:pPr>
              <w:pStyle w:val="TableBody"/>
              <w:jc w:val="center"/>
              <w:rPr>
                <w:rFonts w:eastAsia="Times New Roman" w:cstheme="minorHAnsi"/>
                <w:szCs w:val="18"/>
              </w:rPr>
            </w:pPr>
            <w:r w:rsidRPr="00150A13">
              <w:t>X</w:t>
            </w:r>
          </w:p>
          <w:p w14:paraId="3FC6BB68" w14:textId="77777777" w:rsidR="00150A13" w:rsidRPr="00150A13" w:rsidRDefault="00150A13" w:rsidP="004A71BC">
            <w:pPr>
              <w:pStyle w:val="TableBody"/>
              <w:jc w:val="center"/>
              <w:rPr>
                <w:rFonts w:eastAsia="Times New Roman" w:cstheme="minorHAnsi"/>
                <w:szCs w:val="18"/>
              </w:rPr>
            </w:pPr>
            <w:r w:rsidRPr="00150A13">
              <w:t>Number of workers</w:t>
            </w:r>
          </w:p>
          <w:p w14:paraId="4610666A" w14:textId="77777777" w:rsidR="00150A13" w:rsidRPr="00150A13" w:rsidRDefault="00150A13" w:rsidP="004A71BC">
            <w:pPr>
              <w:pStyle w:val="TableBody"/>
              <w:jc w:val="center"/>
              <w:rPr>
                <w:rFonts w:eastAsia="Times New Roman" w:cstheme="minorHAnsi"/>
                <w:szCs w:val="18"/>
              </w:rPr>
            </w:pPr>
            <w:r w:rsidRPr="00150A13">
              <w:t>x</w:t>
            </w:r>
          </w:p>
          <w:p w14:paraId="7E35BDFB" w14:textId="77777777" w:rsidR="00150A13" w:rsidRPr="00150A13" w:rsidRDefault="00150A13" w:rsidP="004A71BC">
            <w:pPr>
              <w:pStyle w:val="TableBody"/>
              <w:jc w:val="center"/>
            </w:pPr>
            <w:r w:rsidRPr="00150A13">
              <w:t>Number of PCBUs working with engineered stone in Australia</w:t>
            </w:r>
          </w:p>
        </w:tc>
      </w:tr>
      <w:tr w:rsidR="00150A13" w:rsidRPr="00150A13" w14:paraId="2937E3AC" w14:textId="77777777" w:rsidTr="004C687A">
        <w:trPr>
          <w:trHeight w:val="20"/>
        </w:trPr>
        <w:tc>
          <w:tcPr>
            <w:tcW w:w="699"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4678E1DE" w14:textId="77777777" w:rsidR="00150A13" w:rsidRPr="00150A13" w:rsidRDefault="00150A13" w:rsidP="004A71BC">
            <w:pPr>
              <w:pStyle w:val="TableBody"/>
            </w:pPr>
          </w:p>
        </w:tc>
        <w:tc>
          <w:tcPr>
            <w:tcW w:w="834" w:type="pct"/>
            <w:vMerge/>
            <w:tcBorders>
              <w:left w:val="single" w:sz="8" w:space="0" w:color="D9D9D9"/>
              <w:right w:val="single" w:sz="8" w:space="0" w:color="D9D9D9"/>
            </w:tcBorders>
            <w:shd w:val="clear" w:color="auto" w:fill="FFFFFF" w:themeFill="background1"/>
          </w:tcPr>
          <w:p w14:paraId="267DE5D4" w14:textId="77777777" w:rsidR="00150A13" w:rsidRPr="00150A13" w:rsidRDefault="00150A13" w:rsidP="004A71BC">
            <w:pPr>
              <w:pStyle w:val="TableBody"/>
            </w:pPr>
          </w:p>
        </w:tc>
        <w:tc>
          <w:tcPr>
            <w:tcW w:w="750"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46E6CA3C" w14:textId="77777777" w:rsidR="00150A13" w:rsidRPr="00150A13" w:rsidRDefault="00150A13" w:rsidP="004A71BC">
            <w:pPr>
              <w:pStyle w:val="TableBody"/>
              <w:rPr>
                <w:color w:val="262626" w:themeColor="text1" w:themeTint="D9"/>
              </w:rPr>
            </w:pPr>
            <w:r w:rsidRPr="00150A13">
              <w:rPr>
                <w:color w:val="262626" w:themeColor="text1" w:themeTint="D9"/>
              </w:rPr>
              <w:t>Average wage / hour ($)</w:t>
            </w:r>
          </w:p>
        </w:tc>
        <w:tc>
          <w:tcPr>
            <w:tcW w:w="1400" w:type="pct"/>
            <w:gridSpan w:val="5"/>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1EE93FEF" w14:textId="77777777" w:rsidR="00150A13" w:rsidRPr="00150A13" w:rsidRDefault="00150A13" w:rsidP="004A71BC">
            <w:pPr>
              <w:pStyle w:val="TableBody"/>
            </w:pPr>
            <w:r w:rsidRPr="00150A13">
              <w:t xml:space="preserve">$46.24 </w:t>
            </w:r>
            <w:r w:rsidRPr="00150A13">
              <w:fldChar w:fldCharType="begin"/>
            </w:r>
            <w:r w:rsidRPr="00150A13">
              <w:instrText xml:space="preserve"> ADDIN ZOTERO_ITEM CSL_CITATION {"citationID":"Ce9sPwBU","properties":{"formattedCitation":"(Australian Bureau of Statistics 2021c)","plainCitation":"(Australian Bureau of Statistics 2021c)","noteIndex":0},"citationItems":[{"id":913,"uris":["http://zotero.org/users/6230888/items/YWAVMKLE"],"itemData":{"id":913,"type":"webpage","abstract":"Estimates of weekly earnings classified by industry, sector, state and territory","language":"en","title":"Average Weekly Earnings, Australia, November 2021","URL":"https://www.abs.gov.au/statistics/labour/earnings-and-working-conditions/average-weekly-earnings-australia/latest-release","author":[{"literal":"Australian Bureau of Statistics"}],"accessed":{"date-parts":[["2022",6,30]]},"issued":{"date-parts":[["2021"]]}}}],"schema":"https://github.com/citation-style-language/schema/raw/master/csl-citation.json"} </w:instrText>
            </w:r>
            <w:r w:rsidRPr="00150A13">
              <w:fldChar w:fldCharType="separate"/>
            </w:r>
            <w:r w:rsidRPr="00150A13">
              <w:rPr>
                <w:rFonts w:ascii="Calibri" w:hAnsi="Calibri" w:cs="Calibri"/>
                <w:szCs w:val="24"/>
              </w:rPr>
              <w:t>(Australian Bureau of Statistics 2021c)</w:t>
            </w:r>
            <w:r w:rsidRPr="00150A13">
              <w:fldChar w:fldCharType="end"/>
            </w:r>
          </w:p>
        </w:tc>
        <w:tc>
          <w:tcPr>
            <w:tcW w:w="1317" w:type="pct"/>
            <w:vMerge/>
            <w:tcBorders>
              <w:left w:val="single" w:sz="8" w:space="0" w:color="D9D9D9"/>
              <w:right w:val="single" w:sz="8" w:space="0" w:color="D9D9D9"/>
            </w:tcBorders>
            <w:shd w:val="clear" w:color="auto" w:fill="FFFFFF" w:themeFill="background1"/>
            <w:vAlign w:val="center"/>
          </w:tcPr>
          <w:p w14:paraId="75466905" w14:textId="77777777" w:rsidR="00150A13" w:rsidRPr="00150A13" w:rsidRDefault="00150A13" w:rsidP="00150A13">
            <w:pPr>
              <w:spacing w:after="240" w:line="264" w:lineRule="auto"/>
              <w:ind w:left="134" w:right="130"/>
              <w:contextualSpacing/>
              <w:jc w:val="center"/>
              <w:rPr>
                <w:rFonts w:eastAsia="Times New Roman" w:cstheme="minorHAnsi"/>
                <w:b/>
                <w:bCs/>
                <w:sz w:val="18"/>
                <w:szCs w:val="18"/>
              </w:rPr>
            </w:pPr>
          </w:p>
        </w:tc>
      </w:tr>
      <w:tr w:rsidR="00150A13" w:rsidRPr="00150A13" w14:paraId="34E6417A" w14:textId="77777777" w:rsidTr="004C687A">
        <w:trPr>
          <w:trHeight w:val="20"/>
        </w:trPr>
        <w:tc>
          <w:tcPr>
            <w:tcW w:w="699"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602604E4" w14:textId="77777777" w:rsidR="00150A13" w:rsidRPr="00150A13" w:rsidRDefault="00150A13" w:rsidP="004A71BC">
            <w:pPr>
              <w:pStyle w:val="TableBody"/>
            </w:pPr>
          </w:p>
        </w:tc>
        <w:tc>
          <w:tcPr>
            <w:tcW w:w="834" w:type="pct"/>
            <w:vMerge/>
            <w:tcBorders>
              <w:left w:val="single" w:sz="8" w:space="0" w:color="D9D9D9"/>
              <w:right w:val="single" w:sz="8" w:space="0" w:color="D9D9D9"/>
            </w:tcBorders>
            <w:shd w:val="clear" w:color="auto" w:fill="FFFFFF" w:themeFill="background1"/>
          </w:tcPr>
          <w:p w14:paraId="2D967CA4" w14:textId="77777777" w:rsidR="00150A13" w:rsidRPr="00150A13" w:rsidRDefault="00150A13" w:rsidP="004A71BC">
            <w:pPr>
              <w:pStyle w:val="TableBody"/>
            </w:pPr>
          </w:p>
        </w:tc>
        <w:tc>
          <w:tcPr>
            <w:tcW w:w="750"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013862F1" w14:textId="77777777" w:rsidR="00150A13" w:rsidRPr="00150A13" w:rsidRDefault="00150A13" w:rsidP="004A71BC">
            <w:pPr>
              <w:pStyle w:val="TableBody"/>
              <w:rPr>
                <w:color w:val="262626" w:themeColor="text1" w:themeTint="D9"/>
              </w:rPr>
            </w:pPr>
            <w:r w:rsidRPr="00150A13">
              <w:rPr>
                <w:color w:val="000000"/>
              </w:rPr>
              <w:t>Number of workers (#)</w:t>
            </w:r>
          </w:p>
        </w:tc>
        <w:tc>
          <w:tcPr>
            <w:tcW w:w="1400" w:type="pct"/>
            <w:gridSpan w:val="5"/>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6B387657" w14:textId="77777777" w:rsidR="00150A13" w:rsidRPr="00150A13" w:rsidRDefault="00150A13" w:rsidP="004A71BC">
            <w:pPr>
              <w:pStyle w:val="TableBody"/>
            </w:pPr>
            <w:r w:rsidRPr="00150A13">
              <w:t>2</w:t>
            </w:r>
            <w:r w:rsidRPr="00150A13">
              <w:rPr>
                <w:vertAlign w:val="superscript"/>
              </w:rPr>
              <w:footnoteReference w:id="47"/>
            </w:r>
          </w:p>
        </w:tc>
        <w:tc>
          <w:tcPr>
            <w:tcW w:w="1317" w:type="pct"/>
            <w:vMerge/>
            <w:tcBorders>
              <w:left w:val="single" w:sz="8" w:space="0" w:color="D9D9D9"/>
              <w:right w:val="single" w:sz="8" w:space="0" w:color="D9D9D9"/>
            </w:tcBorders>
            <w:shd w:val="clear" w:color="auto" w:fill="FFFFFF" w:themeFill="background1"/>
            <w:vAlign w:val="center"/>
          </w:tcPr>
          <w:p w14:paraId="7020C9AF" w14:textId="77777777" w:rsidR="00150A13" w:rsidRPr="00150A13" w:rsidRDefault="00150A13" w:rsidP="00150A13">
            <w:pPr>
              <w:spacing w:after="240" w:line="264" w:lineRule="auto"/>
              <w:ind w:left="134" w:right="130"/>
              <w:contextualSpacing/>
              <w:jc w:val="center"/>
              <w:rPr>
                <w:rFonts w:eastAsia="Times New Roman" w:cstheme="minorHAnsi"/>
                <w:b/>
                <w:bCs/>
                <w:sz w:val="18"/>
                <w:szCs w:val="18"/>
              </w:rPr>
            </w:pPr>
          </w:p>
        </w:tc>
      </w:tr>
      <w:tr w:rsidR="00150A13" w:rsidRPr="00150A13" w14:paraId="513C306D" w14:textId="77777777" w:rsidTr="004C687A">
        <w:trPr>
          <w:trHeight w:val="20"/>
        </w:trPr>
        <w:tc>
          <w:tcPr>
            <w:tcW w:w="699"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006AA563" w14:textId="77777777" w:rsidR="00150A13" w:rsidRPr="00150A13" w:rsidRDefault="00150A13" w:rsidP="004A71BC">
            <w:pPr>
              <w:pStyle w:val="TableBody"/>
            </w:pPr>
          </w:p>
        </w:tc>
        <w:tc>
          <w:tcPr>
            <w:tcW w:w="834" w:type="pct"/>
            <w:vMerge/>
            <w:tcBorders>
              <w:left w:val="single" w:sz="8" w:space="0" w:color="D9D9D9"/>
              <w:right w:val="single" w:sz="8" w:space="0" w:color="D9D9D9"/>
            </w:tcBorders>
            <w:shd w:val="clear" w:color="auto" w:fill="FFFFFF" w:themeFill="background1"/>
          </w:tcPr>
          <w:p w14:paraId="1657860F" w14:textId="77777777" w:rsidR="00150A13" w:rsidRPr="00150A13" w:rsidRDefault="00150A13" w:rsidP="004A71BC">
            <w:pPr>
              <w:pStyle w:val="TableBody"/>
            </w:pPr>
          </w:p>
        </w:tc>
        <w:tc>
          <w:tcPr>
            <w:tcW w:w="750"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36BE9EAE" w14:textId="77777777" w:rsidR="00150A13" w:rsidRPr="00150A13" w:rsidRDefault="00150A13" w:rsidP="004A71BC">
            <w:pPr>
              <w:pStyle w:val="TableBody"/>
              <w:rPr>
                <w:color w:val="262626" w:themeColor="text1" w:themeTint="D9"/>
              </w:rPr>
            </w:pPr>
            <w:r w:rsidRPr="00150A13">
              <w:rPr>
                <w:color w:val="262626" w:themeColor="text1" w:themeTint="D9"/>
              </w:rPr>
              <w:t>Number of PCBUs working with engineered stone in Australia (#)</w:t>
            </w:r>
          </w:p>
        </w:tc>
        <w:tc>
          <w:tcPr>
            <w:tcW w:w="1400" w:type="pct"/>
            <w:gridSpan w:val="5"/>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49DA4527" w14:textId="77777777" w:rsidR="00150A13" w:rsidRPr="00150A13" w:rsidRDefault="00150A13" w:rsidP="004A71BC">
            <w:pPr>
              <w:pStyle w:val="TableBody"/>
            </w:pPr>
            <w:r w:rsidRPr="00150A13">
              <w:t xml:space="preserve">1,000 </w:t>
            </w:r>
            <w:r w:rsidRPr="00150A13">
              <w:fldChar w:fldCharType="begin"/>
            </w:r>
            <w:r w:rsidRPr="00150A13">
              <w:instrText xml:space="preserve"> ADDIN ZOTERO_ITEM CSL_CITATION {"citationID":"kLE8vf9i","properties":{"formattedCitation":"(Australian Engineered Stone Advisory Group 2019)","plainCitation":"(Australian Engineered Stone Advisory Group 2019)","noteIndex":0},"citationItems":[{"id":918,"uris":["http://zotero.org/users/6230888/items/4WCCIQ5J"],"itemData":{"id":918,"type":"report","page":"102","title":"Members of the Australian Engineered Stone Advisory Group (AESAG) Application for authorisation to the Australian Competition and Consumer Commission (ACCC)","URL":"https://www.accc.gov.au/system/files/public-registers/documents/Australian%20Engineered%20Stone%20Advisory%20Group%20%28AESAG%29%20-%20Application%20Received%20-%2029.11.19%20-%20PR%20VERSION.pdf","author":[{"literal":"Australian Engineered Stone Advisory Group"}],"accessed":{"date-parts":[["2022",6,30]]},"issued":{"date-parts":[["2019"]]}}}],"schema":"https://github.com/citation-style-language/schema/raw/master/csl-citation.json"} </w:instrText>
            </w:r>
            <w:r w:rsidRPr="00150A13">
              <w:fldChar w:fldCharType="separate"/>
            </w:r>
            <w:r w:rsidRPr="00150A13">
              <w:rPr>
                <w:rFonts w:ascii="Calibri" w:hAnsi="Calibri" w:cs="Calibri"/>
                <w:szCs w:val="24"/>
              </w:rPr>
              <w:t>(Australian Engineered Stone Advisory Group 2019)</w:t>
            </w:r>
            <w:r w:rsidRPr="00150A13">
              <w:fldChar w:fldCharType="end"/>
            </w:r>
          </w:p>
        </w:tc>
        <w:tc>
          <w:tcPr>
            <w:tcW w:w="1317" w:type="pct"/>
            <w:vMerge/>
            <w:tcBorders>
              <w:left w:val="single" w:sz="8" w:space="0" w:color="D9D9D9"/>
              <w:right w:val="single" w:sz="8" w:space="0" w:color="D9D9D9"/>
            </w:tcBorders>
            <w:shd w:val="clear" w:color="auto" w:fill="FFFFFF" w:themeFill="background1"/>
            <w:vAlign w:val="center"/>
          </w:tcPr>
          <w:p w14:paraId="559BB359" w14:textId="77777777" w:rsidR="00150A13" w:rsidRPr="00150A13" w:rsidRDefault="00150A13" w:rsidP="00150A13">
            <w:pPr>
              <w:spacing w:after="240" w:line="264" w:lineRule="auto"/>
              <w:ind w:left="134" w:right="130"/>
              <w:contextualSpacing/>
              <w:jc w:val="center"/>
              <w:rPr>
                <w:rFonts w:eastAsia="Times New Roman" w:cstheme="minorHAnsi"/>
                <w:b/>
                <w:bCs/>
                <w:sz w:val="18"/>
                <w:szCs w:val="18"/>
              </w:rPr>
            </w:pPr>
          </w:p>
        </w:tc>
      </w:tr>
      <w:tr w:rsidR="00150A13" w:rsidRPr="00150A13" w14:paraId="485204B9" w14:textId="77777777" w:rsidTr="004C687A">
        <w:trPr>
          <w:trHeight w:val="20"/>
        </w:trPr>
        <w:tc>
          <w:tcPr>
            <w:tcW w:w="699" w:type="pct"/>
            <w:vMerge w:val="restart"/>
            <w:tcBorders>
              <w:top w:val="single" w:sz="8" w:space="0" w:color="D9D9D9"/>
              <w:left w:val="single" w:sz="8" w:space="0" w:color="D9D9D9"/>
              <w:right w:val="single" w:sz="8" w:space="0" w:color="D9D9D9"/>
            </w:tcBorders>
            <w:shd w:val="clear" w:color="auto" w:fill="F2F2F2" w:themeFill="background1" w:themeFillShade="F2"/>
            <w:tcMar>
              <w:top w:w="72" w:type="dxa"/>
              <w:left w:w="144" w:type="dxa"/>
              <w:bottom w:w="72" w:type="dxa"/>
              <w:right w:w="144" w:type="dxa"/>
            </w:tcMar>
            <w:hideMark/>
          </w:tcPr>
          <w:p w14:paraId="0D1AB04D" w14:textId="77777777" w:rsidR="00150A13" w:rsidRPr="004A71BC" w:rsidRDefault="00150A13" w:rsidP="004A71BC">
            <w:pPr>
              <w:pStyle w:val="TableBody"/>
              <w:rPr>
                <w:i/>
                <w:color w:val="262626" w:themeColor="text1" w:themeTint="D9"/>
              </w:rPr>
            </w:pPr>
            <w:r w:rsidRPr="004A71BC">
              <w:rPr>
                <w:i/>
              </w:rPr>
              <w:t xml:space="preserve">Engineered stone control plan </w:t>
            </w:r>
          </w:p>
        </w:tc>
        <w:tc>
          <w:tcPr>
            <w:tcW w:w="834" w:type="pct"/>
            <w:vMerge w:val="restart"/>
            <w:tcBorders>
              <w:top w:val="single" w:sz="8" w:space="0" w:color="D9D9D9"/>
              <w:left w:val="single" w:sz="8" w:space="0" w:color="D9D9D9"/>
              <w:right w:val="single" w:sz="8" w:space="0" w:color="D9D9D9"/>
            </w:tcBorders>
            <w:shd w:val="clear" w:color="auto" w:fill="FFFFFF" w:themeFill="background1"/>
          </w:tcPr>
          <w:p w14:paraId="53EA2043" w14:textId="77777777" w:rsidR="00150A13" w:rsidRPr="00150A13" w:rsidRDefault="00150A13" w:rsidP="004A71BC">
            <w:pPr>
              <w:pStyle w:val="TableBody"/>
              <w:rPr>
                <w:color w:val="262626" w:themeColor="text1" w:themeTint="D9"/>
                <w:sz w:val="20"/>
                <w:szCs w:val="20"/>
              </w:rPr>
            </w:pPr>
            <w:r w:rsidRPr="00150A13">
              <w:t xml:space="preserve">Labour costs to prepare an engineered stone </w:t>
            </w:r>
            <w:r w:rsidRPr="00150A13">
              <w:lastRenderedPageBreak/>
              <w:t>control and implementation plan</w:t>
            </w:r>
          </w:p>
        </w:tc>
        <w:tc>
          <w:tcPr>
            <w:tcW w:w="750"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57E47D36" w14:textId="77777777" w:rsidR="00150A13" w:rsidRPr="00150A13" w:rsidRDefault="00150A13" w:rsidP="004A71BC">
            <w:pPr>
              <w:pStyle w:val="TableBody"/>
              <w:rPr>
                <w:b/>
                <w:color w:val="262626" w:themeColor="text1" w:themeTint="D9"/>
              </w:rPr>
            </w:pPr>
            <w:r w:rsidRPr="00150A13">
              <w:rPr>
                <w:color w:val="262626" w:themeColor="text1" w:themeTint="D9"/>
              </w:rPr>
              <w:lastRenderedPageBreak/>
              <w:t xml:space="preserve">Number of hours per year to prepare engineered stone </w:t>
            </w:r>
            <w:r w:rsidRPr="00150A13">
              <w:rPr>
                <w:color w:val="262626" w:themeColor="text1" w:themeTint="D9"/>
              </w:rPr>
              <w:lastRenderedPageBreak/>
              <w:t>control plan (hours/year)</w:t>
            </w:r>
          </w:p>
        </w:tc>
        <w:tc>
          <w:tcPr>
            <w:tcW w:w="1400" w:type="pct"/>
            <w:gridSpan w:val="5"/>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73A45668" w14:textId="77777777" w:rsidR="00150A13" w:rsidRPr="00150A13" w:rsidRDefault="00150A13" w:rsidP="004A71BC">
            <w:pPr>
              <w:pStyle w:val="TableBody"/>
            </w:pPr>
            <w:r w:rsidRPr="00150A13">
              <w:lastRenderedPageBreak/>
              <w:t>4</w:t>
            </w:r>
            <w:r w:rsidRPr="00150A13">
              <w:rPr>
                <w:vertAlign w:val="superscript"/>
              </w:rPr>
              <w:footnoteReference w:id="48"/>
            </w:r>
          </w:p>
        </w:tc>
        <w:tc>
          <w:tcPr>
            <w:tcW w:w="1317" w:type="pct"/>
            <w:vMerge w:val="restart"/>
            <w:tcBorders>
              <w:top w:val="single" w:sz="8" w:space="0" w:color="D9D9D9"/>
              <w:left w:val="single" w:sz="8" w:space="0" w:color="D9D9D9"/>
              <w:right w:val="single" w:sz="8" w:space="0" w:color="D9D9D9"/>
            </w:tcBorders>
            <w:shd w:val="clear" w:color="auto" w:fill="FFFFFF" w:themeFill="background1"/>
            <w:vAlign w:val="center"/>
            <w:hideMark/>
          </w:tcPr>
          <w:p w14:paraId="0293D32A" w14:textId="77777777" w:rsidR="00150A13" w:rsidRPr="004A71BC" w:rsidRDefault="00150A13" w:rsidP="004A71BC">
            <w:pPr>
              <w:pStyle w:val="TableBody"/>
              <w:jc w:val="center"/>
              <w:rPr>
                <w:b/>
                <w:bCs/>
                <w:color w:val="262626" w:themeColor="text1" w:themeTint="D9"/>
              </w:rPr>
            </w:pPr>
            <w:r w:rsidRPr="004A71BC">
              <w:rPr>
                <w:b/>
              </w:rPr>
              <w:t>Cost of engineered stone control plan</w:t>
            </w:r>
          </w:p>
          <w:p w14:paraId="7C189DA3" w14:textId="77777777" w:rsidR="00150A13" w:rsidRPr="00150A13" w:rsidRDefault="00150A13" w:rsidP="004A71BC">
            <w:pPr>
              <w:pStyle w:val="TableBody"/>
              <w:jc w:val="center"/>
              <w:rPr>
                <w:color w:val="262626" w:themeColor="text1" w:themeTint="D9"/>
              </w:rPr>
            </w:pPr>
            <w:r w:rsidRPr="00150A13">
              <w:lastRenderedPageBreak/>
              <w:t>=</w:t>
            </w:r>
          </w:p>
          <w:p w14:paraId="57647CF0" w14:textId="77777777" w:rsidR="00150A13" w:rsidRPr="00150A13" w:rsidRDefault="00150A13" w:rsidP="004A71BC">
            <w:pPr>
              <w:pStyle w:val="TableBody"/>
              <w:jc w:val="center"/>
              <w:rPr>
                <w:color w:val="262626" w:themeColor="text1" w:themeTint="D9"/>
              </w:rPr>
            </w:pPr>
            <w:r w:rsidRPr="00150A13">
              <w:t xml:space="preserve">Number of hours to </w:t>
            </w:r>
            <w:r w:rsidRPr="00150A13">
              <w:rPr>
                <w:rFonts w:eastAsia="Times New Roman" w:cstheme="minorHAnsi"/>
                <w:szCs w:val="18"/>
              </w:rPr>
              <w:t>prepare an engineered stone control plan</w:t>
            </w:r>
          </w:p>
          <w:p w14:paraId="4519E45F" w14:textId="0C5074D1" w:rsidR="00150A13" w:rsidRPr="00150A13" w:rsidRDefault="00150A13" w:rsidP="004A71BC">
            <w:pPr>
              <w:pStyle w:val="TableBody"/>
              <w:jc w:val="center"/>
              <w:rPr>
                <w:color w:val="262626" w:themeColor="text1" w:themeTint="D9"/>
              </w:rPr>
            </w:pPr>
            <w:r w:rsidRPr="00150A13">
              <w:t>×</w:t>
            </w:r>
          </w:p>
          <w:p w14:paraId="0D5ADA8B" w14:textId="059E2150" w:rsidR="00150A13" w:rsidRPr="00150A13" w:rsidRDefault="00150A13" w:rsidP="004A71BC">
            <w:pPr>
              <w:pStyle w:val="TableBody"/>
              <w:jc w:val="center"/>
              <w:rPr>
                <w:color w:val="262626" w:themeColor="text1" w:themeTint="D9"/>
              </w:rPr>
            </w:pPr>
            <w:r w:rsidRPr="00150A13">
              <w:t>Average wage/hour</w:t>
            </w:r>
          </w:p>
          <w:p w14:paraId="717ECBA7" w14:textId="77777777" w:rsidR="00150A13" w:rsidRPr="00150A13" w:rsidRDefault="00150A13" w:rsidP="004A71BC">
            <w:pPr>
              <w:pStyle w:val="TableBody"/>
              <w:jc w:val="center"/>
              <w:rPr>
                <w:color w:val="262626" w:themeColor="text1" w:themeTint="D9"/>
              </w:rPr>
            </w:pPr>
            <w:r w:rsidRPr="00150A13">
              <w:t>×</w:t>
            </w:r>
          </w:p>
          <w:p w14:paraId="2857B89C" w14:textId="77777777" w:rsidR="00150A13" w:rsidRPr="00150A13" w:rsidRDefault="00150A13" w:rsidP="004A71BC">
            <w:pPr>
              <w:pStyle w:val="TableBody"/>
              <w:jc w:val="center"/>
              <w:rPr>
                <w:color w:val="262626" w:themeColor="text1" w:themeTint="D9"/>
              </w:rPr>
            </w:pPr>
            <w:r w:rsidRPr="00150A13">
              <w:t>Number of PCBUs working with engineered stone in Australia</w:t>
            </w:r>
          </w:p>
        </w:tc>
      </w:tr>
      <w:tr w:rsidR="00150A13" w:rsidRPr="00150A13" w14:paraId="76062A9E" w14:textId="77777777" w:rsidTr="004C687A">
        <w:trPr>
          <w:trHeight w:val="20"/>
        </w:trPr>
        <w:tc>
          <w:tcPr>
            <w:tcW w:w="699"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0D8C1510" w14:textId="77777777" w:rsidR="00150A13" w:rsidRPr="00150A13" w:rsidRDefault="00150A13" w:rsidP="004A71BC">
            <w:pPr>
              <w:pStyle w:val="TableBody"/>
            </w:pPr>
          </w:p>
        </w:tc>
        <w:tc>
          <w:tcPr>
            <w:tcW w:w="834" w:type="pct"/>
            <w:vMerge/>
            <w:tcBorders>
              <w:left w:val="single" w:sz="8" w:space="0" w:color="D9D9D9"/>
              <w:right w:val="single" w:sz="8" w:space="0" w:color="D9D9D9"/>
            </w:tcBorders>
            <w:shd w:val="clear" w:color="auto" w:fill="FFFFFF" w:themeFill="background1"/>
          </w:tcPr>
          <w:p w14:paraId="5210B0D9" w14:textId="77777777" w:rsidR="00150A13" w:rsidRPr="00150A13" w:rsidRDefault="00150A13" w:rsidP="004A71BC">
            <w:pPr>
              <w:pStyle w:val="TableBody"/>
            </w:pPr>
          </w:p>
        </w:tc>
        <w:tc>
          <w:tcPr>
            <w:tcW w:w="750"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655D4AD9" w14:textId="77777777" w:rsidR="00150A13" w:rsidRPr="00150A13" w:rsidRDefault="00150A13" w:rsidP="004A71BC">
            <w:pPr>
              <w:pStyle w:val="TableBody"/>
              <w:rPr>
                <w:b/>
                <w:color w:val="262626" w:themeColor="text1" w:themeTint="D9"/>
              </w:rPr>
            </w:pPr>
            <w:r w:rsidRPr="00150A13">
              <w:t>Average wage/hour ($)</w:t>
            </w:r>
          </w:p>
        </w:tc>
        <w:tc>
          <w:tcPr>
            <w:tcW w:w="1400" w:type="pct"/>
            <w:gridSpan w:val="5"/>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470D54C0" w14:textId="77777777" w:rsidR="00150A13" w:rsidRPr="00150A13" w:rsidRDefault="00150A13" w:rsidP="004A71BC">
            <w:pPr>
              <w:pStyle w:val="TableBody"/>
              <w:rPr>
                <w:b/>
              </w:rPr>
            </w:pPr>
            <w:r w:rsidRPr="00150A13">
              <w:t xml:space="preserve">$46.24 </w:t>
            </w:r>
            <w:r w:rsidRPr="00150A13">
              <w:fldChar w:fldCharType="begin"/>
            </w:r>
            <w:r w:rsidRPr="00150A13">
              <w:instrText xml:space="preserve"> ADDIN ZOTERO_ITEM CSL_CITATION {"citationID":"VwpVGo67","properties":{"formattedCitation":"(Australian Bureau of Statistics 2021c)","plainCitation":"(Australian Bureau of Statistics 2021c)","noteIndex":0},"citationItems":[{"id":913,"uris":["http://zotero.org/users/6230888/items/YWAVMKLE"],"itemData":{"id":913,"type":"webpage","abstract":"Estimates of weekly earnings classified by industry, sector, state and territory","language":"en","title":"Average Weekly Earnings, Australia, November 2021","URL":"https://www.abs.gov.au/statistics/labour/earnings-and-working-conditions/average-weekly-earnings-australia/latest-release","author":[{"literal":"Australian Bureau of Statistics"}],"accessed":{"date-parts":[["2022",6,30]]},"issued":{"date-parts":[["2021"]]}}}],"schema":"https://github.com/citation-style-language/schema/raw/master/csl-citation.json"} </w:instrText>
            </w:r>
            <w:r w:rsidRPr="00150A13">
              <w:fldChar w:fldCharType="separate"/>
            </w:r>
            <w:r w:rsidRPr="00150A13">
              <w:rPr>
                <w:rFonts w:ascii="Calibri" w:hAnsi="Calibri" w:cs="Calibri"/>
                <w:szCs w:val="24"/>
              </w:rPr>
              <w:t>(Australian Bureau of Statistics 2021c)</w:t>
            </w:r>
            <w:r w:rsidRPr="00150A13">
              <w:fldChar w:fldCharType="end"/>
            </w:r>
          </w:p>
        </w:tc>
        <w:tc>
          <w:tcPr>
            <w:tcW w:w="1317" w:type="pct"/>
            <w:vMerge/>
            <w:tcBorders>
              <w:left w:val="single" w:sz="8" w:space="0" w:color="D9D9D9"/>
              <w:right w:val="single" w:sz="8" w:space="0" w:color="D9D9D9"/>
            </w:tcBorders>
            <w:shd w:val="clear" w:color="auto" w:fill="FFFFFF" w:themeFill="background1"/>
            <w:vAlign w:val="center"/>
          </w:tcPr>
          <w:p w14:paraId="6579357F" w14:textId="77777777" w:rsidR="00150A13" w:rsidRPr="00150A13" w:rsidRDefault="00150A13" w:rsidP="00150A13">
            <w:pPr>
              <w:spacing w:after="240" w:line="264" w:lineRule="auto"/>
              <w:ind w:left="134" w:right="130"/>
              <w:contextualSpacing/>
              <w:jc w:val="center"/>
              <w:rPr>
                <w:rFonts w:eastAsia="Times New Roman" w:cstheme="minorHAnsi"/>
                <w:b/>
                <w:bCs/>
                <w:sz w:val="18"/>
                <w:szCs w:val="18"/>
              </w:rPr>
            </w:pPr>
          </w:p>
        </w:tc>
      </w:tr>
      <w:tr w:rsidR="00150A13" w:rsidRPr="00150A13" w14:paraId="798AF631" w14:textId="77777777" w:rsidTr="004C687A">
        <w:trPr>
          <w:trHeight w:val="20"/>
        </w:trPr>
        <w:tc>
          <w:tcPr>
            <w:tcW w:w="699" w:type="pct"/>
            <w:vMerge/>
            <w:tcBorders>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659DD54D" w14:textId="77777777" w:rsidR="00150A13" w:rsidRPr="00150A13" w:rsidRDefault="00150A13" w:rsidP="004A71BC">
            <w:pPr>
              <w:pStyle w:val="TableBody"/>
            </w:pPr>
          </w:p>
        </w:tc>
        <w:tc>
          <w:tcPr>
            <w:tcW w:w="834" w:type="pct"/>
            <w:vMerge/>
            <w:tcBorders>
              <w:left w:val="single" w:sz="8" w:space="0" w:color="D9D9D9"/>
              <w:bottom w:val="single" w:sz="8" w:space="0" w:color="D9D9D9"/>
              <w:right w:val="single" w:sz="8" w:space="0" w:color="D9D9D9"/>
            </w:tcBorders>
            <w:shd w:val="clear" w:color="auto" w:fill="FFFFFF" w:themeFill="background1"/>
          </w:tcPr>
          <w:p w14:paraId="730CC602" w14:textId="77777777" w:rsidR="00150A13" w:rsidRPr="00150A13" w:rsidRDefault="00150A13" w:rsidP="004A71BC">
            <w:pPr>
              <w:pStyle w:val="TableBody"/>
            </w:pPr>
          </w:p>
        </w:tc>
        <w:tc>
          <w:tcPr>
            <w:tcW w:w="750"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4C152F2A" w14:textId="77777777" w:rsidR="00150A13" w:rsidRPr="00150A13" w:rsidRDefault="00150A13" w:rsidP="004A71BC">
            <w:pPr>
              <w:pStyle w:val="TableBody"/>
              <w:rPr>
                <w:b/>
                <w:color w:val="262626" w:themeColor="text1" w:themeTint="D9"/>
              </w:rPr>
            </w:pPr>
            <w:r w:rsidRPr="00150A13">
              <w:t>Number of PCBUs working with engineered stone in Australia (#)</w:t>
            </w:r>
          </w:p>
        </w:tc>
        <w:tc>
          <w:tcPr>
            <w:tcW w:w="1400" w:type="pct"/>
            <w:gridSpan w:val="5"/>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63BF4296" w14:textId="77777777" w:rsidR="00150A13" w:rsidRPr="00150A13" w:rsidRDefault="00150A13" w:rsidP="004A71BC">
            <w:pPr>
              <w:pStyle w:val="TableBody"/>
              <w:rPr>
                <w:b/>
              </w:rPr>
            </w:pPr>
            <w:r w:rsidRPr="00150A13">
              <w:t>1,000</w:t>
            </w:r>
            <w:r w:rsidRPr="00150A13">
              <w:rPr>
                <w:rFonts w:ascii="EYInterstate Light" w:eastAsia="Times New Roman" w:hAnsi="EYInterstate Light" w:cs="Times New Roman"/>
                <w:sz w:val="20"/>
                <w:szCs w:val="24"/>
                <w:vertAlign w:val="superscript"/>
              </w:rPr>
              <w:t xml:space="preserve"> </w:t>
            </w:r>
            <w:r w:rsidRPr="00150A13">
              <w:fldChar w:fldCharType="begin"/>
            </w:r>
            <w:r w:rsidRPr="00150A13">
              <w:instrText xml:space="preserve"> ADDIN ZOTERO_ITEM CSL_CITATION {"citationID":"AplO61ru","properties":{"formattedCitation":"(Australian Engineered Stone Advisory Group 2019)","plainCitation":"(Australian Engineered Stone Advisory Group 2019)","noteIndex":0},"citationItems":[{"id":918,"uris":["http://zotero.org/users/6230888/items/4WCCIQ5J"],"itemData":{"id":918,"type":"report","page":"102","title":"Members of the Australian Engineered Stone Advisory Group (AESAG) Application for authorisation to the Australian Competition and Consumer Commission (ACCC)","URL":"https://www.accc.gov.au/system/files/public-registers/documents/Australian%20Engineered%20Stone%20Advisory%20Group%20%28AESAG%29%20-%20Application%20Received%20-%2029.11.19%20-%20PR%20VERSION.pdf","author":[{"literal":"Australian Engineered Stone Advisory Group"}],"accessed":{"date-parts":[["2022",6,30]]},"issued":{"date-parts":[["2019"]]}}}],"schema":"https://github.com/citation-style-language/schema/raw/master/csl-citation.json"} </w:instrText>
            </w:r>
            <w:r w:rsidRPr="00150A13">
              <w:fldChar w:fldCharType="separate"/>
            </w:r>
            <w:r w:rsidRPr="00150A13">
              <w:rPr>
                <w:rFonts w:ascii="Calibri" w:hAnsi="Calibri" w:cs="Calibri"/>
                <w:szCs w:val="24"/>
              </w:rPr>
              <w:t>(Australian Engineered Stone Advisory Group 2019)</w:t>
            </w:r>
            <w:r w:rsidRPr="00150A13">
              <w:fldChar w:fldCharType="end"/>
            </w:r>
          </w:p>
        </w:tc>
        <w:tc>
          <w:tcPr>
            <w:tcW w:w="1317" w:type="pct"/>
            <w:vMerge/>
            <w:tcBorders>
              <w:left w:val="single" w:sz="8" w:space="0" w:color="D9D9D9"/>
              <w:bottom w:val="single" w:sz="8" w:space="0" w:color="D9D9D9"/>
              <w:right w:val="single" w:sz="8" w:space="0" w:color="D9D9D9"/>
            </w:tcBorders>
            <w:shd w:val="clear" w:color="auto" w:fill="FFFFFF" w:themeFill="background1"/>
            <w:vAlign w:val="center"/>
          </w:tcPr>
          <w:p w14:paraId="3B6A56A6" w14:textId="77777777" w:rsidR="00150A13" w:rsidRPr="00150A13" w:rsidRDefault="00150A13" w:rsidP="00150A13">
            <w:pPr>
              <w:spacing w:after="240" w:line="264" w:lineRule="auto"/>
              <w:ind w:left="134" w:right="130"/>
              <w:contextualSpacing/>
              <w:jc w:val="center"/>
              <w:rPr>
                <w:rFonts w:eastAsia="Times New Roman" w:cstheme="minorHAnsi"/>
                <w:b/>
                <w:bCs/>
                <w:sz w:val="18"/>
                <w:szCs w:val="18"/>
              </w:rPr>
            </w:pPr>
          </w:p>
        </w:tc>
      </w:tr>
      <w:tr w:rsidR="00150A13" w:rsidRPr="00150A13" w14:paraId="560AEFE3" w14:textId="77777777" w:rsidTr="004C687A">
        <w:trPr>
          <w:trHeight w:val="560"/>
        </w:trPr>
        <w:tc>
          <w:tcPr>
            <w:tcW w:w="699" w:type="pct"/>
            <w:vMerge w:val="restart"/>
            <w:tcBorders>
              <w:top w:val="single" w:sz="8" w:space="0" w:color="D9D9D9"/>
              <w:left w:val="single" w:sz="8" w:space="0" w:color="D9D9D9"/>
              <w:right w:val="single" w:sz="8" w:space="0" w:color="D9D9D9"/>
            </w:tcBorders>
            <w:shd w:val="clear" w:color="auto" w:fill="F2F2F2" w:themeFill="background1" w:themeFillShade="F2"/>
            <w:tcMar>
              <w:top w:w="72" w:type="dxa"/>
              <w:left w:w="144" w:type="dxa"/>
              <w:bottom w:w="72" w:type="dxa"/>
              <w:right w:w="144" w:type="dxa"/>
            </w:tcMar>
            <w:hideMark/>
          </w:tcPr>
          <w:p w14:paraId="6313B879" w14:textId="77777777" w:rsidR="00150A13" w:rsidRPr="00167967" w:rsidRDefault="00150A13" w:rsidP="004A71BC">
            <w:pPr>
              <w:pStyle w:val="TableBody"/>
              <w:rPr>
                <w:i/>
                <w:color w:val="262626" w:themeColor="text1" w:themeTint="D9"/>
              </w:rPr>
            </w:pPr>
            <w:r w:rsidRPr="00167967">
              <w:rPr>
                <w:i/>
              </w:rPr>
              <w:t>Air monitoring – provision of report to regulators where WES exceedance detected</w:t>
            </w:r>
          </w:p>
        </w:tc>
        <w:tc>
          <w:tcPr>
            <w:tcW w:w="834" w:type="pct"/>
            <w:vMerge w:val="restart"/>
            <w:tcBorders>
              <w:top w:val="single" w:sz="8" w:space="0" w:color="D9D9D9"/>
              <w:left w:val="single" w:sz="8" w:space="0" w:color="D9D9D9"/>
              <w:right w:val="single" w:sz="8" w:space="0" w:color="D9D9D9"/>
            </w:tcBorders>
            <w:shd w:val="clear" w:color="auto" w:fill="FFFFFF" w:themeFill="background1"/>
          </w:tcPr>
          <w:p w14:paraId="0698F1C5" w14:textId="77777777" w:rsidR="00150A13" w:rsidRPr="00150A13" w:rsidRDefault="00150A13" w:rsidP="004A71BC">
            <w:pPr>
              <w:pStyle w:val="TableBody"/>
              <w:rPr>
                <w:rFonts w:cstheme="minorHAnsi"/>
                <w:szCs w:val="18"/>
              </w:rPr>
            </w:pPr>
            <w:r w:rsidRPr="00150A13">
              <w:t>Additional labour costs for the preparation of air monitoring reports for submission to WHS regulators in each jurisdiction where RCS values exceed WES</w:t>
            </w:r>
          </w:p>
          <w:p w14:paraId="347FD70D" w14:textId="77777777" w:rsidR="00150A13" w:rsidRPr="00150A13" w:rsidRDefault="00150A13" w:rsidP="004A71BC">
            <w:pPr>
              <w:pStyle w:val="TableBody"/>
            </w:pPr>
          </w:p>
        </w:tc>
        <w:tc>
          <w:tcPr>
            <w:tcW w:w="750"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2769E850" w14:textId="77777777" w:rsidR="00150A13" w:rsidRPr="00150A13" w:rsidRDefault="00150A13" w:rsidP="004A71BC">
            <w:pPr>
              <w:pStyle w:val="TableBody"/>
              <w:rPr>
                <w:b/>
                <w:color w:val="262626" w:themeColor="text1" w:themeTint="D9"/>
              </w:rPr>
            </w:pPr>
            <w:r w:rsidRPr="00150A13">
              <w:rPr>
                <w:color w:val="262626" w:themeColor="text1" w:themeTint="D9"/>
              </w:rPr>
              <w:t>Number of hours per year to prepare air monitoring report for submission (hours/year)</w:t>
            </w:r>
          </w:p>
        </w:tc>
        <w:tc>
          <w:tcPr>
            <w:tcW w:w="1400" w:type="pct"/>
            <w:gridSpan w:val="5"/>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25020FB1" w14:textId="77777777" w:rsidR="00150A13" w:rsidRPr="00150A13" w:rsidRDefault="00150A13" w:rsidP="004A71BC">
            <w:pPr>
              <w:pStyle w:val="TableBody"/>
              <w:rPr>
                <w:b/>
              </w:rPr>
            </w:pPr>
            <w:r w:rsidRPr="00150A13">
              <w:t>2</w:t>
            </w:r>
            <w:r w:rsidRPr="00150A13">
              <w:rPr>
                <w:rFonts w:ascii="EYInterstate Light" w:eastAsia="Times New Roman" w:hAnsi="EYInterstate Light" w:cs="Times New Roman"/>
                <w:sz w:val="20"/>
                <w:szCs w:val="24"/>
              </w:rPr>
              <w:t xml:space="preserve"> </w:t>
            </w:r>
            <w:r w:rsidRPr="00150A13">
              <w:rPr>
                <w:vertAlign w:val="superscript"/>
              </w:rPr>
              <w:footnoteReference w:id="49"/>
            </w:r>
            <w:r w:rsidRPr="00150A13">
              <w:t xml:space="preserve"> </w:t>
            </w:r>
          </w:p>
        </w:tc>
        <w:tc>
          <w:tcPr>
            <w:tcW w:w="1317" w:type="pct"/>
            <w:vMerge w:val="restart"/>
            <w:tcBorders>
              <w:top w:val="single" w:sz="8" w:space="0" w:color="D9D9D9"/>
              <w:left w:val="single" w:sz="8" w:space="0" w:color="D9D9D9"/>
              <w:right w:val="single" w:sz="8" w:space="0" w:color="D9D9D9"/>
            </w:tcBorders>
            <w:shd w:val="clear" w:color="auto" w:fill="FFFFFF" w:themeFill="background1"/>
            <w:vAlign w:val="center"/>
            <w:hideMark/>
          </w:tcPr>
          <w:p w14:paraId="5B20CFD7" w14:textId="1E70B40F" w:rsidR="00150A13" w:rsidRPr="004A71BC" w:rsidRDefault="00150A13" w:rsidP="004A71BC">
            <w:pPr>
              <w:pStyle w:val="TableBody"/>
              <w:jc w:val="center"/>
              <w:rPr>
                <w:b/>
                <w:color w:val="262626" w:themeColor="text1" w:themeTint="D9"/>
              </w:rPr>
            </w:pPr>
            <w:r w:rsidRPr="004A71BC">
              <w:rPr>
                <w:b/>
              </w:rPr>
              <w:t>Cost of air monitoring – provision of report to regulators</w:t>
            </w:r>
          </w:p>
          <w:p w14:paraId="14D26371" w14:textId="77777777" w:rsidR="00150A13" w:rsidRPr="00150A13" w:rsidRDefault="00150A13" w:rsidP="004A71BC">
            <w:pPr>
              <w:pStyle w:val="TableBody"/>
              <w:jc w:val="center"/>
              <w:rPr>
                <w:color w:val="262626" w:themeColor="text1" w:themeTint="D9"/>
              </w:rPr>
            </w:pPr>
            <w:r w:rsidRPr="00150A13">
              <w:t>=</w:t>
            </w:r>
          </w:p>
          <w:p w14:paraId="663DB4F3" w14:textId="77777777" w:rsidR="00150A13" w:rsidRPr="00150A13" w:rsidRDefault="00150A13" w:rsidP="004A71BC">
            <w:pPr>
              <w:pStyle w:val="TableBody"/>
              <w:jc w:val="center"/>
              <w:rPr>
                <w:color w:val="262626" w:themeColor="text1" w:themeTint="D9"/>
              </w:rPr>
            </w:pPr>
            <w:r w:rsidRPr="00150A13">
              <w:t>Number of hours to prepare air monitoring report for submission</w:t>
            </w:r>
          </w:p>
          <w:p w14:paraId="6853B261" w14:textId="77777777" w:rsidR="00150A13" w:rsidRPr="00150A13" w:rsidRDefault="00150A13" w:rsidP="004A71BC">
            <w:pPr>
              <w:pStyle w:val="TableBody"/>
              <w:jc w:val="center"/>
              <w:rPr>
                <w:rFonts w:eastAsia="Times New Roman" w:cstheme="minorHAnsi"/>
                <w:szCs w:val="18"/>
              </w:rPr>
            </w:pPr>
            <w:r w:rsidRPr="00150A13">
              <w:t>×</w:t>
            </w:r>
          </w:p>
          <w:p w14:paraId="6DEF26DA" w14:textId="64B86D8D" w:rsidR="00150A13" w:rsidRPr="00150A13" w:rsidRDefault="00150A13" w:rsidP="004A71BC">
            <w:pPr>
              <w:pStyle w:val="TableBody"/>
              <w:jc w:val="center"/>
            </w:pPr>
            <w:r w:rsidRPr="00150A13">
              <w:t>Number of workers to prepare report for submission</w:t>
            </w:r>
          </w:p>
          <w:p w14:paraId="0AB25D74" w14:textId="77777777" w:rsidR="00150A13" w:rsidRPr="00150A13" w:rsidRDefault="00150A13" w:rsidP="004A71BC">
            <w:pPr>
              <w:pStyle w:val="TableBody"/>
              <w:jc w:val="center"/>
              <w:rPr>
                <w:color w:val="262626" w:themeColor="text1" w:themeTint="D9"/>
              </w:rPr>
            </w:pPr>
            <w:r w:rsidRPr="00150A13">
              <w:t>x</w:t>
            </w:r>
          </w:p>
          <w:p w14:paraId="77B7E01D" w14:textId="124FACB7" w:rsidR="00150A13" w:rsidRPr="00150A13" w:rsidRDefault="00150A13" w:rsidP="004A71BC">
            <w:pPr>
              <w:pStyle w:val="TableBody"/>
              <w:jc w:val="center"/>
              <w:rPr>
                <w:color w:val="262626" w:themeColor="text1" w:themeTint="D9"/>
              </w:rPr>
            </w:pPr>
            <w:r w:rsidRPr="00150A13">
              <w:t>Average wage/hour</w:t>
            </w:r>
          </w:p>
          <w:p w14:paraId="641DA27B" w14:textId="77777777" w:rsidR="00150A13" w:rsidRPr="00150A13" w:rsidRDefault="00150A13" w:rsidP="004A71BC">
            <w:pPr>
              <w:pStyle w:val="TableBody"/>
              <w:jc w:val="center"/>
              <w:rPr>
                <w:color w:val="262626" w:themeColor="text1" w:themeTint="D9"/>
              </w:rPr>
            </w:pPr>
            <w:r w:rsidRPr="00150A13">
              <w:t>×</w:t>
            </w:r>
          </w:p>
          <w:p w14:paraId="5FEF42E4" w14:textId="77777777" w:rsidR="00150A13" w:rsidRPr="00150A13" w:rsidRDefault="00150A13" w:rsidP="004A71BC">
            <w:pPr>
              <w:pStyle w:val="TableBody"/>
              <w:jc w:val="center"/>
              <w:rPr>
                <w:rFonts w:eastAsia="Times New Roman" w:cstheme="minorHAnsi"/>
                <w:szCs w:val="18"/>
              </w:rPr>
            </w:pPr>
            <w:r w:rsidRPr="00150A13">
              <w:t>Number of PCBUs working with engineered stone in Australia</w:t>
            </w:r>
          </w:p>
          <w:p w14:paraId="78E6087B" w14:textId="77777777" w:rsidR="00150A13" w:rsidRPr="00150A13" w:rsidRDefault="00150A13" w:rsidP="004A71BC">
            <w:pPr>
              <w:pStyle w:val="TableBody"/>
              <w:jc w:val="center"/>
              <w:rPr>
                <w:color w:val="262626" w:themeColor="text1" w:themeTint="D9"/>
              </w:rPr>
            </w:pPr>
            <w:r w:rsidRPr="00150A13">
              <w:rPr>
                <w:color w:val="262626" w:themeColor="text1" w:themeTint="D9"/>
              </w:rPr>
              <w:t>x</w:t>
            </w:r>
          </w:p>
          <w:p w14:paraId="2BE046DA" w14:textId="15A1B0F0" w:rsidR="00150A13" w:rsidRPr="00150A13" w:rsidRDefault="00150A13" w:rsidP="004A71BC">
            <w:pPr>
              <w:pStyle w:val="TableBody"/>
              <w:jc w:val="center"/>
              <w:rPr>
                <w:color w:val="262626" w:themeColor="text1" w:themeTint="D9"/>
              </w:rPr>
            </w:pPr>
            <w:r w:rsidRPr="00150A13">
              <w:rPr>
                <w:color w:val="262626" w:themeColor="text1" w:themeTint="D9"/>
              </w:rPr>
              <w:t>Proportion of PCBUs where RCS exceeds WES</w:t>
            </w:r>
          </w:p>
        </w:tc>
      </w:tr>
      <w:tr w:rsidR="00150A13" w:rsidRPr="00150A13" w14:paraId="39EDDDEA" w14:textId="77777777" w:rsidTr="004C687A">
        <w:trPr>
          <w:trHeight w:val="560"/>
        </w:trPr>
        <w:tc>
          <w:tcPr>
            <w:tcW w:w="699"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7CA1B75F" w14:textId="77777777" w:rsidR="00150A13" w:rsidRPr="00150A13" w:rsidRDefault="00150A13" w:rsidP="004A71BC">
            <w:pPr>
              <w:pStyle w:val="TableBody"/>
            </w:pPr>
          </w:p>
        </w:tc>
        <w:tc>
          <w:tcPr>
            <w:tcW w:w="834" w:type="pct"/>
            <w:vMerge/>
            <w:tcBorders>
              <w:left w:val="single" w:sz="8" w:space="0" w:color="D9D9D9"/>
              <w:right w:val="single" w:sz="8" w:space="0" w:color="D9D9D9"/>
            </w:tcBorders>
            <w:shd w:val="clear" w:color="auto" w:fill="FFFFFF" w:themeFill="background1"/>
          </w:tcPr>
          <w:p w14:paraId="6304A488" w14:textId="77777777" w:rsidR="00150A13" w:rsidRPr="00150A13" w:rsidRDefault="00150A13" w:rsidP="004A71BC">
            <w:pPr>
              <w:pStyle w:val="TableBody"/>
            </w:pPr>
          </w:p>
        </w:tc>
        <w:tc>
          <w:tcPr>
            <w:tcW w:w="750"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4428DA56" w14:textId="77777777" w:rsidR="00150A13" w:rsidRPr="00150A13" w:rsidRDefault="00150A13" w:rsidP="004A71BC">
            <w:pPr>
              <w:pStyle w:val="TableBody"/>
              <w:rPr>
                <w:color w:val="262626" w:themeColor="text1" w:themeTint="D9"/>
              </w:rPr>
            </w:pPr>
            <w:r w:rsidRPr="00150A13">
              <w:rPr>
                <w:color w:val="262626" w:themeColor="text1" w:themeTint="D9"/>
              </w:rPr>
              <w:t>Number of workers (#)</w:t>
            </w:r>
          </w:p>
        </w:tc>
        <w:tc>
          <w:tcPr>
            <w:tcW w:w="1400" w:type="pct"/>
            <w:gridSpan w:val="5"/>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6E4CE26A" w14:textId="77777777" w:rsidR="00150A13" w:rsidRPr="00150A13" w:rsidRDefault="00150A13" w:rsidP="004A71BC">
            <w:pPr>
              <w:pStyle w:val="TableBody"/>
            </w:pPr>
            <w:r w:rsidRPr="00150A13">
              <w:t>2</w:t>
            </w:r>
            <w:r w:rsidRPr="00150A13">
              <w:rPr>
                <w:vertAlign w:val="superscript"/>
              </w:rPr>
              <w:footnoteReference w:id="50"/>
            </w:r>
          </w:p>
        </w:tc>
        <w:tc>
          <w:tcPr>
            <w:tcW w:w="1317" w:type="pct"/>
            <w:vMerge/>
            <w:tcBorders>
              <w:left w:val="single" w:sz="8" w:space="0" w:color="D9D9D9"/>
              <w:right w:val="single" w:sz="8" w:space="0" w:color="D9D9D9"/>
            </w:tcBorders>
            <w:shd w:val="clear" w:color="auto" w:fill="FFFFFF" w:themeFill="background1"/>
            <w:vAlign w:val="center"/>
          </w:tcPr>
          <w:p w14:paraId="16970029" w14:textId="77777777" w:rsidR="00150A13" w:rsidRPr="00150A13" w:rsidRDefault="00150A13" w:rsidP="00150A13">
            <w:pPr>
              <w:spacing w:after="240" w:line="264" w:lineRule="auto"/>
              <w:ind w:left="425" w:right="269" w:hanging="425"/>
              <w:contextualSpacing/>
              <w:jc w:val="center"/>
              <w:rPr>
                <w:rFonts w:eastAsia="Times New Roman" w:cstheme="minorHAnsi"/>
                <w:b/>
                <w:bCs/>
                <w:sz w:val="18"/>
                <w:szCs w:val="18"/>
              </w:rPr>
            </w:pPr>
          </w:p>
        </w:tc>
      </w:tr>
      <w:tr w:rsidR="00150A13" w:rsidRPr="00150A13" w14:paraId="48813528" w14:textId="77777777" w:rsidTr="004C687A">
        <w:trPr>
          <w:trHeight w:val="560"/>
        </w:trPr>
        <w:tc>
          <w:tcPr>
            <w:tcW w:w="699"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75673C9C" w14:textId="77777777" w:rsidR="00150A13" w:rsidRPr="00150A13" w:rsidRDefault="00150A13" w:rsidP="004A71BC">
            <w:pPr>
              <w:pStyle w:val="TableBody"/>
            </w:pPr>
          </w:p>
        </w:tc>
        <w:tc>
          <w:tcPr>
            <w:tcW w:w="834" w:type="pct"/>
            <w:vMerge/>
            <w:tcBorders>
              <w:left w:val="single" w:sz="8" w:space="0" w:color="D9D9D9"/>
              <w:right w:val="single" w:sz="8" w:space="0" w:color="D9D9D9"/>
            </w:tcBorders>
            <w:shd w:val="clear" w:color="auto" w:fill="FFFFFF" w:themeFill="background1"/>
          </w:tcPr>
          <w:p w14:paraId="148D2E60" w14:textId="77777777" w:rsidR="00150A13" w:rsidRPr="00150A13" w:rsidRDefault="00150A13" w:rsidP="004A71BC">
            <w:pPr>
              <w:pStyle w:val="TableBody"/>
            </w:pPr>
          </w:p>
        </w:tc>
        <w:tc>
          <w:tcPr>
            <w:tcW w:w="750"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0738DC8A" w14:textId="77777777" w:rsidR="00150A13" w:rsidRPr="00150A13" w:rsidRDefault="00150A13" w:rsidP="004A71BC">
            <w:pPr>
              <w:pStyle w:val="TableBody"/>
              <w:rPr>
                <w:b/>
                <w:color w:val="262626" w:themeColor="text1" w:themeTint="D9"/>
              </w:rPr>
            </w:pPr>
            <w:r w:rsidRPr="00150A13">
              <w:rPr>
                <w:color w:val="262626" w:themeColor="text1" w:themeTint="D9"/>
              </w:rPr>
              <w:t>Average wage/hour ($)</w:t>
            </w:r>
          </w:p>
        </w:tc>
        <w:tc>
          <w:tcPr>
            <w:tcW w:w="1400" w:type="pct"/>
            <w:gridSpan w:val="5"/>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2B714E6F" w14:textId="77777777" w:rsidR="00150A13" w:rsidRPr="00150A13" w:rsidRDefault="00150A13" w:rsidP="004A71BC">
            <w:pPr>
              <w:pStyle w:val="TableBody"/>
              <w:rPr>
                <w:b/>
              </w:rPr>
            </w:pPr>
            <w:r w:rsidRPr="00150A13">
              <w:t>$46.24</w:t>
            </w:r>
            <w:r w:rsidRPr="00150A13">
              <w:rPr>
                <w:rFonts w:ascii="EYInterstate Light" w:eastAsia="Times New Roman" w:hAnsi="EYInterstate Light" w:cs="Times New Roman"/>
                <w:sz w:val="20"/>
                <w:szCs w:val="24"/>
              </w:rPr>
              <w:t xml:space="preserve"> </w:t>
            </w:r>
            <w:r w:rsidRPr="00150A13">
              <w:fldChar w:fldCharType="begin"/>
            </w:r>
            <w:r w:rsidRPr="00150A13">
              <w:instrText xml:space="preserve"> ADDIN ZOTERO_ITEM CSL_CITATION {"citationID":"kI89m3AP","properties":{"formattedCitation":"(Australian Bureau of Statistics 2021c)","plainCitation":"(Australian Bureau of Statistics 2021c)","noteIndex":0},"citationItems":[{"id":913,"uris":["http://zotero.org/users/6230888/items/YWAVMKLE"],"itemData":{"id":913,"type":"webpage","abstract":"Estimates of weekly earnings classified by industry, sector, state and territory","language":"en","title":"Average Weekly Earnings, Australia, November 2021","URL":"https://www.abs.gov.au/statistics/labour/earnings-and-working-conditions/average-weekly-earnings-australia/latest-release","author":[{"literal":"Australian Bureau of Statistics"}],"accessed":{"date-parts":[["2022",6,30]]},"issued":{"date-parts":[["2021"]]}}}],"schema":"https://github.com/citation-style-language/schema/raw/master/csl-citation.json"} </w:instrText>
            </w:r>
            <w:r w:rsidRPr="00150A13">
              <w:fldChar w:fldCharType="separate"/>
            </w:r>
            <w:r w:rsidRPr="00150A13">
              <w:rPr>
                <w:rFonts w:ascii="Calibri" w:hAnsi="Calibri" w:cs="Calibri"/>
                <w:szCs w:val="24"/>
              </w:rPr>
              <w:t>(Australian Bureau of Statistics 2021c)</w:t>
            </w:r>
            <w:r w:rsidRPr="00150A13">
              <w:fldChar w:fldCharType="end"/>
            </w:r>
          </w:p>
        </w:tc>
        <w:tc>
          <w:tcPr>
            <w:tcW w:w="1317" w:type="pct"/>
            <w:vMerge/>
            <w:tcBorders>
              <w:left w:val="single" w:sz="8" w:space="0" w:color="D9D9D9"/>
              <w:right w:val="single" w:sz="8" w:space="0" w:color="D9D9D9"/>
            </w:tcBorders>
            <w:shd w:val="clear" w:color="auto" w:fill="FFFFFF" w:themeFill="background1"/>
            <w:vAlign w:val="center"/>
          </w:tcPr>
          <w:p w14:paraId="34DAC9EC" w14:textId="77777777" w:rsidR="00150A13" w:rsidRPr="00150A13" w:rsidRDefault="00150A13" w:rsidP="00150A13">
            <w:pPr>
              <w:spacing w:after="240" w:line="264" w:lineRule="auto"/>
              <w:ind w:left="425" w:right="269" w:hanging="425"/>
              <w:contextualSpacing/>
              <w:jc w:val="center"/>
              <w:rPr>
                <w:rFonts w:eastAsia="Times New Roman" w:cstheme="minorHAnsi"/>
                <w:b/>
                <w:bCs/>
                <w:sz w:val="18"/>
                <w:szCs w:val="18"/>
              </w:rPr>
            </w:pPr>
          </w:p>
        </w:tc>
      </w:tr>
      <w:tr w:rsidR="00150A13" w:rsidRPr="00150A13" w14:paraId="4502134F" w14:textId="77777777" w:rsidTr="004C687A">
        <w:trPr>
          <w:trHeight w:val="560"/>
        </w:trPr>
        <w:tc>
          <w:tcPr>
            <w:tcW w:w="699"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1FE111E1" w14:textId="77777777" w:rsidR="00150A13" w:rsidRPr="00150A13" w:rsidRDefault="00150A13" w:rsidP="004A71BC">
            <w:pPr>
              <w:pStyle w:val="TableBody"/>
            </w:pPr>
          </w:p>
        </w:tc>
        <w:tc>
          <w:tcPr>
            <w:tcW w:w="834" w:type="pct"/>
            <w:vMerge/>
            <w:tcBorders>
              <w:left w:val="single" w:sz="8" w:space="0" w:color="D9D9D9"/>
              <w:right w:val="single" w:sz="8" w:space="0" w:color="D9D9D9"/>
            </w:tcBorders>
            <w:shd w:val="clear" w:color="auto" w:fill="FFFFFF" w:themeFill="background1"/>
          </w:tcPr>
          <w:p w14:paraId="1877B01E" w14:textId="77777777" w:rsidR="00150A13" w:rsidRPr="00150A13" w:rsidRDefault="00150A13" w:rsidP="004A71BC">
            <w:pPr>
              <w:pStyle w:val="TableBody"/>
            </w:pPr>
          </w:p>
        </w:tc>
        <w:tc>
          <w:tcPr>
            <w:tcW w:w="750"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42AC3E66" w14:textId="77777777" w:rsidR="00150A13" w:rsidRPr="00150A13" w:rsidRDefault="00150A13" w:rsidP="004A71BC">
            <w:pPr>
              <w:pStyle w:val="TableBody"/>
              <w:rPr>
                <w:b/>
                <w:color w:val="262626" w:themeColor="text1" w:themeTint="D9"/>
              </w:rPr>
            </w:pPr>
            <w:r w:rsidRPr="00150A13">
              <w:rPr>
                <w:color w:val="262626" w:themeColor="text1" w:themeTint="D9"/>
              </w:rPr>
              <w:t>Number of PCBUs working with engineered stone in Australia (#)</w:t>
            </w:r>
          </w:p>
        </w:tc>
        <w:tc>
          <w:tcPr>
            <w:tcW w:w="1400" w:type="pct"/>
            <w:gridSpan w:val="5"/>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64E29E2D" w14:textId="77777777" w:rsidR="00150A13" w:rsidRPr="00150A13" w:rsidRDefault="00150A13" w:rsidP="004A71BC">
            <w:pPr>
              <w:pStyle w:val="TableBody"/>
              <w:rPr>
                <w:b/>
              </w:rPr>
            </w:pPr>
            <w:r w:rsidRPr="00150A13">
              <w:t>1,000</w:t>
            </w:r>
            <w:r w:rsidRPr="00150A13">
              <w:rPr>
                <w:rFonts w:ascii="EYInterstate Light" w:eastAsia="Times New Roman" w:hAnsi="EYInterstate Light" w:cs="Times New Roman"/>
                <w:sz w:val="20"/>
                <w:szCs w:val="24"/>
                <w:vertAlign w:val="superscript"/>
              </w:rPr>
              <w:t xml:space="preserve"> </w:t>
            </w:r>
            <w:r w:rsidRPr="00150A13">
              <w:fldChar w:fldCharType="begin"/>
            </w:r>
            <w:r w:rsidRPr="00150A13">
              <w:instrText xml:space="preserve"> ADDIN ZOTERO_ITEM CSL_CITATION {"citationID":"7CYg2XEJ","properties":{"formattedCitation":"(Australian Engineered Stone Advisory Group 2019)","plainCitation":"(Australian Engineered Stone Advisory Group 2019)","noteIndex":0},"citationItems":[{"id":918,"uris":["http://zotero.org/users/6230888/items/4WCCIQ5J"],"itemData":{"id":918,"type":"report","page":"102","title":"Members of the Australian Engineered Stone Advisory Group (AESAG) Application for authorisation to the Australian Competition and Consumer Commission (ACCC)","URL":"https://www.accc.gov.au/system/files/public-registers/documents/Australian%20Engineered%20Stone%20Advisory%20Group%20%28AESAG%29%20-%20Application%20Received%20-%2029.11.19%20-%20PR%20VERSION.pdf","author":[{"literal":"Australian Engineered Stone Advisory Group"}],"accessed":{"date-parts":[["2022",6,30]]},"issued":{"date-parts":[["2019"]]}}}],"schema":"https://github.com/citation-style-language/schema/raw/master/csl-citation.json"} </w:instrText>
            </w:r>
            <w:r w:rsidRPr="00150A13">
              <w:fldChar w:fldCharType="separate"/>
            </w:r>
            <w:r w:rsidRPr="00150A13">
              <w:rPr>
                <w:rFonts w:ascii="Calibri" w:hAnsi="Calibri" w:cs="Calibri"/>
                <w:szCs w:val="24"/>
              </w:rPr>
              <w:t>(Australian Engineered Stone Advisory Group 2019)</w:t>
            </w:r>
            <w:r w:rsidRPr="00150A13">
              <w:fldChar w:fldCharType="end"/>
            </w:r>
          </w:p>
        </w:tc>
        <w:tc>
          <w:tcPr>
            <w:tcW w:w="1317" w:type="pct"/>
            <w:vMerge/>
            <w:tcBorders>
              <w:left w:val="single" w:sz="8" w:space="0" w:color="D9D9D9"/>
              <w:right w:val="single" w:sz="8" w:space="0" w:color="D9D9D9"/>
            </w:tcBorders>
            <w:shd w:val="clear" w:color="auto" w:fill="FFFFFF" w:themeFill="background1"/>
            <w:vAlign w:val="center"/>
          </w:tcPr>
          <w:p w14:paraId="64DB1D5B" w14:textId="77777777" w:rsidR="00150A13" w:rsidRPr="00150A13" w:rsidRDefault="00150A13" w:rsidP="00150A13">
            <w:pPr>
              <w:spacing w:after="240" w:line="264" w:lineRule="auto"/>
              <w:ind w:left="425" w:right="269" w:hanging="425"/>
              <w:contextualSpacing/>
              <w:jc w:val="center"/>
              <w:rPr>
                <w:rFonts w:eastAsia="Times New Roman" w:cstheme="minorHAnsi"/>
                <w:b/>
                <w:bCs/>
                <w:sz w:val="18"/>
                <w:szCs w:val="18"/>
              </w:rPr>
            </w:pPr>
          </w:p>
        </w:tc>
      </w:tr>
      <w:tr w:rsidR="00150A13" w:rsidRPr="00150A13" w14:paraId="79434FA6" w14:textId="77777777" w:rsidTr="004C687A">
        <w:trPr>
          <w:trHeight w:val="560"/>
        </w:trPr>
        <w:tc>
          <w:tcPr>
            <w:tcW w:w="699" w:type="pct"/>
            <w:vMerge/>
            <w:tcBorders>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7BABA313" w14:textId="77777777" w:rsidR="00150A13" w:rsidRPr="00150A13" w:rsidRDefault="00150A13" w:rsidP="004A71BC">
            <w:pPr>
              <w:pStyle w:val="TableBody"/>
            </w:pPr>
          </w:p>
        </w:tc>
        <w:tc>
          <w:tcPr>
            <w:tcW w:w="834" w:type="pct"/>
            <w:vMerge/>
            <w:tcBorders>
              <w:left w:val="single" w:sz="8" w:space="0" w:color="D9D9D9"/>
              <w:bottom w:val="single" w:sz="8" w:space="0" w:color="D9D9D9"/>
              <w:right w:val="single" w:sz="8" w:space="0" w:color="D9D9D9"/>
            </w:tcBorders>
            <w:shd w:val="clear" w:color="auto" w:fill="FFFFFF" w:themeFill="background1"/>
          </w:tcPr>
          <w:p w14:paraId="029C06E4" w14:textId="77777777" w:rsidR="00150A13" w:rsidRPr="00150A13" w:rsidRDefault="00150A13" w:rsidP="004A71BC">
            <w:pPr>
              <w:pStyle w:val="TableBody"/>
            </w:pPr>
          </w:p>
        </w:tc>
        <w:tc>
          <w:tcPr>
            <w:tcW w:w="750"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36C11D63" w14:textId="77777777" w:rsidR="00150A13" w:rsidRPr="00150A13" w:rsidRDefault="00150A13" w:rsidP="004A71BC">
            <w:pPr>
              <w:pStyle w:val="TableBody"/>
              <w:rPr>
                <w:color w:val="262626" w:themeColor="text1" w:themeTint="D9"/>
              </w:rPr>
            </w:pPr>
            <w:r w:rsidRPr="00150A13">
              <w:rPr>
                <w:color w:val="262626" w:themeColor="text1" w:themeTint="D9"/>
              </w:rPr>
              <w:t>Proportion of PCBUs where RCS exceeds WES</w:t>
            </w:r>
          </w:p>
        </w:tc>
        <w:tc>
          <w:tcPr>
            <w:tcW w:w="1400" w:type="pct"/>
            <w:gridSpan w:val="5"/>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29914087" w14:textId="77777777" w:rsidR="00150A13" w:rsidRPr="00150A13" w:rsidRDefault="00150A13" w:rsidP="004A71BC">
            <w:pPr>
              <w:pStyle w:val="TableBody"/>
            </w:pPr>
            <w:r w:rsidRPr="00150A13">
              <w:t>30%</w:t>
            </w:r>
            <w:r w:rsidRPr="00150A13">
              <w:rPr>
                <w:vertAlign w:val="superscript"/>
              </w:rPr>
              <w:footnoteReference w:id="51"/>
            </w:r>
          </w:p>
        </w:tc>
        <w:tc>
          <w:tcPr>
            <w:tcW w:w="1317" w:type="pct"/>
            <w:vMerge/>
            <w:tcBorders>
              <w:left w:val="single" w:sz="8" w:space="0" w:color="D9D9D9"/>
              <w:bottom w:val="single" w:sz="8" w:space="0" w:color="D9D9D9"/>
              <w:right w:val="single" w:sz="8" w:space="0" w:color="D9D9D9"/>
            </w:tcBorders>
            <w:shd w:val="clear" w:color="auto" w:fill="FFFFFF" w:themeFill="background1"/>
            <w:vAlign w:val="center"/>
          </w:tcPr>
          <w:p w14:paraId="44653231" w14:textId="77777777" w:rsidR="00150A13" w:rsidRPr="00150A13" w:rsidRDefault="00150A13" w:rsidP="00150A13">
            <w:pPr>
              <w:spacing w:after="240" w:line="264" w:lineRule="auto"/>
              <w:ind w:left="425" w:right="269" w:hanging="425"/>
              <w:contextualSpacing/>
              <w:jc w:val="center"/>
              <w:rPr>
                <w:rFonts w:eastAsia="Times New Roman" w:cstheme="minorHAnsi"/>
                <w:b/>
                <w:bCs/>
                <w:sz w:val="18"/>
                <w:szCs w:val="18"/>
              </w:rPr>
            </w:pPr>
          </w:p>
        </w:tc>
      </w:tr>
      <w:tr w:rsidR="00150A13" w:rsidRPr="00150A13" w14:paraId="101DE9EC" w14:textId="77777777" w:rsidTr="004C687A">
        <w:trPr>
          <w:trHeight w:val="560"/>
        </w:trPr>
        <w:tc>
          <w:tcPr>
            <w:tcW w:w="699" w:type="pct"/>
            <w:vMerge w:val="restart"/>
            <w:tcBorders>
              <w:top w:val="single" w:sz="8" w:space="0" w:color="D9D9D9"/>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265388F2" w14:textId="77777777" w:rsidR="00150A13" w:rsidRPr="00167967" w:rsidRDefault="00150A13" w:rsidP="00167967">
            <w:pPr>
              <w:pStyle w:val="TableBody"/>
              <w:rPr>
                <w:i/>
                <w:color w:val="262626" w:themeColor="text1" w:themeTint="D9"/>
              </w:rPr>
            </w:pPr>
            <w:r w:rsidRPr="00167967">
              <w:rPr>
                <w:i/>
              </w:rPr>
              <w:t xml:space="preserve">Preparation for and participation in compliance audits </w:t>
            </w:r>
          </w:p>
        </w:tc>
        <w:tc>
          <w:tcPr>
            <w:tcW w:w="834" w:type="pct"/>
            <w:vMerge w:val="restart"/>
            <w:tcBorders>
              <w:top w:val="single" w:sz="8" w:space="0" w:color="D9D9D9"/>
              <w:left w:val="single" w:sz="8" w:space="0" w:color="D9D9D9"/>
              <w:right w:val="single" w:sz="8" w:space="0" w:color="D9D9D9"/>
            </w:tcBorders>
            <w:shd w:val="clear" w:color="auto" w:fill="FFFFFF" w:themeFill="background1"/>
          </w:tcPr>
          <w:p w14:paraId="6DB96648" w14:textId="77777777" w:rsidR="00150A13" w:rsidRPr="00150A13" w:rsidRDefault="00150A13" w:rsidP="00167967">
            <w:pPr>
              <w:pStyle w:val="TableBody"/>
              <w:rPr>
                <w:rFonts w:cstheme="minorHAnsi"/>
                <w:szCs w:val="18"/>
              </w:rPr>
            </w:pPr>
            <w:r w:rsidRPr="00150A13">
              <w:t xml:space="preserve">Labour to prepare for and participate in compliance audits of licensees. </w:t>
            </w:r>
          </w:p>
          <w:p w14:paraId="7C95C519" w14:textId="77777777" w:rsidR="00150A13" w:rsidRPr="00150A13" w:rsidRDefault="00150A13" w:rsidP="00167967">
            <w:pPr>
              <w:pStyle w:val="TableBody"/>
            </w:pPr>
          </w:p>
        </w:tc>
        <w:tc>
          <w:tcPr>
            <w:tcW w:w="750"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18B7547C" w14:textId="77777777" w:rsidR="00150A13" w:rsidRPr="00150A13" w:rsidRDefault="00150A13" w:rsidP="00167967">
            <w:pPr>
              <w:pStyle w:val="TableBody"/>
              <w:rPr>
                <w:b/>
                <w:color w:val="262626" w:themeColor="text1" w:themeTint="D9"/>
              </w:rPr>
            </w:pPr>
            <w:r w:rsidRPr="00150A13">
              <w:rPr>
                <w:color w:val="262626" w:themeColor="text1" w:themeTint="D9"/>
              </w:rPr>
              <w:t>Average number of compliance audits per PCBU per annum (# / PCBU / year)</w:t>
            </w:r>
          </w:p>
        </w:tc>
        <w:tc>
          <w:tcPr>
            <w:tcW w:w="1400" w:type="pct"/>
            <w:gridSpan w:val="5"/>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4C30CB06" w14:textId="77777777" w:rsidR="00150A13" w:rsidRPr="00150A13" w:rsidRDefault="00150A13" w:rsidP="00167967">
            <w:pPr>
              <w:pStyle w:val="TableBody"/>
              <w:rPr>
                <w:b/>
              </w:rPr>
            </w:pPr>
            <w:r w:rsidRPr="00150A13">
              <w:t xml:space="preserve">2 </w:t>
            </w:r>
            <w:r w:rsidRPr="00150A13">
              <w:fldChar w:fldCharType="begin"/>
            </w:r>
            <w:r w:rsidRPr="00150A13">
              <w:instrText xml:space="preserve"> ADDIN ZOTERO_ITEM CSL_CITATION {"citationID":"jCt1uY0O","properties":{"formattedCitation":"(Deloitte 2021)","plainCitation":"(Deloitte 2021)","noteIndex":0},"citationItems":[{"id":917,"uris":["http://zotero.org/users/6230888/items/DDIZNKBY"],"itemData":{"id":917,"type":"article-journal","language":"en","page":"75","source":"Zotero","title":"Occupational Health and Safety Amendment (Crystalline Silica) Regulations 2021","author":[{"literal":"Deloitte"}],"issued":{"date-parts":[["2021"]]}}}],"schema":"https://github.com/citation-style-language/schema/raw/master/csl-citation.json"} </w:instrText>
            </w:r>
            <w:r w:rsidRPr="00150A13">
              <w:fldChar w:fldCharType="separate"/>
            </w:r>
            <w:r w:rsidRPr="00150A13">
              <w:rPr>
                <w:rFonts w:ascii="Calibri" w:hAnsi="Calibri" w:cs="Calibri"/>
                <w:szCs w:val="24"/>
              </w:rPr>
              <w:t>(Deloitte 2021)</w:t>
            </w:r>
            <w:r w:rsidRPr="00150A13">
              <w:fldChar w:fldCharType="end"/>
            </w:r>
            <w:r w:rsidRPr="00150A13">
              <w:t xml:space="preserve"> </w:t>
            </w:r>
          </w:p>
        </w:tc>
        <w:tc>
          <w:tcPr>
            <w:tcW w:w="1317" w:type="pct"/>
            <w:vMerge w:val="restart"/>
            <w:tcBorders>
              <w:top w:val="single" w:sz="8" w:space="0" w:color="D9D9D9"/>
              <w:left w:val="single" w:sz="8" w:space="0" w:color="D9D9D9"/>
              <w:right w:val="single" w:sz="8" w:space="0" w:color="D9D9D9"/>
            </w:tcBorders>
            <w:shd w:val="clear" w:color="auto" w:fill="FFFFFF" w:themeFill="background1"/>
            <w:vAlign w:val="center"/>
            <w:hideMark/>
          </w:tcPr>
          <w:p w14:paraId="06E984F1" w14:textId="29CC87AE" w:rsidR="00150A13" w:rsidRPr="00167967" w:rsidRDefault="00150A13" w:rsidP="00167967">
            <w:pPr>
              <w:pStyle w:val="TableBody"/>
              <w:jc w:val="center"/>
              <w:rPr>
                <w:b/>
                <w:color w:val="262626" w:themeColor="text1" w:themeTint="D9"/>
              </w:rPr>
            </w:pPr>
            <w:r w:rsidRPr="00167967">
              <w:rPr>
                <w:b/>
              </w:rPr>
              <w:t>Cost of compliance audits</w:t>
            </w:r>
          </w:p>
          <w:p w14:paraId="479DCA45" w14:textId="77777777" w:rsidR="00150A13" w:rsidRPr="00150A13" w:rsidRDefault="00150A13" w:rsidP="00167967">
            <w:pPr>
              <w:pStyle w:val="TableBody"/>
              <w:jc w:val="center"/>
              <w:rPr>
                <w:color w:val="262626" w:themeColor="text1" w:themeTint="D9"/>
              </w:rPr>
            </w:pPr>
            <w:r w:rsidRPr="00150A13">
              <w:t>=</w:t>
            </w:r>
          </w:p>
          <w:p w14:paraId="0B65A62A" w14:textId="267DFA26" w:rsidR="00150A13" w:rsidRPr="00150A13" w:rsidRDefault="00150A13" w:rsidP="00167967">
            <w:pPr>
              <w:pStyle w:val="TableBody"/>
              <w:jc w:val="center"/>
              <w:rPr>
                <w:color w:val="262626" w:themeColor="text1" w:themeTint="D9"/>
              </w:rPr>
            </w:pPr>
            <w:r w:rsidRPr="00150A13">
              <w:t>Average number of compliance audits per annum</w:t>
            </w:r>
          </w:p>
          <w:p w14:paraId="55A45EB7" w14:textId="77777777" w:rsidR="00150A13" w:rsidRPr="00150A13" w:rsidRDefault="00150A13" w:rsidP="00167967">
            <w:pPr>
              <w:pStyle w:val="TableBody"/>
              <w:jc w:val="center"/>
              <w:rPr>
                <w:color w:val="262626" w:themeColor="text1" w:themeTint="D9"/>
              </w:rPr>
            </w:pPr>
            <w:r w:rsidRPr="00150A13">
              <w:t>×</w:t>
            </w:r>
          </w:p>
          <w:p w14:paraId="1DD27AEF" w14:textId="49F258C6" w:rsidR="00150A13" w:rsidRPr="00150A13" w:rsidRDefault="00150A13" w:rsidP="00167967">
            <w:pPr>
              <w:pStyle w:val="TableBody"/>
              <w:jc w:val="center"/>
              <w:rPr>
                <w:color w:val="262626" w:themeColor="text1" w:themeTint="D9"/>
              </w:rPr>
            </w:pPr>
            <w:r w:rsidRPr="00150A13">
              <w:t>Time to participate in compliance audits</w:t>
            </w:r>
          </w:p>
          <w:p w14:paraId="2EC2DE3E" w14:textId="77777777" w:rsidR="00150A13" w:rsidRPr="00150A13" w:rsidRDefault="00150A13" w:rsidP="00167967">
            <w:pPr>
              <w:pStyle w:val="TableBody"/>
              <w:jc w:val="center"/>
              <w:rPr>
                <w:color w:val="262626" w:themeColor="text1" w:themeTint="D9"/>
              </w:rPr>
            </w:pPr>
            <w:r w:rsidRPr="00150A13">
              <w:t>×</w:t>
            </w:r>
          </w:p>
          <w:p w14:paraId="04D4CBF1" w14:textId="71447D04" w:rsidR="00150A13" w:rsidRPr="00150A13" w:rsidRDefault="00150A13" w:rsidP="00167967">
            <w:pPr>
              <w:pStyle w:val="TableBody"/>
              <w:jc w:val="center"/>
              <w:rPr>
                <w:color w:val="262626" w:themeColor="text1" w:themeTint="D9"/>
              </w:rPr>
            </w:pPr>
            <w:r w:rsidRPr="00150A13">
              <w:t>Number of workers to participate in compliance audits</w:t>
            </w:r>
          </w:p>
          <w:p w14:paraId="72A080BD" w14:textId="77777777" w:rsidR="00150A13" w:rsidRPr="00150A13" w:rsidRDefault="00150A13" w:rsidP="00167967">
            <w:pPr>
              <w:pStyle w:val="TableBody"/>
              <w:jc w:val="center"/>
              <w:rPr>
                <w:color w:val="262626" w:themeColor="text1" w:themeTint="D9"/>
              </w:rPr>
            </w:pPr>
            <w:r w:rsidRPr="00150A13">
              <w:t>×</w:t>
            </w:r>
          </w:p>
          <w:p w14:paraId="1277C89A" w14:textId="6B7D0187" w:rsidR="00150A13" w:rsidRPr="00150A13" w:rsidRDefault="00150A13" w:rsidP="00167967">
            <w:pPr>
              <w:pStyle w:val="TableBody"/>
              <w:jc w:val="center"/>
              <w:rPr>
                <w:color w:val="262626" w:themeColor="text1" w:themeTint="D9"/>
              </w:rPr>
            </w:pPr>
            <w:r w:rsidRPr="00150A13">
              <w:t>Average wage/hour</w:t>
            </w:r>
          </w:p>
          <w:p w14:paraId="18576BD4" w14:textId="77777777" w:rsidR="00150A13" w:rsidRPr="00150A13" w:rsidRDefault="00150A13" w:rsidP="00167967">
            <w:pPr>
              <w:pStyle w:val="TableBody"/>
              <w:jc w:val="center"/>
              <w:rPr>
                <w:color w:val="262626" w:themeColor="text1" w:themeTint="D9"/>
              </w:rPr>
            </w:pPr>
            <w:r w:rsidRPr="00150A13">
              <w:lastRenderedPageBreak/>
              <w:t>×</w:t>
            </w:r>
          </w:p>
          <w:p w14:paraId="6CD05A1D" w14:textId="77777777" w:rsidR="00150A13" w:rsidRPr="00150A13" w:rsidRDefault="00150A13" w:rsidP="00167967">
            <w:pPr>
              <w:pStyle w:val="TableBody"/>
              <w:jc w:val="center"/>
              <w:rPr>
                <w:color w:val="262626" w:themeColor="text1" w:themeTint="D9"/>
              </w:rPr>
            </w:pPr>
            <w:r w:rsidRPr="00150A13">
              <w:t>Number of PCBUs working with engineered stone in Australia</w:t>
            </w:r>
          </w:p>
        </w:tc>
      </w:tr>
      <w:tr w:rsidR="00150A13" w:rsidRPr="00150A13" w14:paraId="0A922409" w14:textId="77777777" w:rsidTr="004C687A">
        <w:trPr>
          <w:trHeight w:val="560"/>
        </w:trPr>
        <w:tc>
          <w:tcPr>
            <w:tcW w:w="699"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66A3BF0D" w14:textId="77777777" w:rsidR="00150A13" w:rsidRPr="00150A13" w:rsidRDefault="00150A13" w:rsidP="00167967">
            <w:pPr>
              <w:pStyle w:val="TableBody"/>
              <w:rPr>
                <w:sz w:val="20"/>
                <w:szCs w:val="20"/>
              </w:rPr>
            </w:pPr>
          </w:p>
        </w:tc>
        <w:tc>
          <w:tcPr>
            <w:tcW w:w="834" w:type="pct"/>
            <w:vMerge/>
            <w:tcBorders>
              <w:left w:val="single" w:sz="8" w:space="0" w:color="D9D9D9"/>
              <w:right w:val="single" w:sz="8" w:space="0" w:color="D9D9D9"/>
            </w:tcBorders>
            <w:shd w:val="clear" w:color="auto" w:fill="FFFFFF" w:themeFill="background1"/>
            <w:vAlign w:val="center"/>
          </w:tcPr>
          <w:p w14:paraId="32E53808" w14:textId="77777777" w:rsidR="00150A13" w:rsidRPr="00150A13" w:rsidRDefault="00150A13" w:rsidP="00167967">
            <w:pPr>
              <w:pStyle w:val="TableBody"/>
              <w:rPr>
                <w:rFonts w:cstheme="minorHAnsi"/>
                <w:sz w:val="20"/>
                <w:szCs w:val="20"/>
              </w:rPr>
            </w:pPr>
          </w:p>
        </w:tc>
        <w:tc>
          <w:tcPr>
            <w:tcW w:w="750"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1EA34A5F" w14:textId="77777777" w:rsidR="00150A13" w:rsidRPr="00150A13" w:rsidRDefault="00150A13" w:rsidP="00167967">
            <w:pPr>
              <w:pStyle w:val="TableBody"/>
              <w:rPr>
                <w:b/>
                <w:color w:val="262626" w:themeColor="text1" w:themeTint="D9"/>
              </w:rPr>
            </w:pPr>
            <w:r w:rsidRPr="00150A13">
              <w:rPr>
                <w:color w:val="000000"/>
              </w:rPr>
              <w:t>Time to participate in compliance audits (hours)</w:t>
            </w:r>
          </w:p>
        </w:tc>
        <w:tc>
          <w:tcPr>
            <w:tcW w:w="1400" w:type="pct"/>
            <w:gridSpan w:val="5"/>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7968F294" w14:textId="77777777" w:rsidR="00150A13" w:rsidRPr="00150A13" w:rsidRDefault="00150A13" w:rsidP="00167967">
            <w:pPr>
              <w:pStyle w:val="TableBody"/>
              <w:rPr>
                <w:b/>
              </w:rPr>
            </w:pPr>
            <w:r w:rsidRPr="00150A13">
              <w:t>4</w:t>
            </w:r>
            <w:r w:rsidRPr="00150A13">
              <w:rPr>
                <w:vertAlign w:val="superscript"/>
              </w:rPr>
              <w:footnoteReference w:id="52"/>
            </w:r>
          </w:p>
        </w:tc>
        <w:tc>
          <w:tcPr>
            <w:tcW w:w="1317" w:type="pct"/>
            <w:vMerge/>
            <w:tcBorders>
              <w:left w:val="single" w:sz="8" w:space="0" w:color="D9D9D9"/>
              <w:right w:val="single" w:sz="8" w:space="0" w:color="D9D9D9"/>
            </w:tcBorders>
            <w:shd w:val="clear" w:color="auto" w:fill="FFFFFF" w:themeFill="background1"/>
            <w:vAlign w:val="center"/>
          </w:tcPr>
          <w:p w14:paraId="4A2F1053" w14:textId="77777777" w:rsidR="00150A13" w:rsidRPr="00150A13" w:rsidRDefault="00150A13" w:rsidP="00150A13">
            <w:pPr>
              <w:spacing w:after="240" w:line="264" w:lineRule="auto"/>
              <w:ind w:left="425" w:right="269" w:hanging="425"/>
              <w:contextualSpacing/>
              <w:jc w:val="center"/>
              <w:rPr>
                <w:rFonts w:eastAsia="Times New Roman" w:cstheme="minorHAnsi"/>
                <w:b/>
                <w:bCs/>
                <w:sz w:val="20"/>
                <w:szCs w:val="20"/>
              </w:rPr>
            </w:pPr>
          </w:p>
        </w:tc>
      </w:tr>
      <w:tr w:rsidR="00150A13" w:rsidRPr="00150A13" w14:paraId="3F0886BF" w14:textId="77777777" w:rsidTr="004C687A">
        <w:trPr>
          <w:trHeight w:val="560"/>
        </w:trPr>
        <w:tc>
          <w:tcPr>
            <w:tcW w:w="699"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237D259E" w14:textId="77777777" w:rsidR="00150A13" w:rsidRPr="00150A13" w:rsidRDefault="00150A13" w:rsidP="00167967">
            <w:pPr>
              <w:pStyle w:val="TableBody"/>
              <w:rPr>
                <w:sz w:val="20"/>
                <w:szCs w:val="20"/>
              </w:rPr>
            </w:pPr>
          </w:p>
        </w:tc>
        <w:tc>
          <w:tcPr>
            <w:tcW w:w="834" w:type="pct"/>
            <w:vMerge/>
            <w:tcBorders>
              <w:left w:val="single" w:sz="8" w:space="0" w:color="D9D9D9"/>
              <w:right w:val="single" w:sz="8" w:space="0" w:color="D9D9D9"/>
            </w:tcBorders>
            <w:shd w:val="clear" w:color="auto" w:fill="FFFFFF" w:themeFill="background1"/>
            <w:vAlign w:val="center"/>
          </w:tcPr>
          <w:p w14:paraId="1318E8A8" w14:textId="77777777" w:rsidR="00150A13" w:rsidRPr="00150A13" w:rsidRDefault="00150A13" w:rsidP="00167967">
            <w:pPr>
              <w:pStyle w:val="TableBody"/>
              <w:rPr>
                <w:rFonts w:cstheme="minorHAnsi"/>
                <w:sz w:val="20"/>
                <w:szCs w:val="20"/>
              </w:rPr>
            </w:pPr>
          </w:p>
        </w:tc>
        <w:tc>
          <w:tcPr>
            <w:tcW w:w="750"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3DA228BB" w14:textId="77777777" w:rsidR="00150A13" w:rsidRPr="00150A13" w:rsidRDefault="00150A13" w:rsidP="00167967">
            <w:pPr>
              <w:pStyle w:val="TableBody"/>
              <w:rPr>
                <w:b/>
                <w:color w:val="262626" w:themeColor="text1" w:themeTint="D9"/>
              </w:rPr>
            </w:pPr>
            <w:r w:rsidRPr="00150A13">
              <w:rPr>
                <w:color w:val="000000"/>
              </w:rPr>
              <w:t>Number of workers required compliance audits (#)</w:t>
            </w:r>
          </w:p>
        </w:tc>
        <w:tc>
          <w:tcPr>
            <w:tcW w:w="1400" w:type="pct"/>
            <w:gridSpan w:val="5"/>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11017483" w14:textId="77777777" w:rsidR="00150A13" w:rsidRPr="00150A13" w:rsidRDefault="00150A13" w:rsidP="00167967">
            <w:pPr>
              <w:pStyle w:val="TableBody"/>
              <w:rPr>
                <w:b/>
              </w:rPr>
            </w:pPr>
            <w:r w:rsidRPr="00150A13">
              <w:t xml:space="preserve">2 </w:t>
            </w:r>
          </w:p>
        </w:tc>
        <w:tc>
          <w:tcPr>
            <w:tcW w:w="1317" w:type="pct"/>
            <w:vMerge/>
            <w:tcBorders>
              <w:left w:val="single" w:sz="8" w:space="0" w:color="D9D9D9"/>
              <w:right w:val="single" w:sz="8" w:space="0" w:color="D9D9D9"/>
            </w:tcBorders>
            <w:shd w:val="clear" w:color="auto" w:fill="FFFFFF" w:themeFill="background1"/>
            <w:vAlign w:val="center"/>
          </w:tcPr>
          <w:p w14:paraId="7FDF929D" w14:textId="77777777" w:rsidR="00150A13" w:rsidRPr="00150A13" w:rsidRDefault="00150A13" w:rsidP="00150A13">
            <w:pPr>
              <w:spacing w:after="240" w:line="264" w:lineRule="auto"/>
              <w:ind w:left="425" w:right="269" w:hanging="425"/>
              <w:contextualSpacing/>
              <w:jc w:val="center"/>
              <w:rPr>
                <w:rFonts w:eastAsia="Times New Roman" w:cstheme="minorHAnsi"/>
                <w:b/>
                <w:bCs/>
                <w:sz w:val="20"/>
                <w:szCs w:val="20"/>
              </w:rPr>
            </w:pPr>
          </w:p>
        </w:tc>
      </w:tr>
      <w:tr w:rsidR="00150A13" w:rsidRPr="00150A13" w14:paraId="5368F47C" w14:textId="77777777" w:rsidTr="004C687A">
        <w:trPr>
          <w:trHeight w:val="560"/>
        </w:trPr>
        <w:tc>
          <w:tcPr>
            <w:tcW w:w="699"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45263503" w14:textId="77777777" w:rsidR="00150A13" w:rsidRPr="00150A13" w:rsidRDefault="00150A13" w:rsidP="00167967">
            <w:pPr>
              <w:pStyle w:val="TableBody"/>
              <w:rPr>
                <w:sz w:val="20"/>
                <w:szCs w:val="20"/>
              </w:rPr>
            </w:pPr>
          </w:p>
        </w:tc>
        <w:tc>
          <w:tcPr>
            <w:tcW w:w="834" w:type="pct"/>
            <w:vMerge/>
            <w:tcBorders>
              <w:left w:val="single" w:sz="8" w:space="0" w:color="D9D9D9"/>
              <w:right w:val="single" w:sz="8" w:space="0" w:color="D9D9D9"/>
            </w:tcBorders>
            <w:shd w:val="clear" w:color="auto" w:fill="FFFFFF" w:themeFill="background1"/>
            <w:vAlign w:val="center"/>
          </w:tcPr>
          <w:p w14:paraId="65CC95F2" w14:textId="77777777" w:rsidR="00150A13" w:rsidRPr="00150A13" w:rsidRDefault="00150A13" w:rsidP="00167967">
            <w:pPr>
              <w:pStyle w:val="TableBody"/>
              <w:rPr>
                <w:rFonts w:cstheme="minorHAnsi"/>
                <w:sz w:val="20"/>
                <w:szCs w:val="20"/>
              </w:rPr>
            </w:pPr>
          </w:p>
        </w:tc>
        <w:tc>
          <w:tcPr>
            <w:tcW w:w="750"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74A1474B" w14:textId="77777777" w:rsidR="00150A13" w:rsidRPr="00150A13" w:rsidRDefault="00150A13" w:rsidP="00167967">
            <w:pPr>
              <w:pStyle w:val="TableBody"/>
              <w:rPr>
                <w:b/>
                <w:color w:val="262626" w:themeColor="text1" w:themeTint="D9"/>
              </w:rPr>
            </w:pPr>
            <w:r w:rsidRPr="00150A13">
              <w:rPr>
                <w:color w:val="262626" w:themeColor="text1" w:themeTint="D9"/>
              </w:rPr>
              <w:t>Average wage/ hour ($)</w:t>
            </w:r>
          </w:p>
        </w:tc>
        <w:tc>
          <w:tcPr>
            <w:tcW w:w="1400" w:type="pct"/>
            <w:gridSpan w:val="5"/>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6A38F50A" w14:textId="77777777" w:rsidR="00150A13" w:rsidRPr="00150A13" w:rsidRDefault="00150A13" w:rsidP="00167967">
            <w:pPr>
              <w:pStyle w:val="TableBody"/>
              <w:rPr>
                <w:b/>
              </w:rPr>
            </w:pPr>
            <w:r w:rsidRPr="00150A13">
              <w:t>$46.24</w:t>
            </w:r>
            <w:r w:rsidRPr="00150A13">
              <w:rPr>
                <w:rFonts w:ascii="EYInterstate Light" w:eastAsia="Times New Roman" w:hAnsi="EYInterstate Light" w:cs="Times New Roman"/>
                <w:sz w:val="20"/>
                <w:szCs w:val="24"/>
                <w:vertAlign w:val="superscript"/>
              </w:rPr>
              <w:t xml:space="preserve"> </w:t>
            </w:r>
            <w:r w:rsidRPr="00150A13">
              <w:fldChar w:fldCharType="begin"/>
            </w:r>
            <w:r w:rsidRPr="00150A13">
              <w:instrText xml:space="preserve"> ADDIN ZOTERO_ITEM CSL_CITATION {"citationID":"OZkbMuwR","properties":{"formattedCitation":"(Australian Bureau of Statistics 2021c)","plainCitation":"(Australian Bureau of Statistics 2021c)","noteIndex":0},"citationItems":[{"id":913,"uris":["http://zotero.org/users/6230888/items/YWAVMKLE"],"itemData":{"id":913,"type":"webpage","abstract":"Estimates of weekly earnings classified by industry, sector, state and territory","language":"en","title":"Average Weekly Earnings, Australia, November 2021","URL":"https://www.abs.gov.au/statistics/labour/earnings-and-working-conditions/average-weekly-earnings-australia/latest-release","author":[{"literal":"Australian Bureau of Statistics"}],"accessed":{"date-parts":[["2022",6,30]]},"issued":{"date-parts":[["2021"]]}}}],"schema":"https://github.com/citation-style-language/schema/raw/master/csl-citation.json"} </w:instrText>
            </w:r>
            <w:r w:rsidRPr="00150A13">
              <w:fldChar w:fldCharType="separate"/>
            </w:r>
            <w:r w:rsidRPr="00150A13">
              <w:rPr>
                <w:rFonts w:ascii="Calibri" w:hAnsi="Calibri" w:cs="Calibri"/>
                <w:szCs w:val="24"/>
              </w:rPr>
              <w:t>(Australian Bureau of Statistics 2021c)</w:t>
            </w:r>
            <w:r w:rsidRPr="00150A13">
              <w:fldChar w:fldCharType="end"/>
            </w:r>
          </w:p>
        </w:tc>
        <w:tc>
          <w:tcPr>
            <w:tcW w:w="1317" w:type="pct"/>
            <w:vMerge/>
            <w:tcBorders>
              <w:left w:val="single" w:sz="8" w:space="0" w:color="D9D9D9"/>
              <w:right w:val="single" w:sz="8" w:space="0" w:color="D9D9D9"/>
            </w:tcBorders>
            <w:shd w:val="clear" w:color="auto" w:fill="FFFFFF" w:themeFill="background1"/>
            <w:vAlign w:val="center"/>
          </w:tcPr>
          <w:p w14:paraId="261D76F2" w14:textId="77777777" w:rsidR="00150A13" w:rsidRPr="00150A13" w:rsidRDefault="00150A13" w:rsidP="00150A13">
            <w:pPr>
              <w:spacing w:after="240" w:line="264" w:lineRule="auto"/>
              <w:ind w:left="425" w:right="269" w:hanging="425"/>
              <w:contextualSpacing/>
              <w:jc w:val="center"/>
              <w:rPr>
                <w:rFonts w:eastAsia="Times New Roman" w:cstheme="minorHAnsi"/>
                <w:b/>
                <w:bCs/>
                <w:sz w:val="20"/>
                <w:szCs w:val="20"/>
              </w:rPr>
            </w:pPr>
          </w:p>
        </w:tc>
      </w:tr>
      <w:tr w:rsidR="00150A13" w:rsidRPr="00150A13" w14:paraId="12089F1D" w14:textId="77777777" w:rsidTr="004C687A">
        <w:trPr>
          <w:trHeight w:val="560"/>
        </w:trPr>
        <w:tc>
          <w:tcPr>
            <w:tcW w:w="699"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7C781954" w14:textId="77777777" w:rsidR="00150A13" w:rsidRPr="00150A13" w:rsidRDefault="00150A13" w:rsidP="00167967">
            <w:pPr>
              <w:pStyle w:val="TableBody"/>
              <w:rPr>
                <w:sz w:val="20"/>
                <w:szCs w:val="20"/>
              </w:rPr>
            </w:pPr>
          </w:p>
        </w:tc>
        <w:tc>
          <w:tcPr>
            <w:tcW w:w="834" w:type="pct"/>
            <w:vMerge/>
            <w:tcBorders>
              <w:left w:val="single" w:sz="8" w:space="0" w:color="D9D9D9"/>
              <w:right w:val="single" w:sz="8" w:space="0" w:color="D9D9D9"/>
            </w:tcBorders>
            <w:shd w:val="clear" w:color="auto" w:fill="FFFFFF" w:themeFill="background1"/>
            <w:vAlign w:val="center"/>
          </w:tcPr>
          <w:p w14:paraId="26709504" w14:textId="77777777" w:rsidR="00150A13" w:rsidRPr="00150A13" w:rsidRDefault="00150A13" w:rsidP="00167967">
            <w:pPr>
              <w:pStyle w:val="TableBody"/>
              <w:rPr>
                <w:rFonts w:cstheme="minorHAnsi"/>
                <w:sz w:val="20"/>
                <w:szCs w:val="20"/>
              </w:rPr>
            </w:pPr>
          </w:p>
        </w:tc>
        <w:tc>
          <w:tcPr>
            <w:tcW w:w="750"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48118AB3" w14:textId="77777777" w:rsidR="00150A13" w:rsidRPr="00150A13" w:rsidRDefault="00150A13" w:rsidP="00167967">
            <w:pPr>
              <w:pStyle w:val="TableBody"/>
              <w:rPr>
                <w:b/>
                <w:color w:val="262626" w:themeColor="text1" w:themeTint="D9"/>
              </w:rPr>
            </w:pPr>
            <w:r w:rsidRPr="00150A13">
              <w:rPr>
                <w:color w:val="262626" w:themeColor="text1" w:themeTint="D9"/>
              </w:rPr>
              <w:t>Number of PCBUs working with engineered stone in Australia (#)</w:t>
            </w:r>
          </w:p>
        </w:tc>
        <w:tc>
          <w:tcPr>
            <w:tcW w:w="1400" w:type="pct"/>
            <w:gridSpan w:val="5"/>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6402E378" w14:textId="77777777" w:rsidR="00150A13" w:rsidRPr="00150A13" w:rsidRDefault="00150A13" w:rsidP="00167967">
            <w:pPr>
              <w:pStyle w:val="TableBody"/>
              <w:rPr>
                <w:b/>
              </w:rPr>
            </w:pPr>
            <w:r w:rsidRPr="00150A13">
              <w:t>1,000</w:t>
            </w:r>
            <w:r w:rsidRPr="00150A13">
              <w:rPr>
                <w:rFonts w:ascii="EYInterstate Light" w:eastAsia="Times New Roman" w:hAnsi="EYInterstate Light" w:cs="Times New Roman"/>
                <w:sz w:val="20"/>
                <w:szCs w:val="24"/>
                <w:vertAlign w:val="superscript"/>
              </w:rPr>
              <w:t xml:space="preserve"> </w:t>
            </w:r>
            <w:r w:rsidRPr="00150A13">
              <w:fldChar w:fldCharType="begin"/>
            </w:r>
            <w:r w:rsidRPr="00150A13">
              <w:instrText xml:space="preserve"> ADDIN ZOTERO_ITEM CSL_CITATION {"citationID":"wyJVU0PP","properties":{"formattedCitation":"(Australian Engineered Stone Advisory Group 2019)","plainCitation":"(Australian Engineered Stone Advisory Group 2019)","noteIndex":0},"citationItems":[{"id":918,"uris":["http://zotero.org/users/6230888/items/4WCCIQ5J"],"itemData":{"id":918,"type":"report","page":"102","title":"Members of the Australian Engineered Stone Advisory Group (AESAG) Application for authorisation to the Australian Competition and Consumer Commission (ACCC)","URL":"https://www.accc.gov.au/system/files/public-registers/documents/Australian%20Engineered%20Stone%20Advisory%20Group%20%28AESAG%29%20-%20Application%20Received%20-%2029.11.19%20-%20PR%20VERSION.pdf","author":[{"literal":"Australian Engineered Stone Advisory Group"}],"accessed":{"date-parts":[["2022",6,30]]},"issued":{"date-parts":[["2019"]]}}}],"schema":"https://github.com/citation-style-language/schema/raw/master/csl-citation.json"} </w:instrText>
            </w:r>
            <w:r w:rsidRPr="00150A13">
              <w:fldChar w:fldCharType="separate"/>
            </w:r>
            <w:r w:rsidRPr="00150A13">
              <w:rPr>
                <w:rFonts w:ascii="Calibri" w:hAnsi="Calibri" w:cs="Calibri"/>
                <w:szCs w:val="24"/>
              </w:rPr>
              <w:t>(Australian Engineered Stone Advisory Group 2019)</w:t>
            </w:r>
            <w:r w:rsidRPr="00150A13">
              <w:fldChar w:fldCharType="end"/>
            </w:r>
          </w:p>
        </w:tc>
        <w:tc>
          <w:tcPr>
            <w:tcW w:w="1317" w:type="pct"/>
            <w:vMerge/>
            <w:tcBorders>
              <w:left w:val="single" w:sz="8" w:space="0" w:color="D9D9D9"/>
              <w:right w:val="single" w:sz="8" w:space="0" w:color="D9D9D9"/>
            </w:tcBorders>
            <w:shd w:val="clear" w:color="auto" w:fill="FFFFFF" w:themeFill="background1"/>
            <w:vAlign w:val="center"/>
          </w:tcPr>
          <w:p w14:paraId="5DDD68C1" w14:textId="77777777" w:rsidR="00150A13" w:rsidRPr="00150A13" w:rsidRDefault="00150A13" w:rsidP="00150A13">
            <w:pPr>
              <w:spacing w:after="240" w:line="264" w:lineRule="auto"/>
              <w:ind w:left="425" w:right="269" w:hanging="425"/>
              <w:contextualSpacing/>
              <w:jc w:val="center"/>
              <w:rPr>
                <w:rFonts w:eastAsia="Times New Roman" w:cstheme="minorHAnsi"/>
                <w:b/>
                <w:bCs/>
                <w:sz w:val="20"/>
                <w:szCs w:val="20"/>
              </w:rPr>
            </w:pPr>
          </w:p>
        </w:tc>
      </w:tr>
      <w:tr w:rsidR="00150A13" w:rsidRPr="00150A13" w14:paraId="2161DE6B" w14:textId="77777777" w:rsidTr="004C687A">
        <w:trPr>
          <w:trHeight w:val="297"/>
        </w:trPr>
        <w:tc>
          <w:tcPr>
            <w:tcW w:w="5000" w:type="pct"/>
            <w:gridSpan w:val="9"/>
            <w:tcBorders>
              <w:left w:val="single" w:sz="8" w:space="0" w:color="D9D9D9"/>
              <w:right w:val="single" w:sz="8" w:space="0" w:color="D9D9D9"/>
            </w:tcBorders>
            <w:shd w:val="clear" w:color="auto" w:fill="BFBFBF" w:themeFill="background1" w:themeFillShade="BF"/>
            <w:tcMar>
              <w:top w:w="72" w:type="dxa"/>
              <w:left w:w="144" w:type="dxa"/>
              <w:bottom w:w="72" w:type="dxa"/>
              <w:right w:w="144" w:type="dxa"/>
            </w:tcMar>
          </w:tcPr>
          <w:p w14:paraId="6FCCDDB2" w14:textId="77777777" w:rsidR="00150A13" w:rsidRPr="00150A13" w:rsidRDefault="00150A13" w:rsidP="00167967">
            <w:pPr>
              <w:pStyle w:val="TableHeading"/>
            </w:pPr>
            <w:r w:rsidRPr="00150A13">
              <w:t>Option 5a and 5b</w:t>
            </w:r>
          </w:p>
        </w:tc>
      </w:tr>
      <w:tr w:rsidR="00150A13" w:rsidRPr="00150A13" w14:paraId="2460FC25" w14:textId="77777777" w:rsidTr="004C687A">
        <w:trPr>
          <w:trHeight w:val="1187"/>
        </w:trPr>
        <w:tc>
          <w:tcPr>
            <w:tcW w:w="699" w:type="pct"/>
            <w:vMerge w:val="restart"/>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429E5FF3" w14:textId="77777777" w:rsidR="00150A13" w:rsidRPr="00167967" w:rsidRDefault="00150A13" w:rsidP="00167967">
            <w:pPr>
              <w:pStyle w:val="TableBody"/>
              <w:rPr>
                <w:i/>
              </w:rPr>
            </w:pPr>
            <w:r w:rsidRPr="00167967">
              <w:rPr>
                <w:i/>
              </w:rPr>
              <w:t xml:space="preserve">Risk assessment: (Initial assessment) - Year 1 </w:t>
            </w:r>
          </w:p>
        </w:tc>
        <w:tc>
          <w:tcPr>
            <w:tcW w:w="834" w:type="pct"/>
            <w:vMerge w:val="restart"/>
            <w:tcBorders>
              <w:left w:val="single" w:sz="8" w:space="0" w:color="D9D9D9"/>
              <w:right w:val="single" w:sz="8" w:space="0" w:color="D9D9D9"/>
            </w:tcBorders>
            <w:shd w:val="clear" w:color="auto" w:fill="FFFFFF" w:themeFill="background1"/>
          </w:tcPr>
          <w:p w14:paraId="67653D40" w14:textId="5CEFCB5A" w:rsidR="00150A13" w:rsidRPr="00150A13" w:rsidRDefault="00150A13" w:rsidP="00167967">
            <w:pPr>
              <w:pStyle w:val="TableBody"/>
              <w:rPr>
                <w:color w:val="262626" w:themeColor="text1" w:themeTint="D9"/>
              </w:rPr>
            </w:pPr>
            <w:r w:rsidRPr="00150A13">
              <w:t xml:space="preserve">Additional labour costs for the preparation of a risk assessment in year 1. This may include seeking expert advice, and baseline analytical tests/analysis of source materials </w:t>
            </w:r>
          </w:p>
        </w:tc>
        <w:tc>
          <w:tcPr>
            <w:tcW w:w="750" w:type="pct"/>
            <w:tcBorders>
              <w:top w:val="single" w:sz="8" w:space="0" w:color="D9D9D9"/>
              <w:left w:val="single" w:sz="8" w:space="0" w:color="D9D9D9"/>
              <w:right w:val="single" w:sz="8" w:space="0" w:color="D9D9D9"/>
            </w:tcBorders>
            <w:shd w:val="clear" w:color="auto" w:fill="FFFFFF" w:themeFill="background1"/>
            <w:vAlign w:val="center"/>
          </w:tcPr>
          <w:p w14:paraId="31EBA8DA" w14:textId="77777777" w:rsidR="00150A13" w:rsidRPr="00150A13" w:rsidRDefault="00150A13" w:rsidP="00167967">
            <w:pPr>
              <w:pStyle w:val="TableBody"/>
              <w:rPr>
                <w:color w:val="262626" w:themeColor="text1" w:themeTint="D9"/>
              </w:rPr>
            </w:pPr>
            <w:r w:rsidRPr="00150A13">
              <w:t xml:space="preserve">Cost of consultant to inform risk assessment </w:t>
            </w:r>
          </w:p>
        </w:tc>
        <w:tc>
          <w:tcPr>
            <w:tcW w:w="1400" w:type="pct"/>
            <w:gridSpan w:val="5"/>
            <w:tcBorders>
              <w:top w:val="single" w:sz="8" w:space="0" w:color="D9D9D9"/>
              <w:left w:val="single" w:sz="8" w:space="0" w:color="D9D9D9"/>
              <w:right w:val="single" w:sz="8" w:space="0" w:color="D9D9D9"/>
            </w:tcBorders>
            <w:shd w:val="clear" w:color="auto" w:fill="FFFFFF" w:themeFill="background1"/>
            <w:vAlign w:val="center"/>
          </w:tcPr>
          <w:p w14:paraId="38B97C8D" w14:textId="77777777" w:rsidR="00150A13" w:rsidRPr="00150A13" w:rsidRDefault="00150A13" w:rsidP="00167967">
            <w:pPr>
              <w:pStyle w:val="TableBody"/>
            </w:pPr>
            <w:r w:rsidRPr="00150A13">
              <w:t>$4,500</w:t>
            </w:r>
            <w:r w:rsidRPr="00150A13">
              <w:rPr>
                <w:vertAlign w:val="superscript"/>
              </w:rPr>
              <w:footnoteReference w:id="53"/>
            </w:r>
            <w:r w:rsidRPr="00150A13">
              <w:t xml:space="preserve"> </w:t>
            </w:r>
          </w:p>
        </w:tc>
        <w:tc>
          <w:tcPr>
            <w:tcW w:w="1317" w:type="pct"/>
            <w:vMerge w:val="restart"/>
            <w:tcBorders>
              <w:left w:val="single" w:sz="8" w:space="0" w:color="D9D9D9"/>
              <w:right w:val="single" w:sz="8" w:space="0" w:color="D9D9D9"/>
            </w:tcBorders>
            <w:shd w:val="clear" w:color="auto" w:fill="FFFFFF" w:themeFill="background1"/>
            <w:vAlign w:val="center"/>
          </w:tcPr>
          <w:p w14:paraId="3EEC0065" w14:textId="77777777" w:rsidR="00150A13" w:rsidRPr="00167967" w:rsidRDefault="00150A13" w:rsidP="00167967">
            <w:pPr>
              <w:pStyle w:val="TableBody"/>
              <w:jc w:val="center"/>
              <w:rPr>
                <w:b/>
                <w:bCs/>
                <w:color w:val="262626" w:themeColor="text1" w:themeTint="D9"/>
              </w:rPr>
            </w:pPr>
            <w:r w:rsidRPr="00167967">
              <w:rPr>
                <w:b/>
              </w:rPr>
              <w:t xml:space="preserve">Cost of risk </w:t>
            </w:r>
            <w:r w:rsidRPr="00167967">
              <w:rPr>
                <w:rFonts w:eastAsia="Times New Roman" w:cstheme="minorHAnsi"/>
                <w:b/>
                <w:szCs w:val="18"/>
              </w:rPr>
              <w:t>assessment report: (Year 1)</w:t>
            </w:r>
          </w:p>
          <w:p w14:paraId="7ED7EDFE" w14:textId="77777777" w:rsidR="00150A13" w:rsidRPr="00150A13" w:rsidRDefault="00150A13" w:rsidP="00167967">
            <w:pPr>
              <w:pStyle w:val="TableBody"/>
              <w:jc w:val="center"/>
              <w:rPr>
                <w:color w:val="262626" w:themeColor="text1" w:themeTint="D9"/>
              </w:rPr>
            </w:pPr>
            <w:r w:rsidRPr="00150A13">
              <w:t>=</w:t>
            </w:r>
          </w:p>
          <w:p w14:paraId="3CD2182B" w14:textId="69892F37" w:rsidR="00150A13" w:rsidRPr="00150A13" w:rsidRDefault="00150A13" w:rsidP="00167967">
            <w:pPr>
              <w:pStyle w:val="TableBody"/>
              <w:jc w:val="center"/>
              <w:rPr>
                <w:color w:val="262626" w:themeColor="text1" w:themeTint="D9"/>
              </w:rPr>
            </w:pPr>
            <w:r w:rsidRPr="00150A13">
              <w:t>Cost of consultant to inform risk assessment</w:t>
            </w:r>
          </w:p>
          <w:p w14:paraId="62F5FCDD" w14:textId="77777777" w:rsidR="00150A13" w:rsidRPr="00150A13" w:rsidRDefault="00150A13" w:rsidP="00167967">
            <w:pPr>
              <w:pStyle w:val="TableBody"/>
              <w:jc w:val="center"/>
              <w:rPr>
                <w:color w:val="262626" w:themeColor="text1" w:themeTint="D9"/>
              </w:rPr>
            </w:pPr>
            <w:r w:rsidRPr="00150A13">
              <w:t>×</w:t>
            </w:r>
          </w:p>
          <w:p w14:paraId="11F2A2EC" w14:textId="77777777" w:rsidR="00150A13" w:rsidRPr="00150A13" w:rsidRDefault="00150A13" w:rsidP="00167967">
            <w:pPr>
              <w:pStyle w:val="TableBody"/>
              <w:jc w:val="center"/>
            </w:pPr>
            <w:r w:rsidRPr="00150A13">
              <w:t>Number of businesses undertaking high risk silica work</w:t>
            </w:r>
          </w:p>
        </w:tc>
      </w:tr>
      <w:tr w:rsidR="00126B8C" w:rsidRPr="00150A13" w14:paraId="434FCB75" w14:textId="77777777" w:rsidTr="00167967">
        <w:trPr>
          <w:trHeight w:val="1202"/>
        </w:trPr>
        <w:tc>
          <w:tcPr>
            <w:tcW w:w="699"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37B5EB10" w14:textId="77777777" w:rsidR="00150A13" w:rsidRPr="00150A13" w:rsidRDefault="00150A13" w:rsidP="00167967">
            <w:pPr>
              <w:pStyle w:val="TableBody"/>
            </w:pPr>
          </w:p>
        </w:tc>
        <w:tc>
          <w:tcPr>
            <w:tcW w:w="834" w:type="pct"/>
            <w:vMerge/>
            <w:tcBorders>
              <w:left w:val="single" w:sz="8" w:space="0" w:color="D9D9D9"/>
              <w:right w:val="single" w:sz="8" w:space="0" w:color="D9D9D9"/>
            </w:tcBorders>
            <w:shd w:val="clear" w:color="auto" w:fill="FFFFFF" w:themeFill="background1"/>
          </w:tcPr>
          <w:p w14:paraId="59079390" w14:textId="77777777" w:rsidR="00150A13" w:rsidRPr="00150A13" w:rsidRDefault="00150A13" w:rsidP="00167967">
            <w:pPr>
              <w:pStyle w:val="TableBody"/>
            </w:pPr>
          </w:p>
        </w:tc>
        <w:tc>
          <w:tcPr>
            <w:tcW w:w="750" w:type="pct"/>
            <w:tcBorders>
              <w:top w:val="single" w:sz="8" w:space="0" w:color="D9D9D9"/>
              <w:left w:val="single" w:sz="8" w:space="0" w:color="D9D9D9"/>
              <w:right w:val="single" w:sz="8" w:space="0" w:color="D9D9D9"/>
            </w:tcBorders>
            <w:shd w:val="clear" w:color="auto" w:fill="FFFFFF" w:themeFill="background1"/>
            <w:vAlign w:val="center"/>
          </w:tcPr>
          <w:p w14:paraId="3DD5312D" w14:textId="4DE99A7B" w:rsidR="00150A13" w:rsidRPr="00150A13" w:rsidRDefault="00150A13" w:rsidP="00167967">
            <w:pPr>
              <w:pStyle w:val="TableBody"/>
              <w:rPr>
                <w:color w:val="262626" w:themeColor="text1" w:themeTint="D9"/>
              </w:rPr>
            </w:pPr>
            <w:r w:rsidRPr="00150A13">
              <w:rPr>
                <w:color w:val="262626" w:themeColor="text1" w:themeTint="D9"/>
              </w:rPr>
              <w:t>Number of businesses undertaking high risk silica work (#)</w:t>
            </w:r>
          </w:p>
        </w:tc>
        <w:tc>
          <w:tcPr>
            <w:tcW w:w="1400" w:type="pct"/>
            <w:gridSpan w:val="5"/>
            <w:tcBorders>
              <w:left w:val="single" w:sz="8" w:space="0" w:color="D9D9D9"/>
              <w:right w:val="single" w:sz="8" w:space="0" w:color="D9D9D9"/>
            </w:tcBorders>
            <w:shd w:val="clear" w:color="auto" w:fill="FFFFFF" w:themeFill="background1"/>
            <w:vAlign w:val="center"/>
          </w:tcPr>
          <w:p w14:paraId="36CC6EDA" w14:textId="4BEAFE94" w:rsidR="00150A13" w:rsidRPr="00150A13" w:rsidRDefault="00150A13" w:rsidP="00167967">
            <w:pPr>
              <w:pStyle w:val="TableBody"/>
            </w:pPr>
            <w:r w:rsidRPr="00150A13">
              <w:t xml:space="preserve">Refer to </w:t>
            </w:r>
            <w:r w:rsidRPr="00150A13">
              <w:rPr>
                <w:rFonts w:ascii="EYInterstate Light" w:hAnsi="EYInterstate Light"/>
              </w:rPr>
              <w:fldChar w:fldCharType="begin"/>
            </w:r>
            <w:r w:rsidRPr="00150A13">
              <w:instrText xml:space="preserve"> REF _Ref124837852 \h  \* MERGEFORMAT </w:instrText>
            </w:r>
            <w:r w:rsidRPr="00150A13">
              <w:rPr>
                <w:rFonts w:ascii="EYInterstate Light" w:hAnsi="EYInterstate Light"/>
              </w:rPr>
            </w:r>
            <w:r w:rsidRPr="00150A13">
              <w:rPr>
                <w:rFonts w:ascii="EYInterstate Light" w:hAnsi="EYInterstate Light"/>
              </w:rPr>
              <w:fldChar w:fldCharType="separate"/>
            </w:r>
            <w:r w:rsidR="00DF768D" w:rsidRPr="00150A13">
              <w:t xml:space="preserve">Table </w:t>
            </w:r>
            <w:r w:rsidR="00DF768D" w:rsidRPr="00DF768D">
              <w:t>38</w:t>
            </w:r>
            <w:r w:rsidRPr="00150A13">
              <w:rPr>
                <w:rFonts w:ascii="EYInterstate Light" w:hAnsi="EYInterstate Light"/>
              </w:rPr>
              <w:fldChar w:fldCharType="end"/>
            </w:r>
          </w:p>
        </w:tc>
        <w:tc>
          <w:tcPr>
            <w:tcW w:w="1317" w:type="pct"/>
            <w:vMerge/>
            <w:tcBorders>
              <w:left w:val="single" w:sz="8" w:space="0" w:color="D9D9D9"/>
              <w:right w:val="single" w:sz="8" w:space="0" w:color="D9D9D9"/>
            </w:tcBorders>
            <w:shd w:val="clear" w:color="auto" w:fill="FFFFFF" w:themeFill="background1"/>
            <w:vAlign w:val="center"/>
          </w:tcPr>
          <w:p w14:paraId="5BC5836D" w14:textId="77777777" w:rsidR="00150A13" w:rsidRPr="00150A13" w:rsidRDefault="00150A13" w:rsidP="00150A13">
            <w:pPr>
              <w:spacing w:after="240" w:line="264" w:lineRule="auto"/>
              <w:ind w:left="425" w:right="130" w:hanging="425"/>
              <w:contextualSpacing/>
              <w:jc w:val="center"/>
              <w:rPr>
                <w:rFonts w:eastAsia="Times New Roman" w:cstheme="minorHAnsi"/>
                <w:b/>
                <w:bCs/>
                <w:sz w:val="18"/>
                <w:szCs w:val="18"/>
              </w:rPr>
            </w:pPr>
          </w:p>
        </w:tc>
      </w:tr>
      <w:tr w:rsidR="00150A13" w:rsidRPr="00150A13" w14:paraId="53093AFA" w14:textId="77777777" w:rsidTr="004C687A">
        <w:trPr>
          <w:trHeight w:val="20"/>
        </w:trPr>
        <w:tc>
          <w:tcPr>
            <w:tcW w:w="699" w:type="pct"/>
            <w:vMerge w:val="restart"/>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673D1FB1" w14:textId="77777777" w:rsidR="00150A13" w:rsidRPr="00167967" w:rsidRDefault="00150A13" w:rsidP="00167967">
            <w:pPr>
              <w:pStyle w:val="TableBody"/>
              <w:rPr>
                <w:i/>
              </w:rPr>
            </w:pPr>
            <w:r w:rsidRPr="00167967">
              <w:rPr>
                <w:i/>
              </w:rPr>
              <w:t>Risk assessment: all industries (annual assessment) - year 2 – 10</w:t>
            </w:r>
          </w:p>
        </w:tc>
        <w:tc>
          <w:tcPr>
            <w:tcW w:w="834" w:type="pct"/>
            <w:vMerge w:val="restart"/>
            <w:tcBorders>
              <w:left w:val="single" w:sz="8" w:space="0" w:color="D9D9D9"/>
              <w:right w:val="single" w:sz="8" w:space="0" w:color="D9D9D9"/>
            </w:tcBorders>
            <w:shd w:val="clear" w:color="auto" w:fill="FFFFFF" w:themeFill="background1"/>
          </w:tcPr>
          <w:p w14:paraId="2EF5C17D" w14:textId="77777777" w:rsidR="00150A13" w:rsidRPr="00150A13" w:rsidRDefault="00150A13" w:rsidP="00167967">
            <w:pPr>
              <w:pStyle w:val="TableBody"/>
              <w:rPr>
                <w:rFonts w:cstheme="minorHAnsi"/>
                <w:szCs w:val="18"/>
              </w:rPr>
            </w:pPr>
            <w:r w:rsidRPr="00150A13">
              <w:t>Additional labour costs for the preparation/revision  of</w:t>
            </w:r>
            <w:r w:rsidRPr="00150A13">
              <w:rPr>
                <w:rFonts w:cstheme="minorHAnsi"/>
                <w:szCs w:val="18"/>
              </w:rPr>
              <w:t xml:space="preserve"> risk assessment on an annual basis</w:t>
            </w:r>
          </w:p>
          <w:p w14:paraId="250C9960" w14:textId="77777777" w:rsidR="00150A13" w:rsidRPr="00150A13" w:rsidRDefault="00150A13" w:rsidP="00167967">
            <w:pPr>
              <w:pStyle w:val="TableBody"/>
              <w:rPr>
                <w:color w:val="262626" w:themeColor="text1" w:themeTint="D9"/>
              </w:rPr>
            </w:pPr>
          </w:p>
        </w:tc>
        <w:tc>
          <w:tcPr>
            <w:tcW w:w="750"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6F64BDDB" w14:textId="77777777" w:rsidR="00150A13" w:rsidRPr="00150A13" w:rsidRDefault="00150A13" w:rsidP="00167967">
            <w:pPr>
              <w:pStyle w:val="TableBody"/>
              <w:rPr>
                <w:color w:val="262626" w:themeColor="text1" w:themeTint="D9"/>
              </w:rPr>
            </w:pPr>
            <w:r w:rsidRPr="00150A13">
              <w:t>Time taken to prepare risk assessment (hours)</w:t>
            </w:r>
          </w:p>
        </w:tc>
        <w:tc>
          <w:tcPr>
            <w:tcW w:w="338" w:type="pct"/>
            <w:tcBorders>
              <w:top w:val="single" w:sz="8" w:space="0" w:color="D9D9D9"/>
              <w:left w:val="single" w:sz="8" w:space="0" w:color="D9D9D9"/>
              <w:right w:val="single" w:sz="8" w:space="0" w:color="D9D9D9"/>
            </w:tcBorders>
            <w:shd w:val="clear" w:color="auto" w:fill="FFFFFF" w:themeFill="background1"/>
            <w:vAlign w:val="center"/>
          </w:tcPr>
          <w:p w14:paraId="06D46D6D" w14:textId="77777777" w:rsidR="00150A13" w:rsidRPr="00150A13" w:rsidRDefault="00150A13" w:rsidP="00167967">
            <w:pPr>
              <w:pStyle w:val="TableBody"/>
              <w:rPr>
                <w:rFonts w:eastAsia="Times New Roman" w:cstheme="minorHAnsi"/>
                <w:szCs w:val="18"/>
              </w:rPr>
            </w:pPr>
            <w:r w:rsidRPr="00150A13">
              <w:t>Small</w:t>
            </w:r>
          </w:p>
          <w:p w14:paraId="1E76B39C" w14:textId="77777777" w:rsidR="00150A13" w:rsidRPr="00150A13" w:rsidRDefault="00150A13" w:rsidP="00167967">
            <w:pPr>
              <w:pStyle w:val="TableBody"/>
            </w:pPr>
            <w:r w:rsidRPr="00150A13">
              <w:t>3</w:t>
            </w:r>
          </w:p>
        </w:tc>
        <w:tc>
          <w:tcPr>
            <w:tcW w:w="448" w:type="pct"/>
            <w:gridSpan w:val="2"/>
            <w:tcBorders>
              <w:top w:val="single" w:sz="8" w:space="0" w:color="D9D9D9"/>
              <w:left w:val="single" w:sz="8" w:space="0" w:color="D9D9D9"/>
              <w:right w:val="single" w:sz="8" w:space="0" w:color="D9D9D9"/>
            </w:tcBorders>
            <w:shd w:val="clear" w:color="auto" w:fill="FFFFFF" w:themeFill="background1"/>
            <w:vAlign w:val="center"/>
          </w:tcPr>
          <w:p w14:paraId="4AD52650" w14:textId="77777777" w:rsidR="00150A13" w:rsidRPr="00150A13" w:rsidRDefault="00150A13" w:rsidP="00167967">
            <w:pPr>
              <w:pStyle w:val="TableBody"/>
              <w:rPr>
                <w:rFonts w:eastAsia="Times New Roman" w:cstheme="minorHAnsi"/>
                <w:szCs w:val="18"/>
              </w:rPr>
            </w:pPr>
            <w:r w:rsidRPr="00150A13">
              <w:t>Medium</w:t>
            </w:r>
          </w:p>
          <w:p w14:paraId="6E2B9F34" w14:textId="77777777" w:rsidR="00150A13" w:rsidRPr="00150A13" w:rsidRDefault="00150A13" w:rsidP="00167967">
            <w:pPr>
              <w:pStyle w:val="TableBody"/>
            </w:pPr>
            <w:r w:rsidRPr="00150A13">
              <w:t>3</w:t>
            </w:r>
          </w:p>
        </w:tc>
        <w:tc>
          <w:tcPr>
            <w:tcW w:w="614" w:type="pct"/>
            <w:gridSpan w:val="2"/>
            <w:tcBorders>
              <w:top w:val="single" w:sz="8" w:space="0" w:color="D9D9D9"/>
              <w:left w:val="single" w:sz="8" w:space="0" w:color="D9D9D9"/>
              <w:right w:val="single" w:sz="8" w:space="0" w:color="D9D9D9"/>
            </w:tcBorders>
            <w:shd w:val="clear" w:color="auto" w:fill="FFFFFF" w:themeFill="background1"/>
            <w:vAlign w:val="center"/>
          </w:tcPr>
          <w:p w14:paraId="1A878D6C" w14:textId="77777777" w:rsidR="00150A13" w:rsidRPr="00150A13" w:rsidRDefault="00150A13" w:rsidP="00167967">
            <w:pPr>
              <w:pStyle w:val="TableBody"/>
              <w:rPr>
                <w:rFonts w:eastAsia="Times New Roman" w:cstheme="minorHAnsi"/>
                <w:szCs w:val="18"/>
              </w:rPr>
            </w:pPr>
            <w:r w:rsidRPr="00150A13">
              <w:t>Large</w:t>
            </w:r>
          </w:p>
          <w:p w14:paraId="5D4921B4" w14:textId="77777777" w:rsidR="00150A13" w:rsidRPr="00150A13" w:rsidRDefault="00150A13" w:rsidP="00167967">
            <w:pPr>
              <w:pStyle w:val="TableBody"/>
            </w:pPr>
            <w:r w:rsidRPr="00150A13">
              <w:t>4</w:t>
            </w:r>
            <w:r w:rsidRPr="00150A13">
              <w:rPr>
                <w:rFonts w:ascii="EYInterstate Light" w:eastAsia="Times New Roman" w:hAnsi="EYInterstate Light" w:cs="Times New Roman"/>
                <w:sz w:val="20"/>
                <w:szCs w:val="24"/>
                <w:vertAlign w:val="superscript"/>
              </w:rPr>
              <w:t xml:space="preserve"> </w:t>
            </w:r>
            <w:r w:rsidRPr="00150A13">
              <w:rPr>
                <w:vertAlign w:val="superscript"/>
              </w:rPr>
              <w:footnoteReference w:id="54"/>
            </w:r>
          </w:p>
        </w:tc>
        <w:tc>
          <w:tcPr>
            <w:tcW w:w="1317" w:type="pct"/>
            <w:vMerge w:val="restart"/>
            <w:tcBorders>
              <w:left w:val="single" w:sz="8" w:space="0" w:color="D9D9D9"/>
              <w:right w:val="single" w:sz="8" w:space="0" w:color="D9D9D9"/>
            </w:tcBorders>
            <w:shd w:val="clear" w:color="auto" w:fill="FFFFFF" w:themeFill="background1"/>
            <w:vAlign w:val="center"/>
          </w:tcPr>
          <w:p w14:paraId="599EDC71" w14:textId="77777777" w:rsidR="00150A13" w:rsidRPr="00167967" w:rsidRDefault="00150A13" w:rsidP="00167967">
            <w:pPr>
              <w:pStyle w:val="TableBody"/>
              <w:jc w:val="center"/>
              <w:rPr>
                <w:b/>
                <w:bCs/>
                <w:color w:val="262626" w:themeColor="text1" w:themeTint="D9"/>
              </w:rPr>
            </w:pPr>
            <w:r w:rsidRPr="00167967">
              <w:rPr>
                <w:b/>
              </w:rPr>
              <w:t>Cost of risk assessment: (year– 2- 10)</w:t>
            </w:r>
          </w:p>
          <w:p w14:paraId="3E7BC407" w14:textId="77777777" w:rsidR="00150A13" w:rsidRPr="00150A13" w:rsidRDefault="00150A13" w:rsidP="00167967">
            <w:pPr>
              <w:pStyle w:val="TableBody"/>
              <w:jc w:val="center"/>
              <w:rPr>
                <w:color w:val="262626" w:themeColor="text1" w:themeTint="D9"/>
              </w:rPr>
            </w:pPr>
            <w:r w:rsidRPr="00150A13">
              <w:t>=</w:t>
            </w:r>
          </w:p>
          <w:p w14:paraId="2D1C0661" w14:textId="77777777" w:rsidR="00150A13" w:rsidRPr="00150A13" w:rsidRDefault="00150A13" w:rsidP="00167967">
            <w:pPr>
              <w:pStyle w:val="TableBody"/>
              <w:jc w:val="center"/>
              <w:rPr>
                <w:color w:val="262626" w:themeColor="text1" w:themeTint="D9"/>
              </w:rPr>
            </w:pPr>
            <w:r w:rsidRPr="00150A13">
              <w:t>Time taken to prepare risk assessment report</w:t>
            </w:r>
          </w:p>
          <w:p w14:paraId="272D75CE" w14:textId="77777777" w:rsidR="00150A13" w:rsidRPr="00150A13" w:rsidRDefault="00150A13" w:rsidP="00167967">
            <w:pPr>
              <w:pStyle w:val="TableBody"/>
              <w:jc w:val="center"/>
              <w:rPr>
                <w:color w:val="262626" w:themeColor="text1" w:themeTint="D9"/>
                <w:u w:val="single"/>
              </w:rPr>
            </w:pPr>
            <w:r w:rsidRPr="00150A13">
              <w:t>×</w:t>
            </w:r>
          </w:p>
          <w:p w14:paraId="160D2D04" w14:textId="01F40089" w:rsidR="00150A13" w:rsidRPr="00150A13" w:rsidRDefault="00150A13" w:rsidP="00167967">
            <w:pPr>
              <w:pStyle w:val="TableBody"/>
              <w:jc w:val="center"/>
              <w:rPr>
                <w:color w:val="262626" w:themeColor="text1" w:themeTint="D9"/>
              </w:rPr>
            </w:pPr>
            <w:r w:rsidRPr="00150A13">
              <w:t>Average wage/hour</w:t>
            </w:r>
          </w:p>
          <w:p w14:paraId="1284A961" w14:textId="17D92F30" w:rsidR="00150A13" w:rsidRPr="00150A13" w:rsidRDefault="00167967" w:rsidP="00167967">
            <w:pPr>
              <w:pStyle w:val="TableBody"/>
              <w:jc w:val="center"/>
            </w:pPr>
            <w:r>
              <w:t>x</w:t>
            </w:r>
          </w:p>
          <w:p w14:paraId="0662A730" w14:textId="77777777" w:rsidR="00150A13" w:rsidRPr="00150A13" w:rsidRDefault="00150A13" w:rsidP="00167967">
            <w:pPr>
              <w:pStyle w:val="TableBody"/>
              <w:jc w:val="center"/>
              <w:rPr>
                <w:rFonts w:eastAsia="Times New Roman" w:cstheme="minorHAnsi"/>
                <w:szCs w:val="18"/>
              </w:rPr>
            </w:pPr>
            <w:r w:rsidRPr="00150A13">
              <w:t>Number of workers</w:t>
            </w:r>
          </w:p>
          <w:p w14:paraId="11B491B7" w14:textId="77777777" w:rsidR="00150A13" w:rsidRPr="00150A13" w:rsidRDefault="00150A13" w:rsidP="00167967">
            <w:pPr>
              <w:pStyle w:val="TableBody"/>
              <w:jc w:val="center"/>
              <w:rPr>
                <w:rFonts w:eastAsia="Times New Roman" w:cstheme="minorHAnsi"/>
                <w:szCs w:val="18"/>
              </w:rPr>
            </w:pPr>
            <w:r w:rsidRPr="00150A13">
              <w:t>x</w:t>
            </w:r>
          </w:p>
          <w:p w14:paraId="5746D293" w14:textId="08C52ED0" w:rsidR="00150A13" w:rsidRPr="00150A13" w:rsidRDefault="00150A13" w:rsidP="00167967">
            <w:pPr>
              <w:pStyle w:val="TableBody"/>
              <w:jc w:val="center"/>
            </w:pPr>
            <w:r w:rsidRPr="00150A13">
              <w:t>Number of businesses undertaking high risk silica work</w:t>
            </w:r>
          </w:p>
        </w:tc>
      </w:tr>
      <w:tr w:rsidR="00150A13" w:rsidRPr="00150A13" w14:paraId="1DE4B56C" w14:textId="77777777" w:rsidTr="004C687A">
        <w:trPr>
          <w:trHeight w:val="20"/>
        </w:trPr>
        <w:tc>
          <w:tcPr>
            <w:tcW w:w="699"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2428600A" w14:textId="77777777" w:rsidR="00150A13" w:rsidRPr="00150A13" w:rsidRDefault="00150A13" w:rsidP="00167967">
            <w:pPr>
              <w:pStyle w:val="TableBody"/>
            </w:pPr>
          </w:p>
        </w:tc>
        <w:tc>
          <w:tcPr>
            <w:tcW w:w="834" w:type="pct"/>
            <w:vMerge/>
            <w:tcBorders>
              <w:left w:val="single" w:sz="8" w:space="0" w:color="D9D9D9"/>
              <w:right w:val="single" w:sz="8" w:space="0" w:color="D9D9D9"/>
            </w:tcBorders>
            <w:shd w:val="clear" w:color="auto" w:fill="FFFFFF" w:themeFill="background1"/>
          </w:tcPr>
          <w:p w14:paraId="3BF92398" w14:textId="77777777" w:rsidR="00150A13" w:rsidRPr="00150A13" w:rsidRDefault="00150A13" w:rsidP="00167967">
            <w:pPr>
              <w:pStyle w:val="TableBody"/>
            </w:pPr>
          </w:p>
        </w:tc>
        <w:tc>
          <w:tcPr>
            <w:tcW w:w="750"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5FD74E64" w14:textId="77777777" w:rsidR="00150A13" w:rsidRPr="00150A13" w:rsidRDefault="00150A13" w:rsidP="00167967">
            <w:pPr>
              <w:pStyle w:val="TableBody"/>
              <w:rPr>
                <w:rFonts w:cstheme="minorHAnsi"/>
                <w:szCs w:val="18"/>
              </w:rPr>
            </w:pPr>
            <w:r w:rsidRPr="00150A13">
              <w:t xml:space="preserve">Average </w:t>
            </w:r>
          </w:p>
          <w:p w14:paraId="61E739CD" w14:textId="77777777" w:rsidR="00150A13" w:rsidRPr="00150A13" w:rsidRDefault="00150A13" w:rsidP="00167967">
            <w:pPr>
              <w:pStyle w:val="TableBody"/>
              <w:rPr>
                <w:color w:val="262626" w:themeColor="text1" w:themeTint="D9"/>
              </w:rPr>
            </w:pPr>
            <w:r w:rsidRPr="00150A13">
              <w:t>wage per hour - by industry ($)</w:t>
            </w:r>
          </w:p>
        </w:tc>
        <w:tc>
          <w:tcPr>
            <w:tcW w:w="1400" w:type="pct"/>
            <w:gridSpan w:val="5"/>
            <w:tcBorders>
              <w:left w:val="single" w:sz="8" w:space="0" w:color="D9D9D9"/>
              <w:right w:val="single" w:sz="8" w:space="0" w:color="D9D9D9"/>
            </w:tcBorders>
            <w:shd w:val="clear" w:color="auto" w:fill="FFFFFF" w:themeFill="background1"/>
            <w:vAlign w:val="center"/>
          </w:tcPr>
          <w:p w14:paraId="7EA167C1" w14:textId="6265916B" w:rsidR="00150A13" w:rsidRPr="00150A13" w:rsidRDefault="00150A13" w:rsidP="00167967">
            <w:pPr>
              <w:pStyle w:val="TableBody"/>
            </w:pPr>
            <w:r w:rsidRPr="00150A13">
              <w:t xml:space="preserve">Refer to </w:t>
            </w:r>
            <w:r w:rsidRPr="00150A13">
              <w:fldChar w:fldCharType="begin"/>
            </w:r>
            <w:r w:rsidRPr="00150A13">
              <w:instrText xml:space="preserve"> REF _Ref124836351 \h  \* MERGEFORMAT </w:instrText>
            </w:r>
            <w:r w:rsidRPr="00150A13">
              <w:fldChar w:fldCharType="separate"/>
            </w:r>
            <w:r w:rsidR="00DF768D" w:rsidRPr="00150A13">
              <w:t xml:space="preserve">Table </w:t>
            </w:r>
            <w:r w:rsidR="00DF768D" w:rsidRPr="00DF768D">
              <w:t>39</w:t>
            </w:r>
            <w:r w:rsidRPr="00150A13">
              <w:fldChar w:fldCharType="end"/>
            </w:r>
          </w:p>
        </w:tc>
        <w:tc>
          <w:tcPr>
            <w:tcW w:w="1317" w:type="pct"/>
            <w:vMerge/>
            <w:tcBorders>
              <w:left w:val="single" w:sz="8" w:space="0" w:color="D9D9D9"/>
              <w:right w:val="single" w:sz="8" w:space="0" w:color="D9D9D9"/>
            </w:tcBorders>
            <w:shd w:val="clear" w:color="auto" w:fill="FFFFFF" w:themeFill="background1"/>
            <w:vAlign w:val="center"/>
          </w:tcPr>
          <w:p w14:paraId="111641BD" w14:textId="77777777" w:rsidR="00150A13" w:rsidRPr="00150A13" w:rsidRDefault="00150A13" w:rsidP="00150A13">
            <w:pPr>
              <w:spacing w:after="240" w:line="264" w:lineRule="auto"/>
              <w:ind w:left="425" w:right="130" w:hanging="425"/>
              <w:contextualSpacing/>
              <w:jc w:val="center"/>
              <w:rPr>
                <w:rFonts w:eastAsia="Times New Roman" w:cstheme="minorHAnsi"/>
                <w:b/>
                <w:bCs/>
                <w:sz w:val="18"/>
                <w:szCs w:val="18"/>
              </w:rPr>
            </w:pPr>
          </w:p>
        </w:tc>
      </w:tr>
      <w:tr w:rsidR="00150A13" w:rsidRPr="00150A13" w14:paraId="50A98C5A" w14:textId="77777777" w:rsidTr="004C687A">
        <w:trPr>
          <w:trHeight w:val="20"/>
        </w:trPr>
        <w:tc>
          <w:tcPr>
            <w:tcW w:w="699"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6A10A7D4" w14:textId="77777777" w:rsidR="00150A13" w:rsidRPr="00150A13" w:rsidRDefault="00150A13" w:rsidP="00167967">
            <w:pPr>
              <w:pStyle w:val="TableBody"/>
            </w:pPr>
          </w:p>
        </w:tc>
        <w:tc>
          <w:tcPr>
            <w:tcW w:w="834" w:type="pct"/>
            <w:vMerge/>
            <w:tcBorders>
              <w:left w:val="single" w:sz="8" w:space="0" w:color="D9D9D9"/>
              <w:right w:val="single" w:sz="8" w:space="0" w:color="D9D9D9"/>
            </w:tcBorders>
            <w:shd w:val="clear" w:color="auto" w:fill="FFFFFF" w:themeFill="background1"/>
          </w:tcPr>
          <w:p w14:paraId="1C0367AE" w14:textId="77777777" w:rsidR="00150A13" w:rsidRPr="00150A13" w:rsidRDefault="00150A13" w:rsidP="00167967">
            <w:pPr>
              <w:pStyle w:val="TableBody"/>
            </w:pPr>
          </w:p>
        </w:tc>
        <w:tc>
          <w:tcPr>
            <w:tcW w:w="750"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49AD34C2" w14:textId="77777777" w:rsidR="00150A13" w:rsidRPr="00150A13" w:rsidRDefault="00150A13" w:rsidP="00167967">
            <w:pPr>
              <w:pStyle w:val="TableBody"/>
              <w:rPr>
                <w:color w:val="262626" w:themeColor="text1" w:themeTint="D9"/>
              </w:rPr>
            </w:pPr>
            <w:r w:rsidRPr="00150A13">
              <w:rPr>
                <w:color w:val="000000"/>
              </w:rPr>
              <w:t>Number of workers (#)</w:t>
            </w:r>
          </w:p>
        </w:tc>
        <w:tc>
          <w:tcPr>
            <w:tcW w:w="1400" w:type="pct"/>
            <w:gridSpan w:val="5"/>
            <w:tcBorders>
              <w:left w:val="single" w:sz="8" w:space="0" w:color="D9D9D9"/>
              <w:bottom w:val="single" w:sz="8" w:space="0" w:color="D9D9D9"/>
              <w:right w:val="single" w:sz="8" w:space="0" w:color="D9D9D9"/>
            </w:tcBorders>
            <w:shd w:val="clear" w:color="auto" w:fill="FFFFFF" w:themeFill="background1"/>
            <w:vAlign w:val="center"/>
          </w:tcPr>
          <w:p w14:paraId="14CDD94F" w14:textId="77777777" w:rsidR="00150A13" w:rsidRPr="00150A13" w:rsidRDefault="00150A13" w:rsidP="00167967">
            <w:pPr>
              <w:pStyle w:val="TableBody"/>
            </w:pPr>
            <w:r w:rsidRPr="00150A13">
              <w:t>2</w:t>
            </w:r>
            <w:r w:rsidRPr="00150A13">
              <w:rPr>
                <w:vertAlign w:val="superscript"/>
              </w:rPr>
              <w:footnoteReference w:id="55"/>
            </w:r>
          </w:p>
        </w:tc>
        <w:tc>
          <w:tcPr>
            <w:tcW w:w="1317" w:type="pct"/>
            <w:vMerge/>
            <w:tcBorders>
              <w:left w:val="single" w:sz="8" w:space="0" w:color="D9D9D9"/>
              <w:right w:val="single" w:sz="8" w:space="0" w:color="D9D9D9"/>
            </w:tcBorders>
            <w:shd w:val="clear" w:color="auto" w:fill="FFFFFF" w:themeFill="background1"/>
            <w:vAlign w:val="center"/>
          </w:tcPr>
          <w:p w14:paraId="38167594" w14:textId="77777777" w:rsidR="00150A13" w:rsidRPr="00150A13" w:rsidRDefault="00150A13" w:rsidP="00150A13">
            <w:pPr>
              <w:spacing w:after="240" w:line="264" w:lineRule="auto"/>
              <w:ind w:left="425" w:right="130" w:hanging="425"/>
              <w:contextualSpacing/>
              <w:jc w:val="center"/>
              <w:rPr>
                <w:rFonts w:eastAsia="Times New Roman" w:cstheme="minorHAnsi"/>
                <w:b/>
                <w:bCs/>
                <w:sz w:val="18"/>
                <w:szCs w:val="18"/>
              </w:rPr>
            </w:pPr>
          </w:p>
        </w:tc>
      </w:tr>
      <w:tr w:rsidR="00150A13" w:rsidRPr="00150A13" w14:paraId="51F3D71B" w14:textId="77777777" w:rsidTr="004C687A">
        <w:trPr>
          <w:trHeight w:val="20"/>
        </w:trPr>
        <w:tc>
          <w:tcPr>
            <w:tcW w:w="699"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137A2D84" w14:textId="77777777" w:rsidR="00150A13" w:rsidRPr="00150A13" w:rsidRDefault="00150A13" w:rsidP="00167967">
            <w:pPr>
              <w:pStyle w:val="TableBody"/>
            </w:pPr>
          </w:p>
        </w:tc>
        <w:tc>
          <w:tcPr>
            <w:tcW w:w="834" w:type="pct"/>
            <w:vMerge/>
            <w:tcBorders>
              <w:left w:val="single" w:sz="8" w:space="0" w:color="D9D9D9"/>
              <w:right w:val="single" w:sz="8" w:space="0" w:color="D9D9D9"/>
            </w:tcBorders>
            <w:shd w:val="clear" w:color="auto" w:fill="FFFFFF" w:themeFill="background1"/>
          </w:tcPr>
          <w:p w14:paraId="5130EC1B" w14:textId="77777777" w:rsidR="00150A13" w:rsidRPr="00150A13" w:rsidRDefault="00150A13" w:rsidP="00167967">
            <w:pPr>
              <w:pStyle w:val="TableBody"/>
            </w:pPr>
          </w:p>
        </w:tc>
        <w:tc>
          <w:tcPr>
            <w:tcW w:w="750"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5CDEA8C4" w14:textId="77777777" w:rsidR="00150A13" w:rsidRPr="00150A13" w:rsidRDefault="00150A13" w:rsidP="00167967">
            <w:pPr>
              <w:pStyle w:val="TableBody"/>
              <w:rPr>
                <w:color w:val="262626" w:themeColor="text1" w:themeTint="D9"/>
              </w:rPr>
            </w:pPr>
            <w:r w:rsidRPr="00150A13">
              <w:rPr>
                <w:color w:val="262626" w:themeColor="text1" w:themeTint="D9"/>
              </w:rPr>
              <w:t>Number of businesses undertaking high risk silica work (#)</w:t>
            </w:r>
          </w:p>
        </w:tc>
        <w:tc>
          <w:tcPr>
            <w:tcW w:w="1400" w:type="pct"/>
            <w:gridSpan w:val="5"/>
            <w:tcBorders>
              <w:left w:val="single" w:sz="8" w:space="0" w:color="D9D9D9"/>
              <w:bottom w:val="single" w:sz="8" w:space="0" w:color="D9D9D9"/>
              <w:right w:val="single" w:sz="8" w:space="0" w:color="D9D9D9"/>
            </w:tcBorders>
            <w:shd w:val="clear" w:color="auto" w:fill="FFFFFF" w:themeFill="background1"/>
            <w:vAlign w:val="center"/>
          </w:tcPr>
          <w:p w14:paraId="64FD42B0" w14:textId="3A902C69" w:rsidR="00150A13" w:rsidRPr="00150A13" w:rsidRDefault="00150A13" w:rsidP="00167967">
            <w:pPr>
              <w:pStyle w:val="TableBody"/>
            </w:pPr>
            <w:r w:rsidRPr="00150A13">
              <w:t xml:space="preserve">Refer to </w:t>
            </w:r>
            <w:r w:rsidRPr="00150A13">
              <w:fldChar w:fldCharType="begin"/>
            </w:r>
            <w:r w:rsidRPr="00150A13">
              <w:instrText xml:space="preserve"> REF _Ref124837852 \h  \* MERGEFORMAT </w:instrText>
            </w:r>
            <w:r w:rsidRPr="00150A13">
              <w:fldChar w:fldCharType="separate"/>
            </w:r>
            <w:r w:rsidR="00DF768D" w:rsidRPr="00150A13">
              <w:t xml:space="preserve">Table </w:t>
            </w:r>
            <w:r w:rsidR="00DF768D" w:rsidRPr="00DF768D">
              <w:t>38</w:t>
            </w:r>
            <w:r w:rsidRPr="00150A13">
              <w:fldChar w:fldCharType="end"/>
            </w:r>
          </w:p>
        </w:tc>
        <w:tc>
          <w:tcPr>
            <w:tcW w:w="1317" w:type="pct"/>
            <w:vMerge/>
            <w:tcBorders>
              <w:left w:val="single" w:sz="8" w:space="0" w:color="D9D9D9"/>
              <w:right w:val="single" w:sz="8" w:space="0" w:color="D9D9D9"/>
            </w:tcBorders>
            <w:shd w:val="clear" w:color="auto" w:fill="FFFFFF" w:themeFill="background1"/>
            <w:vAlign w:val="center"/>
          </w:tcPr>
          <w:p w14:paraId="62F451D2" w14:textId="77777777" w:rsidR="00150A13" w:rsidRPr="00150A13" w:rsidRDefault="00150A13" w:rsidP="00150A13">
            <w:pPr>
              <w:spacing w:after="240" w:line="264" w:lineRule="auto"/>
              <w:ind w:left="425" w:right="130" w:hanging="425"/>
              <w:contextualSpacing/>
              <w:jc w:val="center"/>
              <w:rPr>
                <w:rFonts w:eastAsia="Times New Roman" w:cstheme="minorHAnsi"/>
                <w:b/>
                <w:bCs/>
                <w:sz w:val="18"/>
                <w:szCs w:val="18"/>
              </w:rPr>
            </w:pPr>
          </w:p>
        </w:tc>
      </w:tr>
      <w:tr w:rsidR="00150A13" w:rsidRPr="00150A13" w14:paraId="1177A006" w14:textId="77777777" w:rsidTr="004C687A">
        <w:trPr>
          <w:trHeight w:val="20"/>
        </w:trPr>
        <w:tc>
          <w:tcPr>
            <w:tcW w:w="699" w:type="pct"/>
            <w:vMerge w:val="restart"/>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128FFD47" w14:textId="77777777" w:rsidR="00150A13" w:rsidRPr="00167967" w:rsidRDefault="00150A13" w:rsidP="00167967">
            <w:pPr>
              <w:pStyle w:val="TableBody"/>
              <w:rPr>
                <w:i/>
              </w:rPr>
            </w:pPr>
            <w:r w:rsidRPr="00167967">
              <w:rPr>
                <w:i/>
              </w:rPr>
              <w:t>Silica risk control plan</w:t>
            </w:r>
          </w:p>
        </w:tc>
        <w:tc>
          <w:tcPr>
            <w:tcW w:w="834" w:type="pct"/>
            <w:vMerge w:val="restart"/>
            <w:tcBorders>
              <w:left w:val="single" w:sz="8" w:space="0" w:color="D9D9D9"/>
              <w:right w:val="single" w:sz="8" w:space="0" w:color="D9D9D9"/>
            </w:tcBorders>
            <w:shd w:val="clear" w:color="auto" w:fill="FFFFFF" w:themeFill="background1"/>
          </w:tcPr>
          <w:p w14:paraId="38F457CC" w14:textId="77777777" w:rsidR="00150A13" w:rsidRPr="00150A13" w:rsidRDefault="00150A13" w:rsidP="00167967">
            <w:pPr>
              <w:pStyle w:val="TableBody"/>
              <w:rPr>
                <w:color w:val="262626" w:themeColor="text1" w:themeTint="D9"/>
              </w:rPr>
            </w:pPr>
            <w:r w:rsidRPr="00150A13">
              <w:t>Additional labour costs for the preparation of a silica risk control plan</w:t>
            </w:r>
          </w:p>
        </w:tc>
        <w:tc>
          <w:tcPr>
            <w:tcW w:w="750"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10D90022" w14:textId="77777777" w:rsidR="00150A13" w:rsidRPr="00150A13" w:rsidRDefault="00150A13" w:rsidP="00167967">
            <w:pPr>
              <w:pStyle w:val="TableBody"/>
              <w:rPr>
                <w:color w:val="262626" w:themeColor="text1" w:themeTint="D9"/>
              </w:rPr>
            </w:pPr>
            <w:r w:rsidRPr="00150A13">
              <w:t>Number of hours per year to prepare silica risk control plan for submission (hours/year)</w:t>
            </w:r>
          </w:p>
        </w:tc>
        <w:tc>
          <w:tcPr>
            <w:tcW w:w="338" w:type="pct"/>
            <w:tcBorders>
              <w:top w:val="single" w:sz="8" w:space="0" w:color="D9D9D9"/>
              <w:left w:val="single" w:sz="8" w:space="0" w:color="D9D9D9"/>
              <w:right w:val="single" w:sz="8" w:space="0" w:color="D9D9D9"/>
            </w:tcBorders>
            <w:shd w:val="clear" w:color="auto" w:fill="FFFFFF" w:themeFill="background1"/>
            <w:vAlign w:val="center"/>
          </w:tcPr>
          <w:p w14:paraId="6FE6D5B7" w14:textId="77777777" w:rsidR="00150A13" w:rsidRPr="00150A13" w:rsidRDefault="00150A13" w:rsidP="00167967">
            <w:pPr>
              <w:pStyle w:val="TableBody"/>
              <w:rPr>
                <w:rFonts w:eastAsia="Times New Roman" w:cstheme="minorHAnsi"/>
                <w:szCs w:val="18"/>
              </w:rPr>
            </w:pPr>
            <w:r w:rsidRPr="00150A13">
              <w:t>Small</w:t>
            </w:r>
          </w:p>
          <w:p w14:paraId="05A1C49F" w14:textId="77777777" w:rsidR="00150A13" w:rsidRPr="00150A13" w:rsidRDefault="00150A13" w:rsidP="00167967">
            <w:pPr>
              <w:pStyle w:val="TableBody"/>
            </w:pPr>
            <w:r w:rsidRPr="00150A13">
              <w:t>3</w:t>
            </w:r>
          </w:p>
        </w:tc>
        <w:tc>
          <w:tcPr>
            <w:tcW w:w="448" w:type="pct"/>
            <w:gridSpan w:val="2"/>
            <w:tcBorders>
              <w:top w:val="single" w:sz="8" w:space="0" w:color="D9D9D9"/>
              <w:left w:val="single" w:sz="8" w:space="0" w:color="D9D9D9"/>
              <w:right w:val="single" w:sz="8" w:space="0" w:color="D9D9D9"/>
            </w:tcBorders>
            <w:shd w:val="clear" w:color="auto" w:fill="FFFFFF" w:themeFill="background1"/>
            <w:vAlign w:val="center"/>
          </w:tcPr>
          <w:p w14:paraId="2A00B40C" w14:textId="77777777" w:rsidR="00150A13" w:rsidRPr="00150A13" w:rsidRDefault="00150A13" w:rsidP="00167967">
            <w:pPr>
              <w:pStyle w:val="TableBody"/>
              <w:rPr>
                <w:rFonts w:eastAsia="Times New Roman" w:cstheme="minorHAnsi"/>
                <w:szCs w:val="18"/>
              </w:rPr>
            </w:pPr>
            <w:r w:rsidRPr="00150A13">
              <w:t>Medium</w:t>
            </w:r>
          </w:p>
          <w:p w14:paraId="7807F13F" w14:textId="77777777" w:rsidR="00150A13" w:rsidRPr="00150A13" w:rsidRDefault="00150A13" w:rsidP="00167967">
            <w:pPr>
              <w:pStyle w:val="TableBody"/>
            </w:pPr>
            <w:r w:rsidRPr="00150A13">
              <w:t>3</w:t>
            </w:r>
          </w:p>
        </w:tc>
        <w:tc>
          <w:tcPr>
            <w:tcW w:w="614" w:type="pct"/>
            <w:gridSpan w:val="2"/>
            <w:tcBorders>
              <w:top w:val="single" w:sz="8" w:space="0" w:color="D9D9D9"/>
              <w:left w:val="single" w:sz="8" w:space="0" w:color="D9D9D9"/>
              <w:right w:val="single" w:sz="8" w:space="0" w:color="D9D9D9"/>
            </w:tcBorders>
            <w:shd w:val="clear" w:color="auto" w:fill="FFFFFF" w:themeFill="background1"/>
            <w:vAlign w:val="center"/>
          </w:tcPr>
          <w:p w14:paraId="63BEE343" w14:textId="77777777" w:rsidR="00150A13" w:rsidRPr="00150A13" w:rsidRDefault="00150A13" w:rsidP="00167967">
            <w:pPr>
              <w:pStyle w:val="TableBody"/>
              <w:rPr>
                <w:rFonts w:eastAsia="Times New Roman" w:cstheme="minorHAnsi"/>
                <w:szCs w:val="18"/>
              </w:rPr>
            </w:pPr>
            <w:r w:rsidRPr="00150A13">
              <w:t>Large</w:t>
            </w:r>
          </w:p>
          <w:p w14:paraId="2D217867" w14:textId="77777777" w:rsidR="00150A13" w:rsidRPr="00150A13" w:rsidRDefault="00150A13" w:rsidP="00167967">
            <w:pPr>
              <w:pStyle w:val="TableBody"/>
            </w:pPr>
            <w:r w:rsidRPr="00150A13">
              <w:t>4</w:t>
            </w:r>
            <w:r w:rsidRPr="00150A13">
              <w:rPr>
                <w:vertAlign w:val="superscript"/>
              </w:rPr>
              <w:footnoteReference w:id="56"/>
            </w:r>
            <w:r w:rsidRPr="00150A13">
              <w:rPr>
                <w:rFonts w:ascii="EYInterstate Light" w:eastAsia="Times New Roman" w:hAnsi="EYInterstate Light" w:cs="Times New Roman"/>
                <w:sz w:val="20"/>
                <w:szCs w:val="24"/>
                <w:vertAlign w:val="superscript"/>
              </w:rPr>
              <w:t xml:space="preserve"> </w:t>
            </w:r>
          </w:p>
        </w:tc>
        <w:tc>
          <w:tcPr>
            <w:tcW w:w="1317" w:type="pct"/>
            <w:vMerge w:val="restart"/>
            <w:tcBorders>
              <w:left w:val="single" w:sz="8" w:space="0" w:color="D9D9D9"/>
              <w:right w:val="single" w:sz="8" w:space="0" w:color="D9D9D9"/>
            </w:tcBorders>
            <w:shd w:val="clear" w:color="auto" w:fill="FFFFFF" w:themeFill="background1"/>
            <w:vAlign w:val="center"/>
          </w:tcPr>
          <w:p w14:paraId="7814D2F1" w14:textId="77777777" w:rsidR="00150A13" w:rsidRPr="00167967" w:rsidRDefault="00150A13" w:rsidP="00167967">
            <w:pPr>
              <w:pStyle w:val="TableBody"/>
              <w:jc w:val="center"/>
              <w:rPr>
                <w:b/>
                <w:bCs/>
                <w:color w:val="262626" w:themeColor="text1" w:themeTint="D9"/>
              </w:rPr>
            </w:pPr>
            <w:r w:rsidRPr="00167967">
              <w:rPr>
                <w:b/>
              </w:rPr>
              <w:t>Cost of silica risk control plan</w:t>
            </w:r>
          </w:p>
          <w:p w14:paraId="51ED6B59" w14:textId="77777777" w:rsidR="00150A13" w:rsidRPr="00150A13" w:rsidRDefault="00150A13" w:rsidP="00167967">
            <w:pPr>
              <w:pStyle w:val="TableBody"/>
              <w:jc w:val="center"/>
              <w:rPr>
                <w:color w:val="262626" w:themeColor="text1" w:themeTint="D9"/>
              </w:rPr>
            </w:pPr>
            <w:r w:rsidRPr="00150A13">
              <w:t>=</w:t>
            </w:r>
          </w:p>
          <w:p w14:paraId="1C3C22A8" w14:textId="77777777" w:rsidR="00150A13" w:rsidRPr="00150A13" w:rsidRDefault="00150A13" w:rsidP="00167967">
            <w:pPr>
              <w:pStyle w:val="TableBody"/>
              <w:jc w:val="center"/>
              <w:rPr>
                <w:color w:val="262626" w:themeColor="text1" w:themeTint="D9"/>
              </w:rPr>
            </w:pPr>
            <w:r w:rsidRPr="00150A13">
              <w:t>Number of hours to prepare silica risk control plan for submission</w:t>
            </w:r>
          </w:p>
          <w:p w14:paraId="4A0A3B08" w14:textId="77777777" w:rsidR="00150A13" w:rsidRPr="00150A13" w:rsidRDefault="00150A13" w:rsidP="00167967">
            <w:pPr>
              <w:pStyle w:val="TableBody"/>
              <w:jc w:val="center"/>
              <w:rPr>
                <w:color w:val="262626" w:themeColor="text1" w:themeTint="D9"/>
              </w:rPr>
            </w:pPr>
            <w:r w:rsidRPr="00150A13">
              <w:t>×</w:t>
            </w:r>
          </w:p>
          <w:p w14:paraId="05877DFF" w14:textId="56DAB162" w:rsidR="00150A13" w:rsidRPr="00150A13" w:rsidRDefault="00150A13" w:rsidP="00167967">
            <w:pPr>
              <w:pStyle w:val="TableBody"/>
              <w:jc w:val="center"/>
              <w:rPr>
                <w:color w:val="262626" w:themeColor="text1" w:themeTint="D9"/>
              </w:rPr>
            </w:pPr>
            <w:r w:rsidRPr="00150A13">
              <w:t>Average wage/hour</w:t>
            </w:r>
          </w:p>
          <w:p w14:paraId="39F95C2E" w14:textId="77777777" w:rsidR="00150A13" w:rsidRPr="00150A13" w:rsidRDefault="00150A13" w:rsidP="00167967">
            <w:pPr>
              <w:pStyle w:val="TableBody"/>
              <w:jc w:val="center"/>
              <w:rPr>
                <w:rFonts w:eastAsia="Times New Roman" w:cstheme="minorHAnsi"/>
                <w:szCs w:val="18"/>
              </w:rPr>
            </w:pPr>
            <w:r w:rsidRPr="00150A13">
              <w:t>×</w:t>
            </w:r>
          </w:p>
          <w:p w14:paraId="2E52218F" w14:textId="77777777" w:rsidR="00150A13" w:rsidRPr="00150A13" w:rsidRDefault="00150A13" w:rsidP="00167967">
            <w:pPr>
              <w:pStyle w:val="TableBody"/>
              <w:jc w:val="center"/>
              <w:rPr>
                <w:rFonts w:eastAsia="Times New Roman" w:cstheme="minorHAnsi"/>
                <w:szCs w:val="18"/>
              </w:rPr>
            </w:pPr>
            <w:r w:rsidRPr="00150A13">
              <w:lastRenderedPageBreak/>
              <w:t>Number of workers</w:t>
            </w:r>
          </w:p>
          <w:p w14:paraId="1FDE446A" w14:textId="77777777" w:rsidR="00150A13" w:rsidRPr="00150A13" w:rsidRDefault="00150A13" w:rsidP="00167967">
            <w:pPr>
              <w:pStyle w:val="TableBody"/>
              <w:jc w:val="center"/>
              <w:rPr>
                <w:color w:val="262626" w:themeColor="text1" w:themeTint="D9"/>
              </w:rPr>
            </w:pPr>
            <w:r w:rsidRPr="00150A13">
              <w:t>x</w:t>
            </w:r>
          </w:p>
          <w:p w14:paraId="2CF36BB4" w14:textId="77777777" w:rsidR="00150A13" w:rsidRPr="00150A13" w:rsidRDefault="00150A13" w:rsidP="00167967">
            <w:pPr>
              <w:pStyle w:val="TableBody"/>
              <w:jc w:val="center"/>
            </w:pPr>
            <w:r w:rsidRPr="00150A13">
              <w:t>Number of businesses undertaking high risk silica work in Australia</w:t>
            </w:r>
          </w:p>
        </w:tc>
      </w:tr>
      <w:tr w:rsidR="00150A13" w:rsidRPr="00150A13" w14:paraId="6947FA79" w14:textId="77777777" w:rsidTr="004C687A">
        <w:trPr>
          <w:trHeight w:val="20"/>
        </w:trPr>
        <w:tc>
          <w:tcPr>
            <w:tcW w:w="699"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3542D288" w14:textId="77777777" w:rsidR="00150A13" w:rsidRPr="00150A13" w:rsidRDefault="00150A13" w:rsidP="00167967">
            <w:pPr>
              <w:pStyle w:val="TableBody"/>
            </w:pPr>
          </w:p>
        </w:tc>
        <w:tc>
          <w:tcPr>
            <w:tcW w:w="834" w:type="pct"/>
            <w:vMerge/>
            <w:tcBorders>
              <w:left w:val="single" w:sz="8" w:space="0" w:color="D9D9D9"/>
              <w:right w:val="single" w:sz="8" w:space="0" w:color="D9D9D9"/>
            </w:tcBorders>
            <w:shd w:val="clear" w:color="auto" w:fill="FFFFFF" w:themeFill="background1"/>
            <w:vAlign w:val="center"/>
          </w:tcPr>
          <w:p w14:paraId="5F9388C4" w14:textId="77777777" w:rsidR="00150A13" w:rsidRPr="00150A13" w:rsidRDefault="00150A13" w:rsidP="00167967">
            <w:pPr>
              <w:pStyle w:val="TableBody"/>
            </w:pPr>
          </w:p>
        </w:tc>
        <w:tc>
          <w:tcPr>
            <w:tcW w:w="750"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39F2AD7B" w14:textId="77777777" w:rsidR="00150A13" w:rsidRPr="00150A13" w:rsidRDefault="00150A13" w:rsidP="00167967">
            <w:pPr>
              <w:pStyle w:val="TableBody"/>
              <w:rPr>
                <w:color w:val="262626" w:themeColor="text1" w:themeTint="D9"/>
              </w:rPr>
            </w:pPr>
            <w:r w:rsidRPr="00150A13">
              <w:t xml:space="preserve">Average wage per hour by industry (excluding </w:t>
            </w:r>
            <w:r w:rsidRPr="00150A13">
              <w:lastRenderedPageBreak/>
              <w:t>construction industry) ($)</w:t>
            </w:r>
          </w:p>
        </w:tc>
        <w:tc>
          <w:tcPr>
            <w:tcW w:w="1400" w:type="pct"/>
            <w:gridSpan w:val="5"/>
            <w:tcBorders>
              <w:left w:val="single" w:sz="8" w:space="0" w:color="D9D9D9"/>
              <w:right w:val="single" w:sz="8" w:space="0" w:color="D9D9D9"/>
            </w:tcBorders>
            <w:shd w:val="clear" w:color="auto" w:fill="FFFFFF" w:themeFill="background1"/>
            <w:vAlign w:val="center"/>
          </w:tcPr>
          <w:p w14:paraId="2DF61F34" w14:textId="05C8223C" w:rsidR="00150A13" w:rsidRPr="00150A13" w:rsidRDefault="00150A13" w:rsidP="00167967">
            <w:pPr>
              <w:pStyle w:val="TableBody"/>
            </w:pPr>
            <w:r w:rsidRPr="00150A13">
              <w:lastRenderedPageBreak/>
              <w:t xml:space="preserve">Refer to </w:t>
            </w:r>
            <w:r w:rsidRPr="00150A13">
              <w:fldChar w:fldCharType="begin"/>
            </w:r>
            <w:r w:rsidRPr="00150A13">
              <w:instrText xml:space="preserve"> REF _Ref124836351 \h  \* MERGEFORMAT </w:instrText>
            </w:r>
            <w:r w:rsidRPr="00150A13">
              <w:fldChar w:fldCharType="separate"/>
            </w:r>
            <w:r w:rsidR="00DF768D" w:rsidRPr="00150A13">
              <w:t xml:space="preserve">Table </w:t>
            </w:r>
            <w:r w:rsidR="00DF768D" w:rsidRPr="00DF768D">
              <w:t>39</w:t>
            </w:r>
            <w:r w:rsidRPr="00150A13">
              <w:fldChar w:fldCharType="end"/>
            </w:r>
          </w:p>
        </w:tc>
        <w:tc>
          <w:tcPr>
            <w:tcW w:w="1317" w:type="pct"/>
            <w:vMerge/>
            <w:tcBorders>
              <w:left w:val="single" w:sz="8" w:space="0" w:color="D9D9D9"/>
              <w:right w:val="single" w:sz="8" w:space="0" w:color="D9D9D9"/>
            </w:tcBorders>
            <w:shd w:val="clear" w:color="auto" w:fill="FFFFFF" w:themeFill="background1"/>
            <w:vAlign w:val="center"/>
          </w:tcPr>
          <w:p w14:paraId="5617C75C" w14:textId="77777777" w:rsidR="00150A13" w:rsidRPr="00150A13" w:rsidRDefault="00150A13" w:rsidP="00150A13">
            <w:pPr>
              <w:spacing w:after="240" w:line="264" w:lineRule="auto"/>
              <w:ind w:left="425" w:right="269" w:hanging="425"/>
              <w:contextualSpacing/>
              <w:jc w:val="center"/>
              <w:rPr>
                <w:rFonts w:eastAsia="Times New Roman" w:cstheme="minorHAnsi"/>
                <w:b/>
                <w:bCs/>
                <w:sz w:val="18"/>
                <w:szCs w:val="18"/>
              </w:rPr>
            </w:pPr>
          </w:p>
        </w:tc>
      </w:tr>
      <w:tr w:rsidR="00150A13" w:rsidRPr="00150A13" w14:paraId="7075160A" w14:textId="77777777" w:rsidTr="004C687A">
        <w:trPr>
          <w:trHeight w:val="20"/>
        </w:trPr>
        <w:tc>
          <w:tcPr>
            <w:tcW w:w="699"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0960DCEF" w14:textId="77777777" w:rsidR="00150A13" w:rsidRPr="00150A13" w:rsidRDefault="00150A13" w:rsidP="00167967">
            <w:pPr>
              <w:pStyle w:val="TableBody"/>
            </w:pPr>
          </w:p>
        </w:tc>
        <w:tc>
          <w:tcPr>
            <w:tcW w:w="834" w:type="pct"/>
            <w:vMerge/>
            <w:tcBorders>
              <w:left w:val="single" w:sz="8" w:space="0" w:color="D9D9D9"/>
              <w:right w:val="single" w:sz="8" w:space="0" w:color="D9D9D9"/>
            </w:tcBorders>
            <w:shd w:val="clear" w:color="auto" w:fill="FFFFFF" w:themeFill="background1"/>
            <w:vAlign w:val="center"/>
          </w:tcPr>
          <w:p w14:paraId="640882A8" w14:textId="77777777" w:rsidR="00150A13" w:rsidRPr="00150A13" w:rsidRDefault="00150A13" w:rsidP="00167967">
            <w:pPr>
              <w:pStyle w:val="TableBody"/>
            </w:pPr>
          </w:p>
        </w:tc>
        <w:tc>
          <w:tcPr>
            <w:tcW w:w="750"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35894BF6" w14:textId="77777777" w:rsidR="00150A13" w:rsidRPr="00150A13" w:rsidRDefault="00150A13" w:rsidP="00167967">
            <w:pPr>
              <w:pStyle w:val="TableBody"/>
              <w:rPr>
                <w:color w:val="262626" w:themeColor="text1" w:themeTint="D9"/>
              </w:rPr>
            </w:pPr>
            <w:r w:rsidRPr="00150A13">
              <w:rPr>
                <w:color w:val="000000"/>
              </w:rPr>
              <w:t>Number of workers (#)</w:t>
            </w:r>
          </w:p>
        </w:tc>
        <w:tc>
          <w:tcPr>
            <w:tcW w:w="1400" w:type="pct"/>
            <w:gridSpan w:val="5"/>
            <w:tcBorders>
              <w:left w:val="single" w:sz="8" w:space="0" w:color="D9D9D9"/>
              <w:bottom w:val="single" w:sz="8" w:space="0" w:color="D9D9D9"/>
              <w:right w:val="single" w:sz="8" w:space="0" w:color="D9D9D9"/>
            </w:tcBorders>
            <w:shd w:val="clear" w:color="auto" w:fill="FFFFFF" w:themeFill="background1"/>
            <w:vAlign w:val="center"/>
          </w:tcPr>
          <w:p w14:paraId="6F33E98A" w14:textId="77777777" w:rsidR="00150A13" w:rsidRPr="00150A13" w:rsidRDefault="00150A13" w:rsidP="00167967">
            <w:pPr>
              <w:pStyle w:val="TableBody"/>
            </w:pPr>
            <w:r w:rsidRPr="00150A13">
              <w:t>2</w:t>
            </w:r>
            <w:r w:rsidRPr="00150A13">
              <w:rPr>
                <w:vertAlign w:val="superscript"/>
              </w:rPr>
              <w:footnoteReference w:id="57"/>
            </w:r>
          </w:p>
        </w:tc>
        <w:tc>
          <w:tcPr>
            <w:tcW w:w="1317" w:type="pct"/>
            <w:vMerge/>
            <w:tcBorders>
              <w:left w:val="single" w:sz="8" w:space="0" w:color="D9D9D9"/>
              <w:right w:val="single" w:sz="8" w:space="0" w:color="D9D9D9"/>
            </w:tcBorders>
            <w:shd w:val="clear" w:color="auto" w:fill="FFFFFF" w:themeFill="background1"/>
            <w:vAlign w:val="center"/>
          </w:tcPr>
          <w:p w14:paraId="359356C8" w14:textId="77777777" w:rsidR="00150A13" w:rsidRPr="00150A13" w:rsidRDefault="00150A13" w:rsidP="00150A13">
            <w:pPr>
              <w:spacing w:after="240" w:line="264" w:lineRule="auto"/>
              <w:ind w:left="425" w:right="269" w:hanging="425"/>
              <w:contextualSpacing/>
              <w:jc w:val="center"/>
              <w:rPr>
                <w:rFonts w:eastAsia="Times New Roman" w:cstheme="minorHAnsi"/>
                <w:b/>
                <w:bCs/>
                <w:sz w:val="18"/>
                <w:szCs w:val="18"/>
              </w:rPr>
            </w:pPr>
          </w:p>
        </w:tc>
      </w:tr>
      <w:tr w:rsidR="00150A13" w:rsidRPr="00150A13" w14:paraId="1EA63FF3" w14:textId="77777777" w:rsidTr="004C687A">
        <w:trPr>
          <w:trHeight w:val="20"/>
        </w:trPr>
        <w:tc>
          <w:tcPr>
            <w:tcW w:w="699"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56DB603D" w14:textId="77777777" w:rsidR="00150A13" w:rsidRPr="00150A13" w:rsidRDefault="00150A13" w:rsidP="00167967">
            <w:pPr>
              <w:pStyle w:val="TableBody"/>
            </w:pPr>
          </w:p>
        </w:tc>
        <w:tc>
          <w:tcPr>
            <w:tcW w:w="834" w:type="pct"/>
            <w:vMerge/>
            <w:tcBorders>
              <w:left w:val="single" w:sz="8" w:space="0" w:color="D9D9D9"/>
              <w:right w:val="single" w:sz="8" w:space="0" w:color="D9D9D9"/>
            </w:tcBorders>
            <w:shd w:val="clear" w:color="auto" w:fill="FFFFFF" w:themeFill="background1"/>
            <w:vAlign w:val="center"/>
          </w:tcPr>
          <w:p w14:paraId="3907DF80" w14:textId="77777777" w:rsidR="00150A13" w:rsidRPr="00150A13" w:rsidRDefault="00150A13" w:rsidP="00167967">
            <w:pPr>
              <w:pStyle w:val="TableBody"/>
            </w:pPr>
          </w:p>
        </w:tc>
        <w:tc>
          <w:tcPr>
            <w:tcW w:w="750"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7E15F515" w14:textId="77777777" w:rsidR="00150A13" w:rsidRPr="00150A13" w:rsidRDefault="00150A13" w:rsidP="00167967">
            <w:pPr>
              <w:pStyle w:val="TableBody"/>
              <w:rPr>
                <w:color w:val="000000"/>
              </w:rPr>
            </w:pPr>
            <w:r w:rsidRPr="00150A13">
              <w:rPr>
                <w:color w:val="262626" w:themeColor="text1" w:themeTint="D9"/>
              </w:rPr>
              <w:t>Number of businesses undertaking high risk silica work Australia</w:t>
            </w:r>
            <w:r w:rsidRPr="00150A13">
              <w:t xml:space="preserve"> (excluding construction industry) (#)</w:t>
            </w:r>
          </w:p>
        </w:tc>
        <w:tc>
          <w:tcPr>
            <w:tcW w:w="1400" w:type="pct"/>
            <w:gridSpan w:val="5"/>
            <w:tcBorders>
              <w:left w:val="single" w:sz="8" w:space="0" w:color="D9D9D9"/>
              <w:bottom w:val="single" w:sz="8" w:space="0" w:color="D9D9D9"/>
              <w:right w:val="single" w:sz="8" w:space="0" w:color="D9D9D9"/>
            </w:tcBorders>
            <w:shd w:val="clear" w:color="auto" w:fill="FFFFFF" w:themeFill="background1"/>
            <w:vAlign w:val="center"/>
          </w:tcPr>
          <w:p w14:paraId="2B6820B0" w14:textId="7673E75F" w:rsidR="00150A13" w:rsidRPr="00150A13" w:rsidRDefault="00150A13" w:rsidP="00167967">
            <w:pPr>
              <w:pStyle w:val="TableBody"/>
            </w:pPr>
            <w:r w:rsidRPr="00150A13">
              <w:t xml:space="preserve">Refer to </w:t>
            </w:r>
            <w:r w:rsidRPr="00150A13">
              <w:fldChar w:fldCharType="begin"/>
            </w:r>
            <w:r w:rsidRPr="00150A13">
              <w:instrText xml:space="preserve"> REF _Ref124837852 \h  \* MERGEFORMAT </w:instrText>
            </w:r>
            <w:r w:rsidRPr="00150A13">
              <w:fldChar w:fldCharType="separate"/>
            </w:r>
            <w:r w:rsidR="00DF768D" w:rsidRPr="00150A13">
              <w:t xml:space="preserve">Table </w:t>
            </w:r>
            <w:r w:rsidR="00DF768D" w:rsidRPr="00DF768D">
              <w:t>38</w:t>
            </w:r>
            <w:r w:rsidRPr="00150A13">
              <w:fldChar w:fldCharType="end"/>
            </w:r>
          </w:p>
        </w:tc>
        <w:tc>
          <w:tcPr>
            <w:tcW w:w="1317" w:type="pct"/>
            <w:vMerge/>
            <w:tcBorders>
              <w:left w:val="single" w:sz="8" w:space="0" w:color="D9D9D9"/>
              <w:right w:val="single" w:sz="8" w:space="0" w:color="D9D9D9"/>
            </w:tcBorders>
            <w:shd w:val="clear" w:color="auto" w:fill="FFFFFF" w:themeFill="background1"/>
            <w:vAlign w:val="center"/>
          </w:tcPr>
          <w:p w14:paraId="54BAD5BB" w14:textId="77777777" w:rsidR="00150A13" w:rsidRPr="00150A13" w:rsidRDefault="00150A13" w:rsidP="00150A13">
            <w:pPr>
              <w:spacing w:after="240" w:line="264" w:lineRule="auto"/>
              <w:ind w:left="425" w:right="269" w:hanging="425"/>
              <w:contextualSpacing/>
              <w:jc w:val="center"/>
              <w:rPr>
                <w:rFonts w:eastAsia="Times New Roman" w:cstheme="minorHAnsi"/>
                <w:b/>
                <w:bCs/>
                <w:sz w:val="18"/>
                <w:szCs w:val="18"/>
              </w:rPr>
            </w:pPr>
          </w:p>
        </w:tc>
      </w:tr>
      <w:tr w:rsidR="00150A13" w:rsidRPr="00150A13" w14:paraId="02B7E269" w14:textId="77777777" w:rsidTr="004C687A">
        <w:trPr>
          <w:trHeight w:val="20"/>
        </w:trPr>
        <w:tc>
          <w:tcPr>
            <w:tcW w:w="699" w:type="pct"/>
            <w:vMerge w:val="restart"/>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6AF01F06" w14:textId="77777777" w:rsidR="00150A13" w:rsidRPr="00167967" w:rsidRDefault="00150A13" w:rsidP="00167967">
            <w:pPr>
              <w:pStyle w:val="TableBody"/>
              <w:rPr>
                <w:i/>
              </w:rPr>
            </w:pPr>
            <w:r w:rsidRPr="00167967">
              <w:rPr>
                <w:i/>
              </w:rPr>
              <w:t>Air monitoring – provision of report to regulators</w:t>
            </w:r>
          </w:p>
        </w:tc>
        <w:tc>
          <w:tcPr>
            <w:tcW w:w="834" w:type="pct"/>
            <w:vMerge w:val="restart"/>
            <w:tcBorders>
              <w:left w:val="single" w:sz="8" w:space="0" w:color="D9D9D9"/>
              <w:right w:val="single" w:sz="8" w:space="0" w:color="D9D9D9"/>
            </w:tcBorders>
            <w:shd w:val="clear" w:color="auto" w:fill="FFFFFF" w:themeFill="background1"/>
          </w:tcPr>
          <w:p w14:paraId="18E3098A" w14:textId="77777777" w:rsidR="00150A13" w:rsidRPr="00150A13" w:rsidRDefault="00150A13" w:rsidP="00167967">
            <w:pPr>
              <w:pStyle w:val="TableBody"/>
              <w:rPr>
                <w:rFonts w:cstheme="minorHAnsi"/>
                <w:szCs w:val="18"/>
              </w:rPr>
            </w:pPr>
            <w:r w:rsidRPr="00150A13">
              <w:t xml:space="preserve">Additional labour costs for the preparation of air monitoring reports where WES </w:t>
            </w:r>
            <w:r w:rsidRPr="00150A13">
              <w:rPr>
                <w:rFonts w:cstheme="minorHAnsi"/>
                <w:szCs w:val="18"/>
              </w:rPr>
              <w:t>exceedances have been detected.</w:t>
            </w:r>
          </w:p>
          <w:p w14:paraId="58F1BD63" w14:textId="77777777" w:rsidR="00150A13" w:rsidRPr="00150A13" w:rsidRDefault="00150A13" w:rsidP="00167967">
            <w:pPr>
              <w:pStyle w:val="TableBody"/>
              <w:rPr>
                <w:color w:val="262626" w:themeColor="text1" w:themeTint="D9"/>
              </w:rPr>
            </w:pPr>
          </w:p>
        </w:tc>
        <w:tc>
          <w:tcPr>
            <w:tcW w:w="750"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4CFB5907" w14:textId="77777777" w:rsidR="00150A13" w:rsidRPr="00150A13" w:rsidRDefault="00150A13" w:rsidP="00167967">
            <w:pPr>
              <w:pStyle w:val="TableBody"/>
              <w:rPr>
                <w:color w:val="262626" w:themeColor="text1" w:themeTint="D9"/>
              </w:rPr>
            </w:pPr>
            <w:r w:rsidRPr="00150A13">
              <w:t>Number of hours per year to prepare air monitoring report submission (hours/year)</w:t>
            </w:r>
          </w:p>
        </w:tc>
        <w:tc>
          <w:tcPr>
            <w:tcW w:w="338" w:type="pct"/>
            <w:tcBorders>
              <w:top w:val="single" w:sz="8" w:space="0" w:color="D9D9D9"/>
              <w:left w:val="single" w:sz="8" w:space="0" w:color="D9D9D9"/>
              <w:right w:val="single" w:sz="8" w:space="0" w:color="D9D9D9"/>
            </w:tcBorders>
            <w:shd w:val="clear" w:color="auto" w:fill="FFFFFF" w:themeFill="background1"/>
            <w:vAlign w:val="center"/>
          </w:tcPr>
          <w:p w14:paraId="6193481E" w14:textId="77777777" w:rsidR="00150A13" w:rsidRPr="00150A13" w:rsidRDefault="00150A13" w:rsidP="00167967">
            <w:pPr>
              <w:pStyle w:val="TableBody"/>
              <w:rPr>
                <w:rFonts w:eastAsia="Times New Roman" w:cstheme="minorHAnsi"/>
                <w:szCs w:val="18"/>
              </w:rPr>
            </w:pPr>
            <w:r w:rsidRPr="00150A13">
              <w:t>Small</w:t>
            </w:r>
          </w:p>
          <w:p w14:paraId="6A429A49" w14:textId="77777777" w:rsidR="00150A13" w:rsidRPr="00150A13" w:rsidRDefault="00150A13" w:rsidP="00167967">
            <w:pPr>
              <w:pStyle w:val="TableBody"/>
            </w:pPr>
            <w:r w:rsidRPr="00150A13">
              <w:t>3</w:t>
            </w:r>
          </w:p>
        </w:tc>
        <w:tc>
          <w:tcPr>
            <w:tcW w:w="448" w:type="pct"/>
            <w:gridSpan w:val="2"/>
            <w:tcBorders>
              <w:top w:val="single" w:sz="8" w:space="0" w:color="D9D9D9"/>
              <w:left w:val="single" w:sz="8" w:space="0" w:color="D9D9D9"/>
              <w:right w:val="single" w:sz="8" w:space="0" w:color="D9D9D9"/>
            </w:tcBorders>
            <w:shd w:val="clear" w:color="auto" w:fill="FFFFFF" w:themeFill="background1"/>
            <w:vAlign w:val="center"/>
          </w:tcPr>
          <w:p w14:paraId="1825D83C" w14:textId="77777777" w:rsidR="00150A13" w:rsidRPr="00150A13" w:rsidRDefault="00150A13" w:rsidP="00167967">
            <w:pPr>
              <w:pStyle w:val="TableBody"/>
              <w:rPr>
                <w:rFonts w:eastAsia="Times New Roman" w:cstheme="minorHAnsi"/>
                <w:szCs w:val="18"/>
              </w:rPr>
            </w:pPr>
            <w:r w:rsidRPr="00150A13">
              <w:t>Medium</w:t>
            </w:r>
          </w:p>
          <w:p w14:paraId="7EE536FB" w14:textId="77777777" w:rsidR="00150A13" w:rsidRPr="00150A13" w:rsidRDefault="00150A13" w:rsidP="00167967">
            <w:pPr>
              <w:pStyle w:val="TableBody"/>
            </w:pPr>
            <w:r w:rsidRPr="00150A13">
              <w:t>3</w:t>
            </w:r>
          </w:p>
        </w:tc>
        <w:tc>
          <w:tcPr>
            <w:tcW w:w="614" w:type="pct"/>
            <w:gridSpan w:val="2"/>
            <w:tcBorders>
              <w:top w:val="single" w:sz="8" w:space="0" w:color="D9D9D9"/>
              <w:left w:val="single" w:sz="8" w:space="0" w:color="D9D9D9"/>
              <w:right w:val="single" w:sz="8" w:space="0" w:color="D9D9D9"/>
            </w:tcBorders>
            <w:shd w:val="clear" w:color="auto" w:fill="FFFFFF" w:themeFill="background1"/>
            <w:vAlign w:val="center"/>
          </w:tcPr>
          <w:p w14:paraId="3A7B3C70" w14:textId="77777777" w:rsidR="00150A13" w:rsidRPr="00150A13" w:rsidRDefault="00150A13" w:rsidP="00167967">
            <w:pPr>
              <w:pStyle w:val="TableBody"/>
              <w:rPr>
                <w:rFonts w:eastAsia="Times New Roman" w:cstheme="minorHAnsi"/>
                <w:szCs w:val="18"/>
              </w:rPr>
            </w:pPr>
            <w:r w:rsidRPr="00150A13">
              <w:t>Large</w:t>
            </w:r>
          </w:p>
          <w:p w14:paraId="24CA54E7" w14:textId="77777777" w:rsidR="00150A13" w:rsidRPr="00150A13" w:rsidRDefault="00150A13" w:rsidP="00167967">
            <w:pPr>
              <w:pStyle w:val="TableBody"/>
            </w:pPr>
            <w:r w:rsidRPr="00150A13">
              <w:t>4</w:t>
            </w:r>
            <w:r w:rsidRPr="00150A13">
              <w:rPr>
                <w:rFonts w:ascii="EYInterstate Light" w:eastAsia="Times New Roman" w:hAnsi="EYInterstate Light" w:cs="Times New Roman"/>
                <w:sz w:val="20"/>
                <w:szCs w:val="24"/>
                <w:vertAlign w:val="superscript"/>
              </w:rPr>
              <w:t xml:space="preserve"> </w:t>
            </w:r>
            <w:r w:rsidRPr="00150A13">
              <w:rPr>
                <w:rFonts w:ascii="EYInterstate Light" w:eastAsia="Times New Roman" w:hAnsi="EYInterstate Light" w:cs="Times New Roman"/>
                <w:sz w:val="20"/>
                <w:szCs w:val="24"/>
              </w:rPr>
              <w:t xml:space="preserve"> </w:t>
            </w:r>
            <w:r w:rsidRPr="00150A13">
              <w:rPr>
                <w:vertAlign w:val="superscript"/>
              </w:rPr>
              <w:footnoteReference w:id="58"/>
            </w:r>
            <w:r w:rsidRPr="00150A13">
              <w:t xml:space="preserve"> </w:t>
            </w:r>
          </w:p>
        </w:tc>
        <w:tc>
          <w:tcPr>
            <w:tcW w:w="1317" w:type="pct"/>
            <w:vMerge w:val="restart"/>
            <w:tcBorders>
              <w:left w:val="single" w:sz="8" w:space="0" w:color="D9D9D9"/>
              <w:right w:val="single" w:sz="8" w:space="0" w:color="D9D9D9"/>
            </w:tcBorders>
            <w:shd w:val="clear" w:color="auto" w:fill="FFFFFF" w:themeFill="background1"/>
            <w:vAlign w:val="center"/>
          </w:tcPr>
          <w:p w14:paraId="0127EEF3" w14:textId="77777777" w:rsidR="00150A13" w:rsidRPr="00167967" w:rsidRDefault="00150A13" w:rsidP="00167967">
            <w:pPr>
              <w:pStyle w:val="TableBody"/>
              <w:jc w:val="center"/>
              <w:rPr>
                <w:b/>
                <w:bCs/>
                <w:color w:val="262626" w:themeColor="text1" w:themeTint="D9"/>
              </w:rPr>
            </w:pPr>
            <w:r w:rsidRPr="00167967">
              <w:rPr>
                <w:b/>
              </w:rPr>
              <w:t>Cost of air monitoring - provision of report to regulators</w:t>
            </w:r>
          </w:p>
          <w:p w14:paraId="74068943" w14:textId="77777777" w:rsidR="00150A13" w:rsidRPr="00150A13" w:rsidRDefault="00150A13" w:rsidP="00167967">
            <w:pPr>
              <w:pStyle w:val="TableBody"/>
              <w:jc w:val="center"/>
              <w:rPr>
                <w:color w:val="262626" w:themeColor="text1" w:themeTint="D9"/>
              </w:rPr>
            </w:pPr>
            <w:r w:rsidRPr="00150A13">
              <w:t>=</w:t>
            </w:r>
          </w:p>
          <w:p w14:paraId="39CCB6E5" w14:textId="77777777" w:rsidR="00150A13" w:rsidRPr="00150A13" w:rsidRDefault="00150A13" w:rsidP="00167967">
            <w:pPr>
              <w:pStyle w:val="TableBody"/>
              <w:jc w:val="center"/>
              <w:rPr>
                <w:color w:val="262626" w:themeColor="text1" w:themeTint="D9"/>
              </w:rPr>
            </w:pPr>
            <w:r w:rsidRPr="00150A13">
              <w:t>Number of hours to prepare air monitoring report s</w:t>
            </w:r>
            <w:r w:rsidRPr="00150A13">
              <w:rPr>
                <w:rFonts w:eastAsia="Times New Roman" w:cstheme="minorHAnsi"/>
                <w:szCs w:val="18"/>
              </w:rPr>
              <w:t>ubmission</w:t>
            </w:r>
          </w:p>
          <w:p w14:paraId="7D912F40" w14:textId="77777777" w:rsidR="00150A13" w:rsidRPr="00150A13" w:rsidRDefault="00150A13" w:rsidP="00167967">
            <w:pPr>
              <w:pStyle w:val="TableBody"/>
              <w:jc w:val="center"/>
              <w:rPr>
                <w:color w:val="262626" w:themeColor="text1" w:themeTint="D9"/>
              </w:rPr>
            </w:pPr>
            <w:r w:rsidRPr="00150A13">
              <w:t>×</w:t>
            </w:r>
          </w:p>
          <w:p w14:paraId="45CEB611" w14:textId="1ED3E847" w:rsidR="00150A13" w:rsidRPr="00150A13" w:rsidRDefault="00150A13" w:rsidP="00167967">
            <w:pPr>
              <w:pStyle w:val="TableBody"/>
              <w:jc w:val="center"/>
              <w:rPr>
                <w:color w:val="262626" w:themeColor="text1" w:themeTint="D9"/>
              </w:rPr>
            </w:pPr>
            <w:r w:rsidRPr="00150A13">
              <w:t>Average wage/hour</w:t>
            </w:r>
          </w:p>
          <w:p w14:paraId="262B81EB" w14:textId="77777777" w:rsidR="00150A13" w:rsidRPr="00150A13" w:rsidRDefault="00150A13" w:rsidP="00167967">
            <w:pPr>
              <w:pStyle w:val="TableBody"/>
              <w:jc w:val="center"/>
              <w:rPr>
                <w:rFonts w:eastAsia="Times New Roman" w:cstheme="minorHAnsi"/>
                <w:szCs w:val="18"/>
              </w:rPr>
            </w:pPr>
            <w:r w:rsidRPr="00150A13">
              <w:t>×</w:t>
            </w:r>
          </w:p>
          <w:p w14:paraId="6E23E2BE" w14:textId="77777777" w:rsidR="00150A13" w:rsidRPr="00150A13" w:rsidRDefault="00150A13" w:rsidP="00167967">
            <w:pPr>
              <w:pStyle w:val="TableBody"/>
              <w:jc w:val="center"/>
              <w:rPr>
                <w:rFonts w:eastAsia="Times New Roman" w:cstheme="minorHAnsi"/>
                <w:szCs w:val="18"/>
              </w:rPr>
            </w:pPr>
            <w:r w:rsidRPr="00150A13">
              <w:t xml:space="preserve">Number of </w:t>
            </w:r>
            <w:r w:rsidRPr="00150A13">
              <w:rPr>
                <w:rFonts w:eastAsia="Times New Roman" w:cstheme="minorHAnsi"/>
                <w:szCs w:val="18"/>
              </w:rPr>
              <w:t>workers</w:t>
            </w:r>
          </w:p>
          <w:p w14:paraId="71BE9313" w14:textId="77777777" w:rsidR="00150A13" w:rsidRPr="00150A13" w:rsidRDefault="00150A13" w:rsidP="00167967">
            <w:pPr>
              <w:pStyle w:val="TableBody"/>
              <w:jc w:val="center"/>
              <w:rPr>
                <w:color w:val="262626" w:themeColor="text1" w:themeTint="D9"/>
              </w:rPr>
            </w:pPr>
            <w:r w:rsidRPr="00150A13">
              <w:t>x</w:t>
            </w:r>
          </w:p>
          <w:p w14:paraId="371D2A14" w14:textId="77777777" w:rsidR="00150A13" w:rsidRPr="00150A13" w:rsidRDefault="00150A13" w:rsidP="00167967">
            <w:pPr>
              <w:pStyle w:val="TableBody"/>
              <w:jc w:val="center"/>
              <w:rPr>
                <w:rFonts w:eastAsia="Times New Roman" w:cstheme="minorHAnsi"/>
                <w:szCs w:val="18"/>
              </w:rPr>
            </w:pPr>
            <w:r w:rsidRPr="00150A13">
              <w:t>Number of businesses undertaking high risk silica work in Australia</w:t>
            </w:r>
          </w:p>
          <w:p w14:paraId="74E40393" w14:textId="77777777" w:rsidR="00150A13" w:rsidRPr="00150A13" w:rsidRDefault="00150A13" w:rsidP="00167967">
            <w:pPr>
              <w:pStyle w:val="TableBody"/>
              <w:jc w:val="center"/>
              <w:rPr>
                <w:rFonts w:eastAsia="Times New Roman" w:cstheme="minorHAnsi"/>
                <w:b/>
                <w:szCs w:val="18"/>
              </w:rPr>
            </w:pPr>
            <w:r w:rsidRPr="00150A13">
              <w:t>X</w:t>
            </w:r>
          </w:p>
          <w:p w14:paraId="6A6A1516" w14:textId="77777777" w:rsidR="00150A13" w:rsidRPr="00150A13" w:rsidRDefault="00150A13" w:rsidP="00167967">
            <w:pPr>
              <w:pStyle w:val="TableBody"/>
              <w:jc w:val="center"/>
            </w:pPr>
            <w:r w:rsidRPr="00150A13">
              <w:t>Proportion of PCBUs where RCS values exceed WES</w:t>
            </w:r>
          </w:p>
        </w:tc>
      </w:tr>
      <w:tr w:rsidR="00150A13" w:rsidRPr="00150A13" w14:paraId="2C53EA23" w14:textId="77777777" w:rsidTr="004C687A">
        <w:trPr>
          <w:trHeight w:val="20"/>
        </w:trPr>
        <w:tc>
          <w:tcPr>
            <w:tcW w:w="699"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vAlign w:val="center"/>
          </w:tcPr>
          <w:p w14:paraId="63757B75" w14:textId="77777777" w:rsidR="00150A13" w:rsidRPr="00150A13" w:rsidRDefault="00150A13" w:rsidP="00167967">
            <w:pPr>
              <w:pStyle w:val="TableBody"/>
              <w:rPr>
                <w:sz w:val="20"/>
                <w:szCs w:val="20"/>
              </w:rPr>
            </w:pPr>
          </w:p>
        </w:tc>
        <w:tc>
          <w:tcPr>
            <w:tcW w:w="834" w:type="pct"/>
            <w:vMerge/>
            <w:tcBorders>
              <w:left w:val="single" w:sz="8" w:space="0" w:color="D9D9D9"/>
              <w:right w:val="single" w:sz="8" w:space="0" w:color="D9D9D9"/>
            </w:tcBorders>
            <w:shd w:val="clear" w:color="auto" w:fill="FFFFFF" w:themeFill="background1"/>
            <w:vAlign w:val="center"/>
          </w:tcPr>
          <w:p w14:paraId="2D0E22E1" w14:textId="77777777" w:rsidR="00150A13" w:rsidRPr="00150A13" w:rsidRDefault="00150A13" w:rsidP="00167967">
            <w:pPr>
              <w:pStyle w:val="TableBody"/>
              <w:rPr>
                <w:rFonts w:cstheme="minorHAnsi"/>
                <w:sz w:val="20"/>
                <w:szCs w:val="20"/>
              </w:rPr>
            </w:pPr>
          </w:p>
        </w:tc>
        <w:tc>
          <w:tcPr>
            <w:tcW w:w="750"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125CE762" w14:textId="77777777" w:rsidR="00150A13" w:rsidRPr="00150A13" w:rsidRDefault="00150A13" w:rsidP="00167967">
            <w:pPr>
              <w:pStyle w:val="TableBody"/>
              <w:rPr>
                <w:color w:val="262626" w:themeColor="text1" w:themeTint="D9"/>
              </w:rPr>
            </w:pPr>
            <w:r w:rsidRPr="00150A13">
              <w:t>Average wage/hour ($)</w:t>
            </w:r>
          </w:p>
        </w:tc>
        <w:tc>
          <w:tcPr>
            <w:tcW w:w="1400" w:type="pct"/>
            <w:gridSpan w:val="5"/>
            <w:tcBorders>
              <w:left w:val="single" w:sz="8" w:space="0" w:color="D9D9D9"/>
              <w:right w:val="single" w:sz="8" w:space="0" w:color="D9D9D9"/>
            </w:tcBorders>
            <w:shd w:val="clear" w:color="auto" w:fill="FFFFFF" w:themeFill="background1"/>
            <w:vAlign w:val="center"/>
          </w:tcPr>
          <w:p w14:paraId="112565AF" w14:textId="6B7A8670" w:rsidR="00150A13" w:rsidRPr="00150A13" w:rsidRDefault="00150A13" w:rsidP="00167967">
            <w:pPr>
              <w:pStyle w:val="TableBody"/>
            </w:pPr>
            <w:r w:rsidRPr="00150A13">
              <w:t xml:space="preserve">Refer to </w:t>
            </w:r>
            <w:r w:rsidRPr="00150A13">
              <w:fldChar w:fldCharType="begin"/>
            </w:r>
            <w:r w:rsidRPr="00150A13">
              <w:instrText xml:space="preserve"> REF _Ref124836351 \h  \* MERGEFORMAT </w:instrText>
            </w:r>
            <w:r w:rsidRPr="00150A13">
              <w:fldChar w:fldCharType="separate"/>
            </w:r>
            <w:r w:rsidR="00DF768D" w:rsidRPr="00150A13">
              <w:t xml:space="preserve">Table </w:t>
            </w:r>
            <w:r w:rsidR="00DF768D" w:rsidRPr="00DF768D">
              <w:t>39</w:t>
            </w:r>
            <w:r w:rsidRPr="00150A13">
              <w:fldChar w:fldCharType="end"/>
            </w:r>
          </w:p>
        </w:tc>
        <w:tc>
          <w:tcPr>
            <w:tcW w:w="1317" w:type="pct"/>
            <w:vMerge/>
            <w:tcBorders>
              <w:left w:val="single" w:sz="8" w:space="0" w:color="D9D9D9"/>
              <w:right w:val="single" w:sz="8" w:space="0" w:color="D9D9D9"/>
            </w:tcBorders>
            <w:shd w:val="clear" w:color="auto" w:fill="FFFFFF" w:themeFill="background1"/>
            <w:vAlign w:val="center"/>
          </w:tcPr>
          <w:p w14:paraId="62BA9E33" w14:textId="77777777" w:rsidR="00150A13" w:rsidRPr="00150A13" w:rsidRDefault="00150A13" w:rsidP="00150A13">
            <w:pPr>
              <w:spacing w:after="240" w:line="264" w:lineRule="auto"/>
              <w:ind w:left="425" w:right="269" w:hanging="425"/>
              <w:contextualSpacing/>
              <w:jc w:val="center"/>
              <w:rPr>
                <w:rFonts w:eastAsia="Times New Roman" w:cstheme="minorHAnsi"/>
                <w:b/>
                <w:bCs/>
                <w:sz w:val="20"/>
                <w:szCs w:val="20"/>
              </w:rPr>
            </w:pPr>
          </w:p>
        </w:tc>
      </w:tr>
      <w:tr w:rsidR="00150A13" w:rsidRPr="00150A13" w14:paraId="29EAEB36" w14:textId="77777777" w:rsidTr="004C687A">
        <w:trPr>
          <w:trHeight w:val="20"/>
        </w:trPr>
        <w:tc>
          <w:tcPr>
            <w:tcW w:w="699"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vAlign w:val="center"/>
          </w:tcPr>
          <w:p w14:paraId="2A4A11DD" w14:textId="77777777" w:rsidR="00150A13" w:rsidRPr="00150A13" w:rsidRDefault="00150A13" w:rsidP="00167967">
            <w:pPr>
              <w:pStyle w:val="TableBody"/>
              <w:rPr>
                <w:sz w:val="20"/>
                <w:szCs w:val="20"/>
              </w:rPr>
            </w:pPr>
          </w:p>
        </w:tc>
        <w:tc>
          <w:tcPr>
            <w:tcW w:w="834" w:type="pct"/>
            <w:vMerge/>
            <w:tcBorders>
              <w:left w:val="single" w:sz="8" w:space="0" w:color="D9D9D9"/>
              <w:right w:val="single" w:sz="8" w:space="0" w:color="D9D9D9"/>
            </w:tcBorders>
            <w:shd w:val="clear" w:color="auto" w:fill="FFFFFF" w:themeFill="background1"/>
            <w:vAlign w:val="center"/>
          </w:tcPr>
          <w:p w14:paraId="769C1A42" w14:textId="77777777" w:rsidR="00150A13" w:rsidRPr="00150A13" w:rsidRDefault="00150A13" w:rsidP="00167967">
            <w:pPr>
              <w:pStyle w:val="TableBody"/>
              <w:rPr>
                <w:rFonts w:cstheme="minorHAnsi"/>
                <w:sz w:val="20"/>
                <w:szCs w:val="20"/>
              </w:rPr>
            </w:pPr>
          </w:p>
        </w:tc>
        <w:tc>
          <w:tcPr>
            <w:tcW w:w="750"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5DA8410C" w14:textId="77777777" w:rsidR="00150A13" w:rsidRPr="00150A13" w:rsidRDefault="00150A13" w:rsidP="00167967">
            <w:pPr>
              <w:pStyle w:val="TableBody"/>
              <w:rPr>
                <w:color w:val="262626" w:themeColor="text1" w:themeTint="D9"/>
              </w:rPr>
            </w:pPr>
            <w:r w:rsidRPr="00150A13">
              <w:rPr>
                <w:color w:val="000000"/>
              </w:rPr>
              <w:t>Number of workers (#)</w:t>
            </w:r>
          </w:p>
        </w:tc>
        <w:tc>
          <w:tcPr>
            <w:tcW w:w="1400" w:type="pct"/>
            <w:gridSpan w:val="5"/>
            <w:tcBorders>
              <w:left w:val="single" w:sz="8" w:space="0" w:color="D9D9D9"/>
              <w:bottom w:val="single" w:sz="8" w:space="0" w:color="D9D9D9"/>
              <w:right w:val="single" w:sz="8" w:space="0" w:color="D9D9D9"/>
            </w:tcBorders>
            <w:shd w:val="clear" w:color="auto" w:fill="FFFFFF" w:themeFill="background1"/>
            <w:vAlign w:val="center"/>
          </w:tcPr>
          <w:p w14:paraId="1AD458EE" w14:textId="77777777" w:rsidR="00150A13" w:rsidRPr="00150A13" w:rsidRDefault="00150A13" w:rsidP="00167967">
            <w:pPr>
              <w:pStyle w:val="TableBody"/>
            </w:pPr>
            <w:r w:rsidRPr="00150A13">
              <w:t>2</w:t>
            </w:r>
            <w:r w:rsidRPr="00150A13">
              <w:rPr>
                <w:vertAlign w:val="superscript"/>
              </w:rPr>
              <w:footnoteReference w:id="59"/>
            </w:r>
          </w:p>
        </w:tc>
        <w:tc>
          <w:tcPr>
            <w:tcW w:w="1317" w:type="pct"/>
            <w:vMerge/>
            <w:tcBorders>
              <w:left w:val="single" w:sz="8" w:space="0" w:color="D9D9D9"/>
              <w:right w:val="single" w:sz="8" w:space="0" w:color="D9D9D9"/>
            </w:tcBorders>
            <w:shd w:val="clear" w:color="auto" w:fill="FFFFFF" w:themeFill="background1"/>
            <w:vAlign w:val="center"/>
          </w:tcPr>
          <w:p w14:paraId="5F6467B1" w14:textId="77777777" w:rsidR="00150A13" w:rsidRPr="00150A13" w:rsidRDefault="00150A13" w:rsidP="00150A13">
            <w:pPr>
              <w:spacing w:after="240" w:line="264" w:lineRule="auto"/>
              <w:ind w:left="425" w:right="269" w:hanging="425"/>
              <w:contextualSpacing/>
              <w:jc w:val="center"/>
              <w:rPr>
                <w:rFonts w:eastAsia="Times New Roman" w:cstheme="minorHAnsi"/>
                <w:b/>
                <w:bCs/>
                <w:sz w:val="20"/>
                <w:szCs w:val="20"/>
              </w:rPr>
            </w:pPr>
          </w:p>
        </w:tc>
      </w:tr>
      <w:tr w:rsidR="00150A13" w:rsidRPr="00150A13" w14:paraId="093360DF" w14:textId="77777777" w:rsidTr="004C687A">
        <w:trPr>
          <w:trHeight w:val="20"/>
        </w:trPr>
        <w:tc>
          <w:tcPr>
            <w:tcW w:w="699"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vAlign w:val="center"/>
          </w:tcPr>
          <w:p w14:paraId="344E3E66" w14:textId="77777777" w:rsidR="00150A13" w:rsidRPr="00150A13" w:rsidRDefault="00150A13" w:rsidP="00167967">
            <w:pPr>
              <w:pStyle w:val="TableBody"/>
              <w:rPr>
                <w:sz w:val="20"/>
                <w:szCs w:val="20"/>
              </w:rPr>
            </w:pPr>
          </w:p>
        </w:tc>
        <w:tc>
          <w:tcPr>
            <w:tcW w:w="834" w:type="pct"/>
            <w:vMerge/>
            <w:tcBorders>
              <w:left w:val="single" w:sz="8" w:space="0" w:color="D9D9D9"/>
              <w:right w:val="single" w:sz="8" w:space="0" w:color="D9D9D9"/>
            </w:tcBorders>
            <w:shd w:val="clear" w:color="auto" w:fill="FFFFFF" w:themeFill="background1"/>
            <w:vAlign w:val="center"/>
          </w:tcPr>
          <w:p w14:paraId="38BCA958" w14:textId="77777777" w:rsidR="00150A13" w:rsidRPr="00150A13" w:rsidRDefault="00150A13" w:rsidP="00167967">
            <w:pPr>
              <w:pStyle w:val="TableBody"/>
              <w:rPr>
                <w:rFonts w:cstheme="minorHAnsi"/>
                <w:sz w:val="20"/>
                <w:szCs w:val="20"/>
              </w:rPr>
            </w:pPr>
          </w:p>
        </w:tc>
        <w:tc>
          <w:tcPr>
            <w:tcW w:w="750"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38B96A17" w14:textId="77777777" w:rsidR="00150A13" w:rsidRPr="00150A13" w:rsidRDefault="00150A13" w:rsidP="00167967">
            <w:pPr>
              <w:pStyle w:val="TableBody"/>
              <w:rPr>
                <w:color w:val="262626" w:themeColor="text1" w:themeTint="D9"/>
              </w:rPr>
            </w:pPr>
            <w:r w:rsidRPr="00150A13">
              <w:rPr>
                <w:color w:val="262626" w:themeColor="text1" w:themeTint="D9"/>
              </w:rPr>
              <w:t>Number of businesses undertaking high risk silica work in Australia</w:t>
            </w:r>
            <w:r w:rsidRPr="00150A13">
              <w:t xml:space="preserve"> (#)</w:t>
            </w:r>
          </w:p>
        </w:tc>
        <w:tc>
          <w:tcPr>
            <w:tcW w:w="1400" w:type="pct"/>
            <w:gridSpan w:val="5"/>
            <w:tcBorders>
              <w:left w:val="single" w:sz="8" w:space="0" w:color="D9D9D9"/>
              <w:right w:val="single" w:sz="8" w:space="0" w:color="D9D9D9"/>
            </w:tcBorders>
            <w:shd w:val="clear" w:color="auto" w:fill="FFFFFF" w:themeFill="background1"/>
            <w:vAlign w:val="center"/>
          </w:tcPr>
          <w:p w14:paraId="3C27B505" w14:textId="40A8F125" w:rsidR="00150A13" w:rsidRPr="00150A13" w:rsidRDefault="00150A13" w:rsidP="00167967">
            <w:pPr>
              <w:pStyle w:val="TableBody"/>
            </w:pPr>
            <w:r w:rsidRPr="00150A13">
              <w:t xml:space="preserve">Refer to </w:t>
            </w:r>
            <w:r w:rsidRPr="00150A13">
              <w:fldChar w:fldCharType="begin"/>
            </w:r>
            <w:r w:rsidRPr="00150A13">
              <w:instrText xml:space="preserve"> REF _Ref124837852 \h  \* MERGEFORMAT </w:instrText>
            </w:r>
            <w:r w:rsidRPr="00150A13">
              <w:fldChar w:fldCharType="separate"/>
            </w:r>
            <w:r w:rsidR="00DF768D" w:rsidRPr="00150A13">
              <w:t xml:space="preserve">Table </w:t>
            </w:r>
            <w:r w:rsidR="00DF768D" w:rsidRPr="00DF768D">
              <w:t>38</w:t>
            </w:r>
            <w:r w:rsidRPr="00150A13">
              <w:fldChar w:fldCharType="end"/>
            </w:r>
          </w:p>
        </w:tc>
        <w:tc>
          <w:tcPr>
            <w:tcW w:w="1317" w:type="pct"/>
            <w:vMerge/>
            <w:tcBorders>
              <w:left w:val="single" w:sz="8" w:space="0" w:color="D9D9D9"/>
              <w:right w:val="single" w:sz="8" w:space="0" w:color="D9D9D9"/>
            </w:tcBorders>
            <w:shd w:val="clear" w:color="auto" w:fill="FFFFFF" w:themeFill="background1"/>
            <w:vAlign w:val="center"/>
          </w:tcPr>
          <w:p w14:paraId="5A58514A" w14:textId="77777777" w:rsidR="00150A13" w:rsidRPr="00150A13" w:rsidRDefault="00150A13" w:rsidP="00150A13">
            <w:pPr>
              <w:spacing w:after="240" w:line="264" w:lineRule="auto"/>
              <w:ind w:left="425" w:right="269" w:hanging="425"/>
              <w:contextualSpacing/>
              <w:jc w:val="center"/>
              <w:rPr>
                <w:rFonts w:eastAsia="Times New Roman" w:cstheme="minorHAnsi"/>
                <w:b/>
                <w:bCs/>
                <w:sz w:val="20"/>
                <w:szCs w:val="20"/>
              </w:rPr>
            </w:pPr>
          </w:p>
        </w:tc>
      </w:tr>
      <w:tr w:rsidR="00150A13" w:rsidRPr="00150A13" w14:paraId="1C8205CD" w14:textId="77777777" w:rsidTr="004C687A">
        <w:trPr>
          <w:trHeight w:val="20"/>
        </w:trPr>
        <w:tc>
          <w:tcPr>
            <w:tcW w:w="699"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vAlign w:val="center"/>
          </w:tcPr>
          <w:p w14:paraId="13180E73" w14:textId="77777777" w:rsidR="00150A13" w:rsidRPr="00150A13" w:rsidRDefault="00150A13" w:rsidP="00167967">
            <w:pPr>
              <w:pStyle w:val="TableBody"/>
              <w:rPr>
                <w:sz w:val="20"/>
                <w:szCs w:val="20"/>
              </w:rPr>
            </w:pPr>
          </w:p>
        </w:tc>
        <w:tc>
          <w:tcPr>
            <w:tcW w:w="834" w:type="pct"/>
            <w:vMerge/>
            <w:tcBorders>
              <w:left w:val="single" w:sz="8" w:space="0" w:color="D9D9D9"/>
              <w:right w:val="single" w:sz="8" w:space="0" w:color="D9D9D9"/>
            </w:tcBorders>
            <w:shd w:val="clear" w:color="auto" w:fill="FFFFFF" w:themeFill="background1"/>
            <w:vAlign w:val="center"/>
          </w:tcPr>
          <w:p w14:paraId="1CEF178A" w14:textId="77777777" w:rsidR="00150A13" w:rsidRPr="00150A13" w:rsidRDefault="00150A13" w:rsidP="00167967">
            <w:pPr>
              <w:pStyle w:val="TableBody"/>
              <w:rPr>
                <w:rFonts w:cstheme="minorHAnsi"/>
                <w:sz w:val="20"/>
                <w:szCs w:val="20"/>
              </w:rPr>
            </w:pPr>
          </w:p>
        </w:tc>
        <w:tc>
          <w:tcPr>
            <w:tcW w:w="750"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1B66C0BB" w14:textId="77777777" w:rsidR="00150A13" w:rsidRPr="00150A13" w:rsidRDefault="00150A13" w:rsidP="00167967">
            <w:pPr>
              <w:pStyle w:val="TableBody"/>
              <w:rPr>
                <w:color w:val="262626" w:themeColor="text1" w:themeTint="D9"/>
              </w:rPr>
            </w:pPr>
            <w:r w:rsidRPr="00150A13">
              <w:rPr>
                <w:color w:val="262626" w:themeColor="text1" w:themeTint="D9"/>
              </w:rPr>
              <w:t>Proportion of PCBUs where measured RCS values exceed WES</w:t>
            </w:r>
          </w:p>
        </w:tc>
        <w:tc>
          <w:tcPr>
            <w:tcW w:w="1400" w:type="pct"/>
            <w:gridSpan w:val="5"/>
            <w:tcBorders>
              <w:left w:val="single" w:sz="8" w:space="0" w:color="D9D9D9"/>
              <w:bottom w:val="single" w:sz="8" w:space="0" w:color="D9D9D9"/>
              <w:right w:val="single" w:sz="8" w:space="0" w:color="D9D9D9"/>
            </w:tcBorders>
            <w:shd w:val="clear" w:color="auto" w:fill="FFFFFF" w:themeFill="background1"/>
            <w:vAlign w:val="center"/>
          </w:tcPr>
          <w:p w14:paraId="4FFC973B" w14:textId="77777777" w:rsidR="00150A13" w:rsidRPr="00150A13" w:rsidRDefault="00150A13" w:rsidP="00167967">
            <w:pPr>
              <w:pStyle w:val="TableBody"/>
            </w:pPr>
            <w:r w:rsidRPr="00150A13">
              <w:t>30%</w:t>
            </w:r>
            <w:r w:rsidRPr="00150A13">
              <w:rPr>
                <w:vertAlign w:val="superscript"/>
              </w:rPr>
              <w:footnoteReference w:id="60"/>
            </w:r>
          </w:p>
        </w:tc>
        <w:tc>
          <w:tcPr>
            <w:tcW w:w="1317" w:type="pct"/>
            <w:vMerge/>
            <w:tcBorders>
              <w:left w:val="single" w:sz="8" w:space="0" w:color="D9D9D9"/>
              <w:right w:val="single" w:sz="8" w:space="0" w:color="D9D9D9"/>
            </w:tcBorders>
            <w:shd w:val="clear" w:color="auto" w:fill="FFFFFF" w:themeFill="background1"/>
            <w:vAlign w:val="center"/>
          </w:tcPr>
          <w:p w14:paraId="28428F59" w14:textId="77777777" w:rsidR="00150A13" w:rsidRPr="00150A13" w:rsidRDefault="00150A13" w:rsidP="00150A13">
            <w:pPr>
              <w:spacing w:after="240" w:line="264" w:lineRule="auto"/>
              <w:ind w:left="425" w:right="269" w:hanging="425"/>
              <w:contextualSpacing/>
              <w:jc w:val="center"/>
              <w:rPr>
                <w:rFonts w:eastAsia="Times New Roman" w:cstheme="minorHAnsi"/>
                <w:b/>
                <w:bCs/>
                <w:sz w:val="20"/>
                <w:szCs w:val="20"/>
              </w:rPr>
            </w:pPr>
          </w:p>
        </w:tc>
      </w:tr>
    </w:tbl>
    <w:p w14:paraId="662B3E31" w14:textId="3A9BC690" w:rsidR="00167967" w:rsidRDefault="00167967" w:rsidP="00167967">
      <w:pPr>
        <w:pStyle w:val="Caption"/>
      </w:pPr>
      <w:r>
        <w:br w:type="page"/>
      </w:r>
    </w:p>
    <w:p w14:paraId="083A7F4C" w14:textId="0BD5881F" w:rsidR="00DF768D" w:rsidRPr="00167967" w:rsidRDefault="00DF768D" w:rsidP="00167967">
      <w:pPr>
        <w:pStyle w:val="Caption"/>
      </w:pPr>
      <w:r w:rsidRPr="00167967">
        <w:lastRenderedPageBreak/>
        <w:t xml:space="preserve">Table </w:t>
      </w:r>
      <w:fldSimple w:instr=" SEQ Table \* ARABIC ">
        <w:r w:rsidRPr="00167967">
          <w:t>42</w:t>
        </w:r>
      </w:fldSimple>
      <w:r w:rsidRPr="00167967">
        <w:t>: Additional cost to government: key assumptions and cost estimate methodology</w:t>
      </w:r>
    </w:p>
    <w:tbl>
      <w:tblPr>
        <w:tblW w:w="4980" w:type="pct"/>
        <w:tblBorders>
          <w:left w:val="single" w:sz="8" w:space="0" w:color="D9D9D9"/>
          <w:bottom w:val="single" w:sz="8" w:space="0" w:color="D9D9D9"/>
          <w:right w:val="single" w:sz="8" w:space="0" w:color="D9D9D9"/>
          <w:insideH w:val="single" w:sz="8" w:space="0" w:color="D9D9D9"/>
          <w:insideV w:val="single" w:sz="8" w:space="0" w:color="D9D9D9"/>
        </w:tblBorders>
        <w:tblCellMar>
          <w:left w:w="0" w:type="dxa"/>
          <w:right w:w="0" w:type="dxa"/>
        </w:tblCellMar>
        <w:tblLook w:val="0420" w:firstRow="1" w:lastRow="0" w:firstColumn="0" w:lastColumn="0" w:noHBand="0" w:noVBand="1"/>
      </w:tblPr>
      <w:tblGrid>
        <w:gridCol w:w="1509"/>
        <w:gridCol w:w="1759"/>
        <w:gridCol w:w="1670"/>
        <w:gridCol w:w="1941"/>
        <w:gridCol w:w="3264"/>
      </w:tblGrid>
      <w:tr w:rsidR="00150A13" w:rsidRPr="00150A13" w14:paraId="699C2258" w14:textId="77777777" w:rsidTr="00810EC8">
        <w:trPr>
          <w:trHeight w:val="750"/>
          <w:tblHeader/>
        </w:trPr>
        <w:tc>
          <w:tcPr>
            <w:tcW w:w="744" w:type="pct"/>
            <w:tcBorders>
              <w:top w:val="nil"/>
              <w:left w:val="single" w:sz="8" w:space="0" w:color="D9D9D9"/>
              <w:bottom w:val="single" w:sz="8" w:space="0" w:color="D9D9D9"/>
              <w:right w:val="single" w:sz="8" w:space="0" w:color="D9D9D9"/>
            </w:tcBorders>
            <w:shd w:val="clear" w:color="auto" w:fill="D9D9D9" w:themeFill="background1" w:themeFillShade="D9"/>
            <w:tcMar>
              <w:top w:w="72" w:type="dxa"/>
              <w:left w:w="144" w:type="dxa"/>
              <w:bottom w:w="72" w:type="dxa"/>
              <w:right w:w="144" w:type="dxa"/>
            </w:tcMar>
            <w:vAlign w:val="center"/>
            <w:hideMark/>
          </w:tcPr>
          <w:p w14:paraId="109B7BFA" w14:textId="77777777" w:rsidR="00150A13" w:rsidRPr="00150A13" w:rsidRDefault="00150A13" w:rsidP="00167967">
            <w:pPr>
              <w:pStyle w:val="TableHeading"/>
            </w:pPr>
            <w:r w:rsidRPr="00150A13">
              <w:t>Cost assumption</w:t>
            </w:r>
          </w:p>
        </w:tc>
        <w:tc>
          <w:tcPr>
            <w:tcW w:w="867" w:type="pct"/>
            <w:tcBorders>
              <w:top w:val="nil"/>
              <w:left w:val="single" w:sz="8" w:space="0" w:color="D9D9D9"/>
              <w:bottom w:val="single" w:sz="8" w:space="0" w:color="D9D9D9"/>
              <w:right w:val="single" w:sz="8" w:space="0" w:color="D9D9D9"/>
            </w:tcBorders>
            <w:shd w:val="clear" w:color="auto" w:fill="D9D9D9" w:themeFill="background1" w:themeFillShade="D9"/>
            <w:vAlign w:val="center"/>
            <w:hideMark/>
          </w:tcPr>
          <w:p w14:paraId="37EFF0F9" w14:textId="77777777" w:rsidR="00150A13" w:rsidRPr="00150A13" w:rsidRDefault="00150A13" w:rsidP="00167967">
            <w:pPr>
              <w:pStyle w:val="TableHeading"/>
            </w:pPr>
            <w:r w:rsidRPr="00150A13">
              <w:t>Description</w:t>
            </w:r>
          </w:p>
        </w:tc>
        <w:tc>
          <w:tcPr>
            <w:tcW w:w="823" w:type="pct"/>
            <w:tcBorders>
              <w:top w:val="nil"/>
              <w:left w:val="single" w:sz="8" w:space="0" w:color="D9D9D9"/>
              <w:bottom w:val="single" w:sz="8" w:space="0" w:color="D9D9D9"/>
              <w:right w:val="single" w:sz="8" w:space="0" w:color="D9D9D9"/>
            </w:tcBorders>
            <w:shd w:val="clear" w:color="auto" w:fill="D9D9D9" w:themeFill="background1" w:themeFillShade="D9"/>
            <w:vAlign w:val="center"/>
          </w:tcPr>
          <w:p w14:paraId="0AFC616B" w14:textId="77777777" w:rsidR="00150A13" w:rsidRPr="00150A13" w:rsidRDefault="00150A13" w:rsidP="00167967">
            <w:pPr>
              <w:pStyle w:val="TableHeading"/>
            </w:pPr>
            <w:r w:rsidRPr="00150A13">
              <w:t>Variable</w:t>
            </w:r>
          </w:p>
        </w:tc>
        <w:tc>
          <w:tcPr>
            <w:tcW w:w="957" w:type="pct"/>
            <w:tcBorders>
              <w:top w:val="nil"/>
              <w:left w:val="single" w:sz="8" w:space="0" w:color="D9D9D9"/>
              <w:bottom w:val="single" w:sz="8" w:space="0" w:color="D9D9D9"/>
              <w:right w:val="single" w:sz="8" w:space="0" w:color="D9D9D9"/>
            </w:tcBorders>
            <w:shd w:val="clear" w:color="auto" w:fill="D9D9D9" w:themeFill="background1" w:themeFillShade="D9"/>
            <w:vAlign w:val="center"/>
          </w:tcPr>
          <w:p w14:paraId="0F31FB00" w14:textId="77777777" w:rsidR="00150A13" w:rsidRPr="00150A13" w:rsidRDefault="00150A13" w:rsidP="00167967">
            <w:pPr>
              <w:pStyle w:val="TableHeading"/>
            </w:pPr>
            <w:r w:rsidRPr="00150A13">
              <w:t>Input/assumption</w:t>
            </w:r>
          </w:p>
        </w:tc>
        <w:tc>
          <w:tcPr>
            <w:tcW w:w="1609" w:type="pct"/>
            <w:tcBorders>
              <w:top w:val="nil"/>
              <w:left w:val="single" w:sz="8" w:space="0" w:color="D9D9D9"/>
              <w:bottom w:val="single" w:sz="8" w:space="0" w:color="D9D9D9"/>
              <w:right w:val="single" w:sz="8" w:space="0" w:color="D9D9D9"/>
            </w:tcBorders>
            <w:shd w:val="clear" w:color="auto" w:fill="D9D9D9" w:themeFill="background1" w:themeFillShade="D9"/>
            <w:vAlign w:val="center"/>
            <w:hideMark/>
          </w:tcPr>
          <w:p w14:paraId="0B76DA2A" w14:textId="77777777" w:rsidR="00150A13" w:rsidRPr="00150A13" w:rsidRDefault="00150A13" w:rsidP="00167967">
            <w:pPr>
              <w:pStyle w:val="TableHeading"/>
            </w:pPr>
            <w:r w:rsidRPr="00150A13">
              <w:t>Formula</w:t>
            </w:r>
          </w:p>
        </w:tc>
      </w:tr>
      <w:tr w:rsidR="00150A13" w:rsidRPr="00150A13" w14:paraId="35CB4CD2" w14:textId="77777777" w:rsidTr="004C687A">
        <w:trPr>
          <w:trHeight w:val="275"/>
        </w:trPr>
        <w:tc>
          <w:tcPr>
            <w:tcW w:w="744" w:type="pct"/>
            <w:tcBorders>
              <w:top w:val="single" w:sz="8" w:space="0" w:color="D9D9D9"/>
              <w:left w:val="single" w:sz="8" w:space="0" w:color="D9D9D9"/>
              <w:bottom w:val="single" w:sz="8" w:space="0" w:color="D9D9D9"/>
              <w:right w:val="single" w:sz="8" w:space="0" w:color="D9D9D9"/>
            </w:tcBorders>
            <w:shd w:val="clear" w:color="auto" w:fill="BFBFBF" w:themeFill="background1" w:themeFillShade="BF"/>
            <w:tcMar>
              <w:top w:w="72" w:type="dxa"/>
              <w:left w:w="144" w:type="dxa"/>
              <w:bottom w:w="72" w:type="dxa"/>
              <w:right w:w="144" w:type="dxa"/>
            </w:tcMar>
            <w:vAlign w:val="center"/>
            <w:hideMark/>
          </w:tcPr>
          <w:p w14:paraId="25DE86CD" w14:textId="77777777" w:rsidR="00150A13" w:rsidRPr="00150A13" w:rsidRDefault="00150A13" w:rsidP="00167967">
            <w:pPr>
              <w:pStyle w:val="TableHeading"/>
            </w:pPr>
            <w:r w:rsidRPr="00150A13">
              <w:t xml:space="preserve">Option 2 </w:t>
            </w:r>
          </w:p>
        </w:tc>
        <w:tc>
          <w:tcPr>
            <w:tcW w:w="867" w:type="pct"/>
            <w:tcBorders>
              <w:top w:val="single" w:sz="8" w:space="0" w:color="D9D9D9"/>
              <w:left w:val="single" w:sz="8" w:space="0" w:color="D9D9D9"/>
              <w:bottom w:val="single" w:sz="8" w:space="0" w:color="D9D9D9"/>
              <w:right w:val="single" w:sz="8" w:space="0" w:color="D9D9D9"/>
            </w:tcBorders>
            <w:shd w:val="clear" w:color="auto" w:fill="BFBFBF" w:themeFill="background1" w:themeFillShade="BF"/>
            <w:vAlign w:val="center"/>
          </w:tcPr>
          <w:p w14:paraId="64E63179" w14:textId="77777777" w:rsidR="00150A13" w:rsidRPr="00150A13" w:rsidRDefault="00150A13" w:rsidP="00DF768D">
            <w:pPr>
              <w:keepNext/>
              <w:spacing w:after="120" w:line="264" w:lineRule="auto"/>
              <w:ind w:left="425" w:right="130" w:hanging="425"/>
              <w:contextualSpacing/>
              <w:rPr>
                <w:rFonts w:asciiTheme="majorHAnsi" w:eastAsia="Times New Roman" w:hAnsiTheme="majorHAnsi" w:cstheme="minorHAnsi"/>
                <w:sz w:val="18"/>
                <w:szCs w:val="18"/>
              </w:rPr>
            </w:pPr>
          </w:p>
        </w:tc>
        <w:tc>
          <w:tcPr>
            <w:tcW w:w="823" w:type="pct"/>
            <w:tcBorders>
              <w:top w:val="single" w:sz="8" w:space="0" w:color="D9D9D9"/>
              <w:left w:val="single" w:sz="8" w:space="0" w:color="D9D9D9"/>
              <w:bottom w:val="single" w:sz="8" w:space="0" w:color="D9D9D9"/>
              <w:right w:val="single" w:sz="8" w:space="0" w:color="D9D9D9"/>
            </w:tcBorders>
            <w:shd w:val="clear" w:color="auto" w:fill="BFBFBF" w:themeFill="background1" w:themeFillShade="BF"/>
            <w:vAlign w:val="center"/>
          </w:tcPr>
          <w:p w14:paraId="6E04E857" w14:textId="77777777" w:rsidR="00150A13" w:rsidRPr="00150A13" w:rsidRDefault="00150A13" w:rsidP="00DF768D">
            <w:pPr>
              <w:keepNext/>
              <w:spacing w:after="120" w:line="264" w:lineRule="auto"/>
              <w:ind w:left="425" w:right="130" w:hanging="425"/>
              <w:contextualSpacing/>
              <w:rPr>
                <w:rFonts w:asciiTheme="majorHAnsi" w:eastAsia="Times New Roman" w:hAnsiTheme="majorHAnsi" w:cstheme="minorHAnsi"/>
                <w:sz w:val="18"/>
                <w:szCs w:val="18"/>
              </w:rPr>
            </w:pPr>
          </w:p>
        </w:tc>
        <w:tc>
          <w:tcPr>
            <w:tcW w:w="957" w:type="pct"/>
            <w:tcBorders>
              <w:top w:val="single" w:sz="8" w:space="0" w:color="D9D9D9"/>
              <w:left w:val="single" w:sz="8" w:space="0" w:color="D9D9D9"/>
              <w:bottom w:val="single" w:sz="8" w:space="0" w:color="D9D9D9"/>
              <w:right w:val="single" w:sz="8" w:space="0" w:color="D9D9D9"/>
            </w:tcBorders>
            <w:shd w:val="clear" w:color="auto" w:fill="BFBFBF" w:themeFill="background1" w:themeFillShade="BF"/>
            <w:vAlign w:val="center"/>
          </w:tcPr>
          <w:p w14:paraId="4D523556" w14:textId="77777777" w:rsidR="00150A13" w:rsidRPr="00150A13" w:rsidRDefault="00150A13" w:rsidP="00DF768D">
            <w:pPr>
              <w:keepNext/>
              <w:spacing w:after="120" w:line="264" w:lineRule="auto"/>
              <w:ind w:left="425" w:right="130" w:hanging="425"/>
              <w:contextualSpacing/>
              <w:rPr>
                <w:rFonts w:asciiTheme="majorHAnsi" w:eastAsia="Times New Roman" w:hAnsiTheme="majorHAnsi" w:cstheme="minorHAnsi"/>
                <w:sz w:val="18"/>
                <w:szCs w:val="18"/>
              </w:rPr>
            </w:pPr>
          </w:p>
        </w:tc>
        <w:tc>
          <w:tcPr>
            <w:tcW w:w="1609" w:type="pct"/>
            <w:tcBorders>
              <w:top w:val="single" w:sz="8" w:space="0" w:color="D9D9D9"/>
              <w:left w:val="single" w:sz="8" w:space="0" w:color="D9D9D9"/>
              <w:bottom w:val="single" w:sz="8" w:space="0" w:color="D9D9D9"/>
              <w:right w:val="single" w:sz="8" w:space="0" w:color="D9D9D9"/>
            </w:tcBorders>
            <w:shd w:val="clear" w:color="auto" w:fill="BFBFBF" w:themeFill="background1" w:themeFillShade="BF"/>
            <w:vAlign w:val="center"/>
          </w:tcPr>
          <w:p w14:paraId="65D4F516" w14:textId="77777777" w:rsidR="00150A13" w:rsidRPr="00150A13" w:rsidRDefault="00150A13" w:rsidP="00DF768D">
            <w:pPr>
              <w:keepNext/>
              <w:spacing w:after="120" w:line="264" w:lineRule="auto"/>
              <w:ind w:left="425" w:right="130" w:hanging="425"/>
              <w:contextualSpacing/>
              <w:rPr>
                <w:rFonts w:asciiTheme="majorHAnsi" w:eastAsia="Times New Roman" w:hAnsiTheme="majorHAnsi" w:cstheme="minorHAnsi"/>
                <w:sz w:val="18"/>
                <w:szCs w:val="18"/>
              </w:rPr>
            </w:pPr>
          </w:p>
        </w:tc>
      </w:tr>
      <w:tr w:rsidR="00150A13" w:rsidRPr="00150A13" w14:paraId="36FBAD51" w14:textId="77777777" w:rsidTr="00547024">
        <w:trPr>
          <w:trHeight w:val="1459"/>
        </w:trPr>
        <w:tc>
          <w:tcPr>
            <w:tcW w:w="744" w:type="pct"/>
            <w:tcBorders>
              <w:top w:val="single" w:sz="8" w:space="0" w:color="D9D9D9"/>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534EE97B" w14:textId="77777777" w:rsidR="00150A13" w:rsidRPr="00167967" w:rsidRDefault="00150A13" w:rsidP="00167967">
            <w:pPr>
              <w:pStyle w:val="TableBody"/>
              <w:rPr>
                <w:i/>
                <w:color w:val="262626" w:themeColor="text1" w:themeTint="D9"/>
              </w:rPr>
            </w:pPr>
            <w:r w:rsidRPr="00167967">
              <w:rPr>
                <w:i/>
              </w:rPr>
              <w:t>Behaviour change initiative – planning and design</w:t>
            </w:r>
          </w:p>
        </w:tc>
        <w:tc>
          <w:tcPr>
            <w:tcW w:w="867" w:type="pct"/>
            <w:tcBorders>
              <w:top w:val="single" w:sz="8" w:space="0" w:color="D9D9D9"/>
              <w:left w:val="single" w:sz="8" w:space="0" w:color="D9D9D9"/>
              <w:right w:val="single" w:sz="8" w:space="0" w:color="D9D9D9"/>
            </w:tcBorders>
            <w:shd w:val="clear" w:color="auto" w:fill="FFFFFF" w:themeFill="background1"/>
          </w:tcPr>
          <w:p w14:paraId="156001AE" w14:textId="77777777" w:rsidR="00150A13" w:rsidRPr="00150A13" w:rsidRDefault="00150A13" w:rsidP="00167967">
            <w:pPr>
              <w:pStyle w:val="TableBody"/>
            </w:pPr>
            <w:r w:rsidRPr="00150A13">
              <w:rPr>
                <w:color w:val="262626" w:themeColor="text1" w:themeTint="D9"/>
              </w:rPr>
              <w:t>Costs related to the planning and design for behaviour change and awareness campaigns on an annual basis.</w:t>
            </w:r>
          </w:p>
        </w:tc>
        <w:tc>
          <w:tcPr>
            <w:tcW w:w="823" w:type="pct"/>
            <w:tcBorders>
              <w:top w:val="single" w:sz="8" w:space="0" w:color="D9D9D9"/>
              <w:left w:val="single" w:sz="8" w:space="0" w:color="D9D9D9"/>
              <w:right w:val="single" w:sz="8" w:space="0" w:color="D9D9D9"/>
            </w:tcBorders>
            <w:shd w:val="clear" w:color="auto" w:fill="FFFFFF" w:themeFill="background1"/>
          </w:tcPr>
          <w:p w14:paraId="1F2D3C91" w14:textId="77777777" w:rsidR="00150A13" w:rsidRPr="00150A13" w:rsidRDefault="00150A13" w:rsidP="00167967">
            <w:pPr>
              <w:pStyle w:val="TableBody"/>
              <w:rPr>
                <w:b/>
              </w:rPr>
            </w:pPr>
            <w:r w:rsidRPr="00150A13">
              <w:t>Engagement with behavioural insights consultants ($)</w:t>
            </w:r>
          </w:p>
        </w:tc>
        <w:tc>
          <w:tcPr>
            <w:tcW w:w="957" w:type="pct"/>
            <w:tcBorders>
              <w:top w:val="single" w:sz="8" w:space="0" w:color="D9D9D9"/>
              <w:left w:val="single" w:sz="8" w:space="0" w:color="D9D9D9"/>
              <w:right w:val="single" w:sz="8" w:space="0" w:color="D9D9D9"/>
            </w:tcBorders>
            <w:shd w:val="clear" w:color="auto" w:fill="FFFFFF" w:themeFill="background1"/>
            <w:vAlign w:val="center"/>
          </w:tcPr>
          <w:p w14:paraId="25793DAD" w14:textId="77777777" w:rsidR="00150A13" w:rsidRPr="00150A13" w:rsidRDefault="00150A13" w:rsidP="00167967">
            <w:pPr>
              <w:pStyle w:val="TableBody"/>
              <w:rPr>
                <w:b/>
              </w:rPr>
            </w:pPr>
            <w:r w:rsidRPr="00150A13">
              <w:t>$120,000</w:t>
            </w:r>
            <w:r w:rsidRPr="00150A13">
              <w:rPr>
                <w:vertAlign w:val="superscript"/>
              </w:rPr>
              <w:footnoteReference w:id="61"/>
            </w:r>
          </w:p>
        </w:tc>
        <w:tc>
          <w:tcPr>
            <w:tcW w:w="1609" w:type="pct"/>
            <w:tcBorders>
              <w:top w:val="single" w:sz="8" w:space="0" w:color="D9D9D9"/>
              <w:left w:val="single" w:sz="8" w:space="0" w:color="D9D9D9"/>
              <w:right w:val="single" w:sz="8" w:space="0" w:color="D9D9D9"/>
            </w:tcBorders>
            <w:shd w:val="clear" w:color="auto" w:fill="FFFFFF" w:themeFill="background1"/>
            <w:vAlign w:val="center"/>
          </w:tcPr>
          <w:p w14:paraId="373FD5C3" w14:textId="77777777" w:rsidR="00150A13" w:rsidRPr="00150A13" w:rsidRDefault="00150A13" w:rsidP="00167967">
            <w:pPr>
              <w:pStyle w:val="TableBody"/>
              <w:jc w:val="center"/>
              <w:rPr>
                <w:b/>
                <w:bCs/>
                <w:color w:val="262626" w:themeColor="text1" w:themeTint="D9"/>
              </w:rPr>
            </w:pPr>
            <w:r w:rsidRPr="00150A13">
              <w:rPr>
                <w:b/>
              </w:rPr>
              <w:t>Cost of behaviour change initiative – planning and design</w:t>
            </w:r>
          </w:p>
          <w:p w14:paraId="26F8715C" w14:textId="77777777" w:rsidR="00150A13" w:rsidRPr="00150A13" w:rsidRDefault="00150A13" w:rsidP="00167967">
            <w:pPr>
              <w:pStyle w:val="TableBody"/>
              <w:jc w:val="center"/>
              <w:rPr>
                <w:b/>
                <w:bCs/>
                <w:color w:val="262626" w:themeColor="text1" w:themeTint="D9"/>
              </w:rPr>
            </w:pPr>
            <w:r w:rsidRPr="00150A13">
              <w:rPr>
                <w:b/>
              </w:rPr>
              <w:t>=</w:t>
            </w:r>
          </w:p>
          <w:p w14:paraId="4D93B7B6" w14:textId="133C2F1D" w:rsidR="00150A13" w:rsidRPr="00150A13" w:rsidRDefault="00150A13" w:rsidP="00547024">
            <w:pPr>
              <w:pStyle w:val="TableBody"/>
              <w:jc w:val="center"/>
              <w:rPr>
                <w:color w:val="262626" w:themeColor="text1" w:themeTint="D9"/>
              </w:rPr>
            </w:pPr>
            <w:r w:rsidRPr="00150A13">
              <w:t>Cost to plan and engage with behavioural insights consultants</w:t>
            </w:r>
          </w:p>
        </w:tc>
      </w:tr>
      <w:tr w:rsidR="00150A13" w:rsidRPr="00150A13" w14:paraId="7CA7F0AC" w14:textId="77777777" w:rsidTr="00547024">
        <w:trPr>
          <w:trHeight w:val="1957"/>
        </w:trPr>
        <w:tc>
          <w:tcPr>
            <w:tcW w:w="744" w:type="pct"/>
            <w:tcBorders>
              <w:top w:val="single" w:sz="8" w:space="0" w:color="D9D9D9"/>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7034BAFD" w14:textId="77777777" w:rsidR="00150A13" w:rsidRPr="00167967" w:rsidRDefault="00150A13" w:rsidP="00167967">
            <w:pPr>
              <w:pStyle w:val="TableBody"/>
              <w:rPr>
                <w:i/>
                <w:color w:val="262626" w:themeColor="text1" w:themeTint="D9"/>
              </w:rPr>
            </w:pPr>
            <w:r w:rsidRPr="00167967">
              <w:rPr>
                <w:i/>
              </w:rPr>
              <w:t xml:space="preserve">Behaviour change initiative – roll out across all industry sectors </w:t>
            </w:r>
          </w:p>
        </w:tc>
        <w:tc>
          <w:tcPr>
            <w:tcW w:w="867" w:type="pct"/>
            <w:tcBorders>
              <w:top w:val="single" w:sz="8" w:space="0" w:color="D9D9D9"/>
              <w:left w:val="single" w:sz="8" w:space="0" w:color="D9D9D9"/>
              <w:right w:val="single" w:sz="8" w:space="0" w:color="D9D9D9"/>
            </w:tcBorders>
            <w:shd w:val="clear" w:color="auto" w:fill="FFFFFF" w:themeFill="background1"/>
          </w:tcPr>
          <w:p w14:paraId="31F66F73" w14:textId="77777777" w:rsidR="00150A13" w:rsidRPr="00150A13" w:rsidRDefault="00150A13" w:rsidP="00167967">
            <w:pPr>
              <w:pStyle w:val="TableBody"/>
            </w:pPr>
            <w:r w:rsidRPr="00150A13">
              <w:rPr>
                <w:color w:val="262626" w:themeColor="text1" w:themeTint="D9"/>
              </w:rPr>
              <w:t>Costs related to the development and distribution of information for behaviour change and awareness campaigns</w:t>
            </w:r>
          </w:p>
        </w:tc>
        <w:tc>
          <w:tcPr>
            <w:tcW w:w="823" w:type="pct"/>
            <w:tcBorders>
              <w:top w:val="single" w:sz="8" w:space="0" w:color="D9D9D9"/>
              <w:left w:val="single" w:sz="8" w:space="0" w:color="D9D9D9"/>
              <w:right w:val="single" w:sz="8" w:space="0" w:color="D9D9D9"/>
            </w:tcBorders>
            <w:shd w:val="clear" w:color="auto" w:fill="FFFFFF" w:themeFill="background1"/>
          </w:tcPr>
          <w:p w14:paraId="561E6C36" w14:textId="77777777" w:rsidR="00150A13" w:rsidRPr="00150A13" w:rsidRDefault="00150A13" w:rsidP="00167967">
            <w:pPr>
              <w:pStyle w:val="TableBody"/>
              <w:rPr>
                <w:b/>
                <w:color w:val="262626" w:themeColor="text1" w:themeTint="D9"/>
              </w:rPr>
            </w:pPr>
            <w:r w:rsidRPr="00150A13">
              <w:rPr>
                <w:color w:val="262626" w:themeColor="text1" w:themeTint="D9"/>
              </w:rPr>
              <w:t>Costs related to the development and distribution of information for behaviour change/awareness campaigns across seven jurisdictions ($)</w:t>
            </w:r>
          </w:p>
        </w:tc>
        <w:tc>
          <w:tcPr>
            <w:tcW w:w="957" w:type="pct"/>
            <w:tcBorders>
              <w:top w:val="single" w:sz="8" w:space="0" w:color="D9D9D9"/>
              <w:left w:val="single" w:sz="8" w:space="0" w:color="D9D9D9"/>
              <w:right w:val="single" w:sz="8" w:space="0" w:color="D9D9D9"/>
            </w:tcBorders>
            <w:shd w:val="clear" w:color="auto" w:fill="FFFFFF" w:themeFill="background1"/>
            <w:vAlign w:val="center"/>
          </w:tcPr>
          <w:p w14:paraId="682A40DC" w14:textId="77777777" w:rsidR="00150A13" w:rsidRPr="00150A13" w:rsidRDefault="00150A13" w:rsidP="00167967">
            <w:pPr>
              <w:pStyle w:val="TableBody"/>
              <w:rPr>
                <w:b/>
              </w:rPr>
            </w:pPr>
            <w:r w:rsidRPr="00150A13">
              <w:t>$840,000</w:t>
            </w:r>
            <w:r w:rsidRPr="00150A13">
              <w:rPr>
                <w:vertAlign w:val="superscript"/>
              </w:rPr>
              <w:footnoteReference w:id="62"/>
            </w:r>
          </w:p>
        </w:tc>
        <w:tc>
          <w:tcPr>
            <w:tcW w:w="1609" w:type="pct"/>
            <w:tcBorders>
              <w:top w:val="single" w:sz="8" w:space="0" w:color="D9D9D9"/>
              <w:left w:val="single" w:sz="8" w:space="0" w:color="D9D9D9"/>
              <w:right w:val="single" w:sz="8" w:space="0" w:color="D9D9D9"/>
            </w:tcBorders>
            <w:shd w:val="clear" w:color="auto" w:fill="FFFFFF" w:themeFill="background1"/>
            <w:vAlign w:val="center"/>
          </w:tcPr>
          <w:p w14:paraId="380731AE" w14:textId="77777777" w:rsidR="00150A13" w:rsidRPr="00150A13" w:rsidRDefault="00150A13" w:rsidP="00167967">
            <w:pPr>
              <w:pStyle w:val="TableBody"/>
              <w:jc w:val="center"/>
              <w:rPr>
                <w:b/>
                <w:bCs/>
                <w:color w:val="262626" w:themeColor="text1" w:themeTint="D9"/>
              </w:rPr>
            </w:pPr>
            <w:r w:rsidRPr="00150A13">
              <w:rPr>
                <w:b/>
              </w:rPr>
              <w:t>Cost of behaviour change initiative – roll out across industry sectors</w:t>
            </w:r>
          </w:p>
          <w:p w14:paraId="0709C06C" w14:textId="77777777" w:rsidR="00150A13" w:rsidRPr="00150A13" w:rsidRDefault="00150A13" w:rsidP="00167967">
            <w:pPr>
              <w:pStyle w:val="TableBody"/>
              <w:jc w:val="center"/>
              <w:rPr>
                <w:color w:val="262626" w:themeColor="text1" w:themeTint="D9"/>
              </w:rPr>
            </w:pPr>
            <w:r w:rsidRPr="00150A13">
              <w:t>=</w:t>
            </w:r>
          </w:p>
          <w:p w14:paraId="1C27AB68" w14:textId="77777777" w:rsidR="00150A13" w:rsidRPr="00150A13" w:rsidRDefault="00150A13" w:rsidP="00167967">
            <w:pPr>
              <w:pStyle w:val="TableBody"/>
              <w:jc w:val="center"/>
              <w:rPr>
                <w:color w:val="262626" w:themeColor="text1" w:themeTint="D9"/>
              </w:rPr>
            </w:pPr>
            <w:r w:rsidRPr="00150A13">
              <w:t>Cost to rollout behaviour change initiatives</w:t>
            </w:r>
          </w:p>
          <w:p w14:paraId="38E762CA" w14:textId="77777777" w:rsidR="00150A13" w:rsidRPr="00150A13" w:rsidRDefault="00150A13" w:rsidP="00167967">
            <w:pPr>
              <w:pStyle w:val="TableBody"/>
              <w:jc w:val="center"/>
              <w:rPr>
                <w:color w:val="262626" w:themeColor="text1" w:themeTint="D9"/>
              </w:rPr>
            </w:pPr>
            <w:r w:rsidRPr="00150A13">
              <w:t>x</w:t>
            </w:r>
          </w:p>
          <w:p w14:paraId="1FC5A717" w14:textId="77777777" w:rsidR="00150A13" w:rsidRPr="00150A13" w:rsidRDefault="00150A13" w:rsidP="00167967">
            <w:pPr>
              <w:pStyle w:val="TableBody"/>
              <w:jc w:val="center"/>
              <w:rPr>
                <w:b/>
                <w:color w:val="262626" w:themeColor="text1" w:themeTint="D9"/>
              </w:rPr>
            </w:pPr>
            <w:r w:rsidRPr="00150A13">
              <w:t>Number of jurisdictions</w:t>
            </w:r>
          </w:p>
        </w:tc>
      </w:tr>
      <w:tr w:rsidR="00150A13" w:rsidRPr="00150A13" w14:paraId="259590B9" w14:textId="77777777" w:rsidTr="004C687A">
        <w:trPr>
          <w:trHeight w:val="480"/>
        </w:trPr>
        <w:tc>
          <w:tcPr>
            <w:tcW w:w="5000" w:type="pct"/>
            <w:gridSpan w:val="5"/>
            <w:tcBorders>
              <w:top w:val="single" w:sz="8" w:space="0" w:color="D9D9D9"/>
              <w:left w:val="single" w:sz="8" w:space="0" w:color="D9D9D9"/>
              <w:right w:val="single" w:sz="8" w:space="0" w:color="D9D9D9"/>
            </w:tcBorders>
            <w:shd w:val="clear" w:color="auto" w:fill="BFBFBF" w:themeFill="background1" w:themeFillShade="BF"/>
            <w:tcMar>
              <w:top w:w="72" w:type="dxa"/>
              <w:left w:w="144" w:type="dxa"/>
              <w:bottom w:w="72" w:type="dxa"/>
              <w:right w:w="144" w:type="dxa"/>
            </w:tcMar>
            <w:vAlign w:val="center"/>
          </w:tcPr>
          <w:p w14:paraId="51C8F616" w14:textId="77777777" w:rsidR="00150A13" w:rsidRPr="00150A13" w:rsidRDefault="00150A13" w:rsidP="00167967">
            <w:pPr>
              <w:pStyle w:val="TableHeading"/>
              <w:rPr>
                <w:u w:val="single"/>
              </w:rPr>
            </w:pPr>
            <w:r w:rsidRPr="00150A13">
              <w:t>Option 4</w:t>
            </w:r>
          </w:p>
        </w:tc>
      </w:tr>
      <w:tr w:rsidR="00150A13" w:rsidRPr="00150A13" w14:paraId="5E210641" w14:textId="77777777" w:rsidTr="00547024">
        <w:trPr>
          <w:trHeight w:val="857"/>
        </w:trPr>
        <w:tc>
          <w:tcPr>
            <w:tcW w:w="744" w:type="pct"/>
            <w:vMerge w:val="restart"/>
            <w:tcBorders>
              <w:top w:val="single" w:sz="8" w:space="0" w:color="D9D9D9"/>
              <w:left w:val="single" w:sz="8" w:space="0" w:color="D9D9D9"/>
              <w:right w:val="single" w:sz="8" w:space="0" w:color="D9D9D9"/>
            </w:tcBorders>
            <w:shd w:val="clear" w:color="auto" w:fill="F2F2F2" w:themeFill="background1" w:themeFillShade="F2"/>
            <w:tcMar>
              <w:top w:w="72" w:type="dxa"/>
              <w:left w:w="144" w:type="dxa"/>
              <w:bottom w:w="72" w:type="dxa"/>
              <w:right w:w="144" w:type="dxa"/>
            </w:tcMar>
            <w:vAlign w:val="center"/>
          </w:tcPr>
          <w:p w14:paraId="75DDBDCE" w14:textId="77777777" w:rsidR="00150A13" w:rsidRPr="00167967" w:rsidRDefault="00150A13" w:rsidP="00167967">
            <w:pPr>
              <w:pStyle w:val="TableBody"/>
              <w:rPr>
                <w:rFonts w:eastAsia="Times New Roman"/>
                <w:i/>
              </w:rPr>
            </w:pPr>
            <w:bookmarkStart w:id="715" w:name="_Hlk103771175"/>
            <w:r w:rsidRPr="00167967">
              <w:rPr>
                <w:i/>
              </w:rPr>
              <w:t>Development, implementation, and maintenance of a system for administration of licensing framework</w:t>
            </w:r>
            <w:bookmarkEnd w:id="715"/>
          </w:p>
        </w:tc>
        <w:tc>
          <w:tcPr>
            <w:tcW w:w="867" w:type="pct"/>
            <w:vMerge w:val="restart"/>
            <w:tcBorders>
              <w:top w:val="single" w:sz="8" w:space="0" w:color="D9D9D9"/>
              <w:left w:val="single" w:sz="8" w:space="0" w:color="D9D9D9"/>
              <w:right w:val="single" w:sz="8" w:space="0" w:color="D9D9D9"/>
            </w:tcBorders>
            <w:shd w:val="clear" w:color="auto" w:fill="FFFFFF" w:themeFill="background1"/>
          </w:tcPr>
          <w:p w14:paraId="56C7754E" w14:textId="77777777" w:rsidR="00150A13" w:rsidRPr="00150A13" w:rsidRDefault="00150A13" w:rsidP="00167967">
            <w:pPr>
              <w:pStyle w:val="TableBody"/>
            </w:pPr>
            <w:r w:rsidRPr="00150A13">
              <w:t xml:space="preserve">Cost of developing a licensing platform(s) and implementation across in each jurisdiction. </w:t>
            </w:r>
            <w:r w:rsidRPr="00150A13">
              <w:br/>
            </w:r>
          </w:p>
        </w:tc>
        <w:tc>
          <w:tcPr>
            <w:tcW w:w="82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3CEC19B6" w14:textId="77777777" w:rsidR="00150A13" w:rsidRPr="00150A13" w:rsidRDefault="00150A13" w:rsidP="00167967">
            <w:pPr>
              <w:pStyle w:val="TableBody"/>
              <w:rPr>
                <w:b/>
              </w:rPr>
            </w:pPr>
            <w:r w:rsidRPr="00150A13">
              <w:t>Cost of developing of a licensing platform(s)</w:t>
            </w:r>
          </w:p>
        </w:tc>
        <w:tc>
          <w:tcPr>
            <w:tcW w:w="957"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48A335EE" w14:textId="77777777" w:rsidR="00150A13" w:rsidRPr="00150A13" w:rsidRDefault="00150A13" w:rsidP="00167967">
            <w:pPr>
              <w:pStyle w:val="TableBody"/>
              <w:rPr>
                <w:rFonts w:eastAsia="Times New Roman"/>
                <w:b/>
              </w:rPr>
            </w:pPr>
            <w:r w:rsidRPr="00150A13">
              <w:rPr>
                <w:rFonts w:eastAsia="Times New Roman"/>
              </w:rPr>
              <w:t>$750,000</w:t>
            </w:r>
            <w:r w:rsidRPr="00150A13">
              <w:rPr>
                <w:rFonts w:ascii="EYInterstate Light" w:eastAsia="Times New Roman" w:hAnsi="EYInterstate Light" w:cs="Times New Roman"/>
                <w:sz w:val="20"/>
                <w:szCs w:val="24"/>
              </w:rPr>
              <w:t xml:space="preserve"> </w:t>
            </w:r>
            <w:r w:rsidRPr="00150A13">
              <w:rPr>
                <w:rFonts w:eastAsia="Times New Roman"/>
              </w:rPr>
              <w:fldChar w:fldCharType="begin"/>
            </w:r>
            <w:r w:rsidRPr="00150A13">
              <w:rPr>
                <w:rFonts w:eastAsia="Times New Roman"/>
              </w:rPr>
              <w:instrText xml:space="preserve"> ADDIN ZOTERO_ITEM CSL_CITATION {"citationID":"kJ6OfcGu","properties":{"formattedCitation":"(Deloitte 2021)","plainCitation":"(Deloitte 2021)","noteIndex":0},"citationItems":[{"id":917,"uris":["http://zotero.org/users/6230888/items/DDIZNKBY"],"itemData":{"id":917,"type":"article-journal","language":"en","page":"75","source":"Zotero","title":"Occupational Health and Safety Amendment (Crystalline Silica) Regulations 2021","author":[{"literal":"Deloitte"}],"issued":{"date-parts":[["2021"]]}}}],"schema":"https://github.com/citation-style-language/schema/raw/master/csl-citation.json"} </w:instrText>
            </w:r>
            <w:r w:rsidRPr="00150A13">
              <w:rPr>
                <w:rFonts w:eastAsia="Times New Roman"/>
              </w:rPr>
              <w:fldChar w:fldCharType="separate"/>
            </w:r>
            <w:r w:rsidRPr="00150A13">
              <w:rPr>
                <w:rFonts w:ascii="Calibri" w:eastAsia="Times New Roman" w:hAnsi="Calibri" w:cs="Calibri"/>
                <w:szCs w:val="24"/>
              </w:rPr>
              <w:t>(Deloitte 2021)</w:t>
            </w:r>
            <w:r w:rsidRPr="00150A13">
              <w:rPr>
                <w:rFonts w:eastAsia="Times New Roman"/>
              </w:rPr>
              <w:fldChar w:fldCharType="end"/>
            </w:r>
          </w:p>
        </w:tc>
        <w:tc>
          <w:tcPr>
            <w:tcW w:w="1609" w:type="pct"/>
            <w:vMerge w:val="restart"/>
            <w:tcBorders>
              <w:top w:val="single" w:sz="8" w:space="0" w:color="D9D9D9"/>
              <w:left w:val="single" w:sz="8" w:space="0" w:color="D9D9D9"/>
              <w:right w:val="single" w:sz="8" w:space="0" w:color="D9D9D9"/>
            </w:tcBorders>
            <w:shd w:val="clear" w:color="auto" w:fill="FFFFFF" w:themeFill="background1"/>
            <w:vAlign w:val="center"/>
          </w:tcPr>
          <w:p w14:paraId="3858CAFF" w14:textId="28AB631F" w:rsidR="00150A13" w:rsidRPr="00167967" w:rsidRDefault="00150A13" w:rsidP="00167967">
            <w:pPr>
              <w:pStyle w:val="TableBody"/>
              <w:jc w:val="center"/>
              <w:rPr>
                <w:b/>
              </w:rPr>
            </w:pPr>
            <w:r w:rsidRPr="00167967">
              <w:rPr>
                <w:b/>
              </w:rPr>
              <w:t>Cost of developing of a licensing platform</w:t>
            </w:r>
          </w:p>
          <w:p w14:paraId="417062D1" w14:textId="77777777" w:rsidR="00150A13" w:rsidRPr="00150A13" w:rsidRDefault="00150A13" w:rsidP="00167967">
            <w:pPr>
              <w:pStyle w:val="TableBody"/>
              <w:jc w:val="center"/>
              <w:rPr>
                <w:color w:val="262626" w:themeColor="text1" w:themeTint="D9"/>
              </w:rPr>
            </w:pPr>
            <w:r w:rsidRPr="00150A13">
              <w:t>=</w:t>
            </w:r>
          </w:p>
          <w:p w14:paraId="0F8BBF06" w14:textId="77777777" w:rsidR="00150A13" w:rsidRPr="00150A13" w:rsidRDefault="00150A13" w:rsidP="00167967">
            <w:pPr>
              <w:pStyle w:val="TableBody"/>
              <w:jc w:val="center"/>
              <w:rPr>
                <w:color w:val="262626" w:themeColor="text1" w:themeTint="D9"/>
              </w:rPr>
            </w:pPr>
            <w:r w:rsidRPr="00150A13">
              <w:t>Cost to acquire online licensing portal</w:t>
            </w:r>
          </w:p>
          <w:p w14:paraId="7F2C0D83" w14:textId="77777777" w:rsidR="00150A13" w:rsidRPr="00150A13" w:rsidRDefault="00150A13" w:rsidP="00167967">
            <w:pPr>
              <w:pStyle w:val="TableBody"/>
              <w:jc w:val="center"/>
              <w:rPr>
                <w:color w:val="262626" w:themeColor="text1" w:themeTint="D9"/>
              </w:rPr>
            </w:pPr>
            <w:r w:rsidRPr="00150A13">
              <w:t>×</w:t>
            </w:r>
          </w:p>
          <w:p w14:paraId="580F4D9B" w14:textId="77777777" w:rsidR="00150A13" w:rsidRPr="00150A13" w:rsidRDefault="00150A13" w:rsidP="00167967">
            <w:pPr>
              <w:pStyle w:val="TableBody"/>
              <w:jc w:val="center"/>
              <w:rPr>
                <w:color w:val="262626" w:themeColor="text1" w:themeTint="D9"/>
                <w:u w:val="single"/>
              </w:rPr>
            </w:pPr>
            <w:r w:rsidRPr="00150A13">
              <w:t>Number of jurisdictions (excluding Victoria)</w:t>
            </w:r>
          </w:p>
        </w:tc>
      </w:tr>
      <w:tr w:rsidR="00150A13" w:rsidRPr="00150A13" w14:paraId="1908029F" w14:textId="77777777" w:rsidTr="00810EC8">
        <w:trPr>
          <w:trHeight w:val="893"/>
        </w:trPr>
        <w:tc>
          <w:tcPr>
            <w:tcW w:w="744"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33F9C860" w14:textId="77777777" w:rsidR="00150A13" w:rsidRPr="00150A13" w:rsidRDefault="00150A13" w:rsidP="00167967">
            <w:pPr>
              <w:pStyle w:val="TableBody"/>
              <w:rPr>
                <w:rFonts w:eastAsia="Times New Roman"/>
                <w:i/>
              </w:rPr>
            </w:pPr>
          </w:p>
        </w:tc>
        <w:tc>
          <w:tcPr>
            <w:tcW w:w="867" w:type="pct"/>
            <w:vMerge/>
            <w:tcBorders>
              <w:left w:val="single" w:sz="8" w:space="0" w:color="D9D9D9"/>
              <w:right w:val="single" w:sz="8" w:space="0" w:color="D9D9D9"/>
            </w:tcBorders>
            <w:shd w:val="clear" w:color="auto" w:fill="FFFFFF" w:themeFill="background1"/>
          </w:tcPr>
          <w:p w14:paraId="1088DFC6" w14:textId="77777777" w:rsidR="00150A13" w:rsidRPr="00150A13" w:rsidRDefault="00150A13" w:rsidP="00167967">
            <w:pPr>
              <w:pStyle w:val="TableBody"/>
            </w:pPr>
          </w:p>
        </w:tc>
        <w:tc>
          <w:tcPr>
            <w:tcW w:w="823" w:type="pct"/>
            <w:tcBorders>
              <w:top w:val="single" w:sz="8" w:space="0" w:color="D9D9D9"/>
              <w:left w:val="single" w:sz="8" w:space="0" w:color="D9D9D9"/>
              <w:right w:val="single" w:sz="8" w:space="0" w:color="D9D9D9"/>
            </w:tcBorders>
            <w:shd w:val="clear" w:color="auto" w:fill="FFFFFF" w:themeFill="background1"/>
          </w:tcPr>
          <w:p w14:paraId="6DFD5AAF" w14:textId="77777777" w:rsidR="00150A13" w:rsidRPr="00150A13" w:rsidRDefault="00150A13" w:rsidP="00167967">
            <w:pPr>
              <w:pStyle w:val="TableBody"/>
              <w:rPr>
                <w:b/>
              </w:rPr>
            </w:pPr>
            <w:r w:rsidRPr="00150A13">
              <w:t>Number of jurisdictions (excluding Victoria) (#)</w:t>
            </w:r>
          </w:p>
        </w:tc>
        <w:tc>
          <w:tcPr>
            <w:tcW w:w="957" w:type="pct"/>
            <w:tcBorders>
              <w:top w:val="single" w:sz="8" w:space="0" w:color="D9D9D9"/>
              <w:left w:val="single" w:sz="8" w:space="0" w:color="D9D9D9"/>
              <w:right w:val="single" w:sz="8" w:space="0" w:color="D9D9D9"/>
            </w:tcBorders>
            <w:shd w:val="clear" w:color="auto" w:fill="FFFFFF" w:themeFill="background1"/>
            <w:vAlign w:val="center"/>
          </w:tcPr>
          <w:p w14:paraId="2B8CEEC6" w14:textId="77777777" w:rsidR="00150A13" w:rsidRPr="00150A13" w:rsidRDefault="00150A13" w:rsidP="00167967">
            <w:pPr>
              <w:pStyle w:val="TableBody"/>
              <w:rPr>
                <w:rFonts w:eastAsia="Times New Roman"/>
                <w:b/>
              </w:rPr>
            </w:pPr>
            <w:r w:rsidRPr="00150A13">
              <w:rPr>
                <w:rFonts w:eastAsia="Times New Roman"/>
              </w:rPr>
              <w:t>7</w:t>
            </w:r>
            <w:r w:rsidRPr="00150A13">
              <w:rPr>
                <w:rFonts w:eastAsia="Times New Roman"/>
                <w:vertAlign w:val="superscript"/>
              </w:rPr>
              <w:footnoteReference w:id="63"/>
            </w:r>
          </w:p>
        </w:tc>
        <w:tc>
          <w:tcPr>
            <w:tcW w:w="1609" w:type="pct"/>
            <w:vMerge/>
            <w:tcBorders>
              <w:left w:val="single" w:sz="8" w:space="0" w:color="D9D9D9"/>
              <w:right w:val="single" w:sz="8" w:space="0" w:color="D9D9D9"/>
            </w:tcBorders>
            <w:shd w:val="clear" w:color="auto" w:fill="FFFFFF" w:themeFill="background1"/>
            <w:vAlign w:val="center"/>
          </w:tcPr>
          <w:p w14:paraId="58B0FDDE" w14:textId="77777777" w:rsidR="00150A13" w:rsidRPr="00150A13" w:rsidRDefault="00150A13" w:rsidP="00150A13">
            <w:pPr>
              <w:spacing w:after="240" w:line="264" w:lineRule="auto"/>
              <w:ind w:right="269"/>
              <w:contextualSpacing/>
              <w:jc w:val="center"/>
              <w:rPr>
                <w:rFonts w:eastAsia="Times New Roman" w:cstheme="minorHAnsi"/>
                <w:b/>
                <w:bCs/>
                <w:sz w:val="18"/>
                <w:szCs w:val="18"/>
              </w:rPr>
            </w:pPr>
          </w:p>
        </w:tc>
      </w:tr>
      <w:tr w:rsidR="00150A13" w:rsidRPr="00150A13" w14:paraId="5BE66D11" w14:textId="77777777" w:rsidTr="00810EC8">
        <w:trPr>
          <w:trHeight w:val="707"/>
        </w:trPr>
        <w:tc>
          <w:tcPr>
            <w:tcW w:w="744" w:type="pct"/>
            <w:vMerge w:val="restart"/>
            <w:tcBorders>
              <w:top w:val="single" w:sz="8" w:space="0" w:color="D9D9D9"/>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6359407D" w14:textId="77777777" w:rsidR="00150A13" w:rsidRPr="00167967" w:rsidRDefault="00150A13" w:rsidP="00167967">
            <w:pPr>
              <w:pStyle w:val="TableBody"/>
              <w:rPr>
                <w:i/>
                <w:color w:val="262626" w:themeColor="text1" w:themeTint="D9"/>
              </w:rPr>
            </w:pPr>
            <w:r w:rsidRPr="00167967">
              <w:rPr>
                <w:i/>
              </w:rPr>
              <w:t>Implementation and processing of licences</w:t>
            </w:r>
          </w:p>
        </w:tc>
        <w:tc>
          <w:tcPr>
            <w:tcW w:w="867" w:type="pct"/>
            <w:vMerge w:val="restart"/>
            <w:tcBorders>
              <w:top w:val="single" w:sz="8" w:space="0" w:color="D9D9D9"/>
              <w:left w:val="single" w:sz="8" w:space="0" w:color="D9D9D9"/>
              <w:right w:val="single" w:sz="8" w:space="0" w:color="D9D9D9"/>
            </w:tcBorders>
            <w:shd w:val="clear" w:color="auto" w:fill="FFFFFF" w:themeFill="background1"/>
          </w:tcPr>
          <w:p w14:paraId="720BD41F" w14:textId="77777777" w:rsidR="00150A13" w:rsidRPr="00150A13" w:rsidRDefault="00150A13" w:rsidP="00167967">
            <w:pPr>
              <w:pStyle w:val="TableBody"/>
            </w:pPr>
            <w:r w:rsidRPr="00150A13">
              <w:rPr>
                <w:color w:val="262626" w:themeColor="text1" w:themeTint="D9"/>
              </w:rPr>
              <w:t>Labour to implement licensing software and assess licence applications</w:t>
            </w:r>
          </w:p>
        </w:tc>
        <w:tc>
          <w:tcPr>
            <w:tcW w:w="823" w:type="pct"/>
            <w:tcBorders>
              <w:top w:val="single" w:sz="8" w:space="0" w:color="D9D9D9"/>
              <w:left w:val="single" w:sz="8" w:space="0" w:color="D9D9D9"/>
              <w:bottom w:val="single" w:sz="8" w:space="0" w:color="D9D9D9"/>
              <w:right w:val="single" w:sz="8" w:space="0" w:color="D9D9D9"/>
            </w:tcBorders>
            <w:shd w:val="clear" w:color="auto" w:fill="FFFFFF" w:themeFill="background1"/>
          </w:tcPr>
          <w:p w14:paraId="4AD5ABDD" w14:textId="77777777" w:rsidR="00150A13" w:rsidRPr="00150A13" w:rsidRDefault="00150A13" w:rsidP="00167967">
            <w:pPr>
              <w:pStyle w:val="TableBody"/>
              <w:rPr>
                <w:b/>
                <w:color w:val="262626" w:themeColor="text1" w:themeTint="D9"/>
              </w:rPr>
            </w:pPr>
            <w:r w:rsidRPr="00150A13">
              <w:t>Number of workers to implement licensing and assess applications (#)</w:t>
            </w:r>
          </w:p>
        </w:tc>
        <w:tc>
          <w:tcPr>
            <w:tcW w:w="957"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022F07D8" w14:textId="77777777" w:rsidR="00150A13" w:rsidRPr="00150A13" w:rsidRDefault="00150A13" w:rsidP="00167967">
            <w:pPr>
              <w:pStyle w:val="TableBody"/>
              <w:rPr>
                <w:b/>
              </w:rPr>
            </w:pPr>
            <w:r w:rsidRPr="00150A13">
              <w:t>1</w:t>
            </w:r>
            <w:r w:rsidRPr="00150A13">
              <w:rPr>
                <w:rFonts w:ascii="EYInterstate Light" w:eastAsia="Times New Roman" w:hAnsi="EYInterstate Light" w:cs="Times New Roman"/>
                <w:sz w:val="20"/>
                <w:szCs w:val="24"/>
                <w:vertAlign w:val="superscript"/>
              </w:rPr>
              <w:t xml:space="preserve"> </w:t>
            </w:r>
            <w:r w:rsidRPr="00150A13">
              <w:fldChar w:fldCharType="begin"/>
            </w:r>
            <w:r w:rsidRPr="00150A13">
              <w:instrText xml:space="preserve"> ADDIN ZOTERO_ITEM CSL_CITATION {"citationID":"ButccgeU","properties":{"formattedCitation":"(Deloitte 2021)","plainCitation":"(Deloitte 2021)","noteIndex":0},"citationItems":[{"id":917,"uris":["http://zotero.org/users/6230888/items/DDIZNKBY"],"itemData":{"id":917,"type":"article-journal","language":"en","page":"75","source":"Zotero","title":"Occupational Health and Safety Amendment (Crystalline Silica) Regulations 2021","author":[{"literal":"Deloitte"}],"issued":{"date-parts":[["2021"]]}}}],"schema":"https://github.com/citation-style-language/schema/raw/master/csl-citation.json"} </w:instrText>
            </w:r>
            <w:r w:rsidRPr="00150A13">
              <w:fldChar w:fldCharType="separate"/>
            </w:r>
            <w:r w:rsidRPr="00150A13">
              <w:rPr>
                <w:rFonts w:ascii="Calibri" w:hAnsi="Calibri" w:cs="Calibri"/>
                <w:szCs w:val="24"/>
              </w:rPr>
              <w:t>(Deloitte 2021)</w:t>
            </w:r>
            <w:r w:rsidRPr="00150A13">
              <w:fldChar w:fldCharType="end"/>
            </w:r>
          </w:p>
        </w:tc>
        <w:tc>
          <w:tcPr>
            <w:tcW w:w="1609" w:type="pct"/>
            <w:vMerge w:val="restart"/>
            <w:tcBorders>
              <w:top w:val="single" w:sz="8" w:space="0" w:color="D9D9D9"/>
              <w:left w:val="single" w:sz="8" w:space="0" w:color="D9D9D9"/>
              <w:right w:val="single" w:sz="8" w:space="0" w:color="D9D9D9"/>
            </w:tcBorders>
            <w:shd w:val="clear" w:color="auto" w:fill="FFFFFF" w:themeFill="background1"/>
            <w:vAlign w:val="center"/>
          </w:tcPr>
          <w:p w14:paraId="614C92AD" w14:textId="77777777" w:rsidR="00150A13" w:rsidRPr="00167967" w:rsidRDefault="00150A13" w:rsidP="00167967">
            <w:pPr>
              <w:pStyle w:val="TableBody"/>
              <w:jc w:val="center"/>
              <w:rPr>
                <w:b/>
                <w:bCs/>
                <w:color w:val="262626" w:themeColor="text1" w:themeTint="D9"/>
              </w:rPr>
            </w:pPr>
            <w:r w:rsidRPr="00167967">
              <w:rPr>
                <w:b/>
              </w:rPr>
              <w:t>Cost to implement licence software and process applications</w:t>
            </w:r>
          </w:p>
          <w:p w14:paraId="51A3F34E" w14:textId="77777777" w:rsidR="00150A13" w:rsidRPr="00150A13" w:rsidRDefault="00150A13" w:rsidP="00167967">
            <w:pPr>
              <w:pStyle w:val="TableBody"/>
              <w:jc w:val="center"/>
              <w:rPr>
                <w:color w:val="262626" w:themeColor="text1" w:themeTint="D9"/>
              </w:rPr>
            </w:pPr>
            <w:r w:rsidRPr="00150A13">
              <w:t>=</w:t>
            </w:r>
          </w:p>
          <w:p w14:paraId="19B9DCDE" w14:textId="77777777" w:rsidR="00150A13" w:rsidRPr="00150A13" w:rsidRDefault="00150A13" w:rsidP="00167967">
            <w:pPr>
              <w:pStyle w:val="TableBody"/>
              <w:jc w:val="center"/>
              <w:rPr>
                <w:color w:val="262626" w:themeColor="text1" w:themeTint="D9"/>
              </w:rPr>
            </w:pPr>
            <w:r w:rsidRPr="00150A13">
              <w:t>Number of workers to implement licensing and assess applications</w:t>
            </w:r>
          </w:p>
          <w:p w14:paraId="0A5AE8D9" w14:textId="77777777" w:rsidR="00150A13" w:rsidRPr="00150A13" w:rsidRDefault="00150A13" w:rsidP="00167967">
            <w:pPr>
              <w:pStyle w:val="TableBody"/>
              <w:jc w:val="center"/>
              <w:rPr>
                <w:color w:val="262626" w:themeColor="text1" w:themeTint="D9"/>
              </w:rPr>
            </w:pPr>
            <w:r w:rsidRPr="00150A13">
              <w:t>×</w:t>
            </w:r>
          </w:p>
          <w:p w14:paraId="5CA38926" w14:textId="77777777" w:rsidR="00150A13" w:rsidRPr="00150A13" w:rsidRDefault="00150A13" w:rsidP="00167967">
            <w:pPr>
              <w:pStyle w:val="TableBody"/>
              <w:jc w:val="center"/>
              <w:rPr>
                <w:color w:val="262626" w:themeColor="text1" w:themeTint="D9"/>
              </w:rPr>
            </w:pPr>
            <w:r w:rsidRPr="00150A13">
              <w:t xml:space="preserve">Labour cost to implement </w:t>
            </w:r>
            <w:r w:rsidRPr="00150A13">
              <w:rPr>
                <w:rFonts w:eastAsia="Times New Roman" w:cstheme="minorHAnsi"/>
                <w:szCs w:val="18"/>
              </w:rPr>
              <w:t>licensing and assess applications</w:t>
            </w:r>
          </w:p>
          <w:p w14:paraId="08D1591D" w14:textId="77777777" w:rsidR="00150A13" w:rsidRPr="00150A13" w:rsidRDefault="00150A13" w:rsidP="00167967">
            <w:pPr>
              <w:pStyle w:val="TableBody"/>
              <w:jc w:val="center"/>
              <w:rPr>
                <w:color w:val="262626" w:themeColor="text1" w:themeTint="D9"/>
              </w:rPr>
            </w:pPr>
            <w:r w:rsidRPr="00150A13">
              <w:t>×</w:t>
            </w:r>
          </w:p>
          <w:p w14:paraId="62546CFF" w14:textId="77777777" w:rsidR="00150A13" w:rsidRPr="00150A13" w:rsidRDefault="00150A13" w:rsidP="00167967">
            <w:pPr>
              <w:pStyle w:val="TableBody"/>
              <w:jc w:val="center"/>
              <w:rPr>
                <w:color w:val="262626" w:themeColor="text1" w:themeTint="D9"/>
                <w:u w:val="single"/>
              </w:rPr>
            </w:pPr>
            <w:r w:rsidRPr="00150A13">
              <w:t>Number of jurisdictions</w:t>
            </w:r>
          </w:p>
        </w:tc>
      </w:tr>
      <w:tr w:rsidR="00150A13" w:rsidRPr="00150A13" w14:paraId="5B182359" w14:textId="77777777" w:rsidTr="004C687A">
        <w:trPr>
          <w:trHeight w:val="560"/>
        </w:trPr>
        <w:tc>
          <w:tcPr>
            <w:tcW w:w="744"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31F31DBD" w14:textId="77777777" w:rsidR="00150A13" w:rsidRPr="00150A13" w:rsidRDefault="00150A13" w:rsidP="00167967">
            <w:pPr>
              <w:pStyle w:val="TableBody"/>
            </w:pPr>
          </w:p>
        </w:tc>
        <w:tc>
          <w:tcPr>
            <w:tcW w:w="867" w:type="pct"/>
            <w:vMerge/>
            <w:tcBorders>
              <w:left w:val="single" w:sz="8" w:space="0" w:color="D9D9D9"/>
              <w:right w:val="single" w:sz="8" w:space="0" w:color="D9D9D9"/>
            </w:tcBorders>
            <w:shd w:val="clear" w:color="auto" w:fill="FFFFFF" w:themeFill="background1"/>
          </w:tcPr>
          <w:p w14:paraId="56C8991A" w14:textId="77777777" w:rsidR="00150A13" w:rsidRPr="00150A13" w:rsidRDefault="00150A13" w:rsidP="00167967">
            <w:pPr>
              <w:pStyle w:val="TableBody"/>
            </w:pPr>
          </w:p>
        </w:tc>
        <w:tc>
          <w:tcPr>
            <w:tcW w:w="823" w:type="pct"/>
            <w:tcBorders>
              <w:top w:val="single" w:sz="8" w:space="0" w:color="D9D9D9"/>
              <w:left w:val="single" w:sz="8" w:space="0" w:color="D9D9D9"/>
              <w:bottom w:val="single" w:sz="8" w:space="0" w:color="D9D9D9"/>
              <w:right w:val="single" w:sz="8" w:space="0" w:color="D9D9D9"/>
            </w:tcBorders>
            <w:shd w:val="clear" w:color="auto" w:fill="FFFFFF" w:themeFill="background1"/>
          </w:tcPr>
          <w:p w14:paraId="68A6522F" w14:textId="77777777" w:rsidR="00150A13" w:rsidRPr="00150A13" w:rsidRDefault="00150A13" w:rsidP="00167967">
            <w:pPr>
              <w:pStyle w:val="TableBody"/>
              <w:rPr>
                <w:b/>
                <w:color w:val="262626" w:themeColor="text1" w:themeTint="D9"/>
              </w:rPr>
            </w:pPr>
            <w:r w:rsidRPr="00150A13">
              <w:t>Labour per year to implement licensing and assess applications ($/year)</w:t>
            </w:r>
          </w:p>
        </w:tc>
        <w:tc>
          <w:tcPr>
            <w:tcW w:w="957"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4FABC9D0" w14:textId="57900166" w:rsidR="00150A13" w:rsidRPr="00150A13" w:rsidRDefault="00150A13" w:rsidP="00167967">
            <w:pPr>
              <w:pStyle w:val="TableBody"/>
              <w:rPr>
                <w:b/>
              </w:rPr>
            </w:pPr>
            <w:r w:rsidRPr="00150A13">
              <w:t xml:space="preserve">Refer to </w:t>
            </w:r>
            <w:r w:rsidRPr="00150A13">
              <w:fldChar w:fldCharType="begin"/>
            </w:r>
            <w:r w:rsidRPr="00150A13">
              <w:instrText xml:space="preserve"> REF _Ref124836380 \h  \* MERGEFORMAT </w:instrText>
            </w:r>
            <w:r w:rsidRPr="00150A13">
              <w:fldChar w:fldCharType="separate"/>
            </w:r>
            <w:r w:rsidR="00DF768D" w:rsidRPr="00150A13">
              <w:t xml:space="preserve">Table </w:t>
            </w:r>
            <w:r w:rsidR="00DF768D" w:rsidRPr="00DF768D">
              <w:t>40</w:t>
            </w:r>
            <w:r w:rsidRPr="00150A13">
              <w:fldChar w:fldCharType="end"/>
            </w:r>
          </w:p>
        </w:tc>
        <w:tc>
          <w:tcPr>
            <w:tcW w:w="1609" w:type="pct"/>
            <w:vMerge/>
            <w:tcBorders>
              <w:left w:val="single" w:sz="8" w:space="0" w:color="D9D9D9"/>
              <w:right w:val="single" w:sz="8" w:space="0" w:color="D9D9D9"/>
            </w:tcBorders>
            <w:shd w:val="clear" w:color="auto" w:fill="FFFFFF" w:themeFill="background1"/>
            <w:vAlign w:val="center"/>
          </w:tcPr>
          <w:p w14:paraId="0C6A0A41" w14:textId="77777777" w:rsidR="00150A13" w:rsidRPr="00150A13" w:rsidRDefault="00150A13" w:rsidP="00150A13">
            <w:pPr>
              <w:spacing w:after="240" w:line="264" w:lineRule="auto"/>
              <w:ind w:right="269"/>
              <w:contextualSpacing/>
              <w:jc w:val="center"/>
              <w:rPr>
                <w:rFonts w:eastAsia="Times New Roman" w:cstheme="minorHAnsi"/>
                <w:b/>
                <w:bCs/>
                <w:sz w:val="18"/>
                <w:szCs w:val="18"/>
              </w:rPr>
            </w:pPr>
          </w:p>
        </w:tc>
      </w:tr>
      <w:tr w:rsidR="00150A13" w:rsidRPr="00150A13" w14:paraId="34397703" w14:textId="77777777" w:rsidTr="004C687A">
        <w:trPr>
          <w:trHeight w:val="560"/>
        </w:trPr>
        <w:tc>
          <w:tcPr>
            <w:tcW w:w="744" w:type="pct"/>
            <w:vMerge/>
            <w:tcBorders>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4810EEF7" w14:textId="77777777" w:rsidR="00150A13" w:rsidRPr="00150A13" w:rsidRDefault="00150A13" w:rsidP="00167967">
            <w:pPr>
              <w:pStyle w:val="TableBody"/>
            </w:pPr>
          </w:p>
        </w:tc>
        <w:tc>
          <w:tcPr>
            <w:tcW w:w="867" w:type="pct"/>
            <w:vMerge/>
            <w:tcBorders>
              <w:left w:val="single" w:sz="8" w:space="0" w:color="D9D9D9"/>
              <w:bottom w:val="single" w:sz="8" w:space="0" w:color="D9D9D9"/>
              <w:right w:val="single" w:sz="8" w:space="0" w:color="D9D9D9"/>
            </w:tcBorders>
            <w:shd w:val="clear" w:color="auto" w:fill="FFFFFF" w:themeFill="background1"/>
          </w:tcPr>
          <w:p w14:paraId="4CAC4735" w14:textId="77777777" w:rsidR="00150A13" w:rsidRPr="00150A13" w:rsidRDefault="00150A13" w:rsidP="00167967">
            <w:pPr>
              <w:pStyle w:val="TableBody"/>
            </w:pPr>
          </w:p>
        </w:tc>
        <w:tc>
          <w:tcPr>
            <w:tcW w:w="823" w:type="pct"/>
            <w:tcBorders>
              <w:top w:val="single" w:sz="8" w:space="0" w:color="D9D9D9"/>
              <w:left w:val="single" w:sz="8" w:space="0" w:color="D9D9D9"/>
              <w:bottom w:val="single" w:sz="8" w:space="0" w:color="D9D9D9"/>
              <w:right w:val="single" w:sz="8" w:space="0" w:color="D9D9D9"/>
            </w:tcBorders>
            <w:shd w:val="clear" w:color="auto" w:fill="FFFFFF" w:themeFill="background1"/>
          </w:tcPr>
          <w:p w14:paraId="08348F0E" w14:textId="77777777" w:rsidR="00150A13" w:rsidRPr="00150A13" w:rsidRDefault="00150A13" w:rsidP="00167967">
            <w:pPr>
              <w:pStyle w:val="TableBody"/>
              <w:rPr>
                <w:b/>
                <w:color w:val="262626" w:themeColor="text1" w:themeTint="D9"/>
              </w:rPr>
            </w:pPr>
            <w:r w:rsidRPr="00150A13">
              <w:rPr>
                <w:color w:val="262626" w:themeColor="text1" w:themeTint="D9"/>
              </w:rPr>
              <w:t>Number of jurisdictions (excluding Victoria) (#)</w:t>
            </w:r>
          </w:p>
        </w:tc>
        <w:tc>
          <w:tcPr>
            <w:tcW w:w="957"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6360B48C" w14:textId="77777777" w:rsidR="00150A13" w:rsidRPr="00150A13" w:rsidRDefault="00150A13" w:rsidP="00167967">
            <w:pPr>
              <w:pStyle w:val="TableBody"/>
              <w:rPr>
                <w:b/>
              </w:rPr>
            </w:pPr>
            <w:r w:rsidRPr="00150A13">
              <w:t>7</w:t>
            </w:r>
            <w:r w:rsidRPr="00150A13">
              <w:rPr>
                <w:vertAlign w:val="superscript"/>
              </w:rPr>
              <w:footnoteReference w:id="64"/>
            </w:r>
          </w:p>
        </w:tc>
        <w:tc>
          <w:tcPr>
            <w:tcW w:w="1609" w:type="pct"/>
            <w:vMerge/>
            <w:tcBorders>
              <w:left w:val="single" w:sz="8" w:space="0" w:color="D9D9D9"/>
              <w:bottom w:val="single" w:sz="8" w:space="0" w:color="D9D9D9"/>
              <w:right w:val="single" w:sz="8" w:space="0" w:color="D9D9D9"/>
            </w:tcBorders>
            <w:shd w:val="clear" w:color="auto" w:fill="FFFFFF" w:themeFill="background1"/>
            <w:vAlign w:val="center"/>
          </w:tcPr>
          <w:p w14:paraId="0FFB3C00" w14:textId="77777777" w:rsidR="00150A13" w:rsidRPr="00150A13" w:rsidRDefault="00150A13" w:rsidP="00150A13">
            <w:pPr>
              <w:spacing w:after="240" w:line="264" w:lineRule="auto"/>
              <w:ind w:right="269"/>
              <w:contextualSpacing/>
              <w:jc w:val="center"/>
              <w:rPr>
                <w:rFonts w:eastAsia="Times New Roman" w:cstheme="minorHAnsi"/>
                <w:b/>
                <w:bCs/>
                <w:sz w:val="18"/>
                <w:szCs w:val="18"/>
              </w:rPr>
            </w:pPr>
          </w:p>
        </w:tc>
      </w:tr>
      <w:tr w:rsidR="00150A13" w:rsidRPr="00150A13" w14:paraId="1696BCCD" w14:textId="77777777" w:rsidTr="004C687A">
        <w:trPr>
          <w:trHeight w:val="560"/>
        </w:trPr>
        <w:tc>
          <w:tcPr>
            <w:tcW w:w="744" w:type="pct"/>
            <w:vMerge w:val="restart"/>
            <w:tcBorders>
              <w:top w:val="single" w:sz="8" w:space="0" w:color="D9D9D9"/>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1B976B9C" w14:textId="07BE1EAA" w:rsidR="00150A13" w:rsidRPr="00167967" w:rsidRDefault="00150A13" w:rsidP="00167967">
            <w:pPr>
              <w:pStyle w:val="TableBody"/>
              <w:rPr>
                <w:i/>
                <w:color w:val="262626" w:themeColor="text1" w:themeTint="D9"/>
              </w:rPr>
            </w:pPr>
            <w:r w:rsidRPr="00167967">
              <w:rPr>
                <w:i/>
              </w:rPr>
              <w:lastRenderedPageBreak/>
              <w:t>Prepare and conduct compliance audits</w:t>
            </w:r>
          </w:p>
        </w:tc>
        <w:tc>
          <w:tcPr>
            <w:tcW w:w="867" w:type="pct"/>
            <w:vMerge w:val="restart"/>
            <w:tcBorders>
              <w:top w:val="single" w:sz="8" w:space="0" w:color="D9D9D9"/>
              <w:left w:val="single" w:sz="8" w:space="0" w:color="D9D9D9"/>
              <w:right w:val="single" w:sz="8" w:space="0" w:color="D9D9D9"/>
            </w:tcBorders>
            <w:shd w:val="clear" w:color="auto" w:fill="FFFFFF" w:themeFill="background1"/>
          </w:tcPr>
          <w:p w14:paraId="1B07F805" w14:textId="23AB0A3F" w:rsidR="00150A13" w:rsidRPr="00150A13" w:rsidRDefault="00150A13" w:rsidP="00167967">
            <w:pPr>
              <w:pStyle w:val="TableBody"/>
            </w:pPr>
            <w:r w:rsidRPr="00150A13">
              <w:rPr>
                <w:color w:val="262626" w:themeColor="text1" w:themeTint="D9"/>
              </w:rPr>
              <w:t>Labour to prepare for and conduct compliance program specific to engineered stone licence scheme</w:t>
            </w:r>
          </w:p>
        </w:tc>
        <w:tc>
          <w:tcPr>
            <w:tcW w:w="823" w:type="pct"/>
            <w:tcBorders>
              <w:top w:val="single" w:sz="8" w:space="0" w:color="D9D9D9"/>
              <w:left w:val="single" w:sz="8" w:space="0" w:color="D9D9D9"/>
              <w:bottom w:val="single" w:sz="8" w:space="0" w:color="D9D9D9"/>
              <w:right w:val="single" w:sz="8" w:space="0" w:color="D9D9D9"/>
            </w:tcBorders>
            <w:shd w:val="clear" w:color="auto" w:fill="FFFFFF" w:themeFill="background1"/>
          </w:tcPr>
          <w:p w14:paraId="1BC2A213" w14:textId="77777777" w:rsidR="00150A13" w:rsidRPr="00150A13" w:rsidRDefault="00150A13" w:rsidP="00167967">
            <w:pPr>
              <w:pStyle w:val="TableBody"/>
              <w:rPr>
                <w:b/>
                <w:color w:val="262626" w:themeColor="text1" w:themeTint="D9"/>
              </w:rPr>
            </w:pPr>
            <w:r w:rsidRPr="00150A13">
              <w:rPr>
                <w:color w:val="262626" w:themeColor="text1" w:themeTint="D9"/>
              </w:rPr>
              <w:t>Average number of scheduled compliance audits per year (#/year)</w:t>
            </w:r>
          </w:p>
        </w:tc>
        <w:tc>
          <w:tcPr>
            <w:tcW w:w="957"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14D0669B" w14:textId="77777777" w:rsidR="00150A13" w:rsidRPr="00150A13" w:rsidRDefault="00150A13" w:rsidP="00167967">
            <w:pPr>
              <w:pStyle w:val="TableBody"/>
            </w:pPr>
            <w:r w:rsidRPr="00150A13">
              <w:t>2</w:t>
            </w:r>
            <w:r w:rsidRPr="00150A13">
              <w:rPr>
                <w:vertAlign w:val="superscript"/>
              </w:rPr>
              <w:footnoteReference w:id="65"/>
            </w:r>
          </w:p>
        </w:tc>
        <w:tc>
          <w:tcPr>
            <w:tcW w:w="1609" w:type="pct"/>
            <w:vMerge w:val="restart"/>
            <w:tcBorders>
              <w:top w:val="single" w:sz="8" w:space="0" w:color="D9D9D9"/>
              <w:left w:val="single" w:sz="8" w:space="0" w:color="D9D9D9"/>
              <w:right w:val="single" w:sz="8" w:space="0" w:color="D9D9D9"/>
            </w:tcBorders>
            <w:shd w:val="clear" w:color="auto" w:fill="FFFFFF" w:themeFill="background1"/>
            <w:vAlign w:val="center"/>
          </w:tcPr>
          <w:p w14:paraId="19FD0886" w14:textId="77777777" w:rsidR="00150A13" w:rsidRPr="00167967" w:rsidRDefault="00150A13" w:rsidP="00167967">
            <w:pPr>
              <w:pStyle w:val="TableBody"/>
              <w:jc w:val="center"/>
              <w:rPr>
                <w:b/>
                <w:bCs/>
                <w:color w:val="262626" w:themeColor="text1" w:themeTint="D9"/>
              </w:rPr>
            </w:pPr>
            <w:r w:rsidRPr="00167967">
              <w:rPr>
                <w:b/>
              </w:rPr>
              <w:t>Cost of compliance audits</w:t>
            </w:r>
          </w:p>
          <w:p w14:paraId="1B3CC9B5" w14:textId="77777777" w:rsidR="00150A13" w:rsidRPr="00150A13" w:rsidRDefault="00150A13" w:rsidP="00167967">
            <w:pPr>
              <w:pStyle w:val="TableBody"/>
              <w:jc w:val="center"/>
              <w:rPr>
                <w:color w:val="262626" w:themeColor="text1" w:themeTint="D9"/>
              </w:rPr>
            </w:pPr>
            <w:r w:rsidRPr="00150A13">
              <w:t>=</w:t>
            </w:r>
          </w:p>
          <w:p w14:paraId="0612F41B" w14:textId="77777777" w:rsidR="00150A13" w:rsidRPr="00150A13" w:rsidRDefault="00150A13" w:rsidP="00167967">
            <w:pPr>
              <w:pStyle w:val="TableBody"/>
              <w:jc w:val="center"/>
              <w:rPr>
                <w:color w:val="262626" w:themeColor="text1" w:themeTint="D9"/>
              </w:rPr>
            </w:pPr>
            <w:r w:rsidRPr="00150A13">
              <w:t>Average number of scheduled compliance audits per annum</w:t>
            </w:r>
          </w:p>
          <w:p w14:paraId="202B7100" w14:textId="77777777" w:rsidR="00150A13" w:rsidRPr="00150A13" w:rsidRDefault="00150A13" w:rsidP="00167967">
            <w:pPr>
              <w:pStyle w:val="TableBody"/>
              <w:jc w:val="center"/>
              <w:rPr>
                <w:color w:val="262626" w:themeColor="text1" w:themeTint="D9"/>
              </w:rPr>
            </w:pPr>
            <w:r w:rsidRPr="00150A13">
              <w:t>×</w:t>
            </w:r>
          </w:p>
          <w:p w14:paraId="3D9AC186" w14:textId="77777777" w:rsidR="00150A13" w:rsidRPr="00150A13" w:rsidRDefault="00150A13" w:rsidP="00167967">
            <w:pPr>
              <w:pStyle w:val="TableBody"/>
              <w:jc w:val="center"/>
              <w:rPr>
                <w:color w:val="262626" w:themeColor="text1" w:themeTint="D9"/>
              </w:rPr>
            </w:pPr>
            <w:r w:rsidRPr="00150A13">
              <w:t>Time to participate in compliance audits</w:t>
            </w:r>
          </w:p>
          <w:p w14:paraId="74FF182E" w14:textId="77777777" w:rsidR="00150A13" w:rsidRPr="00150A13" w:rsidRDefault="00150A13" w:rsidP="00167967">
            <w:pPr>
              <w:pStyle w:val="TableBody"/>
              <w:jc w:val="center"/>
              <w:rPr>
                <w:color w:val="262626" w:themeColor="text1" w:themeTint="D9"/>
              </w:rPr>
            </w:pPr>
            <w:r w:rsidRPr="00150A13">
              <w:t>×</w:t>
            </w:r>
          </w:p>
          <w:p w14:paraId="794F8921" w14:textId="77777777" w:rsidR="00150A13" w:rsidRPr="00150A13" w:rsidRDefault="00150A13" w:rsidP="00167967">
            <w:pPr>
              <w:pStyle w:val="TableBody"/>
              <w:jc w:val="center"/>
              <w:rPr>
                <w:rFonts w:eastAsia="Times New Roman" w:cstheme="minorHAnsi"/>
                <w:szCs w:val="18"/>
              </w:rPr>
            </w:pPr>
            <w:r w:rsidRPr="00150A13">
              <w:t xml:space="preserve">Number of employees required for </w:t>
            </w:r>
            <w:r w:rsidRPr="00150A13">
              <w:rPr>
                <w:rFonts w:eastAsia="Times New Roman" w:cstheme="minorHAnsi"/>
                <w:szCs w:val="18"/>
              </w:rPr>
              <w:t>compliance audits</w:t>
            </w:r>
          </w:p>
          <w:p w14:paraId="7B4CB0E5" w14:textId="77777777" w:rsidR="00150A13" w:rsidRPr="00150A13" w:rsidRDefault="00150A13" w:rsidP="00167967">
            <w:pPr>
              <w:pStyle w:val="TableBody"/>
              <w:jc w:val="center"/>
              <w:rPr>
                <w:rFonts w:eastAsia="Times New Roman" w:cstheme="minorHAnsi"/>
                <w:szCs w:val="18"/>
              </w:rPr>
            </w:pPr>
            <w:r w:rsidRPr="00150A13">
              <w:t>x</w:t>
            </w:r>
          </w:p>
          <w:p w14:paraId="482B2F69" w14:textId="77777777" w:rsidR="00150A13" w:rsidRPr="00150A13" w:rsidRDefault="00150A13" w:rsidP="00167967">
            <w:pPr>
              <w:pStyle w:val="TableBody"/>
              <w:jc w:val="center"/>
              <w:rPr>
                <w:rFonts w:eastAsia="Times New Roman" w:cstheme="minorHAnsi"/>
                <w:szCs w:val="18"/>
              </w:rPr>
            </w:pPr>
            <w:r w:rsidRPr="00150A13">
              <w:t>PCBUs working with engineered stone</w:t>
            </w:r>
          </w:p>
          <w:p w14:paraId="3BC6B07A" w14:textId="77777777" w:rsidR="00150A13" w:rsidRPr="00150A13" w:rsidRDefault="00150A13" w:rsidP="00167967">
            <w:pPr>
              <w:pStyle w:val="TableBody"/>
              <w:jc w:val="center"/>
              <w:rPr>
                <w:rFonts w:eastAsia="Times New Roman" w:cstheme="minorHAnsi"/>
                <w:szCs w:val="18"/>
              </w:rPr>
            </w:pPr>
            <w:r w:rsidRPr="00150A13">
              <w:t>x</w:t>
            </w:r>
          </w:p>
          <w:p w14:paraId="506D1049" w14:textId="77777777" w:rsidR="00150A13" w:rsidRPr="00150A13" w:rsidRDefault="00150A13" w:rsidP="00167967">
            <w:pPr>
              <w:pStyle w:val="TableBody"/>
              <w:jc w:val="center"/>
              <w:rPr>
                <w:color w:val="262626" w:themeColor="text1" w:themeTint="D9"/>
              </w:rPr>
            </w:pPr>
            <w:r w:rsidRPr="00150A13">
              <w:t>Average wage/hour ($)</w:t>
            </w:r>
          </w:p>
          <w:p w14:paraId="0316A3CE" w14:textId="77777777" w:rsidR="00150A13" w:rsidRPr="00150A13" w:rsidRDefault="00150A13" w:rsidP="00150A13">
            <w:pPr>
              <w:spacing w:after="240" w:line="264" w:lineRule="auto"/>
              <w:ind w:right="129"/>
              <w:contextualSpacing/>
              <w:jc w:val="center"/>
              <w:rPr>
                <w:rFonts w:eastAsia="Times New Roman" w:cstheme="minorHAnsi"/>
                <w:color w:val="262626" w:themeColor="text1" w:themeTint="D9"/>
                <w:sz w:val="18"/>
                <w:szCs w:val="18"/>
              </w:rPr>
            </w:pPr>
          </w:p>
        </w:tc>
      </w:tr>
      <w:tr w:rsidR="00150A13" w:rsidRPr="00150A13" w14:paraId="63069DB2" w14:textId="77777777" w:rsidTr="004C687A">
        <w:trPr>
          <w:trHeight w:val="560"/>
        </w:trPr>
        <w:tc>
          <w:tcPr>
            <w:tcW w:w="744"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2FD5C956" w14:textId="77777777" w:rsidR="00150A13" w:rsidRPr="00150A13" w:rsidRDefault="00150A13" w:rsidP="00167967">
            <w:pPr>
              <w:pStyle w:val="TableBody"/>
            </w:pPr>
          </w:p>
        </w:tc>
        <w:tc>
          <w:tcPr>
            <w:tcW w:w="867" w:type="pct"/>
            <w:vMerge/>
            <w:tcBorders>
              <w:left w:val="single" w:sz="8" w:space="0" w:color="D9D9D9"/>
              <w:right w:val="single" w:sz="8" w:space="0" w:color="D9D9D9"/>
            </w:tcBorders>
            <w:shd w:val="clear" w:color="auto" w:fill="FFFFFF" w:themeFill="background1"/>
          </w:tcPr>
          <w:p w14:paraId="3799AFF3" w14:textId="77777777" w:rsidR="00150A13" w:rsidRPr="00150A13" w:rsidRDefault="00150A13" w:rsidP="00167967">
            <w:pPr>
              <w:pStyle w:val="TableBody"/>
            </w:pPr>
          </w:p>
        </w:tc>
        <w:tc>
          <w:tcPr>
            <w:tcW w:w="823" w:type="pct"/>
            <w:tcBorders>
              <w:top w:val="single" w:sz="8" w:space="0" w:color="D9D9D9"/>
              <w:left w:val="single" w:sz="8" w:space="0" w:color="D9D9D9"/>
              <w:bottom w:val="single" w:sz="8" w:space="0" w:color="D9D9D9"/>
              <w:right w:val="single" w:sz="8" w:space="0" w:color="D9D9D9"/>
            </w:tcBorders>
            <w:shd w:val="clear" w:color="auto" w:fill="FFFFFF" w:themeFill="background1"/>
          </w:tcPr>
          <w:p w14:paraId="1DFFD09A" w14:textId="77777777" w:rsidR="00150A13" w:rsidRPr="00150A13" w:rsidRDefault="00150A13" w:rsidP="00167967">
            <w:pPr>
              <w:pStyle w:val="TableBody"/>
              <w:rPr>
                <w:b/>
                <w:color w:val="262626" w:themeColor="text1" w:themeTint="D9"/>
              </w:rPr>
            </w:pPr>
            <w:r w:rsidRPr="00150A13">
              <w:t>Time to participation in scheduled audits (hours)</w:t>
            </w:r>
          </w:p>
        </w:tc>
        <w:tc>
          <w:tcPr>
            <w:tcW w:w="957"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79F256D2" w14:textId="77777777" w:rsidR="00150A13" w:rsidRPr="00150A13" w:rsidRDefault="00150A13" w:rsidP="00167967">
            <w:pPr>
              <w:pStyle w:val="TableBody"/>
            </w:pPr>
            <w:r w:rsidRPr="00150A13">
              <w:t>4</w:t>
            </w:r>
          </w:p>
        </w:tc>
        <w:tc>
          <w:tcPr>
            <w:tcW w:w="1609" w:type="pct"/>
            <w:vMerge/>
            <w:tcBorders>
              <w:left w:val="single" w:sz="8" w:space="0" w:color="D9D9D9"/>
              <w:right w:val="single" w:sz="8" w:space="0" w:color="D9D9D9"/>
            </w:tcBorders>
            <w:shd w:val="clear" w:color="auto" w:fill="FFFFFF" w:themeFill="background1"/>
            <w:vAlign w:val="center"/>
          </w:tcPr>
          <w:p w14:paraId="60F99CF0" w14:textId="77777777" w:rsidR="00150A13" w:rsidRPr="00150A13" w:rsidRDefault="00150A13" w:rsidP="00150A13">
            <w:pPr>
              <w:spacing w:after="240" w:line="264" w:lineRule="auto"/>
              <w:ind w:left="425" w:right="269"/>
              <w:contextualSpacing/>
              <w:jc w:val="center"/>
              <w:rPr>
                <w:rFonts w:eastAsia="Times New Roman" w:cstheme="minorHAnsi"/>
                <w:b/>
                <w:bCs/>
                <w:sz w:val="18"/>
                <w:szCs w:val="18"/>
              </w:rPr>
            </w:pPr>
          </w:p>
        </w:tc>
      </w:tr>
      <w:tr w:rsidR="00150A13" w:rsidRPr="00150A13" w14:paraId="45053146" w14:textId="77777777" w:rsidTr="004C687A">
        <w:trPr>
          <w:trHeight w:val="560"/>
        </w:trPr>
        <w:tc>
          <w:tcPr>
            <w:tcW w:w="744"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0FDC8ED5" w14:textId="77777777" w:rsidR="00150A13" w:rsidRPr="00150A13" w:rsidRDefault="00150A13" w:rsidP="00167967">
            <w:pPr>
              <w:pStyle w:val="TableBody"/>
            </w:pPr>
          </w:p>
        </w:tc>
        <w:tc>
          <w:tcPr>
            <w:tcW w:w="867" w:type="pct"/>
            <w:vMerge/>
            <w:tcBorders>
              <w:left w:val="single" w:sz="8" w:space="0" w:color="D9D9D9"/>
              <w:right w:val="single" w:sz="8" w:space="0" w:color="D9D9D9"/>
            </w:tcBorders>
            <w:shd w:val="clear" w:color="auto" w:fill="FFFFFF" w:themeFill="background1"/>
          </w:tcPr>
          <w:p w14:paraId="1B603AB4" w14:textId="77777777" w:rsidR="00150A13" w:rsidRPr="00150A13" w:rsidRDefault="00150A13" w:rsidP="00167967">
            <w:pPr>
              <w:pStyle w:val="TableBody"/>
            </w:pPr>
          </w:p>
        </w:tc>
        <w:tc>
          <w:tcPr>
            <w:tcW w:w="823" w:type="pct"/>
            <w:tcBorders>
              <w:top w:val="single" w:sz="8" w:space="0" w:color="D9D9D9"/>
              <w:left w:val="single" w:sz="8" w:space="0" w:color="D9D9D9"/>
              <w:bottom w:val="single" w:sz="8" w:space="0" w:color="D9D9D9"/>
              <w:right w:val="single" w:sz="8" w:space="0" w:color="D9D9D9"/>
            </w:tcBorders>
            <w:shd w:val="clear" w:color="auto" w:fill="FFFFFF" w:themeFill="background1"/>
          </w:tcPr>
          <w:p w14:paraId="55B8BD24" w14:textId="77777777" w:rsidR="00150A13" w:rsidRPr="00150A13" w:rsidRDefault="00150A13" w:rsidP="00167967">
            <w:pPr>
              <w:pStyle w:val="TableBody"/>
              <w:rPr>
                <w:b/>
                <w:color w:val="262626" w:themeColor="text1" w:themeTint="D9"/>
              </w:rPr>
            </w:pPr>
            <w:r w:rsidRPr="00150A13">
              <w:rPr>
                <w:color w:val="262626" w:themeColor="text1" w:themeTint="D9"/>
              </w:rPr>
              <w:t>Number of workers required for scheduled audits (#)</w:t>
            </w:r>
          </w:p>
        </w:tc>
        <w:tc>
          <w:tcPr>
            <w:tcW w:w="957"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2B3CFF4C" w14:textId="77777777" w:rsidR="00150A13" w:rsidRPr="00150A13" w:rsidRDefault="00150A13" w:rsidP="00167967">
            <w:pPr>
              <w:pStyle w:val="TableBody"/>
            </w:pPr>
            <w:r w:rsidRPr="00150A13">
              <w:t>2</w:t>
            </w:r>
          </w:p>
        </w:tc>
        <w:tc>
          <w:tcPr>
            <w:tcW w:w="1609" w:type="pct"/>
            <w:vMerge/>
            <w:tcBorders>
              <w:left w:val="single" w:sz="8" w:space="0" w:color="D9D9D9"/>
              <w:right w:val="single" w:sz="8" w:space="0" w:color="D9D9D9"/>
            </w:tcBorders>
            <w:shd w:val="clear" w:color="auto" w:fill="FFFFFF" w:themeFill="background1"/>
            <w:vAlign w:val="center"/>
          </w:tcPr>
          <w:p w14:paraId="5E1ACBB1" w14:textId="77777777" w:rsidR="00150A13" w:rsidRPr="00150A13" w:rsidRDefault="00150A13" w:rsidP="00150A13">
            <w:pPr>
              <w:spacing w:after="240" w:line="264" w:lineRule="auto"/>
              <w:ind w:left="425" w:right="269"/>
              <w:contextualSpacing/>
              <w:jc w:val="center"/>
              <w:rPr>
                <w:rFonts w:eastAsia="Times New Roman" w:cstheme="minorHAnsi"/>
                <w:b/>
                <w:bCs/>
                <w:sz w:val="18"/>
                <w:szCs w:val="18"/>
              </w:rPr>
            </w:pPr>
          </w:p>
        </w:tc>
      </w:tr>
      <w:tr w:rsidR="00150A13" w:rsidRPr="00150A13" w14:paraId="3B84B23C" w14:textId="77777777" w:rsidTr="004C687A">
        <w:trPr>
          <w:trHeight w:val="560"/>
        </w:trPr>
        <w:tc>
          <w:tcPr>
            <w:tcW w:w="744"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73401A73" w14:textId="77777777" w:rsidR="00150A13" w:rsidRPr="00150A13" w:rsidRDefault="00150A13" w:rsidP="00167967">
            <w:pPr>
              <w:pStyle w:val="TableBody"/>
            </w:pPr>
          </w:p>
        </w:tc>
        <w:tc>
          <w:tcPr>
            <w:tcW w:w="867" w:type="pct"/>
            <w:vMerge/>
            <w:tcBorders>
              <w:left w:val="single" w:sz="8" w:space="0" w:color="D9D9D9"/>
              <w:right w:val="single" w:sz="8" w:space="0" w:color="D9D9D9"/>
            </w:tcBorders>
            <w:shd w:val="clear" w:color="auto" w:fill="FFFFFF" w:themeFill="background1"/>
          </w:tcPr>
          <w:p w14:paraId="7D43ADAD" w14:textId="77777777" w:rsidR="00150A13" w:rsidRPr="00150A13" w:rsidRDefault="00150A13" w:rsidP="00167967">
            <w:pPr>
              <w:pStyle w:val="TableBody"/>
            </w:pPr>
          </w:p>
        </w:tc>
        <w:tc>
          <w:tcPr>
            <w:tcW w:w="823" w:type="pct"/>
            <w:tcBorders>
              <w:top w:val="single" w:sz="8" w:space="0" w:color="D9D9D9"/>
              <w:left w:val="single" w:sz="8" w:space="0" w:color="D9D9D9"/>
              <w:bottom w:val="single" w:sz="8" w:space="0" w:color="D9D9D9"/>
              <w:right w:val="single" w:sz="8" w:space="0" w:color="D9D9D9"/>
            </w:tcBorders>
            <w:shd w:val="clear" w:color="auto" w:fill="FFFFFF" w:themeFill="background1"/>
          </w:tcPr>
          <w:p w14:paraId="286AC873" w14:textId="77777777" w:rsidR="00150A13" w:rsidRPr="00150A13" w:rsidRDefault="00150A13" w:rsidP="00167967">
            <w:pPr>
              <w:pStyle w:val="TableBody"/>
              <w:rPr>
                <w:b/>
                <w:color w:val="262626" w:themeColor="text1" w:themeTint="D9"/>
              </w:rPr>
            </w:pPr>
            <w:r w:rsidRPr="00150A13">
              <w:rPr>
                <w:color w:val="262626" w:themeColor="text1" w:themeTint="D9"/>
              </w:rPr>
              <w:t xml:space="preserve">Number of PCBUs working with engineered stone </w:t>
            </w:r>
          </w:p>
        </w:tc>
        <w:tc>
          <w:tcPr>
            <w:tcW w:w="957"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2398AE55" w14:textId="77777777" w:rsidR="00150A13" w:rsidRPr="00150A13" w:rsidRDefault="00150A13" w:rsidP="00167967">
            <w:pPr>
              <w:pStyle w:val="TableBody"/>
              <w:rPr>
                <w:b/>
              </w:rPr>
            </w:pPr>
            <w:r w:rsidRPr="00150A13">
              <w:t>1,000</w:t>
            </w:r>
            <w:r w:rsidRPr="00150A13">
              <w:rPr>
                <w:rFonts w:ascii="EYInterstate Light" w:eastAsia="Times New Roman" w:hAnsi="EYInterstate Light" w:cs="Times New Roman"/>
                <w:sz w:val="20"/>
                <w:szCs w:val="24"/>
                <w:vertAlign w:val="superscript"/>
              </w:rPr>
              <w:t xml:space="preserve"> </w:t>
            </w:r>
            <w:r w:rsidRPr="00150A13">
              <w:fldChar w:fldCharType="begin"/>
            </w:r>
            <w:r w:rsidRPr="00150A13">
              <w:instrText xml:space="preserve"> ADDIN ZOTERO_ITEM CSL_CITATION {"citationID":"7CYg2XEJ","properties":{"formattedCitation":"(Australian Engineered Stone Advisory Group 2019)","plainCitation":"(Australian Engineered Stone Advisory Group 2019)","noteIndex":0},"citationItems":[{"id":918,"uris":["http://zotero.org/users/6230888/items/4WCCIQ5J"],"itemData":{"id":918,"type":"report","page":"102","title":"Members of the Australian Engineered Stone Advisory Group (AESAG) Application for authorisation to the Australian Competition and Consumer Commission (ACCC)","URL":"https://www.accc.gov.au/system/files/public-registers/documents/Australian%20Engineered%20Stone%20Advisory%20Group%20%28AESAG%29%20-%20Application%20Received%20-%2029.11.19%20-%20PR%20VERSION.pdf","author":[{"literal":"Australian Engineered Stone Advisory Group"}],"accessed":{"date-parts":[["2022",6,30]]},"issued":{"date-parts":[["2019"]]}}}],"schema":"https://github.com/citation-style-language/schema/raw/master/csl-citation.json"} </w:instrText>
            </w:r>
            <w:r w:rsidRPr="00150A13">
              <w:fldChar w:fldCharType="separate"/>
            </w:r>
            <w:r w:rsidRPr="00150A13">
              <w:rPr>
                <w:rFonts w:ascii="Calibri" w:hAnsi="Calibri" w:cs="Calibri"/>
                <w:szCs w:val="24"/>
              </w:rPr>
              <w:t>(Australian Engineered Stone Advisory Group 2019)</w:t>
            </w:r>
            <w:r w:rsidRPr="00150A13">
              <w:fldChar w:fldCharType="end"/>
            </w:r>
          </w:p>
        </w:tc>
        <w:tc>
          <w:tcPr>
            <w:tcW w:w="1609" w:type="pct"/>
            <w:vMerge/>
            <w:tcBorders>
              <w:left w:val="single" w:sz="8" w:space="0" w:color="D9D9D9"/>
              <w:right w:val="single" w:sz="8" w:space="0" w:color="D9D9D9"/>
            </w:tcBorders>
            <w:shd w:val="clear" w:color="auto" w:fill="FFFFFF" w:themeFill="background1"/>
            <w:vAlign w:val="center"/>
          </w:tcPr>
          <w:p w14:paraId="3364C274" w14:textId="77777777" w:rsidR="00150A13" w:rsidRPr="00150A13" w:rsidRDefault="00150A13" w:rsidP="00150A13">
            <w:pPr>
              <w:spacing w:after="240" w:line="264" w:lineRule="auto"/>
              <w:ind w:left="425" w:right="269"/>
              <w:contextualSpacing/>
              <w:jc w:val="center"/>
              <w:rPr>
                <w:rFonts w:eastAsia="Times New Roman" w:cstheme="minorHAnsi"/>
                <w:b/>
                <w:bCs/>
                <w:sz w:val="18"/>
                <w:szCs w:val="18"/>
              </w:rPr>
            </w:pPr>
          </w:p>
        </w:tc>
      </w:tr>
      <w:tr w:rsidR="00150A13" w:rsidRPr="00150A13" w14:paraId="584A863C" w14:textId="77777777" w:rsidTr="004C687A">
        <w:trPr>
          <w:trHeight w:val="560"/>
        </w:trPr>
        <w:tc>
          <w:tcPr>
            <w:tcW w:w="744"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6CB67652" w14:textId="77777777" w:rsidR="00150A13" w:rsidRPr="00150A13" w:rsidRDefault="00150A13" w:rsidP="00167967">
            <w:pPr>
              <w:pStyle w:val="TableBody"/>
            </w:pPr>
          </w:p>
        </w:tc>
        <w:tc>
          <w:tcPr>
            <w:tcW w:w="867" w:type="pct"/>
            <w:vMerge/>
            <w:tcBorders>
              <w:left w:val="single" w:sz="8" w:space="0" w:color="D9D9D9"/>
              <w:right w:val="single" w:sz="8" w:space="0" w:color="D9D9D9"/>
            </w:tcBorders>
            <w:shd w:val="clear" w:color="auto" w:fill="FFFFFF" w:themeFill="background1"/>
          </w:tcPr>
          <w:p w14:paraId="2EE60F6B" w14:textId="77777777" w:rsidR="00150A13" w:rsidRPr="00150A13" w:rsidRDefault="00150A13" w:rsidP="00167967">
            <w:pPr>
              <w:pStyle w:val="TableBody"/>
            </w:pPr>
          </w:p>
        </w:tc>
        <w:tc>
          <w:tcPr>
            <w:tcW w:w="823" w:type="pct"/>
            <w:tcBorders>
              <w:top w:val="single" w:sz="8" w:space="0" w:color="D9D9D9"/>
              <w:left w:val="single" w:sz="8" w:space="0" w:color="D9D9D9"/>
              <w:bottom w:val="single" w:sz="8" w:space="0" w:color="D9D9D9"/>
              <w:right w:val="single" w:sz="8" w:space="0" w:color="D9D9D9"/>
            </w:tcBorders>
            <w:shd w:val="clear" w:color="auto" w:fill="FFFFFF" w:themeFill="background1"/>
          </w:tcPr>
          <w:p w14:paraId="4AEA3770" w14:textId="77777777" w:rsidR="00150A13" w:rsidRPr="00150A13" w:rsidRDefault="00150A13" w:rsidP="00167967">
            <w:pPr>
              <w:pStyle w:val="TableBody"/>
              <w:rPr>
                <w:b/>
                <w:color w:val="262626" w:themeColor="text1" w:themeTint="D9"/>
              </w:rPr>
            </w:pPr>
            <w:r w:rsidRPr="00150A13">
              <w:rPr>
                <w:color w:val="262626" w:themeColor="text1" w:themeTint="D9"/>
              </w:rPr>
              <w:t>Annual salary for government workers</w:t>
            </w:r>
          </w:p>
        </w:tc>
        <w:tc>
          <w:tcPr>
            <w:tcW w:w="957"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165DAD0A" w14:textId="51D38EF6" w:rsidR="00150A13" w:rsidRPr="00150A13" w:rsidRDefault="00150A13" w:rsidP="00167967">
            <w:pPr>
              <w:pStyle w:val="TableBody"/>
              <w:rPr>
                <w:b/>
              </w:rPr>
            </w:pPr>
            <w:r w:rsidRPr="00150A13">
              <w:t xml:space="preserve">Refer to </w:t>
            </w:r>
            <w:r w:rsidRPr="00150A13">
              <w:fldChar w:fldCharType="begin"/>
            </w:r>
            <w:r w:rsidRPr="00150A13">
              <w:instrText xml:space="preserve"> REF _Ref124836380 \h  \* MERGEFORMAT </w:instrText>
            </w:r>
            <w:r w:rsidRPr="00150A13">
              <w:fldChar w:fldCharType="separate"/>
            </w:r>
            <w:r w:rsidR="00DF768D" w:rsidRPr="00150A13">
              <w:t xml:space="preserve">Table </w:t>
            </w:r>
            <w:r w:rsidR="00DF768D" w:rsidRPr="00DF768D">
              <w:t>40</w:t>
            </w:r>
            <w:r w:rsidRPr="00150A13">
              <w:fldChar w:fldCharType="end"/>
            </w:r>
          </w:p>
        </w:tc>
        <w:tc>
          <w:tcPr>
            <w:tcW w:w="1609" w:type="pct"/>
            <w:vMerge/>
            <w:tcBorders>
              <w:left w:val="single" w:sz="8" w:space="0" w:color="D9D9D9"/>
              <w:right w:val="single" w:sz="8" w:space="0" w:color="D9D9D9"/>
            </w:tcBorders>
            <w:shd w:val="clear" w:color="auto" w:fill="FFFFFF" w:themeFill="background1"/>
            <w:vAlign w:val="center"/>
          </w:tcPr>
          <w:p w14:paraId="22C41AF2" w14:textId="77777777" w:rsidR="00150A13" w:rsidRPr="00150A13" w:rsidRDefault="00150A13" w:rsidP="00150A13">
            <w:pPr>
              <w:spacing w:after="240" w:line="264" w:lineRule="auto"/>
              <w:ind w:left="425" w:right="269"/>
              <w:contextualSpacing/>
              <w:jc w:val="center"/>
              <w:rPr>
                <w:rFonts w:eastAsia="Times New Roman" w:cstheme="minorHAnsi"/>
                <w:b/>
                <w:bCs/>
                <w:sz w:val="18"/>
                <w:szCs w:val="18"/>
              </w:rPr>
            </w:pPr>
          </w:p>
        </w:tc>
      </w:tr>
      <w:tr w:rsidR="00126B8C" w:rsidRPr="00150A13" w14:paraId="4BE18E7A" w14:textId="77777777" w:rsidTr="00AD68DD">
        <w:trPr>
          <w:trHeight w:val="1947"/>
        </w:trPr>
        <w:tc>
          <w:tcPr>
            <w:tcW w:w="744" w:type="pct"/>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3E0CA136" w14:textId="77777777" w:rsidR="00150A13" w:rsidRPr="00AD68DD" w:rsidRDefault="00150A13" w:rsidP="00167967">
            <w:pPr>
              <w:pStyle w:val="TableBody"/>
              <w:rPr>
                <w:i/>
              </w:rPr>
            </w:pPr>
            <w:r w:rsidRPr="00AD68DD">
              <w:rPr>
                <w:i/>
              </w:rPr>
              <w:t>Awareness campaign</w:t>
            </w:r>
          </w:p>
        </w:tc>
        <w:tc>
          <w:tcPr>
            <w:tcW w:w="867" w:type="pct"/>
            <w:tcBorders>
              <w:left w:val="single" w:sz="8" w:space="0" w:color="D9D9D9"/>
              <w:right w:val="single" w:sz="8" w:space="0" w:color="D9D9D9"/>
            </w:tcBorders>
            <w:shd w:val="clear" w:color="auto" w:fill="FFFFFF" w:themeFill="background1"/>
          </w:tcPr>
          <w:p w14:paraId="0591604C" w14:textId="77777777" w:rsidR="00150A13" w:rsidRPr="00150A13" w:rsidRDefault="00150A13" w:rsidP="00167967">
            <w:pPr>
              <w:pStyle w:val="TableBody"/>
              <w:rPr>
                <w:color w:val="262626" w:themeColor="text1" w:themeTint="D9"/>
              </w:rPr>
            </w:pPr>
            <w:r w:rsidRPr="00150A13">
              <w:rPr>
                <w:color w:val="262626" w:themeColor="text1" w:themeTint="D9"/>
              </w:rPr>
              <w:t xml:space="preserve"> Cost of education/awareness campaign to inform PCBUs and other relevant duty holders of requirements resulting from regulatory changes</w:t>
            </w:r>
          </w:p>
        </w:tc>
        <w:tc>
          <w:tcPr>
            <w:tcW w:w="823" w:type="pct"/>
            <w:tcBorders>
              <w:top w:val="single" w:sz="8" w:space="0" w:color="D9D9D9"/>
              <w:left w:val="single" w:sz="8" w:space="0" w:color="D9D9D9"/>
              <w:right w:val="single" w:sz="8" w:space="0" w:color="D9D9D9"/>
            </w:tcBorders>
            <w:shd w:val="clear" w:color="auto" w:fill="FFFFFF" w:themeFill="background1"/>
          </w:tcPr>
          <w:p w14:paraId="3528089F" w14:textId="77777777" w:rsidR="00150A13" w:rsidRPr="00150A13" w:rsidRDefault="00150A13" w:rsidP="00167967">
            <w:pPr>
              <w:pStyle w:val="TableBody"/>
              <w:rPr>
                <w:b/>
                <w:color w:val="262626" w:themeColor="text1" w:themeTint="D9"/>
              </w:rPr>
            </w:pPr>
            <w:r w:rsidRPr="00150A13">
              <w:t>Cost of national awareness campaign ($)</w:t>
            </w:r>
          </w:p>
        </w:tc>
        <w:tc>
          <w:tcPr>
            <w:tcW w:w="957" w:type="pct"/>
            <w:tcBorders>
              <w:top w:val="single" w:sz="8" w:space="0" w:color="D9D9D9"/>
              <w:left w:val="single" w:sz="8" w:space="0" w:color="D9D9D9"/>
              <w:right w:val="single" w:sz="8" w:space="0" w:color="D9D9D9"/>
            </w:tcBorders>
            <w:shd w:val="clear" w:color="auto" w:fill="FFFFFF" w:themeFill="background1"/>
            <w:vAlign w:val="center"/>
          </w:tcPr>
          <w:p w14:paraId="5BDF7A67" w14:textId="77777777" w:rsidR="00150A13" w:rsidRPr="00150A13" w:rsidRDefault="00150A13" w:rsidP="00167967">
            <w:pPr>
              <w:pStyle w:val="TableBody"/>
              <w:rPr>
                <w:b/>
              </w:rPr>
            </w:pPr>
            <w:r w:rsidRPr="00150A13">
              <w:t>$120,000</w:t>
            </w:r>
            <w:r w:rsidRPr="00150A13">
              <w:rPr>
                <w:vertAlign w:val="superscript"/>
              </w:rPr>
              <w:footnoteReference w:id="66"/>
            </w:r>
          </w:p>
        </w:tc>
        <w:tc>
          <w:tcPr>
            <w:tcW w:w="1609" w:type="pct"/>
            <w:tcBorders>
              <w:left w:val="single" w:sz="8" w:space="0" w:color="D9D9D9"/>
              <w:right w:val="single" w:sz="8" w:space="0" w:color="D9D9D9"/>
            </w:tcBorders>
            <w:shd w:val="clear" w:color="auto" w:fill="FFFFFF" w:themeFill="background1"/>
            <w:vAlign w:val="center"/>
          </w:tcPr>
          <w:p w14:paraId="27679590" w14:textId="77777777" w:rsidR="00150A13" w:rsidRPr="00150A13" w:rsidRDefault="00150A13" w:rsidP="00150A13">
            <w:pPr>
              <w:spacing w:after="240" w:line="264" w:lineRule="auto"/>
              <w:ind w:right="269"/>
              <w:contextualSpacing/>
              <w:jc w:val="center"/>
              <w:rPr>
                <w:rFonts w:eastAsia="Times New Roman" w:cstheme="minorHAnsi"/>
                <w:b/>
                <w:bCs/>
                <w:sz w:val="18"/>
                <w:szCs w:val="18"/>
              </w:rPr>
            </w:pPr>
            <w:r w:rsidRPr="00150A13">
              <w:rPr>
                <w:rFonts w:eastAsia="Times New Roman" w:cstheme="minorHAnsi"/>
                <w:b/>
                <w:bCs/>
                <w:sz w:val="18"/>
                <w:szCs w:val="18"/>
              </w:rPr>
              <w:t>Cost of education/awareness campaign</w:t>
            </w:r>
            <w:r w:rsidRPr="00150A13">
              <w:rPr>
                <w:rFonts w:ascii="EYInterstate Light" w:eastAsia="Times New Roman" w:hAnsi="EYInterstate Light" w:cstheme="minorHAnsi"/>
                <w:sz w:val="18"/>
                <w:szCs w:val="18"/>
              </w:rPr>
              <w:t xml:space="preserve"> </w:t>
            </w:r>
          </w:p>
        </w:tc>
      </w:tr>
      <w:tr w:rsidR="00150A13" w:rsidRPr="00150A13" w14:paraId="213D047B" w14:textId="77777777" w:rsidTr="004C687A">
        <w:trPr>
          <w:trHeight w:val="297"/>
        </w:trPr>
        <w:tc>
          <w:tcPr>
            <w:tcW w:w="5000" w:type="pct"/>
            <w:gridSpan w:val="5"/>
            <w:tcBorders>
              <w:left w:val="single" w:sz="8" w:space="0" w:color="D9D9D9"/>
              <w:right w:val="single" w:sz="8" w:space="0" w:color="D9D9D9"/>
            </w:tcBorders>
            <w:shd w:val="clear" w:color="auto" w:fill="BFBFBF" w:themeFill="background1" w:themeFillShade="BF"/>
            <w:tcMar>
              <w:top w:w="72" w:type="dxa"/>
              <w:left w:w="144" w:type="dxa"/>
              <w:bottom w:w="72" w:type="dxa"/>
              <w:right w:w="144" w:type="dxa"/>
            </w:tcMar>
            <w:vAlign w:val="center"/>
          </w:tcPr>
          <w:p w14:paraId="2723BE01" w14:textId="77777777" w:rsidR="00150A13" w:rsidRPr="00150A13" w:rsidRDefault="00150A13" w:rsidP="00AD68DD">
            <w:pPr>
              <w:pStyle w:val="TableHeading"/>
            </w:pPr>
            <w:r w:rsidRPr="00150A13">
              <w:t>Option 5a and 5b</w:t>
            </w:r>
          </w:p>
        </w:tc>
      </w:tr>
      <w:tr w:rsidR="00150A13" w:rsidRPr="00150A13" w14:paraId="19F99FD9" w14:textId="77777777" w:rsidTr="00050F09">
        <w:trPr>
          <w:trHeight w:val="1845"/>
        </w:trPr>
        <w:tc>
          <w:tcPr>
            <w:tcW w:w="744" w:type="pct"/>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3CE1AD8A" w14:textId="77777777" w:rsidR="00150A13" w:rsidRPr="00AD68DD" w:rsidRDefault="00150A13" w:rsidP="00AD68DD">
            <w:pPr>
              <w:pStyle w:val="TableBody"/>
              <w:rPr>
                <w:i/>
              </w:rPr>
            </w:pPr>
            <w:r w:rsidRPr="00AD68DD">
              <w:rPr>
                <w:i/>
              </w:rPr>
              <w:t xml:space="preserve">Awareness campaign </w:t>
            </w:r>
          </w:p>
        </w:tc>
        <w:tc>
          <w:tcPr>
            <w:tcW w:w="867" w:type="pct"/>
            <w:tcBorders>
              <w:left w:val="single" w:sz="8" w:space="0" w:color="D9D9D9"/>
              <w:right w:val="single" w:sz="8" w:space="0" w:color="D9D9D9"/>
            </w:tcBorders>
            <w:shd w:val="clear" w:color="auto" w:fill="FFFFFF" w:themeFill="background1"/>
          </w:tcPr>
          <w:p w14:paraId="38CB4C38" w14:textId="77777777" w:rsidR="00150A13" w:rsidRPr="00150A13" w:rsidRDefault="00150A13" w:rsidP="00AD68DD">
            <w:pPr>
              <w:pStyle w:val="TableBody"/>
              <w:rPr>
                <w:color w:val="262626" w:themeColor="text1" w:themeTint="D9"/>
              </w:rPr>
            </w:pPr>
            <w:r w:rsidRPr="00150A13">
              <w:rPr>
                <w:color w:val="262626" w:themeColor="text1" w:themeTint="D9"/>
              </w:rPr>
              <w:t>Cost of education/awareness campaign to inform PCBUs and other relevant duty holders of requirements resulting from regulatory changes</w:t>
            </w:r>
          </w:p>
        </w:tc>
        <w:tc>
          <w:tcPr>
            <w:tcW w:w="823" w:type="pct"/>
            <w:tcBorders>
              <w:top w:val="single" w:sz="8" w:space="0" w:color="D9D9D9"/>
              <w:left w:val="single" w:sz="8" w:space="0" w:color="D9D9D9"/>
              <w:right w:val="single" w:sz="8" w:space="0" w:color="D9D9D9"/>
            </w:tcBorders>
            <w:shd w:val="clear" w:color="auto" w:fill="FFFFFF" w:themeFill="background1"/>
          </w:tcPr>
          <w:p w14:paraId="6A37C5F3" w14:textId="77777777" w:rsidR="00150A13" w:rsidRPr="00150A13" w:rsidRDefault="00150A13" w:rsidP="00AD68DD">
            <w:pPr>
              <w:pStyle w:val="TableBody"/>
              <w:rPr>
                <w:color w:val="262626" w:themeColor="text1" w:themeTint="D9"/>
              </w:rPr>
            </w:pPr>
            <w:r w:rsidRPr="00150A13">
              <w:rPr>
                <w:color w:val="262626" w:themeColor="text1" w:themeTint="D9"/>
              </w:rPr>
              <w:t xml:space="preserve">Cost of education/awareness campaign </w:t>
            </w:r>
          </w:p>
        </w:tc>
        <w:tc>
          <w:tcPr>
            <w:tcW w:w="957" w:type="pct"/>
            <w:tcBorders>
              <w:top w:val="single" w:sz="8" w:space="0" w:color="D9D9D9"/>
              <w:left w:val="single" w:sz="8" w:space="0" w:color="D9D9D9"/>
              <w:right w:val="single" w:sz="8" w:space="0" w:color="D9D9D9"/>
            </w:tcBorders>
            <w:shd w:val="clear" w:color="auto" w:fill="FFFFFF" w:themeFill="background1"/>
            <w:vAlign w:val="center"/>
          </w:tcPr>
          <w:p w14:paraId="78B1F1A9" w14:textId="77777777" w:rsidR="00150A13" w:rsidRPr="00150A13" w:rsidRDefault="00150A13" w:rsidP="00AD68DD">
            <w:pPr>
              <w:pStyle w:val="TableBody"/>
            </w:pPr>
            <w:r w:rsidRPr="00150A13">
              <w:t>$120,000</w:t>
            </w:r>
            <w:r w:rsidRPr="00150A13">
              <w:rPr>
                <w:vertAlign w:val="superscript"/>
              </w:rPr>
              <w:footnoteReference w:id="67"/>
            </w:r>
          </w:p>
        </w:tc>
        <w:tc>
          <w:tcPr>
            <w:tcW w:w="1609" w:type="pct"/>
            <w:tcBorders>
              <w:left w:val="single" w:sz="8" w:space="0" w:color="D9D9D9"/>
              <w:right w:val="single" w:sz="8" w:space="0" w:color="D9D9D9"/>
            </w:tcBorders>
            <w:shd w:val="clear" w:color="auto" w:fill="FFFFFF" w:themeFill="background1"/>
          </w:tcPr>
          <w:p w14:paraId="5D90E04C" w14:textId="77777777" w:rsidR="00150A13" w:rsidRPr="00150A13" w:rsidRDefault="00150A13" w:rsidP="00AD68DD">
            <w:pPr>
              <w:pStyle w:val="TableBody"/>
              <w:rPr>
                <w:b/>
              </w:rPr>
            </w:pPr>
            <w:r w:rsidRPr="00150A13">
              <w:rPr>
                <w:b/>
              </w:rPr>
              <w:t>Cost of education/awareness campaign</w:t>
            </w:r>
            <w:r w:rsidRPr="00150A13">
              <w:rPr>
                <w:rFonts w:ascii="EYInterstate Light" w:hAnsi="EYInterstate Light"/>
              </w:rPr>
              <w:t xml:space="preserve"> </w:t>
            </w:r>
          </w:p>
        </w:tc>
      </w:tr>
    </w:tbl>
    <w:p w14:paraId="08185EB3" w14:textId="73B4C5FC" w:rsidR="00404672" w:rsidRPr="00C74A95" w:rsidRDefault="00404672" w:rsidP="00050F09">
      <w:pPr>
        <w:pStyle w:val="BodyText"/>
      </w:pPr>
    </w:p>
    <w:sectPr w:rsidR="00404672" w:rsidRPr="00C74A95" w:rsidSect="007012B9">
      <w:headerReference w:type="even" r:id="rId34"/>
      <w:headerReference w:type="default" r:id="rId35"/>
      <w:footerReference w:type="default" r:id="rId36"/>
      <w:headerReference w:type="first" r:id="rId37"/>
      <w:footerReference w:type="first" r:id="rId38"/>
      <w:pgSz w:w="11906" w:h="16838"/>
      <w:pgMar w:top="1559" w:right="851" w:bottom="1701" w:left="851"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85652" w14:textId="77777777" w:rsidR="00CF6325" w:rsidRDefault="00CF6325" w:rsidP="00B95533">
      <w:pPr>
        <w:spacing w:after="0" w:line="240" w:lineRule="auto"/>
      </w:pPr>
      <w:r>
        <w:separator/>
      </w:r>
    </w:p>
  </w:endnote>
  <w:endnote w:type="continuationSeparator" w:id="0">
    <w:p w14:paraId="5FCA611F" w14:textId="77777777" w:rsidR="00CF6325" w:rsidRDefault="00CF6325" w:rsidP="00B95533">
      <w:pPr>
        <w:spacing w:after="0" w:line="240" w:lineRule="auto"/>
      </w:pPr>
      <w:r>
        <w:continuationSeparator/>
      </w:r>
    </w:p>
  </w:endnote>
  <w:endnote w:type="continuationNotice" w:id="1">
    <w:p w14:paraId="096F901C" w14:textId="77777777" w:rsidR="00CF6325" w:rsidRDefault="00CF63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EYInterstate Light">
    <w:altName w:val="Calibri"/>
    <w:charset w:val="00"/>
    <w:family w:val="auto"/>
    <w:pitch w:val="variable"/>
    <w:sig w:usb0="A00002AF" w:usb1="5000206A"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7BFE2" w14:textId="4FE680DA" w:rsidR="00F1382E" w:rsidRPr="00B87E45" w:rsidRDefault="00CF6325" w:rsidP="001007B9">
    <w:pPr>
      <w:pStyle w:val="ProtectiveMarking"/>
    </w:pPr>
    <w:sdt>
      <w:sdtPr>
        <w:alias w:val="Classification"/>
        <w:tag w:val="Classification"/>
        <w:id w:val="-706402449"/>
        <w:dataBinding w:xpath="/root[1]/Classification[1]" w:storeItemID="{00000000-0000-0000-0000-000000000000}"/>
        <w:text/>
      </w:sdtPr>
      <w:sdtEndPr/>
      <w:sdtContent>
        <w:r w:rsidR="00F1382E">
          <w:t>Choose Classifiction</w:t>
        </w:r>
      </w:sdtContent>
    </w:sdt>
  </w:p>
  <w:p w14:paraId="5C88FE04" w14:textId="77777777" w:rsidR="00F1382E" w:rsidRPr="00073D52" w:rsidRDefault="00F1382E" w:rsidP="001007B9">
    <w:pPr>
      <w:pStyle w:val="Footerline"/>
    </w:pPr>
    <w:r>
      <w:rPr>
        <w:color w:val="2B579A"/>
        <w:shd w:val="clear" w:color="auto" w:fill="E6E6E6"/>
        <w:lang w:eastAsia="en-AU"/>
      </w:rPr>
      <mc:AlternateContent>
        <mc:Choice Requires="wps">
          <w:drawing>
            <wp:anchor distT="45720" distB="45720" distL="114300" distR="114300" simplePos="0" relativeHeight="251658240" behindDoc="0" locked="1" layoutInCell="1" allowOverlap="1" wp14:anchorId="1AEE6B03" wp14:editId="478C0710">
              <wp:simplePos x="0" y="0"/>
              <wp:positionH relativeFrom="margin">
                <wp:posOffset>6142355</wp:posOffset>
              </wp:positionH>
              <wp:positionV relativeFrom="page">
                <wp:posOffset>9950450</wp:posOffset>
              </wp:positionV>
              <wp:extent cx="332105" cy="726440"/>
              <wp:effectExtent l="0" t="0" r="10795" b="0"/>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726440"/>
                      </a:xfrm>
                      <a:prstGeom prst="rect">
                        <a:avLst/>
                      </a:prstGeom>
                      <a:noFill/>
                      <a:ln w="9525">
                        <a:noFill/>
                        <a:miter lim="800000"/>
                        <a:headEnd/>
                        <a:tailEnd/>
                      </a:ln>
                    </wps:spPr>
                    <wps:txbx>
                      <w:txbxContent>
                        <w:p w14:paraId="04FAC34D" w14:textId="6CB88452" w:rsidR="00F1382E" w:rsidRPr="00073D52" w:rsidRDefault="00F1382E" w:rsidP="001007B9">
                          <w:pPr>
                            <w:pStyle w:val="Footer"/>
                            <w:rPr>
                              <w:b w:val="0"/>
                              <w:bCs/>
                              <w:sz w:val="16"/>
                              <w:szCs w:val="16"/>
                            </w:rPr>
                          </w:pPr>
                          <w:r w:rsidRPr="00073D52">
                            <w:rPr>
                              <w:b w:val="0"/>
                              <w:bCs/>
                              <w:color w:val="2B579A"/>
                              <w:sz w:val="16"/>
                              <w:szCs w:val="16"/>
                              <w:shd w:val="clear" w:color="auto" w:fill="E6E6E6"/>
                            </w:rPr>
                            <w:fldChar w:fldCharType="begin"/>
                          </w:r>
                          <w:r w:rsidRPr="00073D52">
                            <w:rPr>
                              <w:b w:val="0"/>
                              <w:bCs/>
                              <w:sz w:val="16"/>
                              <w:szCs w:val="16"/>
                            </w:rPr>
                            <w:instrText xml:space="preserve"> PAGE   \* MERGEFORMAT </w:instrText>
                          </w:r>
                          <w:r w:rsidRPr="00073D52">
                            <w:rPr>
                              <w:b w:val="0"/>
                              <w:bCs/>
                              <w:color w:val="2B579A"/>
                              <w:sz w:val="16"/>
                              <w:szCs w:val="16"/>
                              <w:shd w:val="clear" w:color="auto" w:fill="E6E6E6"/>
                            </w:rPr>
                            <w:fldChar w:fldCharType="separate"/>
                          </w:r>
                          <w:r w:rsidR="001A5B00">
                            <w:rPr>
                              <w:b w:val="0"/>
                              <w:bCs/>
                              <w:noProof/>
                              <w:sz w:val="16"/>
                              <w:szCs w:val="16"/>
                            </w:rPr>
                            <w:t>9</w:t>
                          </w:r>
                          <w:r w:rsidRPr="00073D52">
                            <w:rPr>
                              <w:b w:val="0"/>
                              <w:bCs/>
                              <w:noProof/>
                              <w:color w:val="2B579A"/>
                              <w:sz w:val="16"/>
                              <w:szCs w:val="16"/>
                              <w:shd w:val="clear" w:color="auto" w:fill="E6E6E6"/>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EE6B03" id="_x0000_t202" coordsize="21600,21600" o:spt="202" path="m,l,21600r21600,l21600,xe">
              <v:stroke joinstyle="miter"/>
              <v:path gradientshapeok="t" o:connecttype="rect"/>
            </v:shapetype>
            <v:shape id="Text Box 2" o:spid="_x0000_s1026" type="#_x0000_t202" style="position:absolute;margin-left:483.65pt;margin-top:783.5pt;width:26.15pt;height:57.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" filled="f" stroked="f">
              <v:textbox inset="0,0,0,0">
                <w:txbxContent>
                  <w:p w14:paraId="04FAC34D" w14:textId="6CB88452" w:rsidR="00F1382E" w:rsidRPr="00073D52" w:rsidRDefault="00F1382E" w:rsidP="001007B9">
                    <w:pPr>
                      <w:pStyle w:val="Footer"/>
                      <w:rPr>
                        <w:b w:val="0"/>
                        <w:bCs/>
                        <w:sz w:val="16"/>
                        <w:szCs w:val="16"/>
                      </w:rPr>
                    </w:pPr>
                    <w:r w:rsidRPr="00073D52">
                      <w:rPr>
                        <w:b w:val="0"/>
                        <w:bCs/>
                        <w:color w:val="2B579A"/>
                        <w:sz w:val="16"/>
                        <w:szCs w:val="16"/>
                        <w:shd w:val="clear" w:color="auto" w:fill="E6E6E6"/>
                      </w:rPr>
                      <w:fldChar w:fldCharType="begin"/>
                    </w:r>
                    <w:r w:rsidRPr="00073D52">
                      <w:rPr>
                        <w:b w:val="0"/>
                        <w:bCs/>
                        <w:sz w:val="16"/>
                        <w:szCs w:val="16"/>
                      </w:rPr>
                      <w:instrText xml:space="preserve"> PAGE   \* MERGEFORMAT </w:instrText>
                    </w:r>
                    <w:r w:rsidRPr="00073D52">
                      <w:rPr>
                        <w:b w:val="0"/>
                        <w:bCs/>
                        <w:color w:val="2B579A"/>
                        <w:sz w:val="16"/>
                        <w:szCs w:val="16"/>
                        <w:shd w:val="clear" w:color="auto" w:fill="E6E6E6"/>
                      </w:rPr>
                      <w:fldChar w:fldCharType="separate"/>
                    </w:r>
                    <w:r w:rsidR="001A5B00">
                      <w:rPr>
                        <w:b w:val="0"/>
                        <w:bCs/>
                        <w:noProof/>
                        <w:sz w:val="16"/>
                        <w:szCs w:val="16"/>
                      </w:rPr>
                      <w:t>9</w:t>
                    </w:r>
                    <w:r w:rsidRPr="00073D52">
                      <w:rPr>
                        <w:b w:val="0"/>
                        <w:bCs/>
                        <w:noProof/>
                        <w:color w:val="2B579A"/>
                        <w:sz w:val="16"/>
                        <w:szCs w:val="16"/>
                        <w:shd w:val="clear" w:color="auto" w:fill="E6E6E6"/>
                      </w:rPr>
                      <w:fldChar w:fldCharType="end"/>
                    </w:r>
                  </w:p>
                </w:txbxContent>
              </v:textbox>
              <w10:wrap anchorx="margin" anchory="page"/>
              <w10:anchorlock/>
            </v:shape>
          </w:pict>
        </mc:Fallback>
      </mc:AlternateContent>
    </w:r>
  </w:p>
  <w:p w14:paraId="0E85D325" w14:textId="77777777" w:rsidR="00F1382E" w:rsidRPr="001007B9" w:rsidRDefault="00F1382E" w:rsidP="009B4379">
    <w:pPr>
      <w:pStyle w:val="Footer"/>
      <w:spacing w:after="500"/>
      <w:contextualSpacing/>
      <w:jc w:val="left"/>
      <w:rPr>
        <w:color w:val="25303B" w:themeColor="accent1"/>
      </w:rPr>
    </w:pPr>
    <w:r w:rsidRPr="00073D52">
      <w:rPr>
        <w:color w:val="25303B" w:themeColor="accent1"/>
      </w:rPr>
      <w:t>PM</w:t>
    </w:r>
    <w:r>
      <w:rPr>
        <w:color w:val="25303B" w:themeColor="accent1"/>
      </w:rPr>
      <w:t>&amp;</w:t>
    </w:r>
    <w:r w:rsidRPr="00073D52">
      <w:rPr>
        <w:color w:val="25303B" w:themeColor="accent1"/>
      </w:rPr>
      <w:t xml:space="preserve">C </w:t>
    </w:r>
    <w:r w:rsidRPr="00BC24CA">
      <w:rPr>
        <w:color w:val="25303B" w:themeColor="accent1"/>
        <w:sz w:val="16"/>
        <w:szCs w:val="16"/>
      </w:rPr>
      <w:t>|</w:t>
    </w:r>
    <w:r w:rsidRPr="00073D52">
      <w:rPr>
        <w:color w:val="25303B" w:themeColor="accent1"/>
      </w:rPr>
      <w:t xml:space="preserve"> </w:t>
    </w:r>
    <w:sdt>
      <w:sdtPr>
        <w:rPr>
          <w:color w:val="25303B" w:themeColor="accent1"/>
          <w:sz w:val="16"/>
          <w:szCs w:val="16"/>
          <w:shd w:val="clear" w:color="auto" w:fill="E6E6E6"/>
        </w:rPr>
        <w:alias w:val="Section Name"/>
        <w:tag w:val="SectionName"/>
        <w:id w:val="605542894"/>
        <w:placeholder>
          <w:docPart w:val="219620ADD92642389C5D4B3C4F0DC506"/>
        </w:placeholder>
        <w:showingPlcHdr/>
        <w:text/>
      </w:sdtPr>
      <w:sdtEndPr/>
      <w:sdtContent>
        <w:r w:rsidRPr="00BC24CA">
          <w:rPr>
            <w:caps w:val="0"/>
            <w:sz w:val="16"/>
            <w:szCs w:val="16"/>
          </w:rPr>
          <w:t>[Section Name]</w:t>
        </w:r>
      </w:sdtContent>
    </w:sdt>
    <w:r>
      <w:rPr>
        <w:color w:val="25303B" w:themeColor="accent1"/>
        <w:sz w:val="16"/>
        <w:szCs w:val="16"/>
      </w:rPr>
      <w:t xml:space="preserve">  |  </w:t>
    </w:r>
    <w:sdt>
      <w:sdtPr>
        <w:rPr>
          <w:color w:val="25303B" w:themeColor="accent1"/>
          <w:sz w:val="16"/>
          <w:szCs w:val="16"/>
          <w:shd w:val="clear" w:color="auto" w:fill="E6E6E6"/>
        </w:rPr>
        <w:alias w:val="Document Title"/>
        <w:tag w:val="DocumentTitle"/>
        <w:id w:val="-523643007"/>
        <w:placeholder>
          <w:docPart w:val="4A1B4207812C47D4A115D0D13B555E30"/>
        </w:placeholder>
        <w:showingPlcHdr/>
        <w:text/>
      </w:sdtPr>
      <w:sdtEndPr/>
      <w:sdtContent>
        <w:r w:rsidRPr="00BC24CA">
          <w:rPr>
            <w:caps w:val="0"/>
            <w:sz w:val="16"/>
            <w:szCs w:val="16"/>
          </w:rPr>
          <w:t>[</w:t>
        </w:r>
        <w:r>
          <w:rPr>
            <w:caps w:val="0"/>
            <w:sz w:val="16"/>
            <w:szCs w:val="16"/>
          </w:rPr>
          <w:t>Document Title</w:t>
        </w:r>
        <w:r w:rsidRPr="00BC24CA">
          <w:rPr>
            <w:caps w:val="0"/>
            <w:sz w:val="16"/>
            <w:szCs w:val="16"/>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91CCB" w14:textId="77777777" w:rsidR="00C43655" w:rsidRDefault="00C436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188881"/>
      <w:docPartObj>
        <w:docPartGallery w:val="Page Numbers (Bottom of Page)"/>
        <w:docPartUnique/>
      </w:docPartObj>
    </w:sdtPr>
    <w:sdtEndPr>
      <w:rPr>
        <w:noProof/>
      </w:rPr>
    </w:sdtEndPr>
    <w:sdtContent>
      <w:p w14:paraId="04643D09" w14:textId="1D82E9B8" w:rsidR="001012EB" w:rsidRDefault="001012EB">
        <w:pPr>
          <w:pStyle w:val="Footer"/>
          <w:jc w:val="center"/>
        </w:pPr>
        <w:r>
          <w:fldChar w:fldCharType="begin"/>
        </w:r>
        <w:r>
          <w:instrText xml:space="preserve"> PAGE   \* MERGEFORMAT </w:instrText>
        </w:r>
        <w:r>
          <w:fldChar w:fldCharType="separate"/>
        </w:r>
        <w:r w:rsidR="00D831CC">
          <w:rPr>
            <w:noProof/>
          </w:rPr>
          <w:t>19</w:t>
        </w:r>
        <w:r>
          <w:rPr>
            <w:noProof/>
          </w:rPr>
          <w:fldChar w:fldCharType="end"/>
        </w:r>
      </w:p>
    </w:sdtContent>
  </w:sdt>
  <w:p w14:paraId="2F601B2A" w14:textId="77777777" w:rsidR="00C43655" w:rsidRDefault="00C436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C8BC3" w14:textId="77777777" w:rsidR="00C43655" w:rsidRDefault="00C4365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D9279" w14:textId="77777777" w:rsidR="002E5A3A" w:rsidRDefault="002E5A3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207879"/>
      <w:docPartObj>
        <w:docPartGallery w:val="Page Numbers (Bottom of Page)"/>
        <w:docPartUnique/>
      </w:docPartObj>
    </w:sdtPr>
    <w:sdtEndPr>
      <w:rPr>
        <w:noProof/>
      </w:rPr>
    </w:sdtEndPr>
    <w:sdtContent>
      <w:p w14:paraId="3141D821" w14:textId="1EF4978C" w:rsidR="00E436E6" w:rsidRDefault="00E436E6">
        <w:pPr>
          <w:pStyle w:val="Footer"/>
          <w:jc w:val="center"/>
        </w:pPr>
        <w:r>
          <w:fldChar w:fldCharType="begin"/>
        </w:r>
        <w:r>
          <w:instrText xml:space="preserve"> PAGE   \* MERGEFORMAT </w:instrText>
        </w:r>
        <w:r>
          <w:fldChar w:fldCharType="separate"/>
        </w:r>
        <w:r w:rsidR="00D831CC">
          <w:rPr>
            <w:noProof/>
          </w:rPr>
          <w:t>63</w:t>
        </w:r>
        <w:r>
          <w:rPr>
            <w:noProof/>
          </w:rPr>
          <w:fldChar w:fldCharType="end"/>
        </w:r>
      </w:p>
    </w:sdtContent>
  </w:sdt>
  <w:p w14:paraId="7245467B" w14:textId="77777777" w:rsidR="002E5A3A" w:rsidRDefault="002E5A3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81D43" w14:textId="77777777" w:rsidR="002E5A3A" w:rsidRDefault="002E5A3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993766"/>
      <w:docPartObj>
        <w:docPartGallery w:val="Page Numbers (Bottom of Page)"/>
        <w:docPartUnique/>
      </w:docPartObj>
    </w:sdtPr>
    <w:sdtEndPr>
      <w:rPr>
        <w:noProof/>
      </w:rPr>
    </w:sdtEndPr>
    <w:sdtContent>
      <w:p w14:paraId="789633E7" w14:textId="00987AF4" w:rsidR="00455BE6" w:rsidRDefault="00455BE6">
        <w:pPr>
          <w:pStyle w:val="Footer"/>
          <w:jc w:val="center"/>
        </w:pPr>
        <w:r>
          <w:fldChar w:fldCharType="begin"/>
        </w:r>
        <w:r>
          <w:instrText xml:space="preserve"> PAGE   \* MERGEFORMAT </w:instrText>
        </w:r>
        <w:r>
          <w:fldChar w:fldCharType="separate"/>
        </w:r>
        <w:r w:rsidR="00D831CC">
          <w:rPr>
            <w:noProof/>
          </w:rPr>
          <w:t>102</w:t>
        </w:r>
        <w:r>
          <w:rPr>
            <w:noProof/>
          </w:rPr>
          <w:fldChar w:fldCharType="end"/>
        </w:r>
      </w:p>
    </w:sdtContent>
  </w:sdt>
  <w:p w14:paraId="69F2B6AC" w14:textId="2BD3A16D" w:rsidR="00F1382E" w:rsidRPr="00825B23" w:rsidRDefault="00F1382E" w:rsidP="009B4379">
    <w:pPr>
      <w:pStyle w:val="Footer"/>
      <w:spacing w:after="500"/>
      <w:contextualSpacing/>
      <w:jc w:val="left"/>
      <w:rPr>
        <w:b w:val="0"/>
        <w:bCs/>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63E5" w14:textId="36F4D83C" w:rsidR="00F1382E" w:rsidRPr="00B87E45" w:rsidRDefault="00F1382E" w:rsidP="00917F95">
    <w:pPr>
      <w:pStyle w:val="ProtectiveMarking"/>
    </w:pPr>
    <w:r>
      <w:t>Choose Classifiction</w:t>
    </w:r>
  </w:p>
  <w:p w14:paraId="41493E21" w14:textId="77777777" w:rsidR="00F1382E" w:rsidRPr="00073D52" w:rsidRDefault="00F1382E" w:rsidP="00917F95">
    <w:pPr>
      <w:pStyle w:val="Footerline"/>
    </w:pPr>
  </w:p>
  <w:p w14:paraId="31E14E3B" w14:textId="77777777" w:rsidR="00F1382E" w:rsidRPr="00195BA8" w:rsidRDefault="00F1382E" w:rsidP="00195BA8">
    <w:pPr>
      <w:pStyle w:val="Footer"/>
      <w:spacing w:after="500"/>
      <w:contextualSpacing/>
      <w:jc w:val="left"/>
      <w:rPr>
        <w:color w:val="25303B" w:themeColor="accent1"/>
        <w:sz w:val="16"/>
        <w:szCs w:val="16"/>
      </w:rPr>
    </w:pPr>
    <w:r w:rsidRPr="005A0DE7">
      <w:rPr>
        <w:color w:val="25303B" w:themeColor="accent1"/>
        <w:sz w:val="16"/>
        <w:szCs w:val="16"/>
      </w:rPr>
      <w:t xml:space="preserve">PM&amp;C | </w:t>
    </w:r>
    <w:sdt>
      <w:sdtPr>
        <w:rPr>
          <w:caps w:val="0"/>
          <w:color w:val="25303B" w:themeColor="accent1"/>
          <w:sz w:val="16"/>
          <w:szCs w:val="16"/>
          <w:shd w:val="clear" w:color="auto" w:fill="E6E6E6"/>
        </w:rPr>
        <w:alias w:val="Section Name"/>
        <w:tag w:val="SectionName"/>
        <w:id w:val="-414706023"/>
        <w:placeholder>
          <w:docPart w:val="4A1B4207812C47D4A115D0D13B555E30"/>
        </w:placeholder>
        <w:showingPlcHdr/>
        <w:dataBinding w:xpath="/root[1]/SectionName[1]" w:storeItemID="{00000000-0000-0000-0000-000000000000}"/>
        <w:text/>
      </w:sdtPr>
      <w:sdtEndPr/>
      <w:sdtContent>
        <w:r w:rsidRPr="005A0DE7">
          <w:rPr>
            <w:caps w:val="0"/>
            <w:color w:val="25303B" w:themeColor="accent1"/>
            <w:sz w:val="16"/>
            <w:szCs w:val="16"/>
          </w:rPr>
          <w:t>[Section Name]</w:t>
        </w:r>
      </w:sdtContent>
    </w:sdt>
    <w:r w:rsidRPr="005A0DE7">
      <w:rPr>
        <w:color w:val="25303B" w:themeColor="accent1"/>
        <w:sz w:val="16"/>
        <w:szCs w:val="16"/>
      </w:rPr>
      <w:t xml:space="preserve"> |</w:t>
    </w:r>
    <w:r w:rsidRPr="005A0DE7">
      <w:rPr>
        <w:b w:val="0"/>
        <w:bCs/>
        <w:color w:val="25303B" w:themeColor="accent1"/>
        <w:sz w:val="16"/>
        <w:szCs w:val="16"/>
      </w:rPr>
      <w:t xml:space="preserve"> </w:t>
    </w:r>
    <w:sdt>
      <w:sdtPr>
        <w:rPr>
          <w:b w:val="0"/>
          <w:bCs/>
          <w:caps w:val="0"/>
          <w:color w:val="25303B" w:themeColor="accent1"/>
          <w:sz w:val="16"/>
          <w:szCs w:val="16"/>
          <w:shd w:val="clear" w:color="auto" w:fill="E6E6E6"/>
        </w:rPr>
        <w:alias w:val="Document Heading"/>
        <w:tag w:val="DH"/>
        <w:id w:val="1036542736"/>
        <w:placeholder>
          <w:docPart w:val="8FA75C6A6517453A8BB1CBCC6A673432"/>
        </w:placeholder>
        <w:showingPlcHdr/>
        <w:dataBinding w:xpath="/root[1]/DH[1]" w:storeItemID="{00000000-0000-0000-0000-000000000000}"/>
        <w:text/>
      </w:sdtPr>
      <w:sdtEndPr/>
      <w:sdtContent>
        <w:r w:rsidRPr="005A0DE7">
          <w:rPr>
            <w:b w:val="0"/>
            <w:bCs/>
            <w:caps w:val="0"/>
            <w:color w:val="25303B" w:themeColor="accent1"/>
            <w:sz w:val="16"/>
            <w:szCs w:val="16"/>
          </w:rPr>
          <w:t>[Document Heading]</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AF3D3" w14:textId="77777777" w:rsidR="00CF6325" w:rsidRPr="003A7E73" w:rsidRDefault="00CF6325" w:rsidP="00B95533">
      <w:pPr>
        <w:spacing w:after="0" w:line="240" w:lineRule="auto"/>
        <w:rPr>
          <w:color w:val="014463" w:themeColor="accent2"/>
        </w:rPr>
      </w:pPr>
      <w:r w:rsidRPr="003A7E73">
        <w:rPr>
          <w:color w:val="014463" w:themeColor="accent2"/>
        </w:rPr>
        <w:separator/>
      </w:r>
    </w:p>
  </w:footnote>
  <w:footnote w:type="continuationSeparator" w:id="0">
    <w:p w14:paraId="1C4B610D" w14:textId="77777777" w:rsidR="00CF6325" w:rsidRPr="003A7E73" w:rsidRDefault="00CF6325" w:rsidP="00B95533">
      <w:pPr>
        <w:spacing w:after="0" w:line="240" w:lineRule="auto"/>
        <w:rPr>
          <w:color w:val="014463" w:themeColor="accent2"/>
        </w:rPr>
      </w:pPr>
      <w:r w:rsidRPr="003A7E73">
        <w:rPr>
          <w:color w:val="014463" w:themeColor="accent2"/>
        </w:rPr>
        <w:continuationSeparator/>
      </w:r>
    </w:p>
  </w:footnote>
  <w:footnote w:type="continuationNotice" w:id="1">
    <w:p w14:paraId="5D6BB86F" w14:textId="77777777" w:rsidR="00CF6325" w:rsidRDefault="00CF6325">
      <w:pPr>
        <w:spacing w:after="0" w:line="240" w:lineRule="auto"/>
      </w:pPr>
    </w:p>
  </w:footnote>
  <w:footnote w:id="2">
    <w:p w14:paraId="3D54CB28" w14:textId="77777777" w:rsidR="004F3309" w:rsidRPr="003F5102" w:rsidRDefault="004F3309" w:rsidP="004F3309">
      <w:pPr>
        <w:jc w:val="both"/>
        <w:rPr>
          <w:rFonts w:cstheme="minorHAnsi"/>
          <w:sz w:val="18"/>
          <w:szCs w:val="18"/>
        </w:rPr>
      </w:pPr>
      <w:r w:rsidRPr="003F5102">
        <w:rPr>
          <w:rStyle w:val="FootnoteReference"/>
          <w:rFonts w:cstheme="minorHAnsi"/>
          <w:sz w:val="18"/>
          <w:szCs w:val="18"/>
        </w:rPr>
        <w:footnoteRef/>
      </w:r>
      <w:r w:rsidRPr="003F5102">
        <w:rPr>
          <w:rFonts w:cstheme="minorHAnsi"/>
          <w:sz w:val="18"/>
          <w:szCs w:val="18"/>
        </w:rPr>
        <w:t xml:space="preserve"> Health screening refers to programs undertaken by state and territory regulators and health authorities to detect previously undetected cases of silicosis in workers. This is distinct from health monitoring, which is undertaken by PCBUs (as required of them under WHS laws) and carried out by or supervised by a registered medical practitioner with experience in health monitoring. </w:t>
      </w:r>
    </w:p>
  </w:footnote>
  <w:footnote w:id="3">
    <w:p w14:paraId="45697EB6" w14:textId="7BFCF492" w:rsidR="00A51E56" w:rsidRPr="000F64C9" w:rsidRDefault="00A51E56" w:rsidP="007012B9">
      <w:pPr>
        <w:pStyle w:val="CommentText"/>
        <w:rPr>
          <w:rFonts w:cstheme="minorHAnsi"/>
          <w:sz w:val="18"/>
          <w:szCs w:val="18"/>
        </w:rPr>
      </w:pPr>
      <w:r w:rsidRPr="000F64C9">
        <w:rPr>
          <w:rStyle w:val="FootnoteReference"/>
          <w:rFonts w:cstheme="minorHAnsi"/>
          <w:sz w:val="18"/>
          <w:szCs w:val="18"/>
        </w:rPr>
        <w:footnoteRef/>
      </w:r>
      <w:r w:rsidRPr="000F64C9">
        <w:rPr>
          <w:rFonts w:cstheme="minorHAnsi"/>
          <w:sz w:val="18"/>
          <w:szCs w:val="18"/>
        </w:rPr>
        <w:t xml:space="preserve"> As mentioned in </w:t>
      </w:r>
      <w:r w:rsidRPr="001D28DC">
        <w:rPr>
          <w:rFonts w:cstheme="minorHAnsi"/>
          <w:sz w:val="18"/>
          <w:szCs w:val="18"/>
        </w:rPr>
        <w:t>Section 1.</w:t>
      </w:r>
      <w:r w:rsidR="001D28DC" w:rsidRPr="001D28DC">
        <w:rPr>
          <w:rFonts w:cstheme="minorHAnsi"/>
          <w:sz w:val="18"/>
          <w:szCs w:val="18"/>
        </w:rPr>
        <w:t>6</w:t>
      </w:r>
      <w:r w:rsidRPr="000F64C9">
        <w:rPr>
          <w:rFonts w:cstheme="minorHAnsi"/>
          <w:sz w:val="18"/>
          <w:szCs w:val="18"/>
        </w:rPr>
        <w:t xml:space="preserve">, mining and quarrying is only considered in the scope of this </w:t>
      </w:r>
      <w:r w:rsidR="00B533C1">
        <w:rPr>
          <w:rFonts w:cstheme="minorHAnsi"/>
          <w:sz w:val="18"/>
          <w:szCs w:val="18"/>
        </w:rPr>
        <w:t>impact analysis</w:t>
      </w:r>
      <w:r w:rsidRPr="000F64C9">
        <w:rPr>
          <w:rFonts w:cstheme="minorHAnsi"/>
          <w:sz w:val="18"/>
          <w:szCs w:val="18"/>
        </w:rPr>
        <w:t xml:space="preserve"> where it is covered by the model WHS laws.  </w:t>
      </w:r>
    </w:p>
  </w:footnote>
  <w:footnote w:id="4">
    <w:p w14:paraId="6FC245F0" w14:textId="08E23096" w:rsidR="005C3069" w:rsidRDefault="005C3069">
      <w:pPr>
        <w:pStyle w:val="FootnoteText"/>
      </w:pPr>
      <w:r>
        <w:rPr>
          <w:rStyle w:val="FootnoteReference"/>
        </w:rPr>
        <w:t>p</w:t>
      </w:r>
      <w:r>
        <w:t xml:space="preserve"> denotes data are preliminary and subject to revision in future years as further claims are finalised</w:t>
      </w:r>
    </w:p>
  </w:footnote>
  <w:footnote w:id="5">
    <w:p w14:paraId="76EBA64B" w14:textId="77777777" w:rsidR="002B0A06" w:rsidRPr="00B61508" w:rsidRDefault="002B0A06" w:rsidP="00001272">
      <w:pPr>
        <w:pStyle w:val="FootnoteText"/>
        <w:rPr>
          <w:rFonts w:cstheme="minorHAnsi"/>
          <w:sz w:val="18"/>
          <w:szCs w:val="18"/>
        </w:rPr>
      </w:pPr>
      <w:r w:rsidRPr="00B61508">
        <w:rPr>
          <w:rStyle w:val="FootnoteReference"/>
          <w:rFonts w:cstheme="minorHAnsi"/>
          <w:sz w:val="18"/>
          <w:szCs w:val="18"/>
        </w:rPr>
        <w:footnoteRef/>
      </w:r>
      <w:r w:rsidRPr="00B61508">
        <w:rPr>
          <w:rFonts w:cstheme="minorHAnsi"/>
          <w:sz w:val="18"/>
          <w:szCs w:val="18"/>
        </w:rPr>
        <w:t xml:space="preserve"> Figure includes 34 cases of progressive massive fibrosis.</w:t>
      </w:r>
    </w:p>
  </w:footnote>
  <w:footnote w:id="6">
    <w:p w14:paraId="526EB7F4" w14:textId="77777777" w:rsidR="002B0A06" w:rsidRPr="00A91173" w:rsidRDefault="002B0A06" w:rsidP="00F630FE">
      <w:pPr>
        <w:pStyle w:val="FootnoteText"/>
        <w:rPr>
          <w:rFonts w:cstheme="minorHAnsi"/>
          <w:sz w:val="18"/>
          <w:szCs w:val="18"/>
        </w:rPr>
      </w:pPr>
      <w:r w:rsidRPr="00B61508">
        <w:rPr>
          <w:rStyle w:val="FootnoteReference"/>
          <w:rFonts w:cstheme="minorHAnsi"/>
          <w:sz w:val="18"/>
          <w:szCs w:val="18"/>
        </w:rPr>
        <w:footnoteRef/>
      </w:r>
      <w:r w:rsidRPr="00B61508">
        <w:rPr>
          <w:rFonts w:cstheme="minorHAnsi"/>
          <w:sz w:val="18"/>
          <w:szCs w:val="18"/>
        </w:rPr>
        <w:t xml:space="preserve"> </w:t>
      </w:r>
      <w:r w:rsidRPr="00A91173">
        <w:rPr>
          <w:rFonts w:cstheme="minorHAnsi"/>
          <w:sz w:val="18"/>
          <w:szCs w:val="18"/>
        </w:rPr>
        <w:t>Note 18 cases of probable, possible or confirmed simple silicosis.</w:t>
      </w:r>
    </w:p>
  </w:footnote>
  <w:footnote w:id="7">
    <w:p w14:paraId="511EBBAB" w14:textId="77777777" w:rsidR="00D450A9" w:rsidRPr="00A91173" w:rsidRDefault="00D450A9" w:rsidP="00D450A9">
      <w:pPr>
        <w:pStyle w:val="FootnoteText"/>
        <w:rPr>
          <w:sz w:val="18"/>
          <w:szCs w:val="18"/>
        </w:rPr>
      </w:pPr>
      <w:r w:rsidRPr="00A91173">
        <w:rPr>
          <w:rStyle w:val="FootnoteReference"/>
          <w:sz w:val="18"/>
          <w:szCs w:val="18"/>
        </w:rPr>
        <w:footnoteRef/>
      </w:r>
      <w:r w:rsidRPr="00A91173">
        <w:rPr>
          <w:sz w:val="18"/>
          <w:szCs w:val="18"/>
        </w:rPr>
        <w:t xml:space="preserve"> For NSW, data is from 2017-18 and 2018-19</w:t>
      </w:r>
    </w:p>
  </w:footnote>
  <w:footnote w:id="8">
    <w:p w14:paraId="24485052" w14:textId="332AE7B0" w:rsidR="00D54831" w:rsidRPr="00A91173" w:rsidRDefault="00D54831">
      <w:pPr>
        <w:pStyle w:val="FootnoteText"/>
        <w:rPr>
          <w:sz w:val="18"/>
          <w:szCs w:val="18"/>
        </w:rPr>
      </w:pPr>
      <w:r w:rsidRPr="00A91173">
        <w:rPr>
          <w:rStyle w:val="FootnoteReference"/>
          <w:sz w:val="18"/>
          <w:szCs w:val="18"/>
        </w:rPr>
        <w:footnoteRef/>
      </w:r>
      <w:r w:rsidRPr="00A91173">
        <w:rPr>
          <w:sz w:val="18"/>
          <w:szCs w:val="18"/>
        </w:rPr>
        <w:t xml:space="preserve"> </w:t>
      </w:r>
      <w:r w:rsidR="00894A6A" w:rsidRPr="00A91173">
        <w:rPr>
          <w:sz w:val="18"/>
          <w:szCs w:val="18"/>
        </w:rPr>
        <w:t xml:space="preserve">Confirmed cases </w:t>
      </w:r>
      <w:r w:rsidR="00D450A9" w:rsidRPr="00A91173">
        <w:rPr>
          <w:sz w:val="18"/>
          <w:szCs w:val="18"/>
        </w:rPr>
        <w:t>diagnosed prior to 1 July 2019</w:t>
      </w:r>
      <w:r w:rsidR="00761C94" w:rsidRPr="00A91173">
        <w:rPr>
          <w:sz w:val="18"/>
          <w:szCs w:val="18"/>
        </w:rPr>
        <w:t xml:space="preserve"> but reported </w:t>
      </w:r>
      <w:r w:rsidR="001D5990" w:rsidRPr="00A91173">
        <w:rPr>
          <w:sz w:val="18"/>
          <w:szCs w:val="18"/>
        </w:rPr>
        <w:t>the registry in 2019-20 or</w:t>
      </w:r>
      <w:r w:rsidR="00761C94" w:rsidRPr="00A91173">
        <w:rPr>
          <w:sz w:val="18"/>
          <w:szCs w:val="18"/>
        </w:rPr>
        <w:t xml:space="preserve"> later years</w:t>
      </w:r>
    </w:p>
  </w:footnote>
  <w:footnote w:id="9">
    <w:p w14:paraId="11A0C821" w14:textId="77777777" w:rsidR="004106E8" w:rsidRPr="00A91173" w:rsidRDefault="003C2E7A" w:rsidP="004106E8">
      <w:pPr>
        <w:pStyle w:val="FootnoteText"/>
        <w:rPr>
          <w:sz w:val="18"/>
          <w:szCs w:val="18"/>
        </w:rPr>
      </w:pPr>
      <w:r w:rsidRPr="00A91173">
        <w:rPr>
          <w:rStyle w:val="FootnoteReference"/>
          <w:sz w:val="18"/>
          <w:szCs w:val="18"/>
        </w:rPr>
        <w:footnoteRef/>
      </w:r>
      <w:r w:rsidRPr="00A91173">
        <w:rPr>
          <w:sz w:val="18"/>
          <w:szCs w:val="18"/>
        </w:rPr>
        <w:t xml:space="preserve"> </w:t>
      </w:r>
      <w:r w:rsidR="004106E8" w:rsidRPr="00A91173">
        <w:rPr>
          <w:sz w:val="18"/>
          <w:szCs w:val="18"/>
        </w:rPr>
        <w:t xml:space="preserve">Not all cases of notifiable dust lung disease are given to the NDLD Register in the year that they are diagnosed, and the number of cases </w:t>
      </w:r>
    </w:p>
    <w:p w14:paraId="51BEAE20" w14:textId="6CB8A9FA" w:rsidR="003C2E7A" w:rsidRDefault="004106E8" w:rsidP="004106E8">
      <w:pPr>
        <w:pStyle w:val="FootnoteText"/>
      </w:pPr>
      <w:r w:rsidRPr="00A91173">
        <w:rPr>
          <w:sz w:val="18"/>
          <w:szCs w:val="18"/>
        </w:rPr>
        <w:t>recorded for 2021–22 will likely be revised upwards in the next annual report</w:t>
      </w:r>
      <w:r w:rsidR="004B1882" w:rsidRPr="00A91173">
        <w:rPr>
          <w:sz w:val="18"/>
          <w:szCs w:val="18"/>
        </w:rPr>
        <w:t>.</w:t>
      </w:r>
    </w:p>
  </w:footnote>
  <w:footnote w:id="10">
    <w:p w14:paraId="25E5AEC3" w14:textId="591F6A17" w:rsidR="00E403F0" w:rsidRPr="00041D73" w:rsidRDefault="00E403F0" w:rsidP="00234FEF">
      <w:pPr>
        <w:pStyle w:val="BodyText"/>
        <w:rPr>
          <w:vertAlign w:val="superscript"/>
        </w:rPr>
      </w:pPr>
      <w:r w:rsidRPr="00041D73">
        <w:rPr>
          <w:rStyle w:val="FootnoteReference"/>
          <w:sz w:val="18"/>
          <w:szCs w:val="18"/>
        </w:rPr>
        <w:footnoteRef/>
      </w:r>
      <w:r w:rsidRPr="00041D73">
        <w:t xml:space="preserve"> Note in the case of WA these were enforcement notices</w:t>
      </w:r>
    </w:p>
  </w:footnote>
  <w:footnote w:id="11">
    <w:p w14:paraId="776E253C" w14:textId="77777777" w:rsidR="00E403F0" w:rsidRPr="00237A1C" w:rsidRDefault="00E403F0" w:rsidP="003C0FF6">
      <w:pPr>
        <w:pStyle w:val="FootnoteText"/>
        <w:rPr>
          <w:rFonts w:cstheme="minorHAnsi"/>
          <w:sz w:val="18"/>
          <w:szCs w:val="18"/>
          <w:highlight w:val="magenta"/>
        </w:rPr>
      </w:pPr>
      <w:r w:rsidRPr="003C0FF6">
        <w:rPr>
          <w:rStyle w:val="FootnoteReference"/>
          <w:rFonts w:cstheme="minorHAnsi"/>
          <w:color w:val="000000" w:themeColor="text1"/>
          <w:sz w:val="18"/>
          <w:szCs w:val="18"/>
        </w:rPr>
        <w:footnoteRef/>
      </w:r>
      <w:r w:rsidRPr="003C0FF6">
        <w:rPr>
          <w:rFonts w:cstheme="minorHAnsi"/>
          <w:color w:val="000000" w:themeColor="text1"/>
          <w:sz w:val="18"/>
          <w:szCs w:val="18"/>
        </w:rPr>
        <w:t xml:space="preserve"> Data supplied by WHS Queensland</w:t>
      </w:r>
    </w:p>
  </w:footnote>
  <w:footnote w:id="12">
    <w:p w14:paraId="5CA484BF" w14:textId="77777777" w:rsidR="00885F55" w:rsidRPr="00B61508" w:rsidRDefault="00885F55" w:rsidP="00885F55">
      <w:pPr>
        <w:pStyle w:val="FootnoteText"/>
        <w:rPr>
          <w:rFonts w:cstheme="minorHAnsi"/>
          <w:sz w:val="18"/>
          <w:szCs w:val="18"/>
        </w:rPr>
      </w:pPr>
      <w:r w:rsidRPr="00B61508">
        <w:rPr>
          <w:rStyle w:val="FootnoteReference"/>
          <w:rFonts w:cstheme="minorHAnsi"/>
          <w:sz w:val="18"/>
          <w:szCs w:val="18"/>
        </w:rPr>
        <w:footnoteRef/>
      </w:r>
      <w:r w:rsidRPr="00B61508">
        <w:rPr>
          <w:rFonts w:cstheme="minorHAnsi"/>
          <w:sz w:val="18"/>
          <w:szCs w:val="18"/>
        </w:rPr>
        <w:t xml:space="preserve"> National Dust Disease Taskforce (2021) National Dust Disease Taskforce Final Report. </w:t>
      </w:r>
    </w:p>
    <w:p w14:paraId="2E856E20" w14:textId="77777777" w:rsidR="00885F55" w:rsidRPr="00B61508" w:rsidRDefault="00CF6325" w:rsidP="00885F55">
      <w:pPr>
        <w:pStyle w:val="FootnoteText"/>
        <w:rPr>
          <w:rFonts w:cstheme="minorHAnsi"/>
          <w:sz w:val="18"/>
          <w:szCs w:val="18"/>
        </w:rPr>
      </w:pPr>
      <w:hyperlink r:id="rId1" w:history="1">
        <w:r w:rsidR="00885F55" w:rsidRPr="00B61508">
          <w:rPr>
            <w:rStyle w:val="Hyperlink"/>
            <w:rFonts w:cstheme="minorHAnsi"/>
            <w:sz w:val="18"/>
            <w:szCs w:val="18"/>
          </w:rPr>
          <w:t>https://www1.health.gov.au/internet/main/publishing.nsf/Content/562CF83B7AECFC8FCA2584420002B113/$File/NDDT-Final-Report-June-2021.pdf</w:t>
        </w:r>
      </w:hyperlink>
      <w:r w:rsidR="00885F55" w:rsidRPr="00B61508">
        <w:rPr>
          <w:rFonts w:cstheme="minorHAnsi"/>
          <w:sz w:val="18"/>
          <w:szCs w:val="18"/>
        </w:rPr>
        <w:t>, accessed 5 April 2022.</w:t>
      </w:r>
    </w:p>
  </w:footnote>
  <w:footnote w:id="13">
    <w:p w14:paraId="07313067" w14:textId="77777777" w:rsidR="00F1303A" w:rsidRPr="00B61508" w:rsidRDefault="00F1303A" w:rsidP="00F1303A">
      <w:pPr>
        <w:pStyle w:val="FootnoteText"/>
        <w:rPr>
          <w:rFonts w:cstheme="minorHAnsi"/>
          <w:sz w:val="18"/>
          <w:szCs w:val="18"/>
        </w:rPr>
      </w:pPr>
      <w:r w:rsidRPr="00B61508">
        <w:rPr>
          <w:rStyle w:val="FootnoteReference"/>
          <w:rFonts w:cstheme="minorHAnsi"/>
          <w:sz w:val="18"/>
          <w:szCs w:val="18"/>
        </w:rPr>
        <w:footnoteRef/>
      </w:r>
      <w:r w:rsidRPr="00B61508">
        <w:rPr>
          <w:rFonts w:cstheme="minorHAnsi"/>
          <w:sz w:val="18"/>
          <w:szCs w:val="18"/>
        </w:rPr>
        <w:t xml:space="preserve"> A roadheader is a piece of excavation equipment that can be used in tunnelling and mining. </w:t>
      </w:r>
    </w:p>
  </w:footnote>
  <w:footnote w:id="14">
    <w:p w14:paraId="15714177" w14:textId="77777777" w:rsidR="00A60C2E" w:rsidRDefault="00A60C2E" w:rsidP="00A60C2E">
      <w:pPr>
        <w:pStyle w:val="FootnoteText"/>
      </w:pPr>
      <w:r w:rsidRPr="00B61508">
        <w:rPr>
          <w:rStyle w:val="FootnoteReference"/>
          <w:rFonts w:cstheme="minorHAnsi"/>
          <w:sz w:val="18"/>
          <w:szCs w:val="18"/>
        </w:rPr>
        <w:footnoteRef/>
      </w:r>
      <w:r w:rsidRPr="00B61508">
        <w:rPr>
          <w:rFonts w:cstheme="minorHAnsi"/>
          <w:sz w:val="18"/>
          <w:szCs w:val="18"/>
        </w:rPr>
        <w:t xml:space="preserve"> Chapter 6 of the model WHS Regulations defines construction work as “any work carried out in connection with the construction, alteration, conversion, fitting</w:t>
      </w:r>
      <w:r w:rsidRPr="00B61508">
        <w:rPr>
          <w:rFonts w:cstheme="minorHAnsi"/>
          <w:sz w:val="18"/>
          <w:szCs w:val="18"/>
        </w:rPr>
        <w:noBreakHyphen/>
        <w:t xml:space="preserve">out, commissioning, renovation, repair, maintenance, refurbishment, demolition, decommissioning or dismantling of a structure”. For a full definition, refer to </w:t>
      </w:r>
      <w:r>
        <w:rPr>
          <w:rFonts w:cstheme="minorHAnsi"/>
          <w:sz w:val="18"/>
          <w:szCs w:val="18"/>
        </w:rPr>
        <w:t>r</w:t>
      </w:r>
      <w:r w:rsidRPr="00B61508">
        <w:rPr>
          <w:rFonts w:cstheme="minorHAnsi"/>
          <w:sz w:val="18"/>
          <w:szCs w:val="18"/>
        </w:rPr>
        <w:t xml:space="preserve">289. </w:t>
      </w:r>
    </w:p>
    <w:p w14:paraId="79184158" w14:textId="34E9221C" w:rsidR="00C506CE" w:rsidRDefault="00A60C2E" w:rsidP="00A60C2E">
      <w:pPr>
        <w:pStyle w:val="FootnoteText"/>
      </w:pPr>
      <w:r w:rsidRPr="00B61508">
        <w:rPr>
          <w:rFonts w:cstheme="minorHAnsi"/>
          <w:sz w:val="18"/>
          <w:szCs w:val="18"/>
        </w:rPr>
        <w:t xml:space="preserve"> </w:t>
      </w:r>
    </w:p>
  </w:footnote>
  <w:footnote w:id="15">
    <w:p w14:paraId="56770A71" w14:textId="77777777" w:rsidR="00C95F04" w:rsidRDefault="00C95F04" w:rsidP="00C95F04">
      <w:pPr>
        <w:pStyle w:val="FootnoteText"/>
      </w:pPr>
      <w:r w:rsidRPr="006B46AC">
        <w:rPr>
          <w:rStyle w:val="FootnoteReference"/>
          <w:sz w:val="16"/>
          <w:szCs w:val="16"/>
        </w:rPr>
        <w:footnoteRef/>
      </w:r>
      <w:r w:rsidRPr="006B46AC">
        <w:rPr>
          <w:sz w:val="16"/>
          <w:szCs w:val="16"/>
        </w:rPr>
        <w:t xml:space="preserve"> Office of Impact Assessment, Best Practice Regulation Guidance Note – Value of statistical Life, August 2022.</w:t>
      </w:r>
    </w:p>
  </w:footnote>
  <w:footnote w:id="16">
    <w:p w14:paraId="2FD8736F" w14:textId="77777777" w:rsidR="00C95F04" w:rsidRDefault="00C95F04" w:rsidP="00C95F04">
      <w:pPr>
        <w:pStyle w:val="FootnoteText"/>
      </w:pPr>
      <w:r w:rsidRPr="006B46AC">
        <w:rPr>
          <w:rStyle w:val="FootnoteReference"/>
          <w:sz w:val="16"/>
          <w:szCs w:val="16"/>
        </w:rPr>
        <w:footnoteRef/>
      </w:r>
      <w:r w:rsidRPr="006B46AC">
        <w:rPr>
          <w:sz w:val="16"/>
          <w:szCs w:val="16"/>
        </w:rPr>
        <w:t xml:space="preserve"> Office of Impact Assessment, Best Practice Regulation Guidance Note – Value of statistical Life, August 2022.</w:t>
      </w:r>
    </w:p>
  </w:footnote>
  <w:footnote w:id="17">
    <w:p w14:paraId="56DD9C92" w14:textId="77777777" w:rsidR="002E5A3A" w:rsidRPr="00A25EBD" w:rsidRDefault="002E5A3A" w:rsidP="002E5A3A">
      <w:pPr>
        <w:pStyle w:val="FootnoteText"/>
        <w:rPr>
          <w:rFonts w:ascii="Arial" w:hAnsi="Arial" w:cs="Arial"/>
        </w:rPr>
      </w:pPr>
      <w:r w:rsidRPr="00A25EBD">
        <w:rPr>
          <w:rStyle w:val="FootnoteReference"/>
          <w:rFonts w:ascii="Arial" w:hAnsi="Arial" w:cs="Arial"/>
          <w:sz w:val="16"/>
          <w:szCs w:val="16"/>
        </w:rPr>
        <w:footnoteRef/>
      </w:r>
      <w:r w:rsidRPr="00A25EBD">
        <w:rPr>
          <w:rFonts w:ascii="Arial" w:hAnsi="Arial" w:cs="Arial"/>
          <w:sz w:val="16"/>
          <w:szCs w:val="16"/>
        </w:rPr>
        <w:t xml:space="preserve"> Australian Engineered Stone Advisory Group (AESAG), Application for authorisation to the Australian Competition and Consumer </w:t>
      </w:r>
      <w:r>
        <w:rPr>
          <w:rFonts w:ascii="Arial" w:hAnsi="Arial" w:cs="Arial"/>
          <w:sz w:val="16"/>
          <w:szCs w:val="16"/>
        </w:rPr>
        <w:t xml:space="preserve">Competition </w:t>
      </w:r>
      <w:r w:rsidRPr="00A25EBD">
        <w:rPr>
          <w:rFonts w:ascii="Arial" w:hAnsi="Arial" w:cs="Arial"/>
          <w:sz w:val="16"/>
          <w:szCs w:val="16"/>
        </w:rPr>
        <w:t>(ACCC), 2019.</w:t>
      </w:r>
      <w:r w:rsidRPr="00A25EBD">
        <w:rPr>
          <w:rFonts w:ascii="Arial" w:hAnsi="Arial" w:cs="Arial"/>
        </w:rPr>
        <w:t xml:space="preserve"> </w:t>
      </w:r>
    </w:p>
  </w:footnote>
  <w:footnote w:id="18">
    <w:p w14:paraId="0ECC6CF3" w14:textId="77777777" w:rsidR="002E5A3A" w:rsidRDefault="002E5A3A" w:rsidP="002E5A3A">
      <w:pPr>
        <w:pStyle w:val="FootnoteText"/>
      </w:pPr>
      <w:r w:rsidRPr="00E2586E">
        <w:rPr>
          <w:rStyle w:val="FootnoteReference"/>
          <w:rFonts w:ascii="Arial" w:hAnsi="Arial" w:cs="Arial"/>
          <w:sz w:val="16"/>
          <w:szCs w:val="16"/>
        </w:rPr>
        <w:footnoteRef/>
      </w:r>
      <w:r w:rsidRPr="00E2586E">
        <w:rPr>
          <w:rFonts w:ascii="Arial" w:hAnsi="Arial" w:cs="Arial"/>
          <w:sz w:val="16"/>
          <w:szCs w:val="16"/>
        </w:rPr>
        <w:t xml:space="preserve"> Quantum Market Research (prepared for Department of Health, National Dust Disease Taskforce), Dust Disease Research Update – Final Report, May 2021</w:t>
      </w:r>
    </w:p>
  </w:footnote>
  <w:footnote w:id="19">
    <w:p w14:paraId="537C6CEF" w14:textId="77777777" w:rsidR="002E5A3A" w:rsidRPr="00E2586E" w:rsidRDefault="002E5A3A" w:rsidP="002E5A3A">
      <w:pPr>
        <w:pStyle w:val="FootnoteText"/>
        <w:rPr>
          <w:rFonts w:ascii="Arial" w:hAnsi="Arial" w:cs="Arial"/>
          <w:sz w:val="16"/>
          <w:szCs w:val="16"/>
        </w:rPr>
      </w:pPr>
      <w:r w:rsidRPr="00E2586E">
        <w:rPr>
          <w:rStyle w:val="FootnoteReference"/>
          <w:sz w:val="16"/>
          <w:szCs w:val="16"/>
        </w:rPr>
        <w:footnoteRef/>
      </w:r>
      <w:r w:rsidRPr="00E2586E">
        <w:rPr>
          <w:sz w:val="16"/>
          <w:szCs w:val="16"/>
        </w:rPr>
        <w:t xml:space="preserve"> </w:t>
      </w:r>
      <w:r w:rsidRPr="00E2586E">
        <w:rPr>
          <w:rFonts w:ascii="Arial" w:hAnsi="Arial" w:cs="Arial"/>
          <w:sz w:val="16"/>
          <w:szCs w:val="16"/>
        </w:rPr>
        <w:t>Consultation Regulation Impact Statement: Managing the risks of respirable crystalline silica at work – Caesarstone submission, 2022.</w:t>
      </w:r>
    </w:p>
  </w:footnote>
  <w:footnote w:id="20">
    <w:p w14:paraId="676BF1AD" w14:textId="77777777" w:rsidR="002E5A3A" w:rsidRDefault="002E5A3A" w:rsidP="002E5A3A">
      <w:pPr>
        <w:pStyle w:val="FootnoteText"/>
      </w:pPr>
      <w:r>
        <w:rPr>
          <w:rStyle w:val="FootnoteReference"/>
        </w:rPr>
        <w:footnoteRef/>
      </w:r>
      <w:r>
        <w:t xml:space="preserve"> </w:t>
      </w:r>
      <w:r w:rsidRPr="00A25EBD">
        <w:rPr>
          <w:rFonts w:ascii="Arial" w:hAnsi="Arial" w:cs="Arial"/>
          <w:sz w:val="16"/>
          <w:szCs w:val="16"/>
        </w:rPr>
        <w:t xml:space="preserve">Australian Engineered Stone Advisory Group (AESAG), Application for authorisation to the Australian Competition and Consumer </w:t>
      </w:r>
      <w:r>
        <w:rPr>
          <w:rFonts w:ascii="Arial" w:hAnsi="Arial" w:cs="Arial"/>
          <w:sz w:val="16"/>
          <w:szCs w:val="16"/>
        </w:rPr>
        <w:t xml:space="preserve">Competition </w:t>
      </w:r>
      <w:r w:rsidRPr="00A25EBD">
        <w:rPr>
          <w:rFonts w:ascii="Arial" w:hAnsi="Arial" w:cs="Arial"/>
          <w:sz w:val="16"/>
          <w:szCs w:val="16"/>
        </w:rPr>
        <w:t>(ACCC), 2019.</w:t>
      </w:r>
    </w:p>
  </w:footnote>
  <w:footnote w:id="21">
    <w:p w14:paraId="3323666B" w14:textId="77777777" w:rsidR="002E5A3A" w:rsidRPr="00933080" w:rsidRDefault="002E5A3A" w:rsidP="007873D5">
      <w:pPr>
        <w:pStyle w:val="FootnoteText"/>
      </w:pPr>
      <w:r w:rsidRPr="00933080">
        <w:rPr>
          <w:rStyle w:val="FootnoteReference"/>
        </w:rPr>
        <w:footnoteRef/>
      </w:r>
      <w:r w:rsidRPr="00933080">
        <w:t xml:space="preserve"> </w:t>
      </w:r>
      <w:r w:rsidRPr="00933080">
        <w:rPr>
          <w:rFonts w:ascii="Arial" w:hAnsi="Arial" w:cs="Arial"/>
          <w:sz w:val="16"/>
          <w:szCs w:val="16"/>
        </w:rPr>
        <w:t>My Skills Australia, Department of Employment and Workplace Relations, 2022</w:t>
      </w:r>
    </w:p>
  </w:footnote>
  <w:footnote w:id="22">
    <w:p w14:paraId="20CE0E12" w14:textId="3F5BC680" w:rsidR="007873D5" w:rsidRDefault="002E5A3A" w:rsidP="007873D5">
      <w:pPr>
        <w:pStyle w:val="Heading1"/>
        <w:numPr>
          <w:ilvl w:val="0"/>
          <w:numId w:val="0"/>
        </w:numPr>
        <w:spacing w:after="0" w:line="240" w:lineRule="auto"/>
        <w:ind w:left="851" w:hanging="851"/>
        <w:rPr>
          <w:rFonts w:ascii="Arial" w:hAnsi="Arial" w:cs="Arial"/>
          <w:b w:val="0"/>
          <w:color w:val="auto"/>
          <w:sz w:val="16"/>
          <w:szCs w:val="16"/>
        </w:rPr>
      </w:pPr>
      <w:r w:rsidRPr="00933080">
        <w:rPr>
          <w:rStyle w:val="FootnoteReference"/>
          <w:rFonts w:ascii="Arial" w:hAnsi="Arial" w:cs="Arial"/>
          <w:b w:val="0"/>
          <w:color w:val="auto"/>
          <w:sz w:val="16"/>
          <w:szCs w:val="16"/>
        </w:rPr>
        <w:footnoteRef/>
      </w:r>
      <w:r w:rsidRPr="00933080">
        <w:rPr>
          <w:rFonts w:ascii="Arial" w:hAnsi="Arial" w:cs="Arial"/>
          <w:b w:val="0"/>
          <w:color w:val="auto"/>
          <w:sz w:val="16"/>
          <w:szCs w:val="16"/>
        </w:rPr>
        <w:t xml:space="preserve"> </w:t>
      </w:r>
      <w:r w:rsidRPr="00933080">
        <w:rPr>
          <w:rFonts w:ascii="Arial" w:eastAsia="Times New Roman" w:hAnsi="Arial" w:cs="Arial"/>
          <w:b w:val="0"/>
          <w:color w:val="auto"/>
          <w:kern w:val="36"/>
          <w:sz w:val="16"/>
          <w:szCs w:val="16"/>
          <w:lang w:eastAsia="en-AU"/>
        </w:rPr>
        <w:t xml:space="preserve">Support for Australian Apprentices, </w:t>
      </w:r>
      <w:r w:rsidRPr="00933080">
        <w:rPr>
          <w:rFonts w:ascii="Arial" w:hAnsi="Arial" w:cs="Arial"/>
          <w:b w:val="0"/>
          <w:color w:val="auto"/>
          <w:sz w:val="16"/>
          <w:szCs w:val="16"/>
        </w:rPr>
        <w:t>Australian Apprentices</w:t>
      </w:r>
      <w:r w:rsidR="00475415">
        <w:rPr>
          <w:rFonts w:ascii="Arial" w:hAnsi="Arial" w:cs="Arial"/>
          <w:b w:val="0"/>
          <w:color w:val="auto"/>
          <w:sz w:val="16"/>
          <w:szCs w:val="16"/>
        </w:rPr>
        <w:t>hips</w:t>
      </w:r>
      <w:r w:rsidRPr="00933080">
        <w:rPr>
          <w:rFonts w:ascii="Arial" w:hAnsi="Arial" w:cs="Arial"/>
          <w:b w:val="0"/>
          <w:color w:val="auto"/>
          <w:sz w:val="16"/>
          <w:szCs w:val="16"/>
        </w:rPr>
        <w:t xml:space="preserve"> - Australian Government, 2022 </w:t>
      </w:r>
    </w:p>
    <w:p w14:paraId="2D430DB9" w14:textId="4F020016" w:rsidR="007873D5" w:rsidRPr="003540D1" w:rsidRDefault="007873D5" w:rsidP="007873D5">
      <w:pPr>
        <w:pStyle w:val="Heading1"/>
        <w:numPr>
          <w:ilvl w:val="0"/>
          <w:numId w:val="0"/>
        </w:numPr>
        <w:spacing w:after="0" w:line="240" w:lineRule="auto"/>
        <w:rPr>
          <w:rFonts w:ascii="Arial" w:hAnsi="Arial" w:cs="Arial"/>
          <w:b w:val="0"/>
          <w:color w:val="auto"/>
          <w:sz w:val="16"/>
          <w:szCs w:val="16"/>
        </w:rPr>
      </w:pPr>
      <w:r w:rsidRPr="00933080">
        <w:rPr>
          <w:rStyle w:val="FootnoteReference"/>
          <w:rFonts w:ascii="Arial" w:hAnsi="Arial" w:cs="Arial"/>
          <w:b w:val="0"/>
          <w:color w:val="auto"/>
          <w:sz w:val="16"/>
          <w:szCs w:val="16"/>
        </w:rPr>
        <w:footnoteRef/>
      </w:r>
      <w:r w:rsidRPr="00933080">
        <w:rPr>
          <w:rFonts w:ascii="Arial" w:hAnsi="Arial" w:cs="Arial"/>
          <w:b w:val="0"/>
          <w:color w:val="auto"/>
          <w:sz w:val="16"/>
          <w:szCs w:val="16"/>
        </w:rPr>
        <w:t xml:space="preserve"> </w:t>
      </w:r>
      <w:r w:rsidRPr="007873D5">
        <w:rPr>
          <w:rFonts w:ascii="Arial" w:hAnsi="Arial" w:cs="Arial"/>
          <w:b w:val="0"/>
          <w:color w:val="auto"/>
          <w:sz w:val="16"/>
          <w:szCs w:val="16"/>
        </w:rPr>
        <w:t xml:space="preserve">Cert III for: Civil construction, cabinet making, tiling, fabrication trade </w:t>
      </w:r>
      <w:r>
        <w:rPr>
          <w:rFonts w:ascii="Arial" w:hAnsi="Arial" w:cs="Arial"/>
          <w:b w:val="0"/>
          <w:color w:val="auto"/>
          <w:sz w:val="16"/>
          <w:szCs w:val="16"/>
        </w:rPr>
        <w:t>are all currently listed on the Australian Apprenticeship Priority List as at 12 January 2023</w:t>
      </w:r>
    </w:p>
    <w:p w14:paraId="226D9ABB" w14:textId="3A69FB86" w:rsidR="002E5A3A" w:rsidRDefault="007873D5" w:rsidP="008713D9">
      <w:pPr>
        <w:pStyle w:val="Heading1"/>
        <w:numPr>
          <w:ilvl w:val="0"/>
          <w:numId w:val="0"/>
        </w:numPr>
        <w:spacing w:line="240" w:lineRule="auto"/>
        <w:ind w:left="851" w:hanging="851"/>
      </w:pPr>
      <w:r w:rsidRPr="00933080">
        <w:rPr>
          <w:rStyle w:val="FootnoteReference"/>
          <w:rFonts w:ascii="Arial" w:hAnsi="Arial" w:cs="Arial"/>
          <w:b w:val="0"/>
          <w:color w:val="auto"/>
          <w:sz w:val="16"/>
          <w:szCs w:val="16"/>
        </w:rPr>
        <w:footnoteRef/>
      </w:r>
      <w:r w:rsidRPr="00933080">
        <w:rPr>
          <w:rFonts w:ascii="Arial" w:hAnsi="Arial" w:cs="Arial"/>
          <w:b w:val="0"/>
          <w:color w:val="auto"/>
          <w:sz w:val="16"/>
          <w:szCs w:val="16"/>
        </w:rPr>
        <w:t xml:space="preserve"> </w:t>
      </w:r>
      <w:r w:rsidR="009D73E0">
        <w:rPr>
          <w:rFonts w:ascii="Arial" w:hAnsi="Arial" w:cs="Arial"/>
          <w:b w:val="0"/>
          <w:color w:val="auto"/>
          <w:sz w:val="16"/>
          <w:szCs w:val="16"/>
        </w:rPr>
        <w:t>Employer Incentives</w:t>
      </w:r>
      <w:r w:rsidR="006C44F5">
        <w:rPr>
          <w:rFonts w:ascii="Arial" w:hAnsi="Arial" w:cs="Arial"/>
          <w:b w:val="0"/>
          <w:color w:val="auto"/>
          <w:sz w:val="16"/>
          <w:szCs w:val="16"/>
        </w:rPr>
        <w:t xml:space="preserve">, </w:t>
      </w:r>
      <w:r w:rsidRPr="00933080">
        <w:rPr>
          <w:rFonts w:ascii="Arial" w:hAnsi="Arial" w:cs="Arial"/>
          <w:b w:val="0"/>
          <w:color w:val="auto"/>
          <w:sz w:val="16"/>
          <w:szCs w:val="16"/>
        </w:rPr>
        <w:t>Australian Apprentices</w:t>
      </w:r>
      <w:r w:rsidR="00475415">
        <w:rPr>
          <w:rFonts w:ascii="Arial" w:hAnsi="Arial" w:cs="Arial"/>
          <w:b w:val="0"/>
          <w:color w:val="auto"/>
          <w:sz w:val="16"/>
          <w:szCs w:val="16"/>
        </w:rPr>
        <w:t>hips</w:t>
      </w:r>
      <w:r w:rsidRPr="00933080">
        <w:rPr>
          <w:rFonts w:ascii="Arial" w:hAnsi="Arial" w:cs="Arial"/>
          <w:b w:val="0"/>
          <w:color w:val="auto"/>
          <w:sz w:val="16"/>
          <w:szCs w:val="16"/>
        </w:rPr>
        <w:t xml:space="preserve"> - Australian Government, 2022 </w:t>
      </w:r>
    </w:p>
  </w:footnote>
  <w:footnote w:id="23">
    <w:p w14:paraId="380C5F35" w14:textId="77777777" w:rsidR="007873D5" w:rsidRDefault="007873D5" w:rsidP="007873D5">
      <w:pPr>
        <w:pStyle w:val="FootnoteText"/>
      </w:pPr>
    </w:p>
  </w:footnote>
  <w:footnote w:id="24">
    <w:p w14:paraId="223E03E6" w14:textId="77777777" w:rsidR="007873D5" w:rsidRDefault="007873D5" w:rsidP="007873D5">
      <w:pPr>
        <w:pStyle w:val="FootnoteText"/>
      </w:pPr>
    </w:p>
  </w:footnote>
  <w:footnote w:id="25">
    <w:p w14:paraId="74D28C40" w14:textId="02EA9807" w:rsidR="001B2AF3" w:rsidRDefault="001B2AF3">
      <w:pPr>
        <w:pStyle w:val="FootnoteText"/>
      </w:pPr>
      <w:r>
        <w:rPr>
          <w:rStyle w:val="FootnoteReference"/>
        </w:rPr>
        <w:footnoteRef/>
      </w:r>
      <w:r>
        <w:t xml:space="preserve"> </w:t>
      </w:r>
      <w:r w:rsidR="00C619CA" w:rsidRPr="00E10638">
        <w:rPr>
          <w:rFonts w:ascii="Arial" w:hAnsi="Arial" w:cs="Arial"/>
          <w:sz w:val="16"/>
          <w:szCs w:val="16"/>
        </w:rPr>
        <w:t>National Skills Commission</w:t>
      </w:r>
      <w:r w:rsidR="00C619CA">
        <w:rPr>
          <w:rFonts w:ascii="Arial" w:hAnsi="Arial" w:cs="Arial"/>
          <w:sz w:val="16"/>
          <w:szCs w:val="16"/>
        </w:rPr>
        <w:t xml:space="preserve">, </w:t>
      </w:r>
      <w:r w:rsidR="00C619CA" w:rsidRPr="00E10638">
        <w:rPr>
          <w:rFonts w:ascii="Arial" w:hAnsi="Arial" w:cs="Arial"/>
          <w:sz w:val="16"/>
          <w:szCs w:val="16"/>
        </w:rPr>
        <w:t xml:space="preserve">2022 Skills Priority List– Key Findings Report, </w:t>
      </w:r>
      <w:r w:rsidR="00C619CA">
        <w:rPr>
          <w:rFonts w:ascii="Arial" w:hAnsi="Arial" w:cs="Arial"/>
          <w:sz w:val="16"/>
          <w:szCs w:val="16"/>
        </w:rPr>
        <w:t>March 2022</w:t>
      </w:r>
    </w:p>
  </w:footnote>
  <w:footnote w:id="26">
    <w:p w14:paraId="2D32F328" w14:textId="38C664F8" w:rsidR="00262C50" w:rsidRPr="00B7408F" w:rsidRDefault="00262C50" w:rsidP="00722C6A">
      <w:pPr>
        <w:pStyle w:val="FootnoteText"/>
        <w:rPr>
          <w:rFonts w:cstheme="minorHAnsi"/>
          <w:sz w:val="18"/>
          <w:szCs w:val="18"/>
        </w:rPr>
      </w:pPr>
      <w:r w:rsidRPr="00B61508">
        <w:rPr>
          <w:rStyle w:val="FootnoteReference"/>
          <w:rFonts w:cstheme="minorHAnsi"/>
          <w:sz w:val="18"/>
          <w:szCs w:val="18"/>
        </w:rPr>
        <w:footnoteRef/>
      </w:r>
      <w:r w:rsidRPr="00B61508">
        <w:rPr>
          <w:rFonts w:cstheme="minorHAnsi"/>
          <w:sz w:val="18"/>
          <w:szCs w:val="18"/>
        </w:rPr>
        <w:t xml:space="preserve"> </w:t>
      </w:r>
      <w:r w:rsidR="00722C6A" w:rsidRPr="00B7408F">
        <w:rPr>
          <w:rFonts w:cstheme="minorHAnsi"/>
          <w:sz w:val="18"/>
          <w:szCs w:val="18"/>
        </w:rPr>
        <w:t xml:space="preserve">Safe Work Australia has published an interpretive guideline on the meaning of reasonably practicable </w:t>
      </w:r>
      <w:r w:rsidR="00722C6A" w:rsidRPr="00B7408F">
        <w:rPr>
          <w:rFonts w:cstheme="minorHAnsi"/>
          <w:sz w:val="18"/>
          <w:szCs w:val="18"/>
        </w:rPr>
        <w:fldChar w:fldCharType="begin"/>
      </w:r>
      <w:r w:rsidR="004067E3" w:rsidRPr="00B7408F">
        <w:rPr>
          <w:rFonts w:cstheme="minorHAnsi"/>
          <w:sz w:val="18"/>
          <w:szCs w:val="18"/>
        </w:rPr>
        <w:instrText xml:space="preserve"> ADDIN ZOTERO_ITEM CSL_CITATION {"citationID":"8JaohWmS","properties":{"formattedCitation":"(Safe Work Australia 2011)","plainCitation":"(Safe Work Australia 2011)","noteIndex":9},"citationItems":[{"id":904,"uris":["http://zotero.org/users/6230888/items/6HRP67Y7"],"itemData":{"id":904,"type":"report","page":"7","title":"Interpretive guideline – Model Work Health and Safety Act - the meaning of reasonably practicable","URL":"https://www.safeworkaustralia.gov.au/doc/interpretive-guideline-model-work-health-and-safety-act-meaning-reasonably-practicable","author":[{"literal":"Safe Work Australia"}],"accessed":{"date-parts":[["2022",6,30]]},"issued":{"date-parts":[["2011"]]}}}],"schema":"https://github.com/citation-style-language/schema/raw/master/csl-citation.json"} </w:instrText>
      </w:r>
      <w:r w:rsidR="00722C6A" w:rsidRPr="00B7408F">
        <w:rPr>
          <w:rFonts w:cstheme="minorHAnsi"/>
          <w:sz w:val="18"/>
          <w:szCs w:val="18"/>
        </w:rPr>
        <w:fldChar w:fldCharType="separate"/>
      </w:r>
      <w:r w:rsidR="006B4A7D" w:rsidRPr="00B7408F">
        <w:rPr>
          <w:rFonts w:ascii="Calibri" w:hAnsi="Calibri" w:cs="Calibri"/>
          <w:sz w:val="18"/>
          <w:szCs w:val="18"/>
        </w:rPr>
        <w:t>(Safe Work Australia 2011)</w:t>
      </w:r>
      <w:r w:rsidR="00722C6A" w:rsidRPr="00B7408F">
        <w:rPr>
          <w:rFonts w:cstheme="minorHAnsi"/>
          <w:sz w:val="18"/>
          <w:szCs w:val="18"/>
        </w:rPr>
        <w:fldChar w:fldCharType="end"/>
      </w:r>
      <w:r w:rsidR="00722C6A" w:rsidRPr="00B7408F">
        <w:rPr>
          <w:rFonts w:cstheme="minorHAnsi"/>
          <w:sz w:val="18"/>
          <w:szCs w:val="18"/>
        </w:rPr>
        <w:t>.</w:t>
      </w:r>
    </w:p>
  </w:footnote>
  <w:footnote w:id="27">
    <w:p w14:paraId="16A71F86" w14:textId="15368476" w:rsidR="00262C50" w:rsidRPr="00B7408F" w:rsidRDefault="00262C50" w:rsidP="00722C6A">
      <w:pPr>
        <w:spacing w:after="0"/>
        <w:rPr>
          <w:rFonts w:cstheme="minorHAnsi"/>
          <w:sz w:val="18"/>
          <w:szCs w:val="18"/>
        </w:rPr>
      </w:pPr>
      <w:r w:rsidRPr="00B7408F">
        <w:rPr>
          <w:rFonts w:cstheme="minorHAnsi"/>
          <w:sz w:val="18"/>
          <w:szCs w:val="18"/>
          <w:vertAlign w:val="superscript"/>
        </w:rPr>
        <w:footnoteRef/>
      </w:r>
      <w:r w:rsidRPr="00B7408F">
        <w:rPr>
          <w:rFonts w:cstheme="minorHAnsi"/>
          <w:sz w:val="18"/>
          <w:szCs w:val="18"/>
        </w:rPr>
        <w:t xml:space="preserve"> model Work Health and Safety Act s17 (WHS Act); model Work Health and Safety Regulations r35 (WHS Regulations).</w:t>
      </w:r>
    </w:p>
  </w:footnote>
  <w:footnote w:id="28">
    <w:p w14:paraId="2BA58C54" w14:textId="77777777" w:rsidR="00722C6A" w:rsidRPr="00B7408F" w:rsidRDefault="00722C6A" w:rsidP="00722C6A">
      <w:pPr>
        <w:spacing w:after="0"/>
        <w:rPr>
          <w:rFonts w:cstheme="minorHAnsi"/>
          <w:sz w:val="18"/>
          <w:szCs w:val="18"/>
        </w:rPr>
      </w:pPr>
      <w:r w:rsidRPr="00B7408F">
        <w:rPr>
          <w:rFonts w:cstheme="minorHAnsi"/>
          <w:sz w:val="18"/>
          <w:szCs w:val="18"/>
          <w:vertAlign w:val="superscript"/>
        </w:rPr>
        <w:footnoteRef/>
      </w:r>
      <w:r w:rsidRPr="00B7408F">
        <w:rPr>
          <w:rFonts w:cstheme="minorHAnsi"/>
          <w:sz w:val="18"/>
          <w:szCs w:val="18"/>
        </w:rPr>
        <w:t xml:space="preserve"> model WHS Act s19 and s21; model WHS Regulations r39.</w:t>
      </w:r>
    </w:p>
  </w:footnote>
  <w:footnote w:id="29">
    <w:p w14:paraId="20A3253F" w14:textId="5A3F07A8" w:rsidR="00262C50" w:rsidRPr="00B7408F" w:rsidRDefault="00262C50" w:rsidP="00722C6A">
      <w:pPr>
        <w:spacing w:after="0"/>
        <w:rPr>
          <w:rFonts w:cstheme="minorHAnsi"/>
          <w:sz w:val="18"/>
          <w:szCs w:val="18"/>
        </w:rPr>
      </w:pPr>
      <w:r w:rsidRPr="00B7408F">
        <w:rPr>
          <w:rFonts w:cstheme="minorHAnsi"/>
          <w:sz w:val="18"/>
          <w:szCs w:val="18"/>
          <w:vertAlign w:val="superscript"/>
        </w:rPr>
        <w:footnoteRef/>
      </w:r>
      <w:r w:rsidRPr="00B7408F">
        <w:rPr>
          <w:rFonts w:cstheme="minorHAnsi"/>
          <w:sz w:val="18"/>
          <w:szCs w:val="18"/>
        </w:rPr>
        <w:t xml:space="preserve"> model WHS Act s47.</w:t>
      </w:r>
    </w:p>
  </w:footnote>
  <w:footnote w:id="30">
    <w:p w14:paraId="78F2114B" w14:textId="77777777" w:rsidR="00951981" w:rsidRPr="00B7408F" w:rsidRDefault="00951981" w:rsidP="00951981">
      <w:pPr>
        <w:pStyle w:val="FootnoteText"/>
        <w:rPr>
          <w:sz w:val="18"/>
          <w:szCs w:val="18"/>
        </w:rPr>
      </w:pPr>
      <w:r w:rsidRPr="00B7408F">
        <w:rPr>
          <w:rStyle w:val="FootnoteReference"/>
          <w:sz w:val="18"/>
          <w:szCs w:val="18"/>
        </w:rPr>
        <w:footnoteRef/>
      </w:r>
      <w:r w:rsidRPr="00B7408F">
        <w:rPr>
          <w:sz w:val="18"/>
          <w:szCs w:val="18"/>
        </w:rPr>
        <w:t xml:space="preserve"> model WHS Act s70.</w:t>
      </w:r>
    </w:p>
  </w:footnote>
  <w:footnote w:id="31">
    <w:p w14:paraId="2DD8B0DD" w14:textId="2C1FE0E0" w:rsidR="00262C50" w:rsidRPr="00B7408F" w:rsidRDefault="00262C50" w:rsidP="00722C6A">
      <w:pPr>
        <w:spacing w:after="0"/>
        <w:rPr>
          <w:rFonts w:cstheme="minorHAnsi"/>
          <w:sz w:val="18"/>
          <w:szCs w:val="18"/>
        </w:rPr>
      </w:pPr>
      <w:r w:rsidRPr="00B7408F">
        <w:rPr>
          <w:rFonts w:cstheme="minorHAnsi"/>
          <w:sz w:val="18"/>
          <w:szCs w:val="18"/>
          <w:vertAlign w:val="superscript"/>
        </w:rPr>
        <w:footnoteRef/>
      </w:r>
      <w:r w:rsidRPr="00B7408F">
        <w:rPr>
          <w:rFonts w:cstheme="minorHAnsi"/>
          <w:sz w:val="18"/>
          <w:szCs w:val="18"/>
        </w:rPr>
        <w:t xml:space="preserve"> model WHS Act s47; model WHS Regulations r299 and r369.</w:t>
      </w:r>
    </w:p>
  </w:footnote>
  <w:footnote w:id="32">
    <w:p w14:paraId="7D57C78C" w14:textId="77777777" w:rsidR="00951981" w:rsidRPr="00B61508" w:rsidRDefault="00951981" w:rsidP="00951981">
      <w:pPr>
        <w:spacing w:after="0"/>
        <w:rPr>
          <w:rFonts w:cstheme="minorHAnsi"/>
          <w:sz w:val="18"/>
          <w:szCs w:val="18"/>
        </w:rPr>
      </w:pPr>
      <w:r w:rsidRPr="00B7408F">
        <w:rPr>
          <w:rFonts w:cstheme="minorHAnsi"/>
          <w:sz w:val="18"/>
          <w:szCs w:val="18"/>
          <w:vertAlign w:val="superscript"/>
        </w:rPr>
        <w:footnoteRef/>
      </w:r>
      <w:r w:rsidRPr="00B7408F">
        <w:rPr>
          <w:rFonts w:cstheme="minorHAnsi"/>
          <w:sz w:val="18"/>
          <w:szCs w:val="18"/>
        </w:rPr>
        <w:t xml:space="preserve"> model WHS Act s46.</w:t>
      </w:r>
    </w:p>
  </w:footnote>
  <w:footnote w:id="33">
    <w:p w14:paraId="2226C8D5" w14:textId="79205164" w:rsidR="00262C50" w:rsidRPr="00B61508" w:rsidRDefault="00262C50" w:rsidP="00262C50">
      <w:pPr>
        <w:rPr>
          <w:rFonts w:cstheme="minorHAnsi"/>
          <w:sz w:val="18"/>
          <w:szCs w:val="18"/>
        </w:rPr>
      </w:pPr>
      <w:r w:rsidRPr="00B61508">
        <w:rPr>
          <w:rFonts w:cstheme="minorHAnsi"/>
          <w:sz w:val="18"/>
          <w:szCs w:val="18"/>
          <w:vertAlign w:val="superscript"/>
        </w:rPr>
        <w:footnoteRef/>
      </w:r>
      <w:r w:rsidRPr="00B61508">
        <w:rPr>
          <w:rFonts w:cstheme="minorHAnsi"/>
          <w:sz w:val="18"/>
          <w:szCs w:val="18"/>
        </w:rPr>
        <w:t xml:space="preserve"> model WHS Regulations r49.</w:t>
      </w:r>
    </w:p>
  </w:footnote>
  <w:footnote w:id="34">
    <w:p w14:paraId="21C507D1" w14:textId="2705702B" w:rsidR="00262C50" w:rsidRPr="00B61508" w:rsidRDefault="00262C50" w:rsidP="005F604B">
      <w:pPr>
        <w:spacing w:after="0"/>
        <w:rPr>
          <w:rFonts w:cstheme="minorHAnsi"/>
          <w:sz w:val="18"/>
          <w:szCs w:val="18"/>
        </w:rPr>
      </w:pPr>
      <w:r w:rsidRPr="00B61508">
        <w:rPr>
          <w:rFonts w:cstheme="minorHAnsi"/>
          <w:sz w:val="18"/>
          <w:szCs w:val="18"/>
          <w:vertAlign w:val="superscript"/>
        </w:rPr>
        <w:footnoteRef/>
      </w:r>
      <w:r w:rsidRPr="00B61508">
        <w:rPr>
          <w:rFonts w:cstheme="minorHAnsi"/>
          <w:sz w:val="18"/>
          <w:szCs w:val="18"/>
        </w:rPr>
        <w:t xml:space="preserve"> model WHS Regulations r50 and r368.</w:t>
      </w:r>
    </w:p>
  </w:footnote>
  <w:footnote w:id="35">
    <w:p w14:paraId="1EC99BB8" w14:textId="7FD10DBE" w:rsidR="00262C50" w:rsidRPr="00B61508" w:rsidRDefault="00262C50" w:rsidP="005F604B">
      <w:pPr>
        <w:spacing w:after="0"/>
        <w:rPr>
          <w:rFonts w:cstheme="minorHAnsi"/>
          <w:sz w:val="18"/>
          <w:szCs w:val="18"/>
        </w:rPr>
      </w:pPr>
      <w:r w:rsidRPr="00B61508">
        <w:rPr>
          <w:rFonts w:cstheme="minorHAnsi"/>
          <w:sz w:val="18"/>
          <w:szCs w:val="18"/>
          <w:vertAlign w:val="superscript"/>
        </w:rPr>
        <w:footnoteRef/>
      </w:r>
      <w:r w:rsidRPr="00B61508">
        <w:rPr>
          <w:rFonts w:cstheme="minorHAnsi"/>
          <w:sz w:val="18"/>
          <w:szCs w:val="18"/>
        </w:rPr>
        <w:t xml:space="preserve"> model WHS Regulations r378.</w:t>
      </w:r>
    </w:p>
  </w:footnote>
  <w:footnote w:id="36">
    <w:p w14:paraId="0B614D18" w14:textId="77777777" w:rsidR="00951981" w:rsidRPr="00B61508" w:rsidRDefault="00951981" w:rsidP="00951981">
      <w:pPr>
        <w:rPr>
          <w:rFonts w:cstheme="minorHAnsi"/>
          <w:sz w:val="18"/>
          <w:szCs w:val="18"/>
        </w:rPr>
      </w:pPr>
      <w:r w:rsidRPr="00B61508">
        <w:rPr>
          <w:rFonts w:cstheme="minorHAnsi"/>
          <w:sz w:val="18"/>
          <w:szCs w:val="18"/>
          <w:vertAlign w:val="superscript"/>
        </w:rPr>
        <w:footnoteRef/>
      </w:r>
      <w:r w:rsidRPr="00B61508">
        <w:rPr>
          <w:rFonts w:cstheme="minorHAnsi"/>
          <w:sz w:val="18"/>
          <w:szCs w:val="18"/>
        </w:rPr>
        <w:t xml:space="preserve"> model WHS Regulations r370.</w:t>
      </w:r>
    </w:p>
  </w:footnote>
  <w:footnote w:id="37">
    <w:p w14:paraId="2ED75767" w14:textId="77777777" w:rsidR="00951981" w:rsidRPr="00B61508" w:rsidRDefault="00951981" w:rsidP="00951981">
      <w:pPr>
        <w:rPr>
          <w:rFonts w:cstheme="minorHAnsi"/>
          <w:sz w:val="18"/>
          <w:szCs w:val="18"/>
        </w:rPr>
      </w:pPr>
      <w:r w:rsidRPr="00B61508">
        <w:rPr>
          <w:rFonts w:cstheme="minorHAnsi"/>
          <w:sz w:val="18"/>
          <w:szCs w:val="18"/>
          <w:vertAlign w:val="superscript"/>
        </w:rPr>
        <w:footnoteRef/>
      </w:r>
      <w:r w:rsidRPr="00B61508">
        <w:rPr>
          <w:rFonts w:cstheme="minorHAnsi"/>
          <w:sz w:val="18"/>
          <w:szCs w:val="18"/>
        </w:rPr>
        <w:t xml:space="preserve"> model WHS Regulations r</w:t>
      </w:r>
      <w:r>
        <w:rPr>
          <w:rFonts w:cstheme="minorHAnsi"/>
          <w:sz w:val="18"/>
          <w:szCs w:val="18"/>
        </w:rPr>
        <w:t>r</w:t>
      </w:r>
      <w:r w:rsidRPr="00B61508">
        <w:rPr>
          <w:rFonts w:cstheme="minorHAnsi"/>
          <w:sz w:val="18"/>
          <w:szCs w:val="18"/>
        </w:rPr>
        <w:t>37</w:t>
      </w:r>
      <w:r>
        <w:rPr>
          <w:rFonts w:cstheme="minorHAnsi"/>
          <w:sz w:val="18"/>
          <w:szCs w:val="18"/>
        </w:rPr>
        <w:t>1, 375, 378</w:t>
      </w:r>
      <w:r w:rsidRPr="00B61508">
        <w:rPr>
          <w:rFonts w:cstheme="minorHAnsi"/>
          <w:sz w:val="18"/>
          <w:szCs w:val="18"/>
        </w:rPr>
        <w:t>.</w:t>
      </w:r>
    </w:p>
  </w:footnote>
  <w:footnote w:id="38">
    <w:p w14:paraId="6555BF3B" w14:textId="6683E1DB" w:rsidR="00262C50" w:rsidRPr="00B61508" w:rsidRDefault="00262C50" w:rsidP="005F604B">
      <w:pPr>
        <w:pStyle w:val="FootnoteText"/>
        <w:rPr>
          <w:rFonts w:cstheme="minorHAnsi"/>
          <w:sz w:val="18"/>
          <w:szCs w:val="18"/>
        </w:rPr>
      </w:pPr>
      <w:r w:rsidRPr="00B61508">
        <w:rPr>
          <w:rStyle w:val="FootnoteReference"/>
          <w:rFonts w:cstheme="minorHAnsi"/>
          <w:sz w:val="18"/>
          <w:szCs w:val="18"/>
        </w:rPr>
        <w:footnoteRef/>
      </w:r>
      <w:r w:rsidRPr="00B61508">
        <w:rPr>
          <w:rFonts w:cstheme="minorHAnsi"/>
          <w:sz w:val="18"/>
          <w:szCs w:val="18"/>
        </w:rPr>
        <w:t xml:space="preserve"> model WHS Regulations r370.</w:t>
      </w:r>
    </w:p>
  </w:footnote>
  <w:footnote w:id="39">
    <w:p w14:paraId="7B999AC1" w14:textId="154B900B" w:rsidR="00262C50" w:rsidRPr="00B61508" w:rsidRDefault="00262C50" w:rsidP="005F604B">
      <w:pPr>
        <w:spacing w:after="0"/>
        <w:rPr>
          <w:rFonts w:cstheme="minorHAnsi"/>
          <w:sz w:val="18"/>
          <w:szCs w:val="18"/>
        </w:rPr>
      </w:pPr>
      <w:r w:rsidRPr="00B61508">
        <w:rPr>
          <w:rFonts w:cstheme="minorHAnsi"/>
          <w:sz w:val="18"/>
          <w:szCs w:val="18"/>
          <w:vertAlign w:val="superscript"/>
        </w:rPr>
        <w:footnoteRef/>
      </w:r>
      <w:r w:rsidRPr="00B61508">
        <w:rPr>
          <w:rFonts w:cstheme="minorHAnsi"/>
          <w:sz w:val="18"/>
          <w:szCs w:val="18"/>
        </w:rPr>
        <w:t xml:space="preserve"> model WHS Regulations r299</w:t>
      </w:r>
    </w:p>
  </w:footnote>
  <w:footnote w:id="40">
    <w:p w14:paraId="4ED2CA02" w14:textId="343BBA83" w:rsidR="00262C50" w:rsidRPr="00B61508" w:rsidRDefault="00262C50" w:rsidP="005F604B">
      <w:pPr>
        <w:spacing w:after="0"/>
        <w:rPr>
          <w:rFonts w:cstheme="minorHAnsi"/>
          <w:sz w:val="18"/>
          <w:szCs w:val="18"/>
        </w:rPr>
      </w:pPr>
      <w:r w:rsidRPr="00B61508">
        <w:rPr>
          <w:rFonts w:cstheme="minorHAnsi"/>
          <w:sz w:val="18"/>
          <w:szCs w:val="18"/>
          <w:vertAlign w:val="superscript"/>
        </w:rPr>
        <w:footnoteRef/>
      </w:r>
      <w:r w:rsidRPr="00B61508">
        <w:rPr>
          <w:rFonts w:cstheme="minorHAnsi"/>
          <w:sz w:val="18"/>
          <w:szCs w:val="18"/>
          <w:vertAlign w:val="superscript"/>
        </w:rPr>
        <w:t xml:space="preserve"> </w:t>
      </w:r>
      <w:r w:rsidRPr="00B61508">
        <w:rPr>
          <w:rFonts w:cstheme="minorHAnsi"/>
          <w:sz w:val="18"/>
          <w:szCs w:val="18"/>
        </w:rPr>
        <w:t>model WHS Regulations r300</w:t>
      </w:r>
    </w:p>
  </w:footnote>
  <w:footnote w:id="41">
    <w:p w14:paraId="079C9E26" w14:textId="14EDFA12" w:rsidR="00262C50" w:rsidRPr="00B61508" w:rsidRDefault="00262C50" w:rsidP="00262C50">
      <w:pPr>
        <w:pStyle w:val="FootnoteText"/>
        <w:rPr>
          <w:rFonts w:cstheme="minorHAnsi"/>
          <w:sz w:val="18"/>
          <w:szCs w:val="18"/>
        </w:rPr>
      </w:pPr>
      <w:r w:rsidRPr="00B61508">
        <w:rPr>
          <w:rStyle w:val="FootnoteReference"/>
          <w:rFonts w:cstheme="minorHAnsi"/>
          <w:sz w:val="18"/>
          <w:szCs w:val="18"/>
        </w:rPr>
        <w:footnoteRef/>
      </w:r>
      <w:r w:rsidRPr="00B61508">
        <w:rPr>
          <w:rFonts w:cstheme="minorHAnsi"/>
          <w:sz w:val="18"/>
          <w:szCs w:val="18"/>
        </w:rPr>
        <w:t xml:space="preserve"> model WHS Act s28</w:t>
      </w:r>
    </w:p>
  </w:footnote>
  <w:footnote w:id="42">
    <w:p w14:paraId="1E6BCF1B" w14:textId="4830D87C" w:rsidR="00262C50" w:rsidRPr="00B61508" w:rsidRDefault="00262C50" w:rsidP="00262C50">
      <w:pPr>
        <w:pStyle w:val="FootnoteText"/>
        <w:rPr>
          <w:rFonts w:cstheme="minorHAnsi"/>
          <w:sz w:val="18"/>
          <w:szCs w:val="18"/>
        </w:rPr>
      </w:pPr>
      <w:r w:rsidRPr="00B61508">
        <w:rPr>
          <w:rStyle w:val="FootnoteReference"/>
          <w:rFonts w:cstheme="minorHAnsi"/>
          <w:sz w:val="18"/>
          <w:szCs w:val="18"/>
        </w:rPr>
        <w:footnoteRef/>
      </w:r>
      <w:r w:rsidRPr="00B61508">
        <w:rPr>
          <w:rFonts w:cstheme="minorHAnsi"/>
          <w:sz w:val="18"/>
          <w:szCs w:val="18"/>
        </w:rPr>
        <w:t xml:space="preserve"> model WHS Act s28</w:t>
      </w:r>
    </w:p>
  </w:footnote>
  <w:footnote w:id="43">
    <w:p w14:paraId="28F4F43C" w14:textId="089F4308" w:rsidR="00262C50" w:rsidRPr="00B61508" w:rsidRDefault="00262C50" w:rsidP="00262C50">
      <w:pPr>
        <w:pStyle w:val="FootnoteText"/>
        <w:rPr>
          <w:rFonts w:cstheme="minorHAnsi"/>
          <w:sz w:val="18"/>
          <w:szCs w:val="18"/>
        </w:rPr>
      </w:pPr>
      <w:r w:rsidRPr="00B61508">
        <w:rPr>
          <w:rStyle w:val="FootnoteReference"/>
          <w:rFonts w:cstheme="minorHAnsi"/>
          <w:sz w:val="18"/>
          <w:szCs w:val="18"/>
        </w:rPr>
        <w:footnoteRef/>
      </w:r>
      <w:r w:rsidRPr="00B61508">
        <w:rPr>
          <w:rFonts w:cstheme="minorHAnsi"/>
          <w:sz w:val="18"/>
          <w:szCs w:val="18"/>
        </w:rPr>
        <w:t xml:space="preserve"> model WHS Act s27</w:t>
      </w:r>
    </w:p>
  </w:footnote>
  <w:footnote w:id="44">
    <w:p w14:paraId="584A68D4" w14:textId="589D49F1" w:rsidR="00262C50" w:rsidRPr="00B61508" w:rsidRDefault="00262C50" w:rsidP="00262C50">
      <w:pPr>
        <w:pStyle w:val="FootnoteText"/>
        <w:rPr>
          <w:rFonts w:cstheme="minorHAnsi"/>
          <w:sz w:val="18"/>
          <w:szCs w:val="18"/>
        </w:rPr>
      </w:pPr>
      <w:r w:rsidRPr="00B61508">
        <w:rPr>
          <w:rStyle w:val="FootnoteReference"/>
          <w:rFonts w:cstheme="minorHAnsi"/>
          <w:sz w:val="18"/>
          <w:szCs w:val="18"/>
        </w:rPr>
        <w:footnoteRef/>
      </w:r>
      <w:r w:rsidRPr="00B61508">
        <w:rPr>
          <w:rFonts w:cstheme="minorHAnsi"/>
          <w:sz w:val="18"/>
          <w:szCs w:val="18"/>
        </w:rPr>
        <w:t xml:space="preserve"> model WHS Act s29</w:t>
      </w:r>
    </w:p>
  </w:footnote>
  <w:footnote w:id="45">
    <w:p w14:paraId="18761250" w14:textId="77777777" w:rsidR="00150A13" w:rsidRPr="00447277" w:rsidRDefault="00150A13" w:rsidP="00150A13">
      <w:pPr>
        <w:pStyle w:val="FootnoteText"/>
        <w:rPr>
          <w:sz w:val="18"/>
          <w:szCs w:val="18"/>
        </w:rPr>
      </w:pPr>
      <w:r w:rsidRPr="00447277">
        <w:rPr>
          <w:rStyle w:val="FootnoteReference"/>
          <w:sz w:val="18"/>
          <w:szCs w:val="18"/>
        </w:rPr>
        <w:footnoteRef/>
      </w:r>
      <w:r w:rsidRPr="00447277">
        <w:rPr>
          <w:sz w:val="18"/>
          <w:szCs w:val="18"/>
        </w:rPr>
        <w:t xml:space="preserve"> Model Assumption</w:t>
      </w:r>
      <w:r>
        <w:rPr>
          <w:sz w:val="18"/>
          <w:szCs w:val="18"/>
        </w:rPr>
        <w:t xml:space="preserve"> </w:t>
      </w:r>
      <w:r>
        <w:rPr>
          <w:rFonts w:cstheme="minorHAnsi"/>
          <w:sz w:val="18"/>
          <w:szCs w:val="18"/>
        </w:rPr>
        <w:t>based on feedback provided by stakeholders in response to CRIS</w:t>
      </w:r>
    </w:p>
  </w:footnote>
  <w:footnote w:id="46">
    <w:p w14:paraId="04A94FAC" w14:textId="77777777" w:rsidR="00150A13" w:rsidRPr="00447277" w:rsidRDefault="00150A13" w:rsidP="00150A13">
      <w:pPr>
        <w:pStyle w:val="FootnoteText"/>
        <w:rPr>
          <w:rFonts w:cstheme="minorHAnsi"/>
          <w:sz w:val="18"/>
          <w:szCs w:val="18"/>
        </w:rPr>
      </w:pPr>
      <w:r w:rsidRPr="00447277">
        <w:rPr>
          <w:rStyle w:val="FootnoteReference"/>
          <w:rFonts w:cstheme="minorHAnsi"/>
          <w:sz w:val="18"/>
          <w:szCs w:val="18"/>
        </w:rPr>
        <w:footnoteRef/>
      </w:r>
      <w:r w:rsidRPr="00447277">
        <w:rPr>
          <w:rFonts w:cstheme="minorHAnsi"/>
          <w:sz w:val="18"/>
          <w:szCs w:val="18"/>
        </w:rPr>
        <w:t xml:space="preserve"> Model assumption</w:t>
      </w:r>
    </w:p>
  </w:footnote>
  <w:footnote w:id="47">
    <w:p w14:paraId="6E622D55" w14:textId="77777777" w:rsidR="00150A13" w:rsidRPr="00447277" w:rsidRDefault="00150A13" w:rsidP="00150A13">
      <w:pPr>
        <w:pStyle w:val="FootnoteText"/>
        <w:rPr>
          <w:rFonts w:cstheme="minorHAnsi"/>
          <w:sz w:val="18"/>
          <w:szCs w:val="18"/>
        </w:rPr>
      </w:pPr>
      <w:r w:rsidRPr="00447277">
        <w:rPr>
          <w:rStyle w:val="FootnoteReference"/>
          <w:rFonts w:cstheme="minorHAnsi"/>
          <w:sz w:val="18"/>
          <w:szCs w:val="18"/>
        </w:rPr>
        <w:footnoteRef/>
      </w:r>
      <w:r w:rsidRPr="00447277">
        <w:rPr>
          <w:rFonts w:cstheme="minorHAnsi"/>
          <w:sz w:val="18"/>
          <w:szCs w:val="18"/>
        </w:rPr>
        <w:t xml:space="preserve"> Model assumption</w:t>
      </w:r>
    </w:p>
  </w:footnote>
  <w:footnote w:id="48">
    <w:p w14:paraId="47720A64" w14:textId="77777777" w:rsidR="00150A13" w:rsidRPr="00447277" w:rsidRDefault="00150A13" w:rsidP="00150A13">
      <w:pPr>
        <w:pStyle w:val="FootnoteText"/>
        <w:rPr>
          <w:sz w:val="18"/>
          <w:szCs w:val="18"/>
        </w:rPr>
      </w:pPr>
      <w:r w:rsidRPr="00447277">
        <w:rPr>
          <w:rStyle w:val="FootnoteReference"/>
          <w:sz w:val="18"/>
          <w:szCs w:val="18"/>
        </w:rPr>
        <w:footnoteRef/>
      </w:r>
      <w:r w:rsidRPr="00447277">
        <w:rPr>
          <w:sz w:val="18"/>
          <w:szCs w:val="18"/>
        </w:rPr>
        <w:t xml:space="preserve"> Model Assumption</w:t>
      </w:r>
      <w:r>
        <w:rPr>
          <w:sz w:val="18"/>
          <w:szCs w:val="18"/>
        </w:rPr>
        <w:t xml:space="preserve"> </w:t>
      </w:r>
      <w:r>
        <w:rPr>
          <w:rFonts w:cstheme="minorHAnsi"/>
          <w:sz w:val="18"/>
          <w:szCs w:val="18"/>
        </w:rPr>
        <w:t>based on feedback provided by stakeholders in response to CRIS</w:t>
      </w:r>
    </w:p>
  </w:footnote>
  <w:footnote w:id="49">
    <w:p w14:paraId="7D05898C" w14:textId="77777777" w:rsidR="00150A13" w:rsidRPr="00447277" w:rsidRDefault="00150A13" w:rsidP="00150A13">
      <w:pPr>
        <w:pStyle w:val="FootnoteText"/>
        <w:rPr>
          <w:sz w:val="18"/>
          <w:szCs w:val="18"/>
        </w:rPr>
      </w:pPr>
      <w:r w:rsidRPr="00447277">
        <w:rPr>
          <w:rStyle w:val="FootnoteReference"/>
          <w:sz w:val="18"/>
          <w:szCs w:val="18"/>
        </w:rPr>
        <w:footnoteRef/>
      </w:r>
      <w:r w:rsidRPr="00447277">
        <w:rPr>
          <w:sz w:val="18"/>
          <w:szCs w:val="18"/>
        </w:rPr>
        <w:t xml:space="preserve"> Model Assumption</w:t>
      </w:r>
      <w:r>
        <w:rPr>
          <w:sz w:val="18"/>
          <w:szCs w:val="18"/>
        </w:rPr>
        <w:t xml:space="preserve"> </w:t>
      </w:r>
      <w:r>
        <w:rPr>
          <w:rFonts w:cstheme="minorHAnsi"/>
          <w:sz w:val="18"/>
          <w:szCs w:val="18"/>
        </w:rPr>
        <w:t>based on feedback provided by stakeholders in response to CRIS</w:t>
      </w:r>
    </w:p>
  </w:footnote>
  <w:footnote w:id="50">
    <w:p w14:paraId="587ABD4A" w14:textId="77777777" w:rsidR="00150A13" w:rsidRPr="00447277" w:rsidRDefault="00150A13" w:rsidP="00150A13">
      <w:pPr>
        <w:pStyle w:val="FootnoteText"/>
        <w:rPr>
          <w:rFonts w:cstheme="minorHAnsi"/>
          <w:sz w:val="18"/>
          <w:szCs w:val="18"/>
        </w:rPr>
      </w:pPr>
      <w:r w:rsidRPr="00447277">
        <w:rPr>
          <w:rStyle w:val="FootnoteReference"/>
          <w:rFonts w:cstheme="minorHAnsi"/>
          <w:sz w:val="18"/>
          <w:szCs w:val="18"/>
        </w:rPr>
        <w:footnoteRef/>
      </w:r>
      <w:r w:rsidRPr="00447277">
        <w:rPr>
          <w:rFonts w:cstheme="minorHAnsi"/>
          <w:sz w:val="18"/>
          <w:szCs w:val="18"/>
        </w:rPr>
        <w:t xml:space="preserve"> Model assumption</w:t>
      </w:r>
    </w:p>
  </w:footnote>
  <w:footnote w:id="51">
    <w:p w14:paraId="77BC9C6B" w14:textId="77777777" w:rsidR="00150A13" w:rsidRPr="00447277" w:rsidRDefault="00150A13" w:rsidP="00150A13">
      <w:pPr>
        <w:pStyle w:val="FootnoteText"/>
        <w:rPr>
          <w:rFonts w:cstheme="minorHAnsi"/>
          <w:sz w:val="18"/>
          <w:szCs w:val="18"/>
        </w:rPr>
      </w:pPr>
      <w:r w:rsidRPr="00447277">
        <w:rPr>
          <w:rStyle w:val="FootnoteReference"/>
          <w:rFonts w:cstheme="minorHAnsi"/>
          <w:sz w:val="18"/>
          <w:szCs w:val="18"/>
        </w:rPr>
        <w:footnoteRef/>
      </w:r>
      <w:r w:rsidRPr="00447277">
        <w:rPr>
          <w:rFonts w:cstheme="minorHAnsi"/>
          <w:sz w:val="18"/>
          <w:szCs w:val="18"/>
        </w:rPr>
        <w:t xml:space="preserve"> Model assumption</w:t>
      </w:r>
    </w:p>
  </w:footnote>
  <w:footnote w:id="52">
    <w:p w14:paraId="19C99B3A" w14:textId="77777777" w:rsidR="00150A13" w:rsidRPr="00447277" w:rsidRDefault="00150A13" w:rsidP="00150A13">
      <w:pPr>
        <w:pStyle w:val="FootnoteText"/>
        <w:rPr>
          <w:sz w:val="18"/>
          <w:szCs w:val="18"/>
        </w:rPr>
      </w:pPr>
      <w:r w:rsidRPr="00447277">
        <w:rPr>
          <w:rStyle w:val="FootnoteReference"/>
          <w:sz w:val="18"/>
          <w:szCs w:val="18"/>
        </w:rPr>
        <w:footnoteRef/>
      </w:r>
      <w:r w:rsidRPr="00447277">
        <w:rPr>
          <w:sz w:val="18"/>
          <w:szCs w:val="18"/>
        </w:rPr>
        <w:t xml:space="preserve"> Model Assumption</w:t>
      </w:r>
      <w:r>
        <w:rPr>
          <w:sz w:val="18"/>
          <w:szCs w:val="18"/>
        </w:rPr>
        <w:t xml:space="preserve"> </w:t>
      </w:r>
      <w:r>
        <w:rPr>
          <w:rFonts w:cstheme="minorHAnsi"/>
          <w:sz w:val="18"/>
          <w:szCs w:val="18"/>
        </w:rPr>
        <w:t>based on feedback provided by stakeholders in response to CRIS</w:t>
      </w:r>
    </w:p>
  </w:footnote>
  <w:footnote w:id="53">
    <w:p w14:paraId="6654B857" w14:textId="77777777" w:rsidR="00150A13" w:rsidRPr="00447277" w:rsidRDefault="00150A13" w:rsidP="00150A13">
      <w:pPr>
        <w:pStyle w:val="FootnoteText"/>
        <w:rPr>
          <w:sz w:val="18"/>
          <w:szCs w:val="18"/>
        </w:rPr>
      </w:pPr>
      <w:r w:rsidRPr="00447277">
        <w:rPr>
          <w:rStyle w:val="FootnoteReference"/>
          <w:sz w:val="18"/>
          <w:szCs w:val="18"/>
        </w:rPr>
        <w:footnoteRef/>
      </w:r>
      <w:r w:rsidRPr="00447277">
        <w:rPr>
          <w:sz w:val="18"/>
          <w:szCs w:val="18"/>
        </w:rPr>
        <w:t xml:space="preserve"> Model Assumption</w:t>
      </w:r>
      <w:r>
        <w:rPr>
          <w:sz w:val="18"/>
          <w:szCs w:val="18"/>
        </w:rPr>
        <w:t xml:space="preserve"> </w:t>
      </w:r>
      <w:r>
        <w:rPr>
          <w:rFonts w:cstheme="minorHAnsi"/>
          <w:sz w:val="18"/>
          <w:szCs w:val="18"/>
        </w:rPr>
        <w:t>based on feedback provided by stakeholders in response to CRIS</w:t>
      </w:r>
    </w:p>
  </w:footnote>
  <w:footnote w:id="54">
    <w:p w14:paraId="5B30CB41" w14:textId="77777777" w:rsidR="00150A13" w:rsidRPr="00447277" w:rsidRDefault="00150A13" w:rsidP="00150A13">
      <w:pPr>
        <w:pStyle w:val="FootnoteText"/>
        <w:rPr>
          <w:rFonts w:cstheme="minorHAnsi"/>
          <w:sz w:val="18"/>
          <w:szCs w:val="18"/>
        </w:rPr>
      </w:pPr>
      <w:r w:rsidRPr="00447277">
        <w:rPr>
          <w:rStyle w:val="FootnoteReference"/>
          <w:rFonts w:cstheme="minorHAnsi"/>
          <w:sz w:val="18"/>
          <w:szCs w:val="18"/>
        </w:rPr>
        <w:footnoteRef/>
      </w:r>
      <w:r w:rsidRPr="00447277">
        <w:rPr>
          <w:rFonts w:cstheme="minorHAnsi"/>
          <w:sz w:val="18"/>
          <w:szCs w:val="18"/>
        </w:rPr>
        <w:t xml:space="preserve"> Model assumption</w:t>
      </w:r>
    </w:p>
  </w:footnote>
  <w:footnote w:id="55">
    <w:p w14:paraId="79F25ACC" w14:textId="77777777" w:rsidR="00150A13" w:rsidRPr="00447277" w:rsidRDefault="00150A13" w:rsidP="00150A13">
      <w:pPr>
        <w:pStyle w:val="FootnoteText"/>
        <w:rPr>
          <w:rFonts w:cstheme="minorHAnsi"/>
          <w:sz w:val="18"/>
          <w:szCs w:val="18"/>
        </w:rPr>
      </w:pPr>
      <w:r w:rsidRPr="00447277">
        <w:rPr>
          <w:rStyle w:val="FootnoteReference"/>
          <w:rFonts w:cstheme="minorHAnsi"/>
          <w:sz w:val="18"/>
          <w:szCs w:val="18"/>
        </w:rPr>
        <w:footnoteRef/>
      </w:r>
      <w:r w:rsidRPr="00447277">
        <w:rPr>
          <w:rFonts w:cstheme="minorHAnsi"/>
          <w:sz w:val="18"/>
          <w:szCs w:val="18"/>
        </w:rPr>
        <w:t xml:space="preserve"> Model assumption</w:t>
      </w:r>
    </w:p>
  </w:footnote>
  <w:footnote w:id="56">
    <w:p w14:paraId="61922A4F" w14:textId="77777777" w:rsidR="00150A13" w:rsidRPr="00447277" w:rsidRDefault="00150A13" w:rsidP="00150A13">
      <w:pPr>
        <w:pStyle w:val="FootnoteText"/>
        <w:rPr>
          <w:rFonts w:cstheme="minorHAnsi"/>
          <w:sz w:val="18"/>
          <w:szCs w:val="18"/>
        </w:rPr>
      </w:pPr>
      <w:r w:rsidRPr="00447277">
        <w:rPr>
          <w:rStyle w:val="FootnoteReference"/>
          <w:rFonts w:cstheme="minorHAnsi"/>
          <w:sz w:val="18"/>
          <w:szCs w:val="18"/>
        </w:rPr>
        <w:footnoteRef/>
      </w:r>
      <w:r w:rsidRPr="00447277">
        <w:rPr>
          <w:rFonts w:cstheme="minorHAnsi"/>
          <w:sz w:val="18"/>
          <w:szCs w:val="18"/>
        </w:rPr>
        <w:t xml:space="preserve"> Model assumption</w:t>
      </w:r>
    </w:p>
  </w:footnote>
  <w:footnote w:id="57">
    <w:p w14:paraId="3F6E0F9C" w14:textId="77777777" w:rsidR="00150A13" w:rsidRPr="00447277" w:rsidRDefault="00150A13" w:rsidP="00150A13">
      <w:pPr>
        <w:pStyle w:val="FootnoteText"/>
        <w:rPr>
          <w:rFonts w:cstheme="minorHAnsi"/>
          <w:sz w:val="18"/>
          <w:szCs w:val="18"/>
        </w:rPr>
      </w:pPr>
      <w:r w:rsidRPr="00447277">
        <w:rPr>
          <w:rStyle w:val="FootnoteReference"/>
          <w:rFonts w:cstheme="minorHAnsi"/>
          <w:sz w:val="18"/>
          <w:szCs w:val="18"/>
        </w:rPr>
        <w:footnoteRef/>
      </w:r>
      <w:r w:rsidRPr="00447277">
        <w:rPr>
          <w:rFonts w:cstheme="minorHAnsi"/>
          <w:sz w:val="18"/>
          <w:szCs w:val="18"/>
        </w:rPr>
        <w:t xml:space="preserve"> Model assumption</w:t>
      </w:r>
    </w:p>
  </w:footnote>
  <w:footnote w:id="58">
    <w:p w14:paraId="7C59B79F" w14:textId="77777777" w:rsidR="00150A13" w:rsidRPr="00447277" w:rsidRDefault="00150A13" w:rsidP="00150A13">
      <w:pPr>
        <w:pStyle w:val="FootnoteText"/>
        <w:rPr>
          <w:rFonts w:cstheme="minorHAnsi"/>
          <w:sz w:val="18"/>
          <w:szCs w:val="18"/>
        </w:rPr>
      </w:pPr>
      <w:r w:rsidRPr="00447277">
        <w:rPr>
          <w:rStyle w:val="FootnoteReference"/>
          <w:rFonts w:cstheme="minorHAnsi"/>
          <w:sz w:val="18"/>
          <w:szCs w:val="18"/>
        </w:rPr>
        <w:footnoteRef/>
      </w:r>
      <w:r w:rsidRPr="00447277">
        <w:rPr>
          <w:rFonts w:cstheme="minorHAnsi"/>
          <w:sz w:val="18"/>
          <w:szCs w:val="18"/>
        </w:rPr>
        <w:t xml:space="preserve"> Model assumption</w:t>
      </w:r>
    </w:p>
  </w:footnote>
  <w:footnote w:id="59">
    <w:p w14:paraId="18E65ACE" w14:textId="77777777" w:rsidR="00150A13" w:rsidRPr="00447277" w:rsidRDefault="00150A13" w:rsidP="00150A13">
      <w:pPr>
        <w:pStyle w:val="FootnoteText"/>
        <w:rPr>
          <w:rFonts w:cstheme="minorHAnsi"/>
          <w:sz w:val="18"/>
          <w:szCs w:val="18"/>
        </w:rPr>
      </w:pPr>
      <w:r w:rsidRPr="00447277">
        <w:rPr>
          <w:rStyle w:val="FootnoteReference"/>
          <w:rFonts w:cstheme="minorHAnsi"/>
          <w:sz w:val="18"/>
          <w:szCs w:val="18"/>
        </w:rPr>
        <w:footnoteRef/>
      </w:r>
      <w:r w:rsidRPr="00447277">
        <w:rPr>
          <w:rFonts w:cstheme="minorHAnsi"/>
          <w:sz w:val="18"/>
          <w:szCs w:val="18"/>
        </w:rPr>
        <w:t xml:space="preserve"> Model assumption</w:t>
      </w:r>
    </w:p>
  </w:footnote>
  <w:footnote w:id="60">
    <w:p w14:paraId="5836570B" w14:textId="77777777" w:rsidR="00150A13" w:rsidRPr="00447277" w:rsidRDefault="00150A13" w:rsidP="00150A13">
      <w:pPr>
        <w:pStyle w:val="FootnoteText"/>
        <w:rPr>
          <w:rFonts w:cstheme="minorHAnsi"/>
          <w:sz w:val="18"/>
          <w:szCs w:val="18"/>
        </w:rPr>
      </w:pPr>
      <w:r w:rsidRPr="00447277">
        <w:rPr>
          <w:rStyle w:val="FootnoteReference"/>
          <w:rFonts w:cstheme="minorHAnsi"/>
          <w:sz w:val="18"/>
          <w:szCs w:val="18"/>
        </w:rPr>
        <w:footnoteRef/>
      </w:r>
      <w:r w:rsidRPr="00447277">
        <w:rPr>
          <w:rFonts w:cstheme="minorHAnsi"/>
          <w:sz w:val="18"/>
          <w:szCs w:val="18"/>
        </w:rPr>
        <w:t xml:space="preserve"> Model assumption</w:t>
      </w:r>
    </w:p>
  </w:footnote>
  <w:footnote w:id="61">
    <w:p w14:paraId="37B62267" w14:textId="77777777" w:rsidR="00150A13" w:rsidRPr="00447277" w:rsidRDefault="00150A13" w:rsidP="00150A13">
      <w:pPr>
        <w:pStyle w:val="FootnoteText"/>
        <w:rPr>
          <w:rFonts w:cstheme="minorHAnsi"/>
          <w:sz w:val="18"/>
          <w:szCs w:val="18"/>
        </w:rPr>
      </w:pPr>
      <w:r w:rsidRPr="00447277">
        <w:rPr>
          <w:rStyle w:val="FootnoteReference"/>
          <w:rFonts w:cstheme="minorHAnsi"/>
          <w:sz w:val="18"/>
          <w:szCs w:val="18"/>
        </w:rPr>
        <w:footnoteRef/>
      </w:r>
      <w:r w:rsidRPr="00447277">
        <w:rPr>
          <w:rFonts w:cstheme="minorHAnsi"/>
          <w:sz w:val="18"/>
          <w:szCs w:val="18"/>
        </w:rPr>
        <w:t xml:space="preserve"> Model assumption </w:t>
      </w:r>
    </w:p>
  </w:footnote>
  <w:footnote w:id="62">
    <w:p w14:paraId="6152A85A" w14:textId="77777777" w:rsidR="00150A13" w:rsidRPr="00447277" w:rsidRDefault="00150A13" w:rsidP="00150A13">
      <w:pPr>
        <w:pStyle w:val="FootnoteText"/>
        <w:rPr>
          <w:rFonts w:cstheme="minorHAnsi"/>
          <w:sz w:val="18"/>
          <w:szCs w:val="18"/>
        </w:rPr>
      </w:pPr>
      <w:r w:rsidRPr="00447277">
        <w:rPr>
          <w:rStyle w:val="FootnoteReference"/>
          <w:rFonts w:cstheme="minorHAnsi"/>
          <w:sz w:val="18"/>
          <w:szCs w:val="18"/>
        </w:rPr>
        <w:footnoteRef/>
      </w:r>
      <w:r w:rsidRPr="00447277">
        <w:rPr>
          <w:rFonts w:cstheme="minorHAnsi"/>
          <w:sz w:val="18"/>
          <w:szCs w:val="18"/>
        </w:rPr>
        <w:t xml:space="preserve"> Model assumption</w:t>
      </w:r>
    </w:p>
  </w:footnote>
  <w:footnote w:id="63">
    <w:p w14:paraId="3B1163DB" w14:textId="77777777" w:rsidR="00150A13" w:rsidRPr="00447277" w:rsidRDefault="00150A13" w:rsidP="00150A13">
      <w:pPr>
        <w:pStyle w:val="FootnoteText"/>
        <w:rPr>
          <w:rFonts w:cstheme="minorHAnsi"/>
          <w:sz w:val="18"/>
          <w:szCs w:val="18"/>
        </w:rPr>
      </w:pPr>
      <w:r w:rsidRPr="00447277">
        <w:rPr>
          <w:rStyle w:val="FootnoteReference"/>
          <w:rFonts w:cstheme="minorHAnsi"/>
          <w:sz w:val="18"/>
          <w:szCs w:val="18"/>
        </w:rPr>
        <w:footnoteRef/>
      </w:r>
      <w:r w:rsidRPr="00447277">
        <w:rPr>
          <w:rFonts w:cstheme="minorHAnsi"/>
          <w:sz w:val="18"/>
          <w:szCs w:val="18"/>
        </w:rPr>
        <w:t xml:space="preserve"> Model assumption </w:t>
      </w:r>
    </w:p>
  </w:footnote>
  <w:footnote w:id="64">
    <w:p w14:paraId="25309643" w14:textId="77777777" w:rsidR="00150A13" w:rsidRPr="00447277" w:rsidRDefault="00150A13" w:rsidP="00150A13">
      <w:pPr>
        <w:pStyle w:val="FootnoteText"/>
        <w:rPr>
          <w:rFonts w:cstheme="minorHAnsi"/>
          <w:sz w:val="18"/>
          <w:szCs w:val="18"/>
        </w:rPr>
      </w:pPr>
      <w:r w:rsidRPr="00447277">
        <w:rPr>
          <w:rStyle w:val="FootnoteReference"/>
          <w:rFonts w:cstheme="minorHAnsi"/>
          <w:sz w:val="18"/>
          <w:szCs w:val="18"/>
        </w:rPr>
        <w:footnoteRef/>
      </w:r>
      <w:r w:rsidRPr="00447277">
        <w:rPr>
          <w:rFonts w:cstheme="minorHAnsi"/>
          <w:sz w:val="18"/>
          <w:szCs w:val="18"/>
        </w:rPr>
        <w:t xml:space="preserve"> Model assumption</w:t>
      </w:r>
    </w:p>
  </w:footnote>
  <w:footnote w:id="65">
    <w:p w14:paraId="540149AD" w14:textId="77777777" w:rsidR="00150A13" w:rsidRPr="00447277" w:rsidRDefault="00150A13" w:rsidP="00150A13">
      <w:pPr>
        <w:pStyle w:val="FootnoteText"/>
        <w:rPr>
          <w:rFonts w:cstheme="minorHAnsi"/>
          <w:sz w:val="18"/>
          <w:szCs w:val="18"/>
        </w:rPr>
      </w:pPr>
      <w:r w:rsidRPr="00447277">
        <w:rPr>
          <w:rStyle w:val="FootnoteReference"/>
          <w:rFonts w:cstheme="minorHAnsi"/>
          <w:sz w:val="18"/>
          <w:szCs w:val="18"/>
        </w:rPr>
        <w:footnoteRef/>
      </w:r>
      <w:r w:rsidRPr="00447277">
        <w:rPr>
          <w:rFonts w:cstheme="minorHAnsi"/>
          <w:sz w:val="18"/>
          <w:szCs w:val="18"/>
        </w:rPr>
        <w:t xml:space="preserve"> Model assumption</w:t>
      </w:r>
    </w:p>
  </w:footnote>
  <w:footnote w:id="66">
    <w:p w14:paraId="50745AAC" w14:textId="77777777" w:rsidR="00150A13" w:rsidRPr="00447277" w:rsidRDefault="00150A13" w:rsidP="00150A13">
      <w:pPr>
        <w:pStyle w:val="FootnoteText"/>
        <w:rPr>
          <w:rFonts w:cstheme="minorHAnsi"/>
          <w:sz w:val="18"/>
          <w:szCs w:val="18"/>
        </w:rPr>
      </w:pPr>
      <w:r w:rsidRPr="00447277">
        <w:rPr>
          <w:rStyle w:val="FootnoteReference"/>
          <w:rFonts w:cstheme="minorHAnsi"/>
          <w:sz w:val="18"/>
          <w:szCs w:val="18"/>
        </w:rPr>
        <w:footnoteRef/>
      </w:r>
      <w:r w:rsidRPr="00447277">
        <w:rPr>
          <w:rFonts w:cstheme="minorHAnsi"/>
          <w:sz w:val="18"/>
          <w:szCs w:val="18"/>
        </w:rPr>
        <w:t xml:space="preserve"> Model assumption </w:t>
      </w:r>
    </w:p>
  </w:footnote>
  <w:footnote w:id="67">
    <w:p w14:paraId="1AC756BF" w14:textId="77777777" w:rsidR="00150A13" w:rsidRPr="00447277" w:rsidRDefault="00150A13" w:rsidP="00150A13">
      <w:pPr>
        <w:pStyle w:val="FootnoteText"/>
        <w:rPr>
          <w:rFonts w:cstheme="minorHAnsi"/>
          <w:sz w:val="18"/>
          <w:szCs w:val="18"/>
        </w:rPr>
      </w:pPr>
      <w:r w:rsidRPr="00447277">
        <w:rPr>
          <w:rStyle w:val="FootnoteReference"/>
          <w:rFonts w:cstheme="minorHAnsi"/>
          <w:sz w:val="18"/>
          <w:szCs w:val="18"/>
        </w:rPr>
        <w:footnoteRef/>
      </w:r>
      <w:r w:rsidRPr="00447277">
        <w:rPr>
          <w:rFonts w:cstheme="minorHAnsi"/>
          <w:sz w:val="18"/>
          <w:szCs w:val="18"/>
        </w:rPr>
        <w:t xml:space="preserve"> Model assumption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C5DB7" w14:textId="6F65DB27" w:rsidR="00F1382E" w:rsidRPr="00B87E45" w:rsidRDefault="00F1382E" w:rsidP="001007B9">
    <w:pPr>
      <w:pStyle w:val="ProtectiveMarking"/>
    </w:pPr>
  </w:p>
  <w:sdt>
    <w:sdtPr>
      <w:alias w:val="Classification"/>
      <w:tag w:val="Classification"/>
      <w:id w:val="2090721454"/>
      <w:dataBinding w:xpath="/root[1]/Classification[1]" w:storeItemID="{00000000-0000-0000-0000-000000000000}"/>
      <w:text/>
    </w:sdtPr>
    <w:sdtEndPr/>
    <w:sdtContent>
      <w:p w14:paraId="3FA7637B" w14:textId="3ED8CF1C" w:rsidR="00F1382E" w:rsidRPr="00B87E45" w:rsidRDefault="00F1382E" w:rsidP="001007B9">
        <w:pPr>
          <w:pStyle w:val="ProtectiveMarking"/>
        </w:pPr>
        <w:r>
          <w:t>Choose Classifiction</w:t>
        </w:r>
      </w:p>
    </w:sdtContent>
  </w:sdt>
  <w:p w14:paraId="60141277" w14:textId="77777777" w:rsidR="00F1382E" w:rsidRPr="00073D52" w:rsidRDefault="00F1382E" w:rsidP="001007B9">
    <w:pPr>
      <w:pStyle w:val="Footerline"/>
    </w:pPr>
  </w:p>
  <w:p w14:paraId="7D154907" w14:textId="77777777" w:rsidR="00F1382E" w:rsidRDefault="00F1382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044D8" w14:textId="0151AF4E" w:rsidR="00F1382E" w:rsidRPr="00753174" w:rsidRDefault="00F1382E" w:rsidP="00753174">
    <w:pPr>
      <w:pStyle w:val="Header"/>
    </w:pPr>
  </w:p>
  <w:p w14:paraId="201DE651" w14:textId="77777777" w:rsidR="00F1382E" w:rsidRPr="00753174" w:rsidRDefault="00F1382E" w:rsidP="0075317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E3F9A" w14:textId="3E0159F9" w:rsidR="00F1382E" w:rsidRPr="00B87E45" w:rsidRDefault="00F1382E" w:rsidP="00663EAD">
    <w:pPr>
      <w:pStyle w:val="ProtectiveMarking"/>
    </w:pPr>
  </w:p>
  <w:p w14:paraId="1236B9FD" w14:textId="5BAC3A92" w:rsidR="00F1382E" w:rsidRPr="00B87E45" w:rsidRDefault="00F1382E" w:rsidP="00663EAD">
    <w:pPr>
      <w:pStyle w:val="ProtectiveMarking"/>
    </w:pPr>
    <w:r>
      <w:t>Choose Classifiction</w:t>
    </w:r>
  </w:p>
  <w:p w14:paraId="11EAE70B" w14:textId="77777777" w:rsidR="00F1382E" w:rsidRPr="00073D52" w:rsidRDefault="00F1382E" w:rsidP="00663EAD">
    <w:pPr>
      <w:pStyle w:val="Footerline"/>
    </w:pPr>
  </w:p>
  <w:p w14:paraId="7BAE3A47" w14:textId="77777777" w:rsidR="00F1382E" w:rsidRDefault="00F13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91C0A" w14:textId="44B477FB" w:rsidR="00F1382E" w:rsidRPr="00B87E45" w:rsidRDefault="00F1382E" w:rsidP="00663EAD">
    <w:pPr>
      <w:pStyle w:val="ProtectiveMarking"/>
    </w:pPr>
  </w:p>
  <w:p w14:paraId="46358805" w14:textId="77777777" w:rsidR="00F1382E" w:rsidRPr="00073D52" w:rsidRDefault="00F1382E" w:rsidP="00663EAD">
    <w:pPr>
      <w:pStyle w:val="Footerline"/>
    </w:pPr>
  </w:p>
  <w:p w14:paraId="0EB0003C" w14:textId="77777777" w:rsidR="00F1382E" w:rsidRDefault="00F138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9D98D" w14:textId="477E295E" w:rsidR="00C43655" w:rsidRDefault="00C436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28E5B" w14:textId="4E05DA02" w:rsidR="00C43655" w:rsidRDefault="00C4365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585C1" w14:textId="31954B80" w:rsidR="00C43655" w:rsidRDefault="00C4365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CA381" w14:textId="1CD84732" w:rsidR="002E5A3A" w:rsidRDefault="002E5A3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52B40" w14:textId="30300A21" w:rsidR="002E5A3A" w:rsidRDefault="002E5A3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DE140" w14:textId="518956EB" w:rsidR="002E5A3A" w:rsidRDefault="002E5A3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47927" w14:textId="54E571F5" w:rsidR="00F1382E" w:rsidRDefault="00F13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2D6481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52C1CBC"/>
    <w:lvl w:ilvl="0">
      <w:start w:val="1"/>
      <w:numFmt w:val="decimal"/>
      <w:pStyle w:val="ListNumber"/>
      <w:lvlText w:val="%1."/>
      <w:lvlJc w:val="left"/>
      <w:pPr>
        <w:tabs>
          <w:tab w:val="num" w:pos="360"/>
        </w:tabs>
        <w:ind w:left="360" w:hanging="360"/>
      </w:pPr>
    </w:lvl>
  </w:abstractNum>
  <w:abstractNum w:abstractNumId="2" w15:restartNumberingAfterBreak="0">
    <w:nsid w:val="045B3C23"/>
    <w:multiLevelType w:val="hybridMultilevel"/>
    <w:tmpl w:val="9E00D5D6"/>
    <w:lvl w:ilvl="0" w:tplc="7856E84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807786"/>
    <w:multiLevelType w:val="hybridMultilevel"/>
    <w:tmpl w:val="383809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pStyle w:val="Heading7"/>
      <w:lvlText w:val=""/>
      <w:lvlJc w:val="left"/>
      <w:pPr>
        <w:ind w:left="5040" w:hanging="360"/>
      </w:pPr>
      <w:rPr>
        <w:rFonts w:ascii="Symbol" w:hAnsi="Symbol" w:hint="default"/>
      </w:rPr>
    </w:lvl>
    <w:lvl w:ilvl="7" w:tplc="0C090003" w:tentative="1">
      <w:start w:val="1"/>
      <w:numFmt w:val="bullet"/>
      <w:pStyle w:val="Heading8"/>
      <w:lvlText w:val="o"/>
      <w:lvlJc w:val="left"/>
      <w:pPr>
        <w:ind w:left="5760" w:hanging="360"/>
      </w:pPr>
      <w:rPr>
        <w:rFonts w:ascii="Courier New" w:hAnsi="Courier New" w:cs="Courier New" w:hint="default"/>
      </w:rPr>
    </w:lvl>
    <w:lvl w:ilvl="8" w:tplc="0C090005" w:tentative="1">
      <w:start w:val="1"/>
      <w:numFmt w:val="bullet"/>
      <w:pStyle w:val="Heading9"/>
      <w:lvlText w:val=""/>
      <w:lvlJc w:val="left"/>
      <w:pPr>
        <w:ind w:left="6480" w:hanging="360"/>
      </w:pPr>
      <w:rPr>
        <w:rFonts w:ascii="Wingdings" w:hAnsi="Wingdings" w:hint="default"/>
      </w:rPr>
    </w:lvl>
  </w:abstractNum>
  <w:abstractNum w:abstractNumId="4" w15:restartNumberingAfterBreak="0">
    <w:nsid w:val="0AC2735F"/>
    <w:multiLevelType w:val="multilevel"/>
    <w:tmpl w:val="01740830"/>
    <w:styleLink w:val="ListHeadings"/>
    <w:lvl w:ilvl="0">
      <w:start w:val="1"/>
      <w:numFmt w:val="decimal"/>
      <w:pStyle w:val="EYBulletnoparaspace"/>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C69371C"/>
    <w:multiLevelType w:val="multilevel"/>
    <w:tmpl w:val="B2D40500"/>
    <w:lvl w:ilvl="0">
      <w:start w:val="1"/>
      <w:numFmt w:val="decimal"/>
      <w:lvlText w:val="%1"/>
      <w:lvlJc w:val="left"/>
      <w:pPr>
        <w:ind w:left="403" w:hanging="288"/>
      </w:pPr>
      <w:rPr>
        <w:rFonts w:hint="default"/>
        <w:color w:val="25303B" w:themeColor="accent1"/>
      </w:rPr>
    </w:lvl>
    <w:lvl w:ilvl="1">
      <w:start w:val="1"/>
      <w:numFmt w:val="lowerRoman"/>
      <w:pStyle w:val="BulletedListlvl2"/>
      <w:lvlText w:val="%2"/>
      <w:lvlJc w:val="left"/>
      <w:pPr>
        <w:ind w:left="691" w:hanging="288"/>
      </w:pPr>
      <w:rPr>
        <w:rFonts w:hint="default"/>
        <w:color w:val="25303B" w:themeColor="accent1"/>
      </w:rPr>
    </w:lvl>
    <w:lvl w:ilvl="2">
      <w:start w:val="1"/>
      <w:numFmt w:val="upperRoman"/>
      <w:pStyle w:val="BulletedListlvl3"/>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6" w15:restartNumberingAfterBreak="0">
    <w:nsid w:val="0FBB36BD"/>
    <w:multiLevelType w:val="hybridMultilevel"/>
    <w:tmpl w:val="5A9EB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6A3833"/>
    <w:multiLevelType w:val="multilevel"/>
    <w:tmpl w:val="848C76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72370B"/>
    <w:multiLevelType w:val="hybridMultilevel"/>
    <w:tmpl w:val="C7581B3C"/>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9" w15:restartNumberingAfterBreak="0">
    <w:nsid w:val="1C43653B"/>
    <w:multiLevelType w:val="multilevel"/>
    <w:tmpl w:val="EF18123E"/>
    <w:styleLink w:val="EYPlainBulletList"/>
    <w:lvl w:ilvl="0">
      <w:start w:val="1"/>
      <w:numFmt w:val="bullet"/>
      <w:lvlText w:val="►"/>
      <w:lvlJc w:val="left"/>
      <w:pPr>
        <w:ind w:left="425" w:hanging="425"/>
      </w:pPr>
      <w:rPr>
        <w:rFonts w:ascii="Arial" w:hAnsi="Arial" w:hint="default"/>
        <w:sz w:val="16"/>
      </w:rPr>
    </w:lvl>
    <w:lvl w:ilvl="1">
      <w:start w:val="1"/>
      <w:numFmt w:val="bullet"/>
      <w:lvlText w:val="►"/>
      <w:lvlJc w:val="left"/>
      <w:pPr>
        <w:ind w:left="850" w:hanging="425"/>
      </w:pPr>
      <w:rPr>
        <w:rFonts w:ascii="Arial" w:hAnsi="Arial" w:hint="default"/>
        <w:sz w:val="16"/>
      </w:rPr>
    </w:lvl>
    <w:lvl w:ilvl="2">
      <w:start w:val="1"/>
      <w:numFmt w:val="bullet"/>
      <w:lvlText w:val="►"/>
      <w:lvlJc w:val="left"/>
      <w:pPr>
        <w:ind w:left="1275" w:hanging="425"/>
      </w:pPr>
      <w:rPr>
        <w:rFonts w:ascii="Arial" w:hAnsi="Arial" w:hint="default"/>
        <w:sz w:val="16"/>
      </w:rPr>
    </w:lvl>
    <w:lvl w:ilvl="3">
      <w:start w:val="1"/>
      <w:numFmt w:val="bullet"/>
      <w:lvlText w:val="►"/>
      <w:lvlJc w:val="left"/>
      <w:pPr>
        <w:ind w:left="1700" w:hanging="425"/>
      </w:pPr>
      <w:rPr>
        <w:rFonts w:ascii="Arial" w:hAnsi="Arial" w:hint="default"/>
        <w:sz w:val="16"/>
      </w:rPr>
    </w:lvl>
    <w:lvl w:ilvl="4">
      <w:start w:val="1"/>
      <w:numFmt w:val="bullet"/>
      <w:lvlText w:val="►"/>
      <w:lvlJc w:val="left"/>
      <w:pPr>
        <w:ind w:left="2125" w:hanging="425"/>
      </w:pPr>
      <w:rPr>
        <w:rFonts w:ascii="Arial" w:hAnsi="Arial" w:hint="default"/>
        <w:sz w:val="16"/>
      </w:rPr>
    </w:lvl>
    <w:lvl w:ilvl="5">
      <w:start w:val="1"/>
      <w:numFmt w:val="bullet"/>
      <w:lvlText w:val="►"/>
      <w:lvlJc w:val="left"/>
      <w:pPr>
        <w:ind w:left="2550" w:hanging="425"/>
      </w:pPr>
      <w:rPr>
        <w:rFonts w:ascii="Arial" w:hAnsi="Arial" w:hint="default"/>
        <w:sz w:val="16"/>
      </w:rPr>
    </w:lvl>
    <w:lvl w:ilvl="6">
      <w:start w:val="1"/>
      <w:numFmt w:val="bullet"/>
      <w:lvlText w:val="►"/>
      <w:lvlJc w:val="left"/>
      <w:pPr>
        <w:ind w:left="2975" w:hanging="425"/>
      </w:pPr>
      <w:rPr>
        <w:rFonts w:ascii="Arial" w:hAnsi="Arial" w:hint="default"/>
        <w:sz w:val="16"/>
      </w:rPr>
    </w:lvl>
    <w:lvl w:ilvl="7">
      <w:start w:val="1"/>
      <w:numFmt w:val="bullet"/>
      <w:lvlText w:val="►"/>
      <w:lvlJc w:val="left"/>
      <w:pPr>
        <w:ind w:left="3400" w:hanging="425"/>
      </w:pPr>
      <w:rPr>
        <w:rFonts w:ascii="Arial" w:hAnsi="Arial" w:hint="default"/>
        <w:sz w:val="16"/>
      </w:rPr>
    </w:lvl>
    <w:lvl w:ilvl="8">
      <w:start w:val="1"/>
      <w:numFmt w:val="bullet"/>
      <w:lvlText w:val="►"/>
      <w:lvlJc w:val="left"/>
      <w:pPr>
        <w:ind w:left="3825" w:hanging="425"/>
      </w:pPr>
      <w:rPr>
        <w:rFonts w:ascii="Arial" w:hAnsi="Arial" w:hint="default"/>
        <w:sz w:val="16"/>
      </w:rPr>
    </w:lvl>
  </w:abstractNum>
  <w:abstractNum w:abstractNumId="10" w15:restartNumberingAfterBreak="0">
    <w:nsid w:val="1FBE77A7"/>
    <w:multiLevelType w:val="hybridMultilevel"/>
    <w:tmpl w:val="2A8A7DE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1" w15:restartNumberingAfterBreak="0">
    <w:nsid w:val="228F7A32"/>
    <w:multiLevelType w:val="hybridMultilevel"/>
    <w:tmpl w:val="29BC8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D62ABF"/>
    <w:multiLevelType w:val="hybridMultilevel"/>
    <w:tmpl w:val="338A99E0"/>
    <w:lvl w:ilvl="0" w:tplc="0C090001">
      <w:start w:val="1"/>
      <w:numFmt w:val="bullet"/>
      <w:lvlText w:val=""/>
      <w:lvlJc w:val="left"/>
      <w:pPr>
        <w:ind w:left="720" w:hanging="360"/>
      </w:pPr>
      <w:rPr>
        <w:rFonts w:ascii="Symbol" w:hAnsi="Symbol" w:hint="default"/>
      </w:rPr>
    </w:lvl>
    <w:lvl w:ilvl="1" w:tplc="B0565E78">
      <w:start w:val="1"/>
      <w:numFmt w:val="bullet"/>
      <w:pStyle w:val="IAList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8D61C8"/>
    <w:multiLevelType w:val="hybridMultilevel"/>
    <w:tmpl w:val="D0829E40"/>
    <w:lvl w:ilvl="0" w:tplc="950ED4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520959"/>
    <w:multiLevelType w:val="multilevel"/>
    <w:tmpl w:val="E89AFFE0"/>
    <w:lvl w:ilvl="0">
      <w:start w:val="1"/>
      <w:numFmt w:val="decimal"/>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5" w15:restartNumberingAfterBreak="0">
    <w:nsid w:val="3ACF48FB"/>
    <w:multiLevelType w:val="multilevel"/>
    <w:tmpl w:val="01740830"/>
    <w:numStyleLink w:val="ListHeadings"/>
  </w:abstractNum>
  <w:abstractNum w:abstractNumId="16" w15:restartNumberingAfterBreak="0">
    <w:nsid w:val="3B2F27CB"/>
    <w:multiLevelType w:val="hybridMultilevel"/>
    <w:tmpl w:val="B90C9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3370F7"/>
    <w:multiLevelType w:val="hybridMultilevel"/>
    <w:tmpl w:val="E83CC660"/>
    <w:lvl w:ilvl="0" w:tplc="0C090001">
      <w:start w:val="1"/>
      <w:numFmt w:val="bullet"/>
      <w:pStyle w:val="EmphasisPane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451578A7"/>
    <w:multiLevelType w:val="multilevel"/>
    <w:tmpl w:val="FF761CC2"/>
    <w:lvl w:ilvl="0">
      <w:start w:val="1"/>
      <w:numFmt w:val="bullet"/>
      <w:pStyle w:val="ListBullet"/>
      <w:lvlText w:val=""/>
      <w:lvlJc w:val="left"/>
      <w:pPr>
        <w:ind w:left="340" w:hanging="340"/>
      </w:pPr>
      <w:rPr>
        <w:rFonts w:ascii="Symbol" w:hAnsi="Symbol" w:hint="default"/>
        <w:color w:val="auto"/>
      </w:rPr>
    </w:lvl>
    <w:lvl w:ilvl="1">
      <w:start w:val="1"/>
      <w:numFmt w:val="bullet"/>
      <w:lvlText w:val="–"/>
      <w:lvlJc w:val="left"/>
      <w:pPr>
        <w:ind w:left="680" w:hanging="340"/>
      </w:pPr>
      <w:rPr>
        <w:rFonts w:ascii="Verdana" w:hAnsi="Verdana" w:hint="default"/>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Verdana" w:hAnsi="Verdana"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Verdana" w:hAnsi="Verdana"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Verdana" w:hAnsi="Verdana" w:hint="default"/>
      </w:rPr>
    </w:lvl>
    <w:lvl w:ilvl="8">
      <w:start w:val="1"/>
      <w:numFmt w:val="bullet"/>
      <w:lvlText w:val=""/>
      <w:lvlJc w:val="left"/>
      <w:pPr>
        <w:ind w:left="3060" w:hanging="340"/>
      </w:pPr>
      <w:rPr>
        <w:rFonts w:ascii="Symbol" w:hAnsi="Symbol" w:hint="default"/>
      </w:rPr>
    </w:lvl>
  </w:abstractNum>
  <w:abstractNum w:abstractNumId="19" w15:restartNumberingAfterBreak="0">
    <w:nsid w:val="48A63F77"/>
    <w:multiLevelType w:val="hybridMultilevel"/>
    <w:tmpl w:val="439ABF9C"/>
    <w:lvl w:ilvl="0" w:tplc="317835AA">
      <w:numFmt w:val="bullet"/>
      <w:lvlText w:val="-"/>
      <w:lvlJc w:val="left"/>
      <w:pPr>
        <w:ind w:left="558" w:hanging="360"/>
      </w:pPr>
      <w:rPr>
        <w:rFonts w:ascii="Calibri" w:eastAsia="Times New Roman" w:hAnsi="Calibri" w:cs="Calibri"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0" w15:restartNumberingAfterBreak="0">
    <w:nsid w:val="48B45A8D"/>
    <w:multiLevelType w:val="hybridMultilevel"/>
    <w:tmpl w:val="5C42C0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1" w15:restartNumberingAfterBreak="0">
    <w:nsid w:val="4BC34419"/>
    <w:multiLevelType w:val="hybridMultilevel"/>
    <w:tmpl w:val="48CC0CD4"/>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22" w15:restartNumberingAfterBreak="0">
    <w:nsid w:val="512C3D06"/>
    <w:multiLevelType w:val="multilevel"/>
    <w:tmpl w:val="DA36C6C6"/>
    <w:lvl w:ilvl="0">
      <w:start w:val="1"/>
      <w:numFmt w:val="decimal"/>
      <w:pStyle w:val="Heading1"/>
      <w:lvlText w:val="%1"/>
      <w:lvlJc w:val="left"/>
      <w:pPr>
        <w:ind w:left="432" w:hanging="432"/>
      </w:pPr>
    </w:lvl>
    <w:lvl w:ilvl="1">
      <w:start w:val="1"/>
      <w:numFmt w:val="decimal"/>
      <w:pStyle w:val="Heading2"/>
      <w:lvlText w:val="%1.%2"/>
      <w:lvlJc w:val="left"/>
      <w:pPr>
        <w:ind w:left="1001"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A6A646D"/>
    <w:multiLevelType w:val="hybridMultilevel"/>
    <w:tmpl w:val="0C8C9998"/>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D8B6379"/>
    <w:multiLevelType w:val="hybridMultilevel"/>
    <w:tmpl w:val="C212AF50"/>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6" w15:restartNumberingAfterBreak="0">
    <w:nsid w:val="608F21F8"/>
    <w:multiLevelType w:val="multilevel"/>
    <w:tmpl w:val="8A0EA9B2"/>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lvlText w:val="‒"/>
      <w:lvlJc w:val="left"/>
      <w:pPr>
        <w:ind w:left="1134" w:hanging="397"/>
      </w:pPr>
      <w:rPr>
        <w:rFonts w:ascii="Times New Roman" w:hAnsi="Times New Roman" w:cs="Times New Roman" w:hint="default"/>
        <w:color w:val="404040" w:themeColor="text1" w:themeTint="BF"/>
      </w:rPr>
    </w:lvl>
    <w:lvl w:ilvl="2">
      <w:start w:val="1"/>
      <w:numFmt w:val="bullet"/>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27" w15:restartNumberingAfterBreak="0">
    <w:nsid w:val="61AF3C33"/>
    <w:multiLevelType w:val="hybridMultilevel"/>
    <w:tmpl w:val="6B44688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2AB1683"/>
    <w:multiLevelType w:val="hybridMultilevel"/>
    <w:tmpl w:val="80522CCC"/>
    <w:lvl w:ilvl="0" w:tplc="0C090001">
      <w:start w:val="1"/>
      <w:numFmt w:val="bullet"/>
      <w:pStyle w:val="NumberedListlvl1"/>
      <w:lvlText w:val=""/>
      <w:lvlJc w:val="left"/>
      <w:pPr>
        <w:ind w:left="720" w:hanging="360"/>
      </w:pPr>
      <w:rPr>
        <w:rFonts w:ascii="Symbol" w:hAnsi="Symbol" w:hint="default"/>
      </w:rPr>
    </w:lvl>
    <w:lvl w:ilvl="1" w:tplc="0C090003" w:tentative="1">
      <w:start w:val="1"/>
      <w:numFmt w:val="bullet"/>
      <w:pStyle w:val="NumberedListlvl2"/>
      <w:lvlText w:val="o"/>
      <w:lvlJc w:val="left"/>
      <w:pPr>
        <w:ind w:left="1440" w:hanging="360"/>
      </w:pPr>
      <w:rPr>
        <w:rFonts w:ascii="Courier New" w:hAnsi="Courier New" w:cs="Courier New" w:hint="default"/>
      </w:rPr>
    </w:lvl>
    <w:lvl w:ilvl="2" w:tplc="0C090005" w:tentative="1">
      <w:start w:val="1"/>
      <w:numFmt w:val="bullet"/>
      <w:pStyle w:val="NumberedListlvl3"/>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A327CA"/>
    <w:multiLevelType w:val="hybridMultilevel"/>
    <w:tmpl w:val="647A3C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E7425E"/>
    <w:multiLevelType w:val="hybridMultilevel"/>
    <w:tmpl w:val="1A5CAC06"/>
    <w:lvl w:ilvl="0" w:tplc="1898F9E2">
      <w:numFmt w:val="bullet"/>
      <w:lvlText w:val="-"/>
      <w:lvlJc w:val="left"/>
      <w:pPr>
        <w:ind w:left="410" w:hanging="360"/>
      </w:pPr>
      <w:rPr>
        <w:rFonts w:ascii="Calibri" w:eastAsiaTheme="minorHAnsi"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31" w15:restartNumberingAfterBreak="0">
    <w:nsid w:val="6E307E92"/>
    <w:multiLevelType w:val="hybridMultilevel"/>
    <w:tmpl w:val="0A8857EC"/>
    <w:lvl w:ilvl="0" w:tplc="0C090001">
      <w:start w:val="1"/>
      <w:numFmt w:val="bullet"/>
      <w:lvlText w:val=""/>
      <w:lvlJc w:val="left"/>
      <w:pPr>
        <w:ind w:left="558" w:hanging="360"/>
      </w:pPr>
      <w:rPr>
        <w:rFonts w:ascii="Symbol" w:hAnsi="Symbol" w:hint="default"/>
      </w:rPr>
    </w:lvl>
    <w:lvl w:ilvl="1" w:tplc="FFFFFFFF" w:tentative="1">
      <w:start w:val="1"/>
      <w:numFmt w:val="bullet"/>
      <w:lvlText w:val="o"/>
      <w:lvlJc w:val="left"/>
      <w:pPr>
        <w:ind w:left="1278" w:hanging="360"/>
      </w:pPr>
      <w:rPr>
        <w:rFonts w:ascii="Courier New" w:hAnsi="Courier New" w:cs="Courier New" w:hint="default"/>
      </w:rPr>
    </w:lvl>
    <w:lvl w:ilvl="2" w:tplc="FFFFFFFF" w:tentative="1">
      <w:start w:val="1"/>
      <w:numFmt w:val="bullet"/>
      <w:lvlText w:val=""/>
      <w:lvlJc w:val="left"/>
      <w:pPr>
        <w:ind w:left="1998" w:hanging="360"/>
      </w:pPr>
      <w:rPr>
        <w:rFonts w:ascii="Wingdings" w:hAnsi="Wingdings" w:hint="default"/>
      </w:rPr>
    </w:lvl>
    <w:lvl w:ilvl="3" w:tplc="FFFFFFFF" w:tentative="1">
      <w:start w:val="1"/>
      <w:numFmt w:val="bullet"/>
      <w:lvlText w:val=""/>
      <w:lvlJc w:val="left"/>
      <w:pPr>
        <w:ind w:left="2718" w:hanging="360"/>
      </w:pPr>
      <w:rPr>
        <w:rFonts w:ascii="Symbol" w:hAnsi="Symbol" w:hint="default"/>
      </w:rPr>
    </w:lvl>
    <w:lvl w:ilvl="4" w:tplc="FFFFFFFF" w:tentative="1">
      <w:start w:val="1"/>
      <w:numFmt w:val="bullet"/>
      <w:lvlText w:val="o"/>
      <w:lvlJc w:val="left"/>
      <w:pPr>
        <w:ind w:left="3438" w:hanging="360"/>
      </w:pPr>
      <w:rPr>
        <w:rFonts w:ascii="Courier New" w:hAnsi="Courier New" w:cs="Courier New" w:hint="default"/>
      </w:rPr>
    </w:lvl>
    <w:lvl w:ilvl="5" w:tplc="FFFFFFFF" w:tentative="1">
      <w:start w:val="1"/>
      <w:numFmt w:val="bullet"/>
      <w:lvlText w:val=""/>
      <w:lvlJc w:val="left"/>
      <w:pPr>
        <w:ind w:left="4158" w:hanging="360"/>
      </w:pPr>
      <w:rPr>
        <w:rFonts w:ascii="Wingdings" w:hAnsi="Wingdings" w:hint="default"/>
      </w:rPr>
    </w:lvl>
    <w:lvl w:ilvl="6" w:tplc="FFFFFFFF" w:tentative="1">
      <w:start w:val="1"/>
      <w:numFmt w:val="bullet"/>
      <w:lvlText w:val=""/>
      <w:lvlJc w:val="left"/>
      <w:pPr>
        <w:ind w:left="4878" w:hanging="360"/>
      </w:pPr>
      <w:rPr>
        <w:rFonts w:ascii="Symbol" w:hAnsi="Symbol" w:hint="default"/>
      </w:rPr>
    </w:lvl>
    <w:lvl w:ilvl="7" w:tplc="FFFFFFFF" w:tentative="1">
      <w:start w:val="1"/>
      <w:numFmt w:val="bullet"/>
      <w:lvlText w:val="o"/>
      <w:lvlJc w:val="left"/>
      <w:pPr>
        <w:ind w:left="5598" w:hanging="360"/>
      </w:pPr>
      <w:rPr>
        <w:rFonts w:ascii="Courier New" w:hAnsi="Courier New" w:cs="Courier New" w:hint="default"/>
      </w:rPr>
    </w:lvl>
    <w:lvl w:ilvl="8" w:tplc="FFFFFFFF" w:tentative="1">
      <w:start w:val="1"/>
      <w:numFmt w:val="bullet"/>
      <w:lvlText w:val=""/>
      <w:lvlJc w:val="left"/>
      <w:pPr>
        <w:ind w:left="6318" w:hanging="360"/>
      </w:pPr>
      <w:rPr>
        <w:rFonts w:ascii="Wingdings" w:hAnsi="Wingdings" w:hint="default"/>
      </w:rPr>
    </w:lvl>
  </w:abstractNum>
  <w:abstractNum w:abstractNumId="32" w15:restartNumberingAfterBreak="0">
    <w:nsid w:val="72EF1E09"/>
    <w:multiLevelType w:val="multilevel"/>
    <w:tmpl w:val="99B09908"/>
    <w:lvl w:ilvl="0">
      <w:start w:val="1"/>
      <w:numFmt w:val="decimal"/>
      <w:pStyle w:val="List"/>
      <w:lvlText w:val="%1."/>
      <w:lvlJc w:val="left"/>
      <w:pPr>
        <w:ind w:left="567" w:hanging="283"/>
      </w:pPr>
      <w:rPr>
        <w:rFonts w:hint="default"/>
      </w:rPr>
    </w:lvl>
    <w:lvl w:ilvl="1">
      <w:start w:val="1"/>
      <w:numFmt w:val="lowerLetter"/>
      <w:lvlText w:val="%2."/>
      <w:lvlJc w:val="left"/>
      <w:pPr>
        <w:ind w:left="1021" w:hanging="283"/>
      </w:pPr>
      <w:rPr>
        <w:rFonts w:hint="default"/>
      </w:rPr>
    </w:lvl>
    <w:lvl w:ilvl="2">
      <w:start w:val="1"/>
      <w:numFmt w:val="lowerRoman"/>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33" w15:restartNumberingAfterBreak="0">
    <w:nsid w:val="736A6B07"/>
    <w:multiLevelType w:val="multilevel"/>
    <w:tmpl w:val="1192806C"/>
    <w:lvl w:ilvl="0">
      <w:start w:val="1"/>
      <w:numFmt w:val="bullet"/>
      <w:pStyle w:val="TableNumbering"/>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34" w15:restartNumberingAfterBreak="0">
    <w:nsid w:val="75242764"/>
    <w:multiLevelType w:val="hybridMultilevel"/>
    <w:tmpl w:val="DFC636E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5" w15:restartNumberingAfterBreak="0">
    <w:nsid w:val="75A6454D"/>
    <w:multiLevelType w:val="hybridMultilevel"/>
    <w:tmpl w:val="CD7E121A"/>
    <w:lvl w:ilvl="0" w:tplc="0C090001">
      <w:start w:val="1"/>
      <w:numFmt w:val="bullet"/>
      <w:pStyle w:val="SWA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DC35DD"/>
    <w:multiLevelType w:val="hybridMultilevel"/>
    <w:tmpl w:val="47E462A0"/>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37" w15:restartNumberingAfterBreak="0">
    <w:nsid w:val="76DD5CAA"/>
    <w:multiLevelType w:val="hybridMultilevel"/>
    <w:tmpl w:val="4D540E1E"/>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38" w15:restartNumberingAfterBreak="0">
    <w:nsid w:val="7A9C156A"/>
    <w:multiLevelType w:val="hybridMultilevel"/>
    <w:tmpl w:val="573E3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263848"/>
    <w:multiLevelType w:val="hybridMultilevel"/>
    <w:tmpl w:val="CDD88506"/>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7FD44514"/>
    <w:multiLevelType w:val="multilevel"/>
    <w:tmpl w:val="D3A4EDA4"/>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25"/>
  </w:num>
  <w:num w:numId="2">
    <w:abstractNumId w:val="26"/>
  </w:num>
  <w:num w:numId="3">
    <w:abstractNumId w:val="5"/>
  </w:num>
  <w:num w:numId="4">
    <w:abstractNumId w:val="33"/>
  </w:num>
  <w:num w:numId="5">
    <w:abstractNumId w:val="32"/>
  </w:num>
  <w:num w:numId="6">
    <w:abstractNumId w:val="17"/>
  </w:num>
  <w:num w:numId="7">
    <w:abstractNumId w:val="28"/>
  </w:num>
  <w:num w:numId="8">
    <w:abstractNumId w:val="12"/>
  </w:num>
  <w:num w:numId="9">
    <w:abstractNumId w:val="9"/>
  </w:num>
  <w:num w:numId="10">
    <w:abstractNumId w:val="4"/>
  </w:num>
  <w:num w:numId="11">
    <w:abstractNumId w:val="15"/>
  </w:num>
  <w:num w:numId="12">
    <w:abstractNumId w:val="29"/>
  </w:num>
  <w:num w:numId="13">
    <w:abstractNumId w:val="22"/>
  </w:num>
  <w:num w:numId="14">
    <w:abstractNumId w:val="3"/>
  </w:num>
  <w:num w:numId="15">
    <w:abstractNumId w:val="35"/>
  </w:num>
  <w:num w:numId="16">
    <w:abstractNumId w:val="16"/>
  </w:num>
  <w:num w:numId="17">
    <w:abstractNumId w:val="23"/>
  </w:num>
  <w:num w:numId="18">
    <w:abstractNumId w:val="30"/>
  </w:num>
  <w:num w:numId="19">
    <w:abstractNumId w:val="1"/>
  </w:num>
  <w:num w:numId="20">
    <w:abstractNumId w:val="18"/>
  </w:num>
  <w:num w:numId="21">
    <w:abstractNumId w:val="0"/>
  </w:num>
  <w:num w:numId="22">
    <w:abstractNumId w:val="38"/>
  </w:num>
  <w:num w:numId="23">
    <w:abstractNumId w:val="40"/>
  </w:num>
  <w:num w:numId="24">
    <w:abstractNumId w:val="24"/>
  </w:num>
  <w:num w:numId="25">
    <w:abstractNumId w:val="27"/>
  </w:num>
  <w:num w:numId="26">
    <w:abstractNumId w:val="39"/>
  </w:num>
  <w:num w:numId="27">
    <w:abstractNumId w:val="10"/>
  </w:num>
  <w:num w:numId="28">
    <w:abstractNumId w:val="26"/>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lvlText w:val=""/>
        <w:lvlJc w:val="left"/>
        <w:pPr>
          <w:ind w:left="1418" w:hanging="284"/>
        </w:pPr>
        <w:rPr>
          <w:rFonts w:ascii="Wingdings" w:hAnsi="Wingdings" w:hint="default"/>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29">
    <w:abstractNumId w:val="14"/>
    <w:lvlOverride w:ilvl="0">
      <w:lvl w:ilvl="0">
        <w:start w:val="1"/>
        <w:numFmt w:val="decimal"/>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30">
    <w:abstractNumId w:val="7"/>
  </w:num>
  <w:num w:numId="31">
    <w:abstractNumId w:val="13"/>
  </w:num>
  <w:num w:numId="32">
    <w:abstractNumId w:val="20"/>
  </w:num>
  <w:num w:numId="33">
    <w:abstractNumId w:val="2"/>
  </w:num>
  <w:num w:numId="34">
    <w:abstractNumId w:val="11"/>
  </w:num>
  <w:num w:numId="35">
    <w:abstractNumId w:val="22"/>
  </w:num>
  <w:num w:numId="36">
    <w:abstractNumId w:val="6"/>
  </w:num>
  <w:num w:numId="37">
    <w:abstractNumId w:val="36"/>
  </w:num>
  <w:num w:numId="38">
    <w:abstractNumId w:val="21"/>
  </w:num>
  <w:num w:numId="39">
    <w:abstractNumId w:val="8"/>
  </w:num>
  <w:num w:numId="40">
    <w:abstractNumId w:val="34"/>
  </w:num>
  <w:num w:numId="41">
    <w:abstractNumId w:val="37"/>
  </w:num>
  <w:num w:numId="42">
    <w:abstractNumId w:val="19"/>
  </w:num>
  <w:num w:numId="43">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85"/>
    <w:rsid w:val="00000F52"/>
    <w:rsid w:val="00000FA5"/>
    <w:rsid w:val="00001272"/>
    <w:rsid w:val="00001457"/>
    <w:rsid w:val="000015F5"/>
    <w:rsid w:val="00001A35"/>
    <w:rsid w:val="00001A9E"/>
    <w:rsid w:val="00001D13"/>
    <w:rsid w:val="00001EB0"/>
    <w:rsid w:val="000021FD"/>
    <w:rsid w:val="000027B5"/>
    <w:rsid w:val="00002828"/>
    <w:rsid w:val="000028ED"/>
    <w:rsid w:val="00002AA7"/>
    <w:rsid w:val="00002C1D"/>
    <w:rsid w:val="00002CF5"/>
    <w:rsid w:val="00002DFE"/>
    <w:rsid w:val="00002F73"/>
    <w:rsid w:val="000035A7"/>
    <w:rsid w:val="00003814"/>
    <w:rsid w:val="00003C80"/>
    <w:rsid w:val="00003CE5"/>
    <w:rsid w:val="00003F07"/>
    <w:rsid w:val="00003FBC"/>
    <w:rsid w:val="00004101"/>
    <w:rsid w:val="00004318"/>
    <w:rsid w:val="0000445F"/>
    <w:rsid w:val="0000455E"/>
    <w:rsid w:val="00004616"/>
    <w:rsid w:val="0000479E"/>
    <w:rsid w:val="00004C60"/>
    <w:rsid w:val="00004E3E"/>
    <w:rsid w:val="0000501B"/>
    <w:rsid w:val="000059CC"/>
    <w:rsid w:val="00005B69"/>
    <w:rsid w:val="00006211"/>
    <w:rsid w:val="0000622E"/>
    <w:rsid w:val="000068A3"/>
    <w:rsid w:val="000068E3"/>
    <w:rsid w:val="00006C90"/>
    <w:rsid w:val="00006D58"/>
    <w:rsid w:val="00006F45"/>
    <w:rsid w:val="000071DC"/>
    <w:rsid w:val="0000732E"/>
    <w:rsid w:val="000075F0"/>
    <w:rsid w:val="00007784"/>
    <w:rsid w:val="000078A3"/>
    <w:rsid w:val="00007B87"/>
    <w:rsid w:val="00007DA0"/>
    <w:rsid w:val="00007F2C"/>
    <w:rsid w:val="00010384"/>
    <w:rsid w:val="0001049C"/>
    <w:rsid w:val="00010A32"/>
    <w:rsid w:val="00010BF8"/>
    <w:rsid w:val="000111E3"/>
    <w:rsid w:val="000116DC"/>
    <w:rsid w:val="000117B2"/>
    <w:rsid w:val="00011AA3"/>
    <w:rsid w:val="00011E32"/>
    <w:rsid w:val="00011E54"/>
    <w:rsid w:val="000120C2"/>
    <w:rsid w:val="000124CE"/>
    <w:rsid w:val="00012C8D"/>
    <w:rsid w:val="00013137"/>
    <w:rsid w:val="000131B6"/>
    <w:rsid w:val="00013227"/>
    <w:rsid w:val="00013382"/>
    <w:rsid w:val="0001382F"/>
    <w:rsid w:val="00013B78"/>
    <w:rsid w:val="00013D13"/>
    <w:rsid w:val="00013F04"/>
    <w:rsid w:val="000140A7"/>
    <w:rsid w:val="0001413F"/>
    <w:rsid w:val="0001422D"/>
    <w:rsid w:val="000142C2"/>
    <w:rsid w:val="00014323"/>
    <w:rsid w:val="000144AF"/>
    <w:rsid w:val="000144CE"/>
    <w:rsid w:val="000144D1"/>
    <w:rsid w:val="00014949"/>
    <w:rsid w:val="000149CA"/>
    <w:rsid w:val="00014A31"/>
    <w:rsid w:val="00014C40"/>
    <w:rsid w:val="00014CFA"/>
    <w:rsid w:val="00014D09"/>
    <w:rsid w:val="00014E7C"/>
    <w:rsid w:val="000155FA"/>
    <w:rsid w:val="000156E8"/>
    <w:rsid w:val="000157B5"/>
    <w:rsid w:val="00015927"/>
    <w:rsid w:val="000159E1"/>
    <w:rsid w:val="00015C8E"/>
    <w:rsid w:val="00015FF3"/>
    <w:rsid w:val="00016596"/>
    <w:rsid w:val="000165C1"/>
    <w:rsid w:val="0001688B"/>
    <w:rsid w:val="00016FFE"/>
    <w:rsid w:val="0001703B"/>
    <w:rsid w:val="0001712C"/>
    <w:rsid w:val="000171D2"/>
    <w:rsid w:val="000173A1"/>
    <w:rsid w:val="00017489"/>
    <w:rsid w:val="00017C5A"/>
    <w:rsid w:val="00017E62"/>
    <w:rsid w:val="000201A8"/>
    <w:rsid w:val="000203A0"/>
    <w:rsid w:val="0002068D"/>
    <w:rsid w:val="000208C6"/>
    <w:rsid w:val="0002095D"/>
    <w:rsid w:val="000209F5"/>
    <w:rsid w:val="00020A65"/>
    <w:rsid w:val="0002105D"/>
    <w:rsid w:val="00021653"/>
    <w:rsid w:val="00021B8E"/>
    <w:rsid w:val="00021DBF"/>
    <w:rsid w:val="00021E63"/>
    <w:rsid w:val="00022274"/>
    <w:rsid w:val="000222E5"/>
    <w:rsid w:val="000223A5"/>
    <w:rsid w:val="00022991"/>
    <w:rsid w:val="00022C2D"/>
    <w:rsid w:val="00022ECE"/>
    <w:rsid w:val="00023044"/>
    <w:rsid w:val="000230C6"/>
    <w:rsid w:val="00023214"/>
    <w:rsid w:val="00023324"/>
    <w:rsid w:val="000234B8"/>
    <w:rsid w:val="000237D5"/>
    <w:rsid w:val="00023AC4"/>
    <w:rsid w:val="000240F0"/>
    <w:rsid w:val="000243D2"/>
    <w:rsid w:val="00024404"/>
    <w:rsid w:val="00024524"/>
    <w:rsid w:val="00024634"/>
    <w:rsid w:val="00024689"/>
    <w:rsid w:val="00024D0E"/>
    <w:rsid w:val="00024F4A"/>
    <w:rsid w:val="00025A8C"/>
    <w:rsid w:val="00025CE8"/>
    <w:rsid w:val="00025EF6"/>
    <w:rsid w:val="00025F7C"/>
    <w:rsid w:val="000261FE"/>
    <w:rsid w:val="000263A8"/>
    <w:rsid w:val="0002640E"/>
    <w:rsid w:val="000267BB"/>
    <w:rsid w:val="00026D65"/>
    <w:rsid w:val="000271FF"/>
    <w:rsid w:val="00027288"/>
    <w:rsid w:val="000273CF"/>
    <w:rsid w:val="000276C1"/>
    <w:rsid w:val="000279F5"/>
    <w:rsid w:val="00027BF5"/>
    <w:rsid w:val="00030038"/>
    <w:rsid w:val="000300ED"/>
    <w:rsid w:val="000304B2"/>
    <w:rsid w:val="000309BD"/>
    <w:rsid w:val="00030D85"/>
    <w:rsid w:val="00030FDC"/>
    <w:rsid w:val="0003114A"/>
    <w:rsid w:val="0003118C"/>
    <w:rsid w:val="000318C9"/>
    <w:rsid w:val="00031A68"/>
    <w:rsid w:val="00031B5C"/>
    <w:rsid w:val="00031BE1"/>
    <w:rsid w:val="00031C5E"/>
    <w:rsid w:val="00031F19"/>
    <w:rsid w:val="00032105"/>
    <w:rsid w:val="00032A56"/>
    <w:rsid w:val="000333F1"/>
    <w:rsid w:val="00033603"/>
    <w:rsid w:val="00033CB8"/>
    <w:rsid w:val="00033CF8"/>
    <w:rsid w:val="00033E54"/>
    <w:rsid w:val="000341A4"/>
    <w:rsid w:val="00034294"/>
    <w:rsid w:val="0003461A"/>
    <w:rsid w:val="00034660"/>
    <w:rsid w:val="00034D5D"/>
    <w:rsid w:val="00034FEA"/>
    <w:rsid w:val="00034FEC"/>
    <w:rsid w:val="00035206"/>
    <w:rsid w:val="00035217"/>
    <w:rsid w:val="00035394"/>
    <w:rsid w:val="0003580C"/>
    <w:rsid w:val="00035C5F"/>
    <w:rsid w:val="00035D28"/>
    <w:rsid w:val="00036252"/>
    <w:rsid w:val="000367F9"/>
    <w:rsid w:val="00036B4A"/>
    <w:rsid w:val="00037BBB"/>
    <w:rsid w:val="00037BD0"/>
    <w:rsid w:val="00037CCF"/>
    <w:rsid w:val="00040302"/>
    <w:rsid w:val="000405EB"/>
    <w:rsid w:val="000406C9"/>
    <w:rsid w:val="00040983"/>
    <w:rsid w:val="000409F5"/>
    <w:rsid w:val="00040C06"/>
    <w:rsid w:val="00041136"/>
    <w:rsid w:val="00041732"/>
    <w:rsid w:val="00041862"/>
    <w:rsid w:val="00041A68"/>
    <w:rsid w:val="00041ABC"/>
    <w:rsid w:val="00041AE3"/>
    <w:rsid w:val="00041C86"/>
    <w:rsid w:val="00041C9B"/>
    <w:rsid w:val="00041D73"/>
    <w:rsid w:val="00041F69"/>
    <w:rsid w:val="00042180"/>
    <w:rsid w:val="00042189"/>
    <w:rsid w:val="0004219C"/>
    <w:rsid w:val="00042337"/>
    <w:rsid w:val="00042550"/>
    <w:rsid w:val="00042DA7"/>
    <w:rsid w:val="00042DDD"/>
    <w:rsid w:val="00042E89"/>
    <w:rsid w:val="00043140"/>
    <w:rsid w:val="000433B7"/>
    <w:rsid w:val="000435FE"/>
    <w:rsid w:val="00043AF2"/>
    <w:rsid w:val="00043CEC"/>
    <w:rsid w:val="00043D9E"/>
    <w:rsid w:val="00043EC6"/>
    <w:rsid w:val="00043FA3"/>
    <w:rsid w:val="0004407E"/>
    <w:rsid w:val="000440B9"/>
    <w:rsid w:val="000442AB"/>
    <w:rsid w:val="000446A5"/>
    <w:rsid w:val="00044BF9"/>
    <w:rsid w:val="00044D20"/>
    <w:rsid w:val="00045099"/>
    <w:rsid w:val="00045390"/>
    <w:rsid w:val="000453CD"/>
    <w:rsid w:val="0004543A"/>
    <w:rsid w:val="000455B5"/>
    <w:rsid w:val="0004589B"/>
    <w:rsid w:val="00045F2E"/>
    <w:rsid w:val="00046097"/>
    <w:rsid w:val="0004619D"/>
    <w:rsid w:val="000463D0"/>
    <w:rsid w:val="00046462"/>
    <w:rsid w:val="00046646"/>
    <w:rsid w:val="00046757"/>
    <w:rsid w:val="00046A9C"/>
    <w:rsid w:val="00046D00"/>
    <w:rsid w:val="0004711A"/>
    <w:rsid w:val="000475CD"/>
    <w:rsid w:val="000479D4"/>
    <w:rsid w:val="00050223"/>
    <w:rsid w:val="0005025B"/>
    <w:rsid w:val="00050270"/>
    <w:rsid w:val="000502D8"/>
    <w:rsid w:val="000503A6"/>
    <w:rsid w:val="00050F09"/>
    <w:rsid w:val="00051125"/>
    <w:rsid w:val="000511AF"/>
    <w:rsid w:val="00051350"/>
    <w:rsid w:val="00051525"/>
    <w:rsid w:val="00051717"/>
    <w:rsid w:val="000517F8"/>
    <w:rsid w:val="00051851"/>
    <w:rsid w:val="00051FD1"/>
    <w:rsid w:val="00052752"/>
    <w:rsid w:val="00052782"/>
    <w:rsid w:val="000527E4"/>
    <w:rsid w:val="000528F6"/>
    <w:rsid w:val="00052B6C"/>
    <w:rsid w:val="00052BA7"/>
    <w:rsid w:val="00052E25"/>
    <w:rsid w:val="00052F5E"/>
    <w:rsid w:val="00053204"/>
    <w:rsid w:val="0005370A"/>
    <w:rsid w:val="000537DF"/>
    <w:rsid w:val="00053CC9"/>
    <w:rsid w:val="00053CD9"/>
    <w:rsid w:val="00053D64"/>
    <w:rsid w:val="00053E45"/>
    <w:rsid w:val="00053F2B"/>
    <w:rsid w:val="00054126"/>
    <w:rsid w:val="00054214"/>
    <w:rsid w:val="0005436C"/>
    <w:rsid w:val="0005442C"/>
    <w:rsid w:val="000546BA"/>
    <w:rsid w:val="00054B3E"/>
    <w:rsid w:val="00054B52"/>
    <w:rsid w:val="00054BD9"/>
    <w:rsid w:val="00054C65"/>
    <w:rsid w:val="00054D7D"/>
    <w:rsid w:val="00054E1D"/>
    <w:rsid w:val="00054F57"/>
    <w:rsid w:val="00054F9B"/>
    <w:rsid w:val="000554E9"/>
    <w:rsid w:val="00055795"/>
    <w:rsid w:val="000557B0"/>
    <w:rsid w:val="000558DD"/>
    <w:rsid w:val="00055E6A"/>
    <w:rsid w:val="00055E6D"/>
    <w:rsid w:val="00056299"/>
    <w:rsid w:val="000563EA"/>
    <w:rsid w:val="00056589"/>
    <w:rsid w:val="00056693"/>
    <w:rsid w:val="00056E96"/>
    <w:rsid w:val="0005724E"/>
    <w:rsid w:val="000576B6"/>
    <w:rsid w:val="00057832"/>
    <w:rsid w:val="0005798C"/>
    <w:rsid w:val="00057C12"/>
    <w:rsid w:val="00060609"/>
    <w:rsid w:val="00060948"/>
    <w:rsid w:val="00060C31"/>
    <w:rsid w:val="000610A9"/>
    <w:rsid w:val="0006113C"/>
    <w:rsid w:val="00061177"/>
    <w:rsid w:val="00061209"/>
    <w:rsid w:val="000612EF"/>
    <w:rsid w:val="00061358"/>
    <w:rsid w:val="000615C0"/>
    <w:rsid w:val="00061629"/>
    <w:rsid w:val="0006169D"/>
    <w:rsid w:val="00061881"/>
    <w:rsid w:val="000618C1"/>
    <w:rsid w:val="000619C7"/>
    <w:rsid w:val="00061C78"/>
    <w:rsid w:val="00061D02"/>
    <w:rsid w:val="00062214"/>
    <w:rsid w:val="00062245"/>
    <w:rsid w:val="000624AF"/>
    <w:rsid w:val="000624FC"/>
    <w:rsid w:val="00062628"/>
    <w:rsid w:val="00062739"/>
    <w:rsid w:val="000627C7"/>
    <w:rsid w:val="000627E3"/>
    <w:rsid w:val="00062844"/>
    <w:rsid w:val="000628BC"/>
    <w:rsid w:val="00062B33"/>
    <w:rsid w:val="00062BA3"/>
    <w:rsid w:val="00062F3A"/>
    <w:rsid w:val="00063034"/>
    <w:rsid w:val="0006303A"/>
    <w:rsid w:val="0006362D"/>
    <w:rsid w:val="00063CE4"/>
    <w:rsid w:val="00063EBC"/>
    <w:rsid w:val="00063ED7"/>
    <w:rsid w:val="00063EE9"/>
    <w:rsid w:val="0006459B"/>
    <w:rsid w:val="00064735"/>
    <w:rsid w:val="00064EB2"/>
    <w:rsid w:val="00065348"/>
    <w:rsid w:val="000654F8"/>
    <w:rsid w:val="00065542"/>
    <w:rsid w:val="00065773"/>
    <w:rsid w:val="00065868"/>
    <w:rsid w:val="00065960"/>
    <w:rsid w:val="00065BF0"/>
    <w:rsid w:val="00065CBB"/>
    <w:rsid w:val="00065D11"/>
    <w:rsid w:val="00065E2E"/>
    <w:rsid w:val="000667A1"/>
    <w:rsid w:val="0006684B"/>
    <w:rsid w:val="00066B99"/>
    <w:rsid w:val="00066D25"/>
    <w:rsid w:val="00066D39"/>
    <w:rsid w:val="0006705C"/>
    <w:rsid w:val="0006721C"/>
    <w:rsid w:val="0006739C"/>
    <w:rsid w:val="000676A8"/>
    <w:rsid w:val="0006782F"/>
    <w:rsid w:val="00067B4C"/>
    <w:rsid w:val="00067D57"/>
    <w:rsid w:val="0007002A"/>
    <w:rsid w:val="0007022D"/>
    <w:rsid w:val="0007054F"/>
    <w:rsid w:val="000705F6"/>
    <w:rsid w:val="00070621"/>
    <w:rsid w:val="00070630"/>
    <w:rsid w:val="00071277"/>
    <w:rsid w:val="00071536"/>
    <w:rsid w:val="0007197A"/>
    <w:rsid w:val="00071C0A"/>
    <w:rsid w:val="00071E73"/>
    <w:rsid w:val="00072651"/>
    <w:rsid w:val="000729DE"/>
    <w:rsid w:val="00072C5B"/>
    <w:rsid w:val="00072F8D"/>
    <w:rsid w:val="00073179"/>
    <w:rsid w:val="000733E3"/>
    <w:rsid w:val="00073D52"/>
    <w:rsid w:val="00074186"/>
    <w:rsid w:val="00074406"/>
    <w:rsid w:val="000748E7"/>
    <w:rsid w:val="00074951"/>
    <w:rsid w:val="00074A14"/>
    <w:rsid w:val="00074CD3"/>
    <w:rsid w:val="00074E35"/>
    <w:rsid w:val="00074E7D"/>
    <w:rsid w:val="0007506B"/>
    <w:rsid w:val="00075455"/>
    <w:rsid w:val="0007578D"/>
    <w:rsid w:val="000757D6"/>
    <w:rsid w:val="000758B6"/>
    <w:rsid w:val="00075E8B"/>
    <w:rsid w:val="00075EFA"/>
    <w:rsid w:val="00075F86"/>
    <w:rsid w:val="000761E4"/>
    <w:rsid w:val="0007648F"/>
    <w:rsid w:val="00076804"/>
    <w:rsid w:val="00076891"/>
    <w:rsid w:val="00076A4F"/>
    <w:rsid w:val="00076AD1"/>
    <w:rsid w:val="00076BF1"/>
    <w:rsid w:val="00076CA2"/>
    <w:rsid w:val="00076D3F"/>
    <w:rsid w:val="000771AD"/>
    <w:rsid w:val="000771B5"/>
    <w:rsid w:val="00077801"/>
    <w:rsid w:val="0007781C"/>
    <w:rsid w:val="00077FF5"/>
    <w:rsid w:val="0008027F"/>
    <w:rsid w:val="000803CA"/>
    <w:rsid w:val="00080718"/>
    <w:rsid w:val="00080958"/>
    <w:rsid w:val="00080A0C"/>
    <w:rsid w:val="00081445"/>
    <w:rsid w:val="00081463"/>
    <w:rsid w:val="0008146F"/>
    <w:rsid w:val="00081810"/>
    <w:rsid w:val="00081FF4"/>
    <w:rsid w:val="000823EF"/>
    <w:rsid w:val="00082A28"/>
    <w:rsid w:val="00082A64"/>
    <w:rsid w:val="00082FB1"/>
    <w:rsid w:val="000832C4"/>
    <w:rsid w:val="0008380D"/>
    <w:rsid w:val="00083833"/>
    <w:rsid w:val="00083B63"/>
    <w:rsid w:val="00083D2B"/>
    <w:rsid w:val="00083E3F"/>
    <w:rsid w:val="00084367"/>
    <w:rsid w:val="0008482C"/>
    <w:rsid w:val="00084AE3"/>
    <w:rsid w:val="00084B36"/>
    <w:rsid w:val="00084B57"/>
    <w:rsid w:val="00085023"/>
    <w:rsid w:val="00085442"/>
    <w:rsid w:val="000856B8"/>
    <w:rsid w:val="0008577F"/>
    <w:rsid w:val="00085A0F"/>
    <w:rsid w:val="00085A4B"/>
    <w:rsid w:val="00085E77"/>
    <w:rsid w:val="00085FA4"/>
    <w:rsid w:val="00085FDD"/>
    <w:rsid w:val="0008615E"/>
    <w:rsid w:val="000863C6"/>
    <w:rsid w:val="000868F8"/>
    <w:rsid w:val="00086961"/>
    <w:rsid w:val="0008697A"/>
    <w:rsid w:val="00086B11"/>
    <w:rsid w:val="00086D15"/>
    <w:rsid w:val="00086F49"/>
    <w:rsid w:val="00087478"/>
    <w:rsid w:val="0008774E"/>
    <w:rsid w:val="000903C2"/>
    <w:rsid w:val="00090916"/>
    <w:rsid w:val="00090AA9"/>
    <w:rsid w:val="00090C68"/>
    <w:rsid w:val="00090CF7"/>
    <w:rsid w:val="00090F40"/>
    <w:rsid w:val="000913E4"/>
    <w:rsid w:val="00091438"/>
    <w:rsid w:val="000914A3"/>
    <w:rsid w:val="00091967"/>
    <w:rsid w:val="00091A43"/>
    <w:rsid w:val="00091B0E"/>
    <w:rsid w:val="00091BCD"/>
    <w:rsid w:val="000921AF"/>
    <w:rsid w:val="000924A0"/>
    <w:rsid w:val="00092588"/>
    <w:rsid w:val="0009265A"/>
    <w:rsid w:val="00092A1A"/>
    <w:rsid w:val="00092BCE"/>
    <w:rsid w:val="00093144"/>
    <w:rsid w:val="00093362"/>
    <w:rsid w:val="00093658"/>
    <w:rsid w:val="000936DE"/>
    <w:rsid w:val="000938E5"/>
    <w:rsid w:val="00093CA2"/>
    <w:rsid w:val="0009461C"/>
    <w:rsid w:val="000949F8"/>
    <w:rsid w:val="00094AF4"/>
    <w:rsid w:val="00094DD1"/>
    <w:rsid w:val="00094F28"/>
    <w:rsid w:val="00095AF5"/>
    <w:rsid w:val="00095BF1"/>
    <w:rsid w:val="00095BF3"/>
    <w:rsid w:val="00096494"/>
    <w:rsid w:val="00096702"/>
    <w:rsid w:val="00096F54"/>
    <w:rsid w:val="0009709D"/>
    <w:rsid w:val="00097766"/>
    <w:rsid w:val="00097A61"/>
    <w:rsid w:val="00097AAC"/>
    <w:rsid w:val="000A00B3"/>
    <w:rsid w:val="000A0426"/>
    <w:rsid w:val="000A05EA"/>
    <w:rsid w:val="000A0746"/>
    <w:rsid w:val="000A076D"/>
    <w:rsid w:val="000A08CA"/>
    <w:rsid w:val="000A08D2"/>
    <w:rsid w:val="000A0C9B"/>
    <w:rsid w:val="000A0D36"/>
    <w:rsid w:val="000A0DB5"/>
    <w:rsid w:val="000A0E4C"/>
    <w:rsid w:val="000A0F3E"/>
    <w:rsid w:val="000A1182"/>
    <w:rsid w:val="000A15EB"/>
    <w:rsid w:val="000A15F2"/>
    <w:rsid w:val="000A173A"/>
    <w:rsid w:val="000A17CE"/>
    <w:rsid w:val="000A1C93"/>
    <w:rsid w:val="000A1DB8"/>
    <w:rsid w:val="000A1ED9"/>
    <w:rsid w:val="000A22D1"/>
    <w:rsid w:val="000A2352"/>
    <w:rsid w:val="000A2403"/>
    <w:rsid w:val="000A2B6D"/>
    <w:rsid w:val="000A2CB3"/>
    <w:rsid w:val="000A2CDF"/>
    <w:rsid w:val="000A2F52"/>
    <w:rsid w:val="000A3036"/>
    <w:rsid w:val="000A3164"/>
    <w:rsid w:val="000A335D"/>
    <w:rsid w:val="000A341C"/>
    <w:rsid w:val="000A3E46"/>
    <w:rsid w:val="000A3EB0"/>
    <w:rsid w:val="000A4006"/>
    <w:rsid w:val="000A409D"/>
    <w:rsid w:val="000A4370"/>
    <w:rsid w:val="000A4452"/>
    <w:rsid w:val="000A44D0"/>
    <w:rsid w:val="000A4644"/>
    <w:rsid w:val="000A4725"/>
    <w:rsid w:val="000A489F"/>
    <w:rsid w:val="000A4A00"/>
    <w:rsid w:val="000A4F98"/>
    <w:rsid w:val="000A526F"/>
    <w:rsid w:val="000A53F6"/>
    <w:rsid w:val="000A5584"/>
    <w:rsid w:val="000A55A7"/>
    <w:rsid w:val="000A560D"/>
    <w:rsid w:val="000A58F4"/>
    <w:rsid w:val="000A594A"/>
    <w:rsid w:val="000A5976"/>
    <w:rsid w:val="000A5E0D"/>
    <w:rsid w:val="000A6026"/>
    <w:rsid w:val="000A62F2"/>
    <w:rsid w:val="000A630D"/>
    <w:rsid w:val="000A653D"/>
    <w:rsid w:val="000A6560"/>
    <w:rsid w:val="000A670F"/>
    <w:rsid w:val="000A6958"/>
    <w:rsid w:val="000A6D3F"/>
    <w:rsid w:val="000A6D99"/>
    <w:rsid w:val="000A7726"/>
    <w:rsid w:val="000A7A51"/>
    <w:rsid w:val="000A7D8C"/>
    <w:rsid w:val="000A7F1B"/>
    <w:rsid w:val="000B006C"/>
    <w:rsid w:val="000B0941"/>
    <w:rsid w:val="000B0F59"/>
    <w:rsid w:val="000B0FD4"/>
    <w:rsid w:val="000B119B"/>
    <w:rsid w:val="000B1CE0"/>
    <w:rsid w:val="000B1D1F"/>
    <w:rsid w:val="000B1D2C"/>
    <w:rsid w:val="000B1F0E"/>
    <w:rsid w:val="000B1FAA"/>
    <w:rsid w:val="000B20D2"/>
    <w:rsid w:val="000B21FD"/>
    <w:rsid w:val="000B22D7"/>
    <w:rsid w:val="000B2419"/>
    <w:rsid w:val="000B243E"/>
    <w:rsid w:val="000B24C8"/>
    <w:rsid w:val="000B2568"/>
    <w:rsid w:val="000B2743"/>
    <w:rsid w:val="000B2796"/>
    <w:rsid w:val="000B2A53"/>
    <w:rsid w:val="000B2BBC"/>
    <w:rsid w:val="000B2C2C"/>
    <w:rsid w:val="000B2D50"/>
    <w:rsid w:val="000B2E3D"/>
    <w:rsid w:val="000B38E1"/>
    <w:rsid w:val="000B42A7"/>
    <w:rsid w:val="000B462F"/>
    <w:rsid w:val="000B4785"/>
    <w:rsid w:val="000B47B3"/>
    <w:rsid w:val="000B48D7"/>
    <w:rsid w:val="000B4906"/>
    <w:rsid w:val="000B4979"/>
    <w:rsid w:val="000B4B57"/>
    <w:rsid w:val="000B4DBE"/>
    <w:rsid w:val="000B4F7D"/>
    <w:rsid w:val="000B528D"/>
    <w:rsid w:val="000B5642"/>
    <w:rsid w:val="000B5742"/>
    <w:rsid w:val="000B5871"/>
    <w:rsid w:val="000B5A0E"/>
    <w:rsid w:val="000B5B2F"/>
    <w:rsid w:val="000B607C"/>
    <w:rsid w:val="000B6211"/>
    <w:rsid w:val="000B651C"/>
    <w:rsid w:val="000B66D8"/>
    <w:rsid w:val="000B66DD"/>
    <w:rsid w:val="000B6774"/>
    <w:rsid w:val="000B6A05"/>
    <w:rsid w:val="000B6D61"/>
    <w:rsid w:val="000B6D66"/>
    <w:rsid w:val="000B6F75"/>
    <w:rsid w:val="000B7357"/>
    <w:rsid w:val="000B73F9"/>
    <w:rsid w:val="000B768B"/>
    <w:rsid w:val="000B7977"/>
    <w:rsid w:val="000B7D38"/>
    <w:rsid w:val="000B7FC1"/>
    <w:rsid w:val="000C0146"/>
    <w:rsid w:val="000C014F"/>
    <w:rsid w:val="000C018C"/>
    <w:rsid w:val="000C0936"/>
    <w:rsid w:val="000C0AC4"/>
    <w:rsid w:val="000C0C62"/>
    <w:rsid w:val="000C0CD8"/>
    <w:rsid w:val="000C0E05"/>
    <w:rsid w:val="000C0F69"/>
    <w:rsid w:val="000C12CB"/>
    <w:rsid w:val="000C1934"/>
    <w:rsid w:val="000C1965"/>
    <w:rsid w:val="000C1B74"/>
    <w:rsid w:val="000C1D10"/>
    <w:rsid w:val="000C1E6F"/>
    <w:rsid w:val="000C20A5"/>
    <w:rsid w:val="000C215A"/>
    <w:rsid w:val="000C231E"/>
    <w:rsid w:val="000C2785"/>
    <w:rsid w:val="000C2975"/>
    <w:rsid w:val="000C2C40"/>
    <w:rsid w:val="000C38E2"/>
    <w:rsid w:val="000C3B34"/>
    <w:rsid w:val="000C3FFC"/>
    <w:rsid w:val="000C419D"/>
    <w:rsid w:val="000C4ADD"/>
    <w:rsid w:val="000C52BA"/>
    <w:rsid w:val="000C52C9"/>
    <w:rsid w:val="000C5F1B"/>
    <w:rsid w:val="000C62DF"/>
    <w:rsid w:val="000C6315"/>
    <w:rsid w:val="000C640A"/>
    <w:rsid w:val="000C6494"/>
    <w:rsid w:val="000C6A68"/>
    <w:rsid w:val="000C6E91"/>
    <w:rsid w:val="000C6ED2"/>
    <w:rsid w:val="000C72BB"/>
    <w:rsid w:val="000C750A"/>
    <w:rsid w:val="000C753A"/>
    <w:rsid w:val="000C75AF"/>
    <w:rsid w:val="000C77F3"/>
    <w:rsid w:val="000C7A2B"/>
    <w:rsid w:val="000D0260"/>
    <w:rsid w:val="000D0AC5"/>
    <w:rsid w:val="000D0B3C"/>
    <w:rsid w:val="000D0B8C"/>
    <w:rsid w:val="000D0F2D"/>
    <w:rsid w:val="000D0FEC"/>
    <w:rsid w:val="000D11D6"/>
    <w:rsid w:val="000D1201"/>
    <w:rsid w:val="000D126D"/>
    <w:rsid w:val="000D1768"/>
    <w:rsid w:val="000D181A"/>
    <w:rsid w:val="000D1DC2"/>
    <w:rsid w:val="000D1E3D"/>
    <w:rsid w:val="000D1F3F"/>
    <w:rsid w:val="000D1F99"/>
    <w:rsid w:val="000D22D4"/>
    <w:rsid w:val="000D28DF"/>
    <w:rsid w:val="000D300C"/>
    <w:rsid w:val="000D327F"/>
    <w:rsid w:val="000D3305"/>
    <w:rsid w:val="000D33C8"/>
    <w:rsid w:val="000D3434"/>
    <w:rsid w:val="000D3440"/>
    <w:rsid w:val="000D37D7"/>
    <w:rsid w:val="000D37DB"/>
    <w:rsid w:val="000D38A6"/>
    <w:rsid w:val="000D412A"/>
    <w:rsid w:val="000D4398"/>
    <w:rsid w:val="000D43CE"/>
    <w:rsid w:val="000D46F2"/>
    <w:rsid w:val="000D4843"/>
    <w:rsid w:val="000D4B25"/>
    <w:rsid w:val="000D4F2C"/>
    <w:rsid w:val="000D4F74"/>
    <w:rsid w:val="000D4F89"/>
    <w:rsid w:val="000D500D"/>
    <w:rsid w:val="000D5484"/>
    <w:rsid w:val="000D55B4"/>
    <w:rsid w:val="000D564E"/>
    <w:rsid w:val="000D57B7"/>
    <w:rsid w:val="000D5C0B"/>
    <w:rsid w:val="000D5E20"/>
    <w:rsid w:val="000D5EA5"/>
    <w:rsid w:val="000D5F12"/>
    <w:rsid w:val="000D5F47"/>
    <w:rsid w:val="000D5FF1"/>
    <w:rsid w:val="000D60DB"/>
    <w:rsid w:val="000D63E2"/>
    <w:rsid w:val="000D65B0"/>
    <w:rsid w:val="000D66A6"/>
    <w:rsid w:val="000D6706"/>
    <w:rsid w:val="000D6AB1"/>
    <w:rsid w:val="000D6F20"/>
    <w:rsid w:val="000D6F79"/>
    <w:rsid w:val="000D70ED"/>
    <w:rsid w:val="000D731A"/>
    <w:rsid w:val="000D7452"/>
    <w:rsid w:val="000D748C"/>
    <w:rsid w:val="000D79E6"/>
    <w:rsid w:val="000D7DC8"/>
    <w:rsid w:val="000E001F"/>
    <w:rsid w:val="000E02A6"/>
    <w:rsid w:val="000E0643"/>
    <w:rsid w:val="000E068D"/>
    <w:rsid w:val="000E078C"/>
    <w:rsid w:val="000E0893"/>
    <w:rsid w:val="000E0DE3"/>
    <w:rsid w:val="000E0FD1"/>
    <w:rsid w:val="000E15D6"/>
    <w:rsid w:val="000E195F"/>
    <w:rsid w:val="000E1A59"/>
    <w:rsid w:val="000E1C7C"/>
    <w:rsid w:val="000E202E"/>
    <w:rsid w:val="000E20CD"/>
    <w:rsid w:val="000E2137"/>
    <w:rsid w:val="000E215E"/>
    <w:rsid w:val="000E240C"/>
    <w:rsid w:val="000E2803"/>
    <w:rsid w:val="000E28C0"/>
    <w:rsid w:val="000E2C85"/>
    <w:rsid w:val="000E2D17"/>
    <w:rsid w:val="000E309E"/>
    <w:rsid w:val="000E30B3"/>
    <w:rsid w:val="000E31DC"/>
    <w:rsid w:val="000E349C"/>
    <w:rsid w:val="000E39A8"/>
    <w:rsid w:val="000E3AB4"/>
    <w:rsid w:val="000E3D0D"/>
    <w:rsid w:val="000E3E05"/>
    <w:rsid w:val="000E3ED3"/>
    <w:rsid w:val="000E3FE8"/>
    <w:rsid w:val="000E3FF2"/>
    <w:rsid w:val="000E4063"/>
    <w:rsid w:val="000E4113"/>
    <w:rsid w:val="000E418E"/>
    <w:rsid w:val="000E452E"/>
    <w:rsid w:val="000E4572"/>
    <w:rsid w:val="000E478C"/>
    <w:rsid w:val="000E47B5"/>
    <w:rsid w:val="000E4B09"/>
    <w:rsid w:val="000E4DDD"/>
    <w:rsid w:val="000E4EFC"/>
    <w:rsid w:val="000E50AA"/>
    <w:rsid w:val="000E50AC"/>
    <w:rsid w:val="000E5244"/>
    <w:rsid w:val="000E52E9"/>
    <w:rsid w:val="000E53C2"/>
    <w:rsid w:val="000E53EA"/>
    <w:rsid w:val="000E5590"/>
    <w:rsid w:val="000E568C"/>
    <w:rsid w:val="000E574D"/>
    <w:rsid w:val="000E5881"/>
    <w:rsid w:val="000E59E6"/>
    <w:rsid w:val="000E5EEB"/>
    <w:rsid w:val="000E6635"/>
    <w:rsid w:val="000E67B0"/>
    <w:rsid w:val="000E68C0"/>
    <w:rsid w:val="000E699D"/>
    <w:rsid w:val="000E6A40"/>
    <w:rsid w:val="000E6D20"/>
    <w:rsid w:val="000E6EA4"/>
    <w:rsid w:val="000E750C"/>
    <w:rsid w:val="000E7769"/>
    <w:rsid w:val="000E7A67"/>
    <w:rsid w:val="000E7A6A"/>
    <w:rsid w:val="000E7DC3"/>
    <w:rsid w:val="000F019A"/>
    <w:rsid w:val="000F02DE"/>
    <w:rsid w:val="000F0729"/>
    <w:rsid w:val="000F099E"/>
    <w:rsid w:val="000F0E12"/>
    <w:rsid w:val="000F0F72"/>
    <w:rsid w:val="000F1059"/>
    <w:rsid w:val="000F115B"/>
    <w:rsid w:val="000F136C"/>
    <w:rsid w:val="000F1677"/>
    <w:rsid w:val="000F1ED0"/>
    <w:rsid w:val="000F1F6D"/>
    <w:rsid w:val="000F1FB0"/>
    <w:rsid w:val="000F2066"/>
    <w:rsid w:val="000F2195"/>
    <w:rsid w:val="000F2242"/>
    <w:rsid w:val="000F234D"/>
    <w:rsid w:val="000F23B0"/>
    <w:rsid w:val="000F270F"/>
    <w:rsid w:val="000F3043"/>
    <w:rsid w:val="000F31F3"/>
    <w:rsid w:val="000F34D3"/>
    <w:rsid w:val="000F356B"/>
    <w:rsid w:val="000F373C"/>
    <w:rsid w:val="000F374C"/>
    <w:rsid w:val="000F388B"/>
    <w:rsid w:val="000F4390"/>
    <w:rsid w:val="000F4741"/>
    <w:rsid w:val="000F4BC6"/>
    <w:rsid w:val="000F4BCB"/>
    <w:rsid w:val="000F4DDC"/>
    <w:rsid w:val="000F4FD8"/>
    <w:rsid w:val="000F50FE"/>
    <w:rsid w:val="000F5357"/>
    <w:rsid w:val="000F54F1"/>
    <w:rsid w:val="000F5BFA"/>
    <w:rsid w:val="000F5C1E"/>
    <w:rsid w:val="000F5F80"/>
    <w:rsid w:val="000F6104"/>
    <w:rsid w:val="000F61C7"/>
    <w:rsid w:val="000F64C9"/>
    <w:rsid w:val="000F6A75"/>
    <w:rsid w:val="000F6ED3"/>
    <w:rsid w:val="000F711F"/>
    <w:rsid w:val="000F71FC"/>
    <w:rsid w:val="000F74F4"/>
    <w:rsid w:val="000F76E4"/>
    <w:rsid w:val="000F79AD"/>
    <w:rsid w:val="000F7E09"/>
    <w:rsid w:val="000F7F24"/>
    <w:rsid w:val="000F7F25"/>
    <w:rsid w:val="00100686"/>
    <w:rsid w:val="001007B9"/>
    <w:rsid w:val="00100E62"/>
    <w:rsid w:val="00100EC2"/>
    <w:rsid w:val="001012EB"/>
    <w:rsid w:val="00101376"/>
    <w:rsid w:val="001014A9"/>
    <w:rsid w:val="00101581"/>
    <w:rsid w:val="00101D7A"/>
    <w:rsid w:val="00101DB5"/>
    <w:rsid w:val="00101E69"/>
    <w:rsid w:val="0010211F"/>
    <w:rsid w:val="0010214B"/>
    <w:rsid w:val="00102302"/>
    <w:rsid w:val="001023F3"/>
    <w:rsid w:val="001024D6"/>
    <w:rsid w:val="00102569"/>
    <w:rsid w:val="00102689"/>
    <w:rsid w:val="001029C2"/>
    <w:rsid w:val="00102BBA"/>
    <w:rsid w:val="00102E91"/>
    <w:rsid w:val="00102EB2"/>
    <w:rsid w:val="00103209"/>
    <w:rsid w:val="001033CF"/>
    <w:rsid w:val="001033FA"/>
    <w:rsid w:val="0010391F"/>
    <w:rsid w:val="00103CB9"/>
    <w:rsid w:val="00103D86"/>
    <w:rsid w:val="0010413E"/>
    <w:rsid w:val="0010427F"/>
    <w:rsid w:val="00104807"/>
    <w:rsid w:val="00104AFD"/>
    <w:rsid w:val="00104C96"/>
    <w:rsid w:val="00104FFB"/>
    <w:rsid w:val="001051D4"/>
    <w:rsid w:val="0010528C"/>
    <w:rsid w:val="0010542D"/>
    <w:rsid w:val="001054D9"/>
    <w:rsid w:val="00105526"/>
    <w:rsid w:val="001055BC"/>
    <w:rsid w:val="001055DF"/>
    <w:rsid w:val="00105622"/>
    <w:rsid w:val="001056C2"/>
    <w:rsid w:val="001058D0"/>
    <w:rsid w:val="00105AEA"/>
    <w:rsid w:val="00105E6A"/>
    <w:rsid w:val="00105ECB"/>
    <w:rsid w:val="00105F41"/>
    <w:rsid w:val="00106128"/>
    <w:rsid w:val="0010613A"/>
    <w:rsid w:val="00106264"/>
    <w:rsid w:val="001063E4"/>
    <w:rsid w:val="00106444"/>
    <w:rsid w:val="00106853"/>
    <w:rsid w:val="00106973"/>
    <w:rsid w:val="001069DC"/>
    <w:rsid w:val="00106ADF"/>
    <w:rsid w:val="00106DA5"/>
    <w:rsid w:val="00106F17"/>
    <w:rsid w:val="00106F9D"/>
    <w:rsid w:val="00107122"/>
    <w:rsid w:val="001072DE"/>
    <w:rsid w:val="001075AB"/>
    <w:rsid w:val="00107621"/>
    <w:rsid w:val="001076D1"/>
    <w:rsid w:val="001076E2"/>
    <w:rsid w:val="0010786D"/>
    <w:rsid w:val="00107BF3"/>
    <w:rsid w:val="00107CFC"/>
    <w:rsid w:val="00107DBC"/>
    <w:rsid w:val="0011021D"/>
    <w:rsid w:val="001102D6"/>
    <w:rsid w:val="001104E2"/>
    <w:rsid w:val="001105D6"/>
    <w:rsid w:val="001108B0"/>
    <w:rsid w:val="00110DD2"/>
    <w:rsid w:val="0011106D"/>
    <w:rsid w:val="001110D8"/>
    <w:rsid w:val="001111CB"/>
    <w:rsid w:val="0011131B"/>
    <w:rsid w:val="001114A4"/>
    <w:rsid w:val="001114BB"/>
    <w:rsid w:val="00111730"/>
    <w:rsid w:val="00111762"/>
    <w:rsid w:val="00111A5D"/>
    <w:rsid w:val="00111A9C"/>
    <w:rsid w:val="00111AC3"/>
    <w:rsid w:val="00111C29"/>
    <w:rsid w:val="00111CAF"/>
    <w:rsid w:val="00111D03"/>
    <w:rsid w:val="00111EAE"/>
    <w:rsid w:val="0011200A"/>
    <w:rsid w:val="001120F2"/>
    <w:rsid w:val="001120F7"/>
    <w:rsid w:val="001124A3"/>
    <w:rsid w:val="001126CD"/>
    <w:rsid w:val="001128C7"/>
    <w:rsid w:val="00112970"/>
    <w:rsid w:val="00112B8A"/>
    <w:rsid w:val="00112C47"/>
    <w:rsid w:val="00112CA0"/>
    <w:rsid w:val="00112E7A"/>
    <w:rsid w:val="001131D8"/>
    <w:rsid w:val="001132C8"/>
    <w:rsid w:val="001133D1"/>
    <w:rsid w:val="001134A4"/>
    <w:rsid w:val="0011371A"/>
    <w:rsid w:val="0011406E"/>
    <w:rsid w:val="001142B7"/>
    <w:rsid w:val="001156A4"/>
    <w:rsid w:val="001158CF"/>
    <w:rsid w:val="00115F05"/>
    <w:rsid w:val="001165D9"/>
    <w:rsid w:val="001165FC"/>
    <w:rsid w:val="00116608"/>
    <w:rsid w:val="001166A5"/>
    <w:rsid w:val="00116AFF"/>
    <w:rsid w:val="00116D1C"/>
    <w:rsid w:val="00116F49"/>
    <w:rsid w:val="001179AB"/>
    <w:rsid w:val="00117AA0"/>
    <w:rsid w:val="00117F24"/>
    <w:rsid w:val="001200DC"/>
    <w:rsid w:val="0012015C"/>
    <w:rsid w:val="001205EE"/>
    <w:rsid w:val="00120F6E"/>
    <w:rsid w:val="00121427"/>
    <w:rsid w:val="001215DC"/>
    <w:rsid w:val="00121669"/>
    <w:rsid w:val="0012177A"/>
    <w:rsid w:val="001217B5"/>
    <w:rsid w:val="00121BF2"/>
    <w:rsid w:val="00121D10"/>
    <w:rsid w:val="00121DE2"/>
    <w:rsid w:val="00121F54"/>
    <w:rsid w:val="00121F7B"/>
    <w:rsid w:val="0012230A"/>
    <w:rsid w:val="0012234D"/>
    <w:rsid w:val="00122517"/>
    <w:rsid w:val="001225C3"/>
    <w:rsid w:val="001229BE"/>
    <w:rsid w:val="00122DA8"/>
    <w:rsid w:val="00122F16"/>
    <w:rsid w:val="00122F99"/>
    <w:rsid w:val="00123197"/>
    <w:rsid w:val="00123224"/>
    <w:rsid w:val="0012350D"/>
    <w:rsid w:val="0012358F"/>
    <w:rsid w:val="00123741"/>
    <w:rsid w:val="00123861"/>
    <w:rsid w:val="00123E37"/>
    <w:rsid w:val="00123F17"/>
    <w:rsid w:val="001244C1"/>
    <w:rsid w:val="001246B3"/>
    <w:rsid w:val="001246E5"/>
    <w:rsid w:val="00125521"/>
    <w:rsid w:val="0012575E"/>
    <w:rsid w:val="00125897"/>
    <w:rsid w:val="001258C7"/>
    <w:rsid w:val="001259A3"/>
    <w:rsid w:val="00125FFC"/>
    <w:rsid w:val="0012632B"/>
    <w:rsid w:val="0012641D"/>
    <w:rsid w:val="001265BE"/>
    <w:rsid w:val="001268D1"/>
    <w:rsid w:val="00126B10"/>
    <w:rsid w:val="00126B8C"/>
    <w:rsid w:val="00127373"/>
    <w:rsid w:val="00127506"/>
    <w:rsid w:val="00127538"/>
    <w:rsid w:val="00127786"/>
    <w:rsid w:val="00127AB7"/>
    <w:rsid w:val="00127B40"/>
    <w:rsid w:val="00127F3B"/>
    <w:rsid w:val="0013007E"/>
    <w:rsid w:val="00130156"/>
    <w:rsid w:val="0013016C"/>
    <w:rsid w:val="00130400"/>
    <w:rsid w:val="0013064E"/>
    <w:rsid w:val="001307DF"/>
    <w:rsid w:val="0013097A"/>
    <w:rsid w:val="00130F3F"/>
    <w:rsid w:val="00130FB1"/>
    <w:rsid w:val="00131195"/>
    <w:rsid w:val="00131315"/>
    <w:rsid w:val="001313F2"/>
    <w:rsid w:val="0013144D"/>
    <w:rsid w:val="0013153E"/>
    <w:rsid w:val="00131658"/>
    <w:rsid w:val="00131854"/>
    <w:rsid w:val="001318B8"/>
    <w:rsid w:val="0013196A"/>
    <w:rsid w:val="00131A1D"/>
    <w:rsid w:val="00131D2E"/>
    <w:rsid w:val="001320C5"/>
    <w:rsid w:val="00132268"/>
    <w:rsid w:val="001322C2"/>
    <w:rsid w:val="00132476"/>
    <w:rsid w:val="00132670"/>
    <w:rsid w:val="00132738"/>
    <w:rsid w:val="00132759"/>
    <w:rsid w:val="00132CA7"/>
    <w:rsid w:val="00132D32"/>
    <w:rsid w:val="00132DCF"/>
    <w:rsid w:val="00132FF7"/>
    <w:rsid w:val="0013305E"/>
    <w:rsid w:val="001330CE"/>
    <w:rsid w:val="00133515"/>
    <w:rsid w:val="00133744"/>
    <w:rsid w:val="00133770"/>
    <w:rsid w:val="00133977"/>
    <w:rsid w:val="00133B89"/>
    <w:rsid w:val="00133C0E"/>
    <w:rsid w:val="00133C66"/>
    <w:rsid w:val="00133FB8"/>
    <w:rsid w:val="001346B3"/>
    <w:rsid w:val="0013473C"/>
    <w:rsid w:val="001349D3"/>
    <w:rsid w:val="00134ADD"/>
    <w:rsid w:val="00135478"/>
    <w:rsid w:val="00135503"/>
    <w:rsid w:val="0013579F"/>
    <w:rsid w:val="00135BB1"/>
    <w:rsid w:val="00135EF3"/>
    <w:rsid w:val="00135F35"/>
    <w:rsid w:val="00136C02"/>
    <w:rsid w:val="00136C03"/>
    <w:rsid w:val="00136F09"/>
    <w:rsid w:val="001370AB"/>
    <w:rsid w:val="001372C7"/>
    <w:rsid w:val="00137A5F"/>
    <w:rsid w:val="00137F98"/>
    <w:rsid w:val="0014015E"/>
    <w:rsid w:val="0014097D"/>
    <w:rsid w:val="001412C0"/>
    <w:rsid w:val="00141849"/>
    <w:rsid w:val="00142036"/>
    <w:rsid w:val="00142514"/>
    <w:rsid w:val="00142819"/>
    <w:rsid w:val="0014290B"/>
    <w:rsid w:val="00142910"/>
    <w:rsid w:val="00142B35"/>
    <w:rsid w:val="00142B7D"/>
    <w:rsid w:val="00142D28"/>
    <w:rsid w:val="00142E4D"/>
    <w:rsid w:val="00143046"/>
    <w:rsid w:val="001432AE"/>
    <w:rsid w:val="001433C7"/>
    <w:rsid w:val="0014346B"/>
    <w:rsid w:val="001435A2"/>
    <w:rsid w:val="001436AB"/>
    <w:rsid w:val="0014377B"/>
    <w:rsid w:val="00143A0A"/>
    <w:rsid w:val="001443A2"/>
    <w:rsid w:val="001449B8"/>
    <w:rsid w:val="00144C5F"/>
    <w:rsid w:val="00144C8B"/>
    <w:rsid w:val="00144DBA"/>
    <w:rsid w:val="001450BF"/>
    <w:rsid w:val="00145321"/>
    <w:rsid w:val="00145349"/>
    <w:rsid w:val="0014547D"/>
    <w:rsid w:val="00145727"/>
    <w:rsid w:val="001459BD"/>
    <w:rsid w:val="00145C15"/>
    <w:rsid w:val="00145D9E"/>
    <w:rsid w:val="00145E6D"/>
    <w:rsid w:val="001462CC"/>
    <w:rsid w:val="00146447"/>
    <w:rsid w:val="0014647B"/>
    <w:rsid w:val="00146C0B"/>
    <w:rsid w:val="00146E72"/>
    <w:rsid w:val="00147086"/>
    <w:rsid w:val="001472A3"/>
    <w:rsid w:val="00147664"/>
    <w:rsid w:val="00147931"/>
    <w:rsid w:val="00147934"/>
    <w:rsid w:val="00147B3A"/>
    <w:rsid w:val="00147CE6"/>
    <w:rsid w:val="001503EF"/>
    <w:rsid w:val="001504A3"/>
    <w:rsid w:val="0015052F"/>
    <w:rsid w:val="001505F5"/>
    <w:rsid w:val="00150A13"/>
    <w:rsid w:val="00150BA0"/>
    <w:rsid w:val="00150BA6"/>
    <w:rsid w:val="00150CC3"/>
    <w:rsid w:val="00151109"/>
    <w:rsid w:val="00151218"/>
    <w:rsid w:val="0015135C"/>
    <w:rsid w:val="001516E1"/>
    <w:rsid w:val="00151848"/>
    <w:rsid w:val="00151C7F"/>
    <w:rsid w:val="00151DFE"/>
    <w:rsid w:val="00152262"/>
    <w:rsid w:val="00152390"/>
    <w:rsid w:val="0015251F"/>
    <w:rsid w:val="00152A19"/>
    <w:rsid w:val="00152E7F"/>
    <w:rsid w:val="00152F6E"/>
    <w:rsid w:val="0015330B"/>
    <w:rsid w:val="00153B4C"/>
    <w:rsid w:val="00153E1E"/>
    <w:rsid w:val="00153F9B"/>
    <w:rsid w:val="00153FB3"/>
    <w:rsid w:val="0015468F"/>
    <w:rsid w:val="001549FC"/>
    <w:rsid w:val="0015537B"/>
    <w:rsid w:val="0015543A"/>
    <w:rsid w:val="00155802"/>
    <w:rsid w:val="001558AB"/>
    <w:rsid w:val="00155EF5"/>
    <w:rsid w:val="00155F77"/>
    <w:rsid w:val="001568EF"/>
    <w:rsid w:val="00156BD2"/>
    <w:rsid w:val="00156EB0"/>
    <w:rsid w:val="00156EE7"/>
    <w:rsid w:val="00157026"/>
    <w:rsid w:val="001570A6"/>
    <w:rsid w:val="001570C5"/>
    <w:rsid w:val="001576A9"/>
    <w:rsid w:val="001577E6"/>
    <w:rsid w:val="0015795B"/>
    <w:rsid w:val="00157AB6"/>
    <w:rsid w:val="00157B75"/>
    <w:rsid w:val="00157EE0"/>
    <w:rsid w:val="001601C9"/>
    <w:rsid w:val="00160436"/>
    <w:rsid w:val="00160470"/>
    <w:rsid w:val="00160B4E"/>
    <w:rsid w:val="00160DD1"/>
    <w:rsid w:val="00160E97"/>
    <w:rsid w:val="00160EBF"/>
    <w:rsid w:val="001610EF"/>
    <w:rsid w:val="0016141B"/>
    <w:rsid w:val="00161666"/>
    <w:rsid w:val="001616AB"/>
    <w:rsid w:val="001618EE"/>
    <w:rsid w:val="00161950"/>
    <w:rsid w:val="00161B36"/>
    <w:rsid w:val="00161F9C"/>
    <w:rsid w:val="001621ED"/>
    <w:rsid w:val="001622CB"/>
    <w:rsid w:val="001623C9"/>
    <w:rsid w:val="001623F7"/>
    <w:rsid w:val="00162BDA"/>
    <w:rsid w:val="00162D6A"/>
    <w:rsid w:val="00162DD9"/>
    <w:rsid w:val="001630C6"/>
    <w:rsid w:val="00163107"/>
    <w:rsid w:val="001631DE"/>
    <w:rsid w:val="00163464"/>
    <w:rsid w:val="00163479"/>
    <w:rsid w:val="0016380D"/>
    <w:rsid w:val="00163E5D"/>
    <w:rsid w:val="00164113"/>
    <w:rsid w:val="0016411F"/>
    <w:rsid w:val="00164219"/>
    <w:rsid w:val="0016491C"/>
    <w:rsid w:val="00164DC3"/>
    <w:rsid w:val="001651DA"/>
    <w:rsid w:val="00165680"/>
    <w:rsid w:val="00165C07"/>
    <w:rsid w:val="00165FD1"/>
    <w:rsid w:val="00166357"/>
    <w:rsid w:val="0016652D"/>
    <w:rsid w:val="001666F9"/>
    <w:rsid w:val="00166CC6"/>
    <w:rsid w:val="00166CDB"/>
    <w:rsid w:val="00166CFB"/>
    <w:rsid w:val="00166E32"/>
    <w:rsid w:val="00166F1C"/>
    <w:rsid w:val="00167061"/>
    <w:rsid w:val="0016729D"/>
    <w:rsid w:val="001672A6"/>
    <w:rsid w:val="001673B8"/>
    <w:rsid w:val="0016777E"/>
    <w:rsid w:val="0016778E"/>
    <w:rsid w:val="0016781C"/>
    <w:rsid w:val="00167878"/>
    <w:rsid w:val="00167967"/>
    <w:rsid w:val="00167AD2"/>
    <w:rsid w:val="00167C94"/>
    <w:rsid w:val="00167F5D"/>
    <w:rsid w:val="00170100"/>
    <w:rsid w:val="00170326"/>
    <w:rsid w:val="0017035C"/>
    <w:rsid w:val="001705CF"/>
    <w:rsid w:val="00170698"/>
    <w:rsid w:val="00170B5C"/>
    <w:rsid w:val="00170BBC"/>
    <w:rsid w:val="00170D6F"/>
    <w:rsid w:val="00170E20"/>
    <w:rsid w:val="00170FF5"/>
    <w:rsid w:val="001712CD"/>
    <w:rsid w:val="001713C8"/>
    <w:rsid w:val="00171404"/>
    <w:rsid w:val="0017143D"/>
    <w:rsid w:val="00171A16"/>
    <w:rsid w:val="001722E9"/>
    <w:rsid w:val="001726DE"/>
    <w:rsid w:val="0017278A"/>
    <w:rsid w:val="001727AF"/>
    <w:rsid w:val="001727EF"/>
    <w:rsid w:val="001728A0"/>
    <w:rsid w:val="00172A38"/>
    <w:rsid w:val="00172CFF"/>
    <w:rsid w:val="00172FD9"/>
    <w:rsid w:val="00172FE7"/>
    <w:rsid w:val="00173139"/>
    <w:rsid w:val="001732A2"/>
    <w:rsid w:val="00173460"/>
    <w:rsid w:val="00173803"/>
    <w:rsid w:val="00173805"/>
    <w:rsid w:val="001738B7"/>
    <w:rsid w:val="0017395F"/>
    <w:rsid w:val="00173B4F"/>
    <w:rsid w:val="00173DE6"/>
    <w:rsid w:val="00173F05"/>
    <w:rsid w:val="0017402F"/>
    <w:rsid w:val="0017421A"/>
    <w:rsid w:val="00174795"/>
    <w:rsid w:val="00174FDF"/>
    <w:rsid w:val="0017504F"/>
    <w:rsid w:val="00175078"/>
    <w:rsid w:val="00175245"/>
    <w:rsid w:val="00175285"/>
    <w:rsid w:val="001753CE"/>
    <w:rsid w:val="001754EB"/>
    <w:rsid w:val="00175538"/>
    <w:rsid w:val="001757CC"/>
    <w:rsid w:val="001757E5"/>
    <w:rsid w:val="00175827"/>
    <w:rsid w:val="001759AA"/>
    <w:rsid w:val="001759E4"/>
    <w:rsid w:val="00175B4A"/>
    <w:rsid w:val="00175DA1"/>
    <w:rsid w:val="001761D8"/>
    <w:rsid w:val="00176564"/>
    <w:rsid w:val="001766E2"/>
    <w:rsid w:val="00176BB1"/>
    <w:rsid w:val="00176EA5"/>
    <w:rsid w:val="00176EE3"/>
    <w:rsid w:val="001775D4"/>
    <w:rsid w:val="00177611"/>
    <w:rsid w:val="0017762B"/>
    <w:rsid w:val="001777DB"/>
    <w:rsid w:val="00177875"/>
    <w:rsid w:val="00177939"/>
    <w:rsid w:val="00177969"/>
    <w:rsid w:val="0017798C"/>
    <w:rsid w:val="001779C9"/>
    <w:rsid w:val="00177A8C"/>
    <w:rsid w:val="00177DAC"/>
    <w:rsid w:val="0018020D"/>
    <w:rsid w:val="00180273"/>
    <w:rsid w:val="00180384"/>
    <w:rsid w:val="0018058E"/>
    <w:rsid w:val="001805F7"/>
    <w:rsid w:val="001806B6"/>
    <w:rsid w:val="00180839"/>
    <w:rsid w:val="001808AB"/>
    <w:rsid w:val="001809C6"/>
    <w:rsid w:val="00180A2F"/>
    <w:rsid w:val="00180D34"/>
    <w:rsid w:val="00180F9B"/>
    <w:rsid w:val="001812AE"/>
    <w:rsid w:val="001819B8"/>
    <w:rsid w:val="00181A11"/>
    <w:rsid w:val="00181A6B"/>
    <w:rsid w:val="00181B72"/>
    <w:rsid w:val="00181C88"/>
    <w:rsid w:val="00181CE8"/>
    <w:rsid w:val="00181F04"/>
    <w:rsid w:val="00182180"/>
    <w:rsid w:val="00182362"/>
    <w:rsid w:val="00182547"/>
    <w:rsid w:val="0018275B"/>
    <w:rsid w:val="00182AB1"/>
    <w:rsid w:val="00182D00"/>
    <w:rsid w:val="00183029"/>
    <w:rsid w:val="0018303B"/>
    <w:rsid w:val="0018318C"/>
    <w:rsid w:val="0018325A"/>
    <w:rsid w:val="00183264"/>
    <w:rsid w:val="001832DE"/>
    <w:rsid w:val="0018336C"/>
    <w:rsid w:val="00183418"/>
    <w:rsid w:val="00183ACD"/>
    <w:rsid w:val="00183C12"/>
    <w:rsid w:val="00183DD4"/>
    <w:rsid w:val="00184032"/>
    <w:rsid w:val="001840B8"/>
    <w:rsid w:val="001843AC"/>
    <w:rsid w:val="0018445D"/>
    <w:rsid w:val="00184574"/>
    <w:rsid w:val="001846C6"/>
    <w:rsid w:val="001850CB"/>
    <w:rsid w:val="001857B9"/>
    <w:rsid w:val="0018582C"/>
    <w:rsid w:val="0018594E"/>
    <w:rsid w:val="00185AD3"/>
    <w:rsid w:val="00185E22"/>
    <w:rsid w:val="001860FA"/>
    <w:rsid w:val="001866D3"/>
    <w:rsid w:val="0018682C"/>
    <w:rsid w:val="001868CB"/>
    <w:rsid w:val="00186DD9"/>
    <w:rsid w:val="00186FFF"/>
    <w:rsid w:val="001874F7"/>
    <w:rsid w:val="00187814"/>
    <w:rsid w:val="00187845"/>
    <w:rsid w:val="00187885"/>
    <w:rsid w:val="00187919"/>
    <w:rsid w:val="0018795B"/>
    <w:rsid w:val="00187E15"/>
    <w:rsid w:val="00187EE8"/>
    <w:rsid w:val="00190186"/>
    <w:rsid w:val="001902CC"/>
    <w:rsid w:val="001909A1"/>
    <w:rsid w:val="001914AE"/>
    <w:rsid w:val="001915BA"/>
    <w:rsid w:val="00191A4A"/>
    <w:rsid w:val="00191A50"/>
    <w:rsid w:val="00191B97"/>
    <w:rsid w:val="00191EC1"/>
    <w:rsid w:val="00191F85"/>
    <w:rsid w:val="0019209C"/>
    <w:rsid w:val="00192159"/>
    <w:rsid w:val="0019245E"/>
    <w:rsid w:val="0019259E"/>
    <w:rsid w:val="00192713"/>
    <w:rsid w:val="00192A63"/>
    <w:rsid w:val="00192BBF"/>
    <w:rsid w:val="00193180"/>
    <w:rsid w:val="0019396D"/>
    <w:rsid w:val="001939B6"/>
    <w:rsid w:val="00193B1C"/>
    <w:rsid w:val="00193CAB"/>
    <w:rsid w:val="00193CFD"/>
    <w:rsid w:val="00193D78"/>
    <w:rsid w:val="00193EC9"/>
    <w:rsid w:val="0019400E"/>
    <w:rsid w:val="00194DD2"/>
    <w:rsid w:val="00194F60"/>
    <w:rsid w:val="0019511A"/>
    <w:rsid w:val="00195236"/>
    <w:rsid w:val="001952F0"/>
    <w:rsid w:val="001957DC"/>
    <w:rsid w:val="00195BA8"/>
    <w:rsid w:val="00195CCD"/>
    <w:rsid w:val="00195FB4"/>
    <w:rsid w:val="001963C8"/>
    <w:rsid w:val="001963DB"/>
    <w:rsid w:val="001966AF"/>
    <w:rsid w:val="00196E1E"/>
    <w:rsid w:val="00197386"/>
    <w:rsid w:val="001977A4"/>
    <w:rsid w:val="001979A7"/>
    <w:rsid w:val="00197A9E"/>
    <w:rsid w:val="00197D29"/>
    <w:rsid w:val="00197EC8"/>
    <w:rsid w:val="001A0035"/>
    <w:rsid w:val="001A0089"/>
    <w:rsid w:val="001A01A0"/>
    <w:rsid w:val="001A0346"/>
    <w:rsid w:val="001A0558"/>
    <w:rsid w:val="001A05F4"/>
    <w:rsid w:val="001A0972"/>
    <w:rsid w:val="001A0C37"/>
    <w:rsid w:val="001A11BF"/>
    <w:rsid w:val="001A12EF"/>
    <w:rsid w:val="001A157A"/>
    <w:rsid w:val="001A17E0"/>
    <w:rsid w:val="001A19DE"/>
    <w:rsid w:val="001A1CA4"/>
    <w:rsid w:val="001A1F74"/>
    <w:rsid w:val="001A2552"/>
    <w:rsid w:val="001A265F"/>
    <w:rsid w:val="001A288F"/>
    <w:rsid w:val="001A2F86"/>
    <w:rsid w:val="001A3589"/>
    <w:rsid w:val="001A3638"/>
    <w:rsid w:val="001A38DE"/>
    <w:rsid w:val="001A3CD0"/>
    <w:rsid w:val="001A3E8F"/>
    <w:rsid w:val="001A43A8"/>
    <w:rsid w:val="001A4654"/>
    <w:rsid w:val="001A5012"/>
    <w:rsid w:val="001A51BC"/>
    <w:rsid w:val="001A51CA"/>
    <w:rsid w:val="001A51E1"/>
    <w:rsid w:val="001A5727"/>
    <w:rsid w:val="001A58C9"/>
    <w:rsid w:val="001A5B00"/>
    <w:rsid w:val="001A5B14"/>
    <w:rsid w:val="001A63D1"/>
    <w:rsid w:val="001A642E"/>
    <w:rsid w:val="001A651B"/>
    <w:rsid w:val="001A66AD"/>
    <w:rsid w:val="001A677A"/>
    <w:rsid w:val="001A6A55"/>
    <w:rsid w:val="001A7170"/>
    <w:rsid w:val="001A79EA"/>
    <w:rsid w:val="001B0144"/>
    <w:rsid w:val="001B03AE"/>
    <w:rsid w:val="001B0644"/>
    <w:rsid w:val="001B0A0C"/>
    <w:rsid w:val="001B0AE0"/>
    <w:rsid w:val="001B0CB1"/>
    <w:rsid w:val="001B10ED"/>
    <w:rsid w:val="001B11A5"/>
    <w:rsid w:val="001B148D"/>
    <w:rsid w:val="001B1DBA"/>
    <w:rsid w:val="001B266B"/>
    <w:rsid w:val="001B272A"/>
    <w:rsid w:val="001B273E"/>
    <w:rsid w:val="001B2928"/>
    <w:rsid w:val="001B2AF3"/>
    <w:rsid w:val="001B2AF6"/>
    <w:rsid w:val="001B2B2A"/>
    <w:rsid w:val="001B2D7C"/>
    <w:rsid w:val="001B2F0B"/>
    <w:rsid w:val="001B303A"/>
    <w:rsid w:val="001B3215"/>
    <w:rsid w:val="001B3509"/>
    <w:rsid w:val="001B3546"/>
    <w:rsid w:val="001B36D2"/>
    <w:rsid w:val="001B39E8"/>
    <w:rsid w:val="001B3D49"/>
    <w:rsid w:val="001B3F9D"/>
    <w:rsid w:val="001B3FEA"/>
    <w:rsid w:val="001B402B"/>
    <w:rsid w:val="001B4226"/>
    <w:rsid w:val="001B425F"/>
    <w:rsid w:val="001B4300"/>
    <w:rsid w:val="001B4348"/>
    <w:rsid w:val="001B4788"/>
    <w:rsid w:val="001B48FE"/>
    <w:rsid w:val="001B49E1"/>
    <w:rsid w:val="001B4B1E"/>
    <w:rsid w:val="001B4FFB"/>
    <w:rsid w:val="001B5010"/>
    <w:rsid w:val="001B5302"/>
    <w:rsid w:val="001B5585"/>
    <w:rsid w:val="001B57F5"/>
    <w:rsid w:val="001B5889"/>
    <w:rsid w:val="001B596B"/>
    <w:rsid w:val="001B5E21"/>
    <w:rsid w:val="001B5F52"/>
    <w:rsid w:val="001B6067"/>
    <w:rsid w:val="001B6099"/>
    <w:rsid w:val="001B60BD"/>
    <w:rsid w:val="001B650A"/>
    <w:rsid w:val="001B6877"/>
    <w:rsid w:val="001B695F"/>
    <w:rsid w:val="001B6AEF"/>
    <w:rsid w:val="001B6AF2"/>
    <w:rsid w:val="001B7433"/>
    <w:rsid w:val="001B7F8C"/>
    <w:rsid w:val="001C0260"/>
    <w:rsid w:val="001C0441"/>
    <w:rsid w:val="001C044D"/>
    <w:rsid w:val="001C0797"/>
    <w:rsid w:val="001C08C0"/>
    <w:rsid w:val="001C0CBF"/>
    <w:rsid w:val="001C0D36"/>
    <w:rsid w:val="001C0DDD"/>
    <w:rsid w:val="001C0F28"/>
    <w:rsid w:val="001C1279"/>
    <w:rsid w:val="001C146E"/>
    <w:rsid w:val="001C19EB"/>
    <w:rsid w:val="001C1F1D"/>
    <w:rsid w:val="001C2216"/>
    <w:rsid w:val="001C229D"/>
    <w:rsid w:val="001C26F7"/>
    <w:rsid w:val="001C27C6"/>
    <w:rsid w:val="001C2845"/>
    <w:rsid w:val="001C2928"/>
    <w:rsid w:val="001C2A3C"/>
    <w:rsid w:val="001C2F63"/>
    <w:rsid w:val="001C305A"/>
    <w:rsid w:val="001C3213"/>
    <w:rsid w:val="001C34D4"/>
    <w:rsid w:val="001C3714"/>
    <w:rsid w:val="001C3DD9"/>
    <w:rsid w:val="001C3F4D"/>
    <w:rsid w:val="001C44B5"/>
    <w:rsid w:val="001C44D4"/>
    <w:rsid w:val="001C459E"/>
    <w:rsid w:val="001C4847"/>
    <w:rsid w:val="001C48F0"/>
    <w:rsid w:val="001C4AE2"/>
    <w:rsid w:val="001C4F91"/>
    <w:rsid w:val="001C569A"/>
    <w:rsid w:val="001C5C94"/>
    <w:rsid w:val="001C5F1D"/>
    <w:rsid w:val="001C5F60"/>
    <w:rsid w:val="001C6028"/>
    <w:rsid w:val="001C6181"/>
    <w:rsid w:val="001C638A"/>
    <w:rsid w:val="001C648D"/>
    <w:rsid w:val="001C66A7"/>
    <w:rsid w:val="001C6ABF"/>
    <w:rsid w:val="001C7232"/>
    <w:rsid w:val="001C7358"/>
    <w:rsid w:val="001C73EC"/>
    <w:rsid w:val="001C74BC"/>
    <w:rsid w:val="001C7588"/>
    <w:rsid w:val="001C7727"/>
    <w:rsid w:val="001C781A"/>
    <w:rsid w:val="001C7E96"/>
    <w:rsid w:val="001D0734"/>
    <w:rsid w:val="001D08B8"/>
    <w:rsid w:val="001D0A1F"/>
    <w:rsid w:val="001D0F60"/>
    <w:rsid w:val="001D114C"/>
    <w:rsid w:val="001D1455"/>
    <w:rsid w:val="001D1528"/>
    <w:rsid w:val="001D16CC"/>
    <w:rsid w:val="001D1CBC"/>
    <w:rsid w:val="001D1E0B"/>
    <w:rsid w:val="001D2076"/>
    <w:rsid w:val="001D2117"/>
    <w:rsid w:val="001D2362"/>
    <w:rsid w:val="001D259E"/>
    <w:rsid w:val="001D2747"/>
    <w:rsid w:val="001D283B"/>
    <w:rsid w:val="001D2846"/>
    <w:rsid w:val="001D28DC"/>
    <w:rsid w:val="001D292C"/>
    <w:rsid w:val="001D2A46"/>
    <w:rsid w:val="001D2BCE"/>
    <w:rsid w:val="001D2C78"/>
    <w:rsid w:val="001D2D4E"/>
    <w:rsid w:val="001D317E"/>
    <w:rsid w:val="001D335B"/>
    <w:rsid w:val="001D34FD"/>
    <w:rsid w:val="001D3678"/>
    <w:rsid w:val="001D3E25"/>
    <w:rsid w:val="001D4017"/>
    <w:rsid w:val="001D409D"/>
    <w:rsid w:val="001D4148"/>
    <w:rsid w:val="001D434C"/>
    <w:rsid w:val="001D437F"/>
    <w:rsid w:val="001D459A"/>
    <w:rsid w:val="001D4872"/>
    <w:rsid w:val="001D4D60"/>
    <w:rsid w:val="001D4D61"/>
    <w:rsid w:val="001D54AB"/>
    <w:rsid w:val="001D5732"/>
    <w:rsid w:val="001D5822"/>
    <w:rsid w:val="001D58DD"/>
    <w:rsid w:val="001D5990"/>
    <w:rsid w:val="001D6166"/>
    <w:rsid w:val="001D61AA"/>
    <w:rsid w:val="001D6520"/>
    <w:rsid w:val="001D69AA"/>
    <w:rsid w:val="001D6A44"/>
    <w:rsid w:val="001D6AE0"/>
    <w:rsid w:val="001D6C05"/>
    <w:rsid w:val="001D6F7E"/>
    <w:rsid w:val="001D6FE6"/>
    <w:rsid w:val="001D70FA"/>
    <w:rsid w:val="001D7261"/>
    <w:rsid w:val="001D756B"/>
    <w:rsid w:val="001D7733"/>
    <w:rsid w:val="001D7837"/>
    <w:rsid w:val="001D7877"/>
    <w:rsid w:val="001D7BA9"/>
    <w:rsid w:val="001D7D29"/>
    <w:rsid w:val="001D7F99"/>
    <w:rsid w:val="001D7FD7"/>
    <w:rsid w:val="001E0445"/>
    <w:rsid w:val="001E080E"/>
    <w:rsid w:val="001E0866"/>
    <w:rsid w:val="001E0A27"/>
    <w:rsid w:val="001E0AD5"/>
    <w:rsid w:val="001E0B46"/>
    <w:rsid w:val="001E0BD1"/>
    <w:rsid w:val="001E0DA0"/>
    <w:rsid w:val="001E13A6"/>
    <w:rsid w:val="001E16A4"/>
    <w:rsid w:val="001E17F7"/>
    <w:rsid w:val="001E1970"/>
    <w:rsid w:val="001E1C3C"/>
    <w:rsid w:val="001E1C55"/>
    <w:rsid w:val="001E1E2E"/>
    <w:rsid w:val="001E1EB7"/>
    <w:rsid w:val="001E1F04"/>
    <w:rsid w:val="001E1F47"/>
    <w:rsid w:val="001E1FBD"/>
    <w:rsid w:val="001E2378"/>
    <w:rsid w:val="001E246D"/>
    <w:rsid w:val="001E26A6"/>
    <w:rsid w:val="001E2AF8"/>
    <w:rsid w:val="001E2B11"/>
    <w:rsid w:val="001E2D03"/>
    <w:rsid w:val="001E2F3C"/>
    <w:rsid w:val="001E306A"/>
    <w:rsid w:val="001E30B6"/>
    <w:rsid w:val="001E333F"/>
    <w:rsid w:val="001E37E3"/>
    <w:rsid w:val="001E3875"/>
    <w:rsid w:val="001E3B92"/>
    <w:rsid w:val="001E3BF2"/>
    <w:rsid w:val="001E3C8F"/>
    <w:rsid w:val="001E4375"/>
    <w:rsid w:val="001E484D"/>
    <w:rsid w:val="001E4BDD"/>
    <w:rsid w:val="001E4D42"/>
    <w:rsid w:val="001E4F29"/>
    <w:rsid w:val="001E5623"/>
    <w:rsid w:val="001E5948"/>
    <w:rsid w:val="001E5AB6"/>
    <w:rsid w:val="001E5ACA"/>
    <w:rsid w:val="001E5AF4"/>
    <w:rsid w:val="001E5B03"/>
    <w:rsid w:val="001E601B"/>
    <w:rsid w:val="001E6073"/>
    <w:rsid w:val="001E6290"/>
    <w:rsid w:val="001E64D5"/>
    <w:rsid w:val="001E684A"/>
    <w:rsid w:val="001E698B"/>
    <w:rsid w:val="001E6D09"/>
    <w:rsid w:val="001E6D84"/>
    <w:rsid w:val="001E6E80"/>
    <w:rsid w:val="001E7024"/>
    <w:rsid w:val="001E7214"/>
    <w:rsid w:val="001E7233"/>
    <w:rsid w:val="001E73F8"/>
    <w:rsid w:val="001E73FD"/>
    <w:rsid w:val="001E7595"/>
    <w:rsid w:val="001E7F13"/>
    <w:rsid w:val="001F00B8"/>
    <w:rsid w:val="001F0646"/>
    <w:rsid w:val="001F06C5"/>
    <w:rsid w:val="001F06D6"/>
    <w:rsid w:val="001F07D9"/>
    <w:rsid w:val="001F0CB3"/>
    <w:rsid w:val="001F0D0B"/>
    <w:rsid w:val="001F0D5F"/>
    <w:rsid w:val="001F17CB"/>
    <w:rsid w:val="001F1B63"/>
    <w:rsid w:val="001F1E44"/>
    <w:rsid w:val="001F22C6"/>
    <w:rsid w:val="001F251E"/>
    <w:rsid w:val="001F25E9"/>
    <w:rsid w:val="001F2792"/>
    <w:rsid w:val="001F2839"/>
    <w:rsid w:val="001F2A32"/>
    <w:rsid w:val="001F31A6"/>
    <w:rsid w:val="001F3722"/>
    <w:rsid w:val="001F373B"/>
    <w:rsid w:val="001F3901"/>
    <w:rsid w:val="001F3951"/>
    <w:rsid w:val="001F39EE"/>
    <w:rsid w:val="001F3F8D"/>
    <w:rsid w:val="001F3FD6"/>
    <w:rsid w:val="001F3FDE"/>
    <w:rsid w:val="001F4170"/>
    <w:rsid w:val="001F4275"/>
    <w:rsid w:val="001F42EE"/>
    <w:rsid w:val="001F4449"/>
    <w:rsid w:val="001F4BAA"/>
    <w:rsid w:val="001F4CA1"/>
    <w:rsid w:val="001F4CFF"/>
    <w:rsid w:val="001F4F89"/>
    <w:rsid w:val="001F5031"/>
    <w:rsid w:val="001F5234"/>
    <w:rsid w:val="001F54A1"/>
    <w:rsid w:val="001F589C"/>
    <w:rsid w:val="001F5DBD"/>
    <w:rsid w:val="001F5F9A"/>
    <w:rsid w:val="001F6299"/>
    <w:rsid w:val="001F6313"/>
    <w:rsid w:val="001F64C8"/>
    <w:rsid w:val="001F6582"/>
    <w:rsid w:val="001F6998"/>
    <w:rsid w:val="001F6AE2"/>
    <w:rsid w:val="001F72C6"/>
    <w:rsid w:val="001F7332"/>
    <w:rsid w:val="001F738E"/>
    <w:rsid w:val="001F7473"/>
    <w:rsid w:val="001F77C7"/>
    <w:rsid w:val="001F7861"/>
    <w:rsid w:val="001F7954"/>
    <w:rsid w:val="001F79AA"/>
    <w:rsid w:val="001F7A8C"/>
    <w:rsid w:val="001F7B54"/>
    <w:rsid w:val="001F7D8B"/>
    <w:rsid w:val="002000DC"/>
    <w:rsid w:val="002005B0"/>
    <w:rsid w:val="0020065E"/>
    <w:rsid w:val="0020076A"/>
    <w:rsid w:val="00200786"/>
    <w:rsid w:val="0020084A"/>
    <w:rsid w:val="00200938"/>
    <w:rsid w:val="00200AF6"/>
    <w:rsid w:val="00200BA9"/>
    <w:rsid w:val="00200C14"/>
    <w:rsid w:val="00200C2D"/>
    <w:rsid w:val="00200CAF"/>
    <w:rsid w:val="00200DFF"/>
    <w:rsid w:val="00201015"/>
    <w:rsid w:val="0020108F"/>
    <w:rsid w:val="002011B2"/>
    <w:rsid w:val="0020140A"/>
    <w:rsid w:val="00201598"/>
    <w:rsid w:val="00201B51"/>
    <w:rsid w:val="00201DA1"/>
    <w:rsid w:val="002020BF"/>
    <w:rsid w:val="0020227B"/>
    <w:rsid w:val="00202834"/>
    <w:rsid w:val="002028F7"/>
    <w:rsid w:val="00202A42"/>
    <w:rsid w:val="00202B4F"/>
    <w:rsid w:val="0020330A"/>
    <w:rsid w:val="00203368"/>
    <w:rsid w:val="002033C2"/>
    <w:rsid w:val="002033F7"/>
    <w:rsid w:val="002035AB"/>
    <w:rsid w:val="002036A5"/>
    <w:rsid w:val="0020370A"/>
    <w:rsid w:val="00203A35"/>
    <w:rsid w:val="00203B2E"/>
    <w:rsid w:val="00203B54"/>
    <w:rsid w:val="00203F2B"/>
    <w:rsid w:val="0020443D"/>
    <w:rsid w:val="002044A4"/>
    <w:rsid w:val="00204721"/>
    <w:rsid w:val="00204945"/>
    <w:rsid w:val="00204AB7"/>
    <w:rsid w:val="00204F16"/>
    <w:rsid w:val="00204F8D"/>
    <w:rsid w:val="002050C6"/>
    <w:rsid w:val="0020534E"/>
    <w:rsid w:val="002053B6"/>
    <w:rsid w:val="00205428"/>
    <w:rsid w:val="00205508"/>
    <w:rsid w:val="00205565"/>
    <w:rsid w:val="0020569D"/>
    <w:rsid w:val="00205E6B"/>
    <w:rsid w:val="00205F79"/>
    <w:rsid w:val="0020602E"/>
    <w:rsid w:val="00206066"/>
    <w:rsid w:val="002063E3"/>
    <w:rsid w:val="002065F7"/>
    <w:rsid w:val="0020677B"/>
    <w:rsid w:val="00206D88"/>
    <w:rsid w:val="00207281"/>
    <w:rsid w:val="0020728D"/>
    <w:rsid w:val="00207548"/>
    <w:rsid w:val="0020756D"/>
    <w:rsid w:val="0020760F"/>
    <w:rsid w:val="00207711"/>
    <w:rsid w:val="002079F6"/>
    <w:rsid w:val="00207B5A"/>
    <w:rsid w:val="00207C67"/>
    <w:rsid w:val="002100E2"/>
    <w:rsid w:val="0021015F"/>
    <w:rsid w:val="002106F8"/>
    <w:rsid w:val="00210925"/>
    <w:rsid w:val="00210AD2"/>
    <w:rsid w:val="002116CC"/>
    <w:rsid w:val="00211E13"/>
    <w:rsid w:val="0021247A"/>
    <w:rsid w:val="002124A5"/>
    <w:rsid w:val="002126D0"/>
    <w:rsid w:val="00212813"/>
    <w:rsid w:val="00212BAE"/>
    <w:rsid w:val="00212BE3"/>
    <w:rsid w:val="00212C5E"/>
    <w:rsid w:val="00212D7F"/>
    <w:rsid w:val="00212DE4"/>
    <w:rsid w:val="00213370"/>
    <w:rsid w:val="00213AF4"/>
    <w:rsid w:val="00213CD8"/>
    <w:rsid w:val="00213D24"/>
    <w:rsid w:val="00213D55"/>
    <w:rsid w:val="00213EB5"/>
    <w:rsid w:val="00213ECE"/>
    <w:rsid w:val="00214297"/>
    <w:rsid w:val="0021437B"/>
    <w:rsid w:val="0021445E"/>
    <w:rsid w:val="00214BBB"/>
    <w:rsid w:val="00214BDD"/>
    <w:rsid w:val="00214C2E"/>
    <w:rsid w:val="00215145"/>
    <w:rsid w:val="00215D4F"/>
    <w:rsid w:val="00216480"/>
    <w:rsid w:val="002165E0"/>
    <w:rsid w:val="00216BE4"/>
    <w:rsid w:val="00216C18"/>
    <w:rsid w:val="00216C4E"/>
    <w:rsid w:val="00217434"/>
    <w:rsid w:val="002177E2"/>
    <w:rsid w:val="002177EC"/>
    <w:rsid w:val="00217B72"/>
    <w:rsid w:val="00217F4B"/>
    <w:rsid w:val="00217F93"/>
    <w:rsid w:val="002203B4"/>
    <w:rsid w:val="00220453"/>
    <w:rsid w:val="00220C85"/>
    <w:rsid w:val="002213D2"/>
    <w:rsid w:val="00221798"/>
    <w:rsid w:val="00221C78"/>
    <w:rsid w:val="00221F89"/>
    <w:rsid w:val="00222013"/>
    <w:rsid w:val="002224A9"/>
    <w:rsid w:val="0022251F"/>
    <w:rsid w:val="0022284B"/>
    <w:rsid w:val="00222BE9"/>
    <w:rsid w:val="00222D1E"/>
    <w:rsid w:val="00222E1B"/>
    <w:rsid w:val="00222F9D"/>
    <w:rsid w:val="00223359"/>
    <w:rsid w:val="002233C7"/>
    <w:rsid w:val="0022344C"/>
    <w:rsid w:val="00223933"/>
    <w:rsid w:val="00223A5D"/>
    <w:rsid w:val="00223C46"/>
    <w:rsid w:val="00223E7C"/>
    <w:rsid w:val="00223FB1"/>
    <w:rsid w:val="002240C0"/>
    <w:rsid w:val="0022425E"/>
    <w:rsid w:val="0022480D"/>
    <w:rsid w:val="00224894"/>
    <w:rsid w:val="00224B98"/>
    <w:rsid w:val="00224DDC"/>
    <w:rsid w:val="00224F2A"/>
    <w:rsid w:val="002253EA"/>
    <w:rsid w:val="0022578D"/>
    <w:rsid w:val="002257B0"/>
    <w:rsid w:val="00225A19"/>
    <w:rsid w:val="00225A30"/>
    <w:rsid w:val="00225E55"/>
    <w:rsid w:val="00225EA8"/>
    <w:rsid w:val="0022641A"/>
    <w:rsid w:val="0022692A"/>
    <w:rsid w:val="0022698B"/>
    <w:rsid w:val="00226D8A"/>
    <w:rsid w:val="00226F9B"/>
    <w:rsid w:val="002272CE"/>
    <w:rsid w:val="00227321"/>
    <w:rsid w:val="00227332"/>
    <w:rsid w:val="00227433"/>
    <w:rsid w:val="00227581"/>
    <w:rsid w:val="00227B1F"/>
    <w:rsid w:val="00227C1A"/>
    <w:rsid w:val="00227D96"/>
    <w:rsid w:val="00227FAC"/>
    <w:rsid w:val="0023008F"/>
    <w:rsid w:val="002301A9"/>
    <w:rsid w:val="0023037E"/>
    <w:rsid w:val="002303D8"/>
    <w:rsid w:val="002308B0"/>
    <w:rsid w:val="0023090F"/>
    <w:rsid w:val="0023134F"/>
    <w:rsid w:val="002315B5"/>
    <w:rsid w:val="0023185C"/>
    <w:rsid w:val="00231B22"/>
    <w:rsid w:val="0023224E"/>
    <w:rsid w:val="002323A3"/>
    <w:rsid w:val="0023294E"/>
    <w:rsid w:val="00232A45"/>
    <w:rsid w:val="00232BDB"/>
    <w:rsid w:val="002333EB"/>
    <w:rsid w:val="00233653"/>
    <w:rsid w:val="0023378A"/>
    <w:rsid w:val="00233836"/>
    <w:rsid w:val="00233B9F"/>
    <w:rsid w:val="00233C1D"/>
    <w:rsid w:val="00234448"/>
    <w:rsid w:val="00234514"/>
    <w:rsid w:val="002348CB"/>
    <w:rsid w:val="00234EEA"/>
    <w:rsid w:val="00234FEF"/>
    <w:rsid w:val="00235062"/>
    <w:rsid w:val="0023528B"/>
    <w:rsid w:val="00235506"/>
    <w:rsid w:val="0023572D"/>
    <w:rsid w:val="002357C1"/>
    <w:rsid w:val="00235868"/>
    <w:rsid w:val="00235B9F"/>
    <w:rsid w:val="00235C54"/>
    <w:rsid w:val="00235D5A"/>
    <w:rsid w:val="00235D89"/>
    <w:rsid w:val="00235E43"/>
    <w:rsid w:val="00235F21"/>
    <w:rsid w:val="00235F4A"/>
    <w:rsid w:val="00236127"/>
    <w:rsid w:val="00236659"/>
    <w:rsid w:val="00236829"/>
    <w:rsid w:val="00236C14"/>
    <w:rsid w:val="00236EC6"/>
    <w:rsid w:val="00237232"/>
    <w:rsid w:val="002374E4"/>
    <w:rsid w:val="0023750E"/>
    <w:rsid w:val="00237653"/>
    <w:rsid w:val="002379B1"/>
    <w:rsid w:val="00237A1C"/>
    <w:rsid w:val="00237E7A"/>
    <w:rsid w:val="00237FDA"/>
    <w:rsid w:val="002401A0"/>
    <w:rsid w:val="002403F2"/>
    <w:rsid w:val="0024042B"/>
    <w:rsid w:val="00240A24"/>
    <w:rsid w:val="00240A94"/>
    <w:rsid w:val="00240E02"/>
    <w:rsid w:val="00240EB9"/>
    <w:rsid w:val="00240F1B"/>
    <w:rsid w:val="00240F6B"/>
    <w:rsid w:val="002410CA"/>
    <w:rsid w:val="002411E2"/>
    <w:rsid w:val="0024144A"/>
    <w:rsid w:val="002416A2"/>
    <w:rsid w:val="00241766"/>
    <w:rsid w:val="0024189A"/>
    <w:rsid w:val="0024191E"/>
    <w:rsid w:val="00241AF1"/>
    <w:rsid w:val="00241BAE"/>
    <w:rsid w:val="00241C7E"/>
    <w:rsid w:val="00241FE5"/>
    <w:rsid w:val="002420D9"/>
    <w:rsid w:val="002425E7"/>
    <w:rsid w:val="00242634"/>
    <w:rsid w:val="00242641"/>
    <w:rsid w:val="002428EF"/>
    <w:rsid w:val="00242A6B"/>
    <w:rsid w:val="00242C36"/>
    <w:rsid w:val="00242D9E"/>
    <w:rsid w:val="00242DFE"/>
    <w:rsid w:val="0024317F"/>
    <w:rsid w:val="00243193"/>
    <w:rsid w:val="0024330A"/>
    <w:rsid w:val="00243540"/>
    <w:rsid w:val="00243884"/>
    <w:rsid w:val="00243915"/>
    <w:rsid w:val="002442D5"/>
    <w:rsid w:val="002444D6"/>
    <w:rsid w:val="002445D5"/>
    <w:rsid w:val="0024495F"/>
    <w:rsid w:val="00244966"/>
    <w:rsid w:val="00244B00"/>
    <w:rsid w:val="00244D85"/>
    <w:rsid w:val="00245149"/>
    <w:rsid w:val="00245187"/>
    <w:rsid w:val="00245A7E"/>
    <w:rsid w:val="00245C60"/>
    <w:rsid w:val="00245C82"/>
    <w:rsid w:val="00245E44"/>
    <w:rsid w:val="00246351"/>
    <w:rsid w:val="00246522"/>
    <w:rsid w:val="0024679B"/>
    <w:rsid w:val="00246C26"/>
    <w:rsid w:val="00246CA4"/>
    <w:rsid w:val="002470C6"/>
    <w:rsid w:val="00247812"/>
    <w:rsid w:val="00247881"/>
    <w:rsid w:val="002479FE"/>
    <w:rsid w:val="00247B0A"/>
    <w:rsid w:val="00247C4E"/>
    <w:rsid w:val="00250147"/>
    <w:rsid w:val="00250276"/>
    <w:rsid w:val="0025049C"/>
    <w:rsid w:val="00250B90"/>
    <w:rsid w:val="00250D11"/>
    <w:rsid w:val="00250EFE"/>
    <w:rsid w:val="00251121"/>
    <w:rsid w:val="00251227"/>
    <w:rsid w:val="00251753"/>
    <w:rsid w:val="002518C2"/>
    <w:rsid w:val="00251958"/>
    <w:rsid w:val="00251A5F"/>
    <w:rsid w:val="00252614"/>
    <w:rsid w:val="002527D6"/>
    <w:rsid w:val="002527EA"/>
    <w:rsid w:val="0025285E"/>
    <w:rsid w:val="00252A3C"/>
    <w:rsid w:val="00252A86"/>
    <w:rsid w:val="00252BE6"/>
    <w:rsid w:val="00252ECF"/>
    <w:rsid w:val="00252F38"/>
    <w:rsid w:val="002530A6"/>
    <w:rsid w:val="002531BA"/>
    <w:rsid w:val="0025328D"/>
    <w:rsid w:val="00253323"/>
    <w:rsid w:val="002534FA"/>
    <w:rsid w:val="002535F2"/>
    <w:rsid w:val="002538F8"/>
    <w:rsid w:val="00253B8B"/>
    <w:rsid w:val="00253C71"/>
    <w:rsid w:val="00253D41"/>
    <w:rsid w:val="00253E61"/>
    <w:rsid w:val="00253F02"/>
    <w:rsid w:val="002540D3"/>
    <w:rsid w:val="00254113"/>
    <w:rsid w:val="002542DD"/>
    <w:rsid w:val="002545F3"/>
    <w:rsid w:val="00254696"/>
    <w:rsid w:val="002547E6"/>
    <w:rsid w:val="00254920"/>
    <w:rsid w:val="002549CC"/>
    <w:rsid w:val="00254CF0"/>
    <w:rsid w:val="00254E63"/>
    <w:rsid w:val="00255001"/>
    <w:rsid w:val="00255188"/>
    <w:rsid w:val="0025520F"/>
    <w:rsid w:val="0025522F"/>
    <w:rsid w:val="00255AEE"/>
    <w:rsid w:val="00255D39"/>
    <w:rsid w:val="00255E1E"/>
    <w:rsid w:val="00255EA0"/>
    <w:rsid w:val="002561B9"/>
    <w:rsid w:val="0025688D"/>
    <w:rsid w:val="00256A89"/>
    <w:rsid w:val="00256C50"/>
    <w:rsid w:val="00256D0E"/>
    <w:rsid w:val="00257094"/>
    <w:rsid w:val="00257307"/>
    <w:rsid w:val="00257B15"/>
    <w:rsid w:val="00257BAD"/>
    <w:rsid w:val="002601A7"/>
    <w:rsid w:val="00260BE0"/>
    <w:rsid w:val="00260E6E"/>
    <w:rsid w:val="00260EC5"/>
    <w:rsid w:val="0026117F"/>
    <w:rsid w:val="00261436"/>
    <w:rsid w:val="0026168E"/>
    <w:rsid w:val="00261811"/>
    <w:rsid w:val="0026191D"/>
    <w:rsid w:val="00262349"/>
    <w:rsid w:val="002625E5"/>
    <w:rsid w:val="00262A02"/>
    <w:rsid w:val="00262B8C"/>
    <w:rsid w:val="00262C50"/>
    <w:rsid w:val="00262E65"/>
    <w:rsid w:val="00262E7C"/>
    <w:rsid w:val="0026305C"/>
    <w:rsid w:val="00263168"/>
    <w:rsid w:val="002634B2"/>
    <w:rsid w:val="0026369C"/>
    <w:rsid w:val="00263A5A"/>
    <w:rsid w:val="0026400A"/>
    <w:rsid w:val="0026409A"/>
    <w:rsid w:val="0026426E"/>
    <w:rsid w:val="00264288"/>
    <w:rsid w:val="002648FA"/>
    <w:rsid w:val="002650B8"/>
    <w:rsid w:val="0026517A"/>
    <w:rsid w:val="002654AB"/>
    <w:rsid w:val="002654C7"/>
    <w:rsid w:val="0026550A"/>
    <w:rsid w:val="00265518"/>
    <w:rsid w:val="002655EB"/>
    <w:rsid w:val="00265613"/>
    <w:rsid w:val="002658D0"/>
    <w:rsid w:val="0026596D"/>
    <w:rsid w:val="00265BF9"/>
    <w:rsid w:val="00265C20"/>
    <w:rsid w:val="00265CB4"/>
    <w:rsid w:val="00265D04"/>
    <w:rsid w:val="0026600D"/>
    <w:rsid w:val="0026607A"/>
    <w:rsid w:val="00266338"/>
    <w:rsid w:val="00266390"/>
    <w:rsid w:val="00266503"/>
    <w:rsid w:val="00266515"/>
    <w:rsid w:val="00266589"/>
    <w:rsid w:val="0026660E"/>
    <w:rsid w:val="00266714"/>
    <w:rsid w:val="002667E6"/>
    <w:rsid w:val="002668C8"/>
    <w:rsid w:val="00266BBD"/>
    <w:rsid w:val="00266BE9"/>
    <w:rsid w:val="00266EC4"/>
    <w:rsid w:val="002671FE"/>
    <w:rsid w:val="002673CA"/>
    <w:rsid w:val="00267410"/>
    <w:rsid w:val="002674E2"/>
    <w:rsid w:val="0026751D"/>
    <w:rsid w:val="002676B5"/>
    <w:rsid w:val="00267C4A"/>
    <w:rsid w:val="00267E5A"/>
    <w:rsid w:val="00267ECA"/>
    <w:rsid w:val="0027012E"/>
    <w:rsid w:val="002703C9"/>
    <w:rsid w:val="00270911"/>
    <w:rsid w:val="00270B6B"/>
    <w:rsid w:val="00270D80"/>
    <w:rsid w:val="00270F34"/>
    <w:rsid w:val="0027135F"/>
    <w:rsid w:val="002716CB"/>
    <w:rsid w:val="00271860"/>
    <w:rsid w:val="00271BB9"/>
    <w:rsid w:val="00271C9C"/>
    <w:rsid w:val="00272055"/>
    <w:rsid w:val="002720DD"/>
    <w:rsid w:val="002723A0"/>
    <w:rsid w:val="0027248D"/>
    <w:rsid w:val="00272558"/>
    <w:rsid w:val="00272749"/>
    <w:rsid w:val="002728E5"/>
    <w:rsid w:val="002729D7"/>
    <w:rsid w:val="00272A74"/>
    <w:rsid w:val="00272A8E"/>
    <w:rsid w:val="00272CD9"/>
    <w:rsid w:val="00272F07"/>
    <w:rsid w:val="0027349B"/>
    <w:rsid w:val="0027381D"/>
    <w:rsid w:val="00273860"/>
    <w:rsid w:val="00273E41"/>
    <w:rsid w:val="00273ECE"/>
    <w:rsid w:val="00273FB2"/>
    <w:rsid w:val="00273FB5"/>
    <w:rsid w:val="00274102"/>
    <w:rsid w:val="00274588"/>
    <w:rsid w:val="00274733"/>
    <w:rsid w:val="00274A9B"/>
    <w:rsid w:val="00274E69"/>
    <w:rsid w:val="002750B2"/>
    <w:rsid w:val="0027557D"/>
    <w:rsid w:val="00275643"/>
    <w:rsid w:val="002756CD"/>
    <w:rsid w:val="002757D6"/>
    <w:rsid w:val="00275DC0"/>
    <w:rsid w:val="00275DF7"/>
    <w:rsid w:val="00275E3D"/>
    <w:rsid w:val="00275F8A"/>
    <w:rsid w:val="00276222"/>
    <w:rsid w:val="0027646E"/>
    <w:rsid w:val="00276584"/>
    <w:rsid w:val="00276735"/>
    <w:rsid w:val="00276787"/>
    <w:rsid w:val="00276A87"/>
    <w:rsid w:val="00276D7A"/>
    <w:rsid w:val="002771D1"/>
    <w:rsid w:val="00277220"/>
    <w:rsid w:val="0027741A"/>
    <w:rsid w:val="0027769C"/>
    <w:rsid w:val="0027775F"/>
    <w:rsid w:val="00277A8E"/>
    <w:rsid w:val="00277AC1"/>
    <w:rsid w:val="00280164"/>
    <w:rsid w:val="00280201"/>
    <w:rsid w:val="00280329"/>
    <w:rsid w:val="00280397"/>
    <w:rsid w:val="00280F63"/>
    <w:rsid w:val="00280FE0"/>
    <w:rsid w:val="00281044"/>
    <w:rsid w:val="002810BC"/>
    <w:rsid w:val="00281136"/>
    <w:rsid w:val="00281449"/>
    <w:rsid w:val="00281457"/>
    <w:rsid w:val="00281536"/>
    <w:rsid w:val="00281630"/>
    <w:rsid w:val="002819E2"/>
    <w:rsid w:val="00281A99"/>
    <w:rsid w:val="0028218B"/>
    <w:rsid w:val="00282191"/>
    <w:rsid w:val="002824FF"/>
    <w:rsid w:val="002829AA"/>
    <w:rsid w:val="00282B48"/>
    <w:rsid w:val="00282BBD"/>
    <w:rsid w:val="00283114"/>
    <w:rsid w:val="002832A3"/>
    <w:rsid w:val="0028349D"/>
    <w:rsid w:val="0028358C"/>
    <w:rsid w:val="00283826"/>
    <w:rsid w:val="00283B33"/>
    <w:rsid w:val="00283D43"/>
    <w:rsid w:val="00284271"/>
    <w:rsid w:val="00284660"/>
    <w:rsid w:val="00284710"/>
    <w:rsid w:val="002847A9"/>
    <w:rsid w:val="00284A03"/>
    <w:rsid w:val="00284BD0"/>
    <w:rsid w:val="00284C4F"/>
    <w:rsid w:val="00284E2B"/>
    <w:rsid w:val="00285357"/>
    <w:rsid w:val="00285677"/>
    <w:rsid w:val="00285B6B"/>
    <w:rsid w:val="002861C4"/>
    <w:rsid w:val="002862A5"/>
    <w:rsid w:val="0028664B"/>
    <w:rsid w:val="002866E0"/>
    <w:rsid w:val="00286900"/>
    <w:rsid w:val="00286CEE"/>
    <w:rsid w:val="00287027"/>
    <w:rsid w:val="00287349"/>
    <w:rsid w:val="0028734F"/>
    <w:rsid w:val="00287377"/>
    <w:rsid w:val="002874C2"/>
    <w:rsid w:val="00287615"/>
    <w:rsid w:val="0028765F"/>
    <w:rsid w:val="002876D1"/>
    <w:rsid w:val="00287C59"/>
    <w:rsid w:val="00287CE7"/>
    <w:rsid w:val="00287D1D"/>
    <w:rsid w:val="00290081"/>
    <w:rsid w:val="002900FB"/>
    <w:rsid w:val="00290467"/>
    <w:rsid w:val="002904AE"/>
    <w:rsid w:val="002904BA"/>
    <w:rsid w:val="0029093B"/>
    <w:rsid w:val="00291511"/>
    <w:rsid w:val="00291E22"/>
    <w:rsid w:val="00291F07"/>
    <w:rsid w:val="00292162"/>
    <w:rsid w:val="00292390"/>
    <w:rsid w:val="00292517"/>
    <w:rsid w:val="00292564"/>
    <w:rsid w:val="002926E7"/>
    <w:rsid w:val="00293431"/>
    <w:rsid w:val="00293B99"/>
    <w:rsid w:val="00293BAD"/>
    <w:rsid w:val="00293CCF"/>
    <w:rsid w:val="00294116"/>
    <w:rsid w:val="00294ADA"/>
    <w:rsid w:val="00294B60"/>
    <w:rsid w:val="00294C41"/>
    <w:rsid w:val="00294D1D"/>
    <w:rsid w:val="00294D96"/>
    <w:rsid w:val="00294EDC"/>
    <w:rsid w:val="00295015"/>
    <w:rsid w:val="00295210"/>
    <w:rsid w:val="002955DD"/>
    <w:rsid w:val="00295744"/>
    <w:rsid w:val="00295B00"/>
    <w:rsid w:val="00295B59"/>
    <w:rsid w:val="002961A4"/>
    <w:rsid w:val="002962AB"/>
    <w:rsid w:val="002963F4"/>
    <w:rsid w:val="00296A23"/>
    <w:rsid w:val="00296C16"/>
    <w:rsid w:val="00296CED"/>
    <w:rsid w:val="002971B7"/>
    <w:rsid w:val="002975DF"/>
    <w:rsid w:val="00297936"/>
    <w:rsid w:val="00297C63"/>
    <w:rsid w:val="00297FAA"/>
    <w:rsid w:val="002A00F7"/>
    <w:rsid w:val="002A0289"/>
    <w:rsid w:val="002A0395"/>
    <w:rsid w:val="002A0503"/>
    <w:rsid w:val="002A099E"/>
    <w:rsid w:val="002A0A13"/>
    <w:rsid w:val="002A0B4C"/>
    <w:rsid w:val="002A0DA9"/>
    <w:rsid w:val="002A1455"/>
    <w:rsid w:val="002A153B"/>
    <w:rsid w:val="002A1A46"/>
    <w:rsid w:val="002A1A99"/>
    <w:rsid w:val="002A21C5"/>
    <w:rsid w:val="002A22B9"/>
    <w:rsid w:val="002A23F6"/>
    <w:rsid w:val="002A2563"/>
    <w:rsid w:val="002A294E"/>
    <w:rsid w:val="002A2A5C"/>
    <w:rsid w:val="002A2EFF"/>
    <w:rsid w:val="002A2F89"/>
    <w:rsid w:val="002A336B"/>
    <w:rsid w:val="002A348F"/>
    <w:rsid w:val="002A371B"/>
    <w:rsid w:val="002A371E"/>
    <w:rsid w:val="002A385B"/>
    <w:rsid w:val="002A38C1"/>
    <w:rsid w:val="002A3D4E"/>
    <w:rsid w:val="002A3D6B"/>
    <w:rsid w:val="002A4010"/>
    <w:rsid w:val="002A40B5"/>
    <w:rsid w:val="002A41F5"/>
    <w:rsid w:val="002A42E1"/>
    <w:rsid w:val="002A46C2"/>
    <w:rsid w:val="002A474B"/>
    <w:rsid w:val="002A4878"/>
    <w:rsid w:val="002A4B29"/>
    <w:rsid w:val="002A4B5A"/>
    <w:rsid w:val="002A4BE4"/>
    <w:rsid w:val="002A4E7F"/>
    <w:rsid w:val="002A5520"/>
    <w:rsid w:val="002A58E4"/>
    <w:rsid w:val="002A5AD4"/>
    <w:rsid w:val="002A5B8A"/>
    <w:rsid w:val="002A5FB8"/>
    <w:rsid w:val="002A62BC"/>
    <w:rsid w:val="002A63BF"/>
    <w:rsid w:val="002A63F1"/>
    <w:rsid w:val="002A69F3"/>
    <w:rsid w:val="002A6AA4"/>
    <w:rsid w:val="002A7037"/>
    <w:rsid w:val="002A7362"/>
    <w:rsid w:val="002A7710"/>
    <w:rsid w:val="002A795B"/>
    <w:rsid w:val="002B010B"/>
    <w:rsid w:val="002B02AF"/>
    <w:rsid w:val="002B0409"/>
    <w:rsid w:val="002B048F"/>
    <w:rsid w:val="002B0676"/>
    <w:rsid w:val="002B07EB"/>
    <w:rsid w:val="002B08B1"/>
    <w:rsid w:val="002B097F"/>
    <w:rsid w:val="002B0A06"/>
    <w:rsid w:val="002B0C8B"/>
    <w:rsid w:val="002B0F34"/>
    <w:rsid w:val="002B0F61"/>
    <w:rsid w:val="002B11F0"/>
    <w:rsid w:val="002B12CC"/>
    <w:rsid w:val="002B1532"/>
    <w:rsid w:val="002B1951"/>
    <w:rsid w:val="002B1A77"/>
    <w:rsid w:val="002B1C51"/>
    <w:rsid w:val="002B1EDA"/>
    <w:rsid w:val="002B1EF3"/>
    <w:rsid w:val="002B1F35"/>
    <w:rsid w:val="002B1F9C"/>
    <w:rsid w:val="002B29C9"/>
    <w:rsid w:val="002B323E"/>
    <w:rsid w:val="002B3383"/>
    <w:rsid w:val="002B38CD"/>
    <w:rsid w:val="002B3908"/>
    <w:rsid w:val="002B39CE"/>
    <w:rsid w:val="002B3A8D"/>
    <w:rsid w:val="002B3B07"/>
    <w:rsid w:val="002B3DD3"/>
    <w:rsid w:val="002B3E7B"/>
    <w:rsid w:val="002B3F8D"/>
    <w:rsid w:val="002B4128"/>
    <w:rsid w:val="002B4740"/>
    <w:rsid w:val="002B47A5"/>
    <w:rsid w:val="002B4B0A"/>
    <w:rsid w:val="002B4BC7"/>
    <w:rsid w:val="002B4CC6"/>
    <w:rsid w:val="002B4F67"/>
    <w:rsid w:val="002B5608"/>
    <w:rsid w:val="002B5616"/>
    <w:rsid w:val="002B5ABC"/>
    <w:rsid w:val="002B5E94"/>
    <w:rsid w:val="002B60F9"/>
    <w:rsid w:val="002B6549"/>
    <w:rsid w:val="002B6AFB"/>
    <w:rsid w:val="002B6EE3"/>
    <w:rsid w:val="002B7070"/>
    <w:rsid w:val="002B711C"/>
    <w:rsid w:val="002B72FB"/>
    <w:rsid w:val="002B74D6"/>
    <w:rsid w:val="002B7667"/>
    <w:rsid w:val="002B78D1"/>
    <w:rsid w:val="002B7A1A"/>
    <w:rsid w:val="002B7BBC"/>
    <w:rsid w:val="002B7ECD"/>
    <w:rsid w:val="002C013E"/>
    <w:rsid w:val="002C0227"/>
    <w:rsid w:val="002C04CA"/>
    <w:rsid w:val="002C0732"/>
    <w:rsid w:val="002C0D5A"/>
    <w:rsid w:val="002C0E13"/>
    <w:rsid w:val="002C0FC4"/>
    <w:rsid w:val="002C1113"/>
    <w:rsid w:val="002C1307"/>
    <w:rsid w:val="002C15D8"/>
    <w:rsid w:val="002C15EF"/>
    <w:rsid w:val="002C1C5F"/>
    <w:rsid w:val="002C1D78"/>
    <w:rsid w:val="002C1ED5"/>
    <w:rsid w:val="002C220B"/>
    <w:rsid w:val="002C2229"/>
    <w:rsid w:val="002C2311"/>
    <w:rsid w:val="002C267C"/>
    <w:rsid w:val="002C2750"/>
    <w:rsid w:val="002C282A"/>
    <w:rsid w:val="002C2841"/>
    <w:rsid w:val="002C28F4"/>
    <w:rsid w:val="002C29D8"/>
    <w:rsid w:val="002C2D58"/>
    <w:rsid w:val="002C3026"/>
    <w:rsid w:val="002C3493"/>
    <w:rsid w:val="002C3775"/>
    <w:rsid w:val="002C38DE"/>
    <w:rsid w:val="002C3F2D"/>
    <w:rsid w:val="002C43FA"/>
    <w:rsid w:val="002C44C8"/>
    <w:rsid w:val="002C45C5"/>
    <w:rsid w:val="002C49E7"/>
    <w:rsid w:val="002C4E8C"/>
    <w:rsid w:val="002C5094"/>
    <w:rsid w:val="002C5406"/>
    <w:rsid w:val="002C5539"/>
    <w:rsid w:val="002C5A8B"/>
    <w:rsid w:val="002C5E63"/>
    <w:rsid w:val="002C5F5B"/>
    <w:rsid w:val="002C625C"/>
    <w:rsid w:val="002C629D"/>
    <w:rsid w:val="002C6331"/>
    <w:rsid w:val="002C6721"/>
    <w:rsid w:val="002C6D25"/>
    <w:rsid w:val="002C6DE9"/>
    <w:rsid w:val="002C6EB2"/>
    <w:rsid w:val="002C700E"/>
    <w:rsid w:val="002C729D"/>
    <w:rsid w:val="002C74B8"/>
    <w:rsid w:val="002C7520"/>
    <w:rsid w:val="002C75E6"/>
    <w:rsid w:val="002C777D"/>
    <w:rsid w:val="002C7AE9"/>
    <w:rsid w:val="002C7B08"/>
    <w:rsid w:val="002D0837"/>
    <w:rsid w:val="002D09E8"/>
    <w:rsid w:val="002D0D5E"/>
    <w:rsid w:val="002D0D91"/>
    <w:rsid w:val="002D0FB6"/>
    <w:rsid w:val="002D110A"/>
    <w:rsid w:val="002D11BE"/>
    <w:rsid w:val="002D129A"/>
    <w:rsid w:val="002D12FD"/>
    <w:rsid w:val="002D131F"/>
    <w:rsid w:val="002D15A5"/>
    <w:rsid w:val="002D1834"/>
    <w:rsid w:val="002D1BC9"/>
    <w:rsid w:val="002D1C44"/>
    <w:rsid w:val="002D1C6F"/>
    <w:rsid w:val="002D1F72"/>
    <w:rsid w:val="002D23F1"/>
    <w:rsid w:val="002D28B3"/>
    <w:rsid w:val="002D29AE"/>
    <w:rsid w:val="002D2B9E"/>
    <w:rsid w:val="002D3087"/>
    <w:rsid w:val="002D3150"/>
    <w:rsid w:val="002D32E4"/>
    <w:rsid w:val="002D3969"/>
    <w:rsid w:val="002D3A2B"/>
    <w:rsid w:val="002D3A90"/>
    <w:rsid w:val="002D3B6F"/>
    <w:rsid w:val="002D3EA6"/>
    <w:rsid w:val="002D3FC5"/>
    <w:rsid w:val="002D4006"/>
    <w:rsid w:val="002D4049"/>
    <w:rsid w:val="002D405B"/>
    <w:rsid w:val="002D4060"/>
    <w:rsid w:val="002D40B1"/>
    <w:rsid w:val="002D41C5"/>
    <w:rsid w:val="002D4430"/>
    <w:rsid w:val="002D45CD"/>
    <w:rsid w:val="002D4991"/>
    <w:rsid w:val="002D4D32"/>
    <w:rsid w:val="002D4E52"/>
    <w:rsid w:val="002D4F7A"/>
    <w:rsid w:val="002D546C"/>
    <w:rsid w:val="002D5497"/>
    <w:rsid w:val="002D5549"/>
    <w:rsid w:val="002D5611"/>
    <w:rsid w:val="002D563A"/>
    <w:rsid w:val="002D56B0"/>
    <w:rsid w:val="002D570B"/>
    <w:rsid w:val="002D5720"/>
    <w:rsid w:val="002D5AE7"/>
    <w:rsid w:val="002D5D28"/>
    <w:rsid w:val="002D5DA3"/>
    <w:rsid w:val="002D5DAE"/>
    <w:rsid w:val="002D6422"/>
    <w:rsid w:val="002D64B6"/>
    <w:rsid w:val="002D675B"/>
    <w:rsid w:val="002D68F7"/>
    <w:rsid w:val="002D6930"/>
    <w:rsid w:val="002D6C25"/>
    <w:rsid w:val="002D7133"/>
    <w:rsid w:val="002D73CA"/>
    <w:rsid w:val="002D741D"/>
    <w:rsid w:val="002D75F9"/>
    <w:rsid w:val="002D772F"/>
    <w:rsid w:val="002D7A33"/>
    <w:rsid w:val="002D7DE7"/>
    <w:rsid w:val="002E0032"/>
    <w:rsid w:val="002E003A"/>
    <w:rsid w:val="002E0149"/>
    <w:rsid w:val="002E0457"/>
    <w:rsid w:val="002E06FC"/>
    <w:rsid w:val="002E07AC"/>
    <w:rsid w:val="002E0A73"/>
    <w:rsid w:val="002E0B70"/>
    <w:rsid w:val="002E0BE0"/>
    <w:rsid w:val="002E0F24"/>
    <w:rsid w:val="002E10DB"/>
    <w:rsid w:val="002E11F3"/>
    <w:rsid w:val="002E12A6"/>
    <w:rsid w:val="002E13DA"/>
    <w:rsid w:val="002E1539"/>
    <w:rsid w:val="002E16B0"/>
    <w:rsid w:val="002E18EA"/>
    <w:rsid w:val="002E1BD8"/>
    <w:rsid w:val="002E1F13"/>
    <w:rsid w:val="002E2007"/>
    <w:rsid w:val="002E207D"/>
    <w:rsid w:val="002E23B4"/>
    <w:rsid w:val="002E2685"/>
    <w:rsid w:val="002E270B"/>
    <w:rsid w:val="002E2CCA"/>
    <w:rsid w:val="002E2CD3"/>
    <w:rsid w:val="002E2F9D"/>
    <w:rsid w:val="002E3069"/>
    <w:rsid w:val="002E3431"/>
    <w:rsid w:val="002E37A8"/>
    <w:rsid w:val="002E388C"/>
    <w:rsid w:val="002E39FC"/>
    <w:rsid w:val="002E3EDF"/>
    <w:rsid w:val="002E41D3"/>
    <w:rsid w:val="002E43DE"/>
    <w:rsid w:val="002E45B3"/>
    <w:rsid w:val="002E45C1"/>
    <w:rsid w:val="002E490F"/>
    <w:rsid w:val="002E4E3B"/>
    <w:rsid w:val="002E4FAD"/>
    <w:rsid w:val="002E5344"/>
    <w:rsid w:val="002E550B"/>
    <w:rsid w:val="002E5728"/>
    <w:rsid w:val="002E5783"/>
    <w:rsid w:val="002E5A0A"/>
    <w:rsid w:val="002E5A3A"/>
    <w:rsid w:val="002E60B5"/>
    <w:rsid w:val="002E62F1"/>
    <w:rsid w:val="002E63A3"/>
    <w:rsid w:val="002E6475"/>
    <w:rsid w:val="002E64B7"/>
    <w:rsid w:val="002E6797"/>
    <w:rsid w:val="002E6AA1"/>
    <w:rsid w:val="002E6CC1"/>
    <w:rsid w:val="002E6CFC"/>
    <w:rsid w:val="002E719B"/>
    <w:rsid w:val="002E74C8"/>
    <w:rsid w:val="002E76AE"/>
    <w:rsid w:val="002E79B4"/>
    <w:rsid w:val="002E7CA7"/>
    <w:rsid w:val="002E7DDF"/>
    <w:rsid w:val="002E7FAA"/>
    <w:rsid w:val="002F08F3"/>
    <w:rsid w:val="002F0E10"/>
    <w:rsid w:val="002F1017"/>
    <w:rsid w:val="002F1114"/>
    <w:rsid w:val="002F11D5"/>
    <w:rsid w:val="002F1287"/>
    <w:rsid w:val="002F15F7"/>
    <w:rsid w:val="002F1889"/>
    <w:rsid w:val="002F19D3"/>
    <w:rsid w:val="002F1DF3"/>
    <w:rsid w:val="002F1F4E"/>
    <w:rsid w:val="002F22AD"/>
    <w:rsid w:val="002F2418"/>
    <w:rsid w:val="002F26AB"/>
    <w:rsid w:val="002F2C4D"/>
    <w:rsid w:val="002F2DFF"/>
    <w:rsid w:val="002F3220"/>
    <w:rsid w:val="002F3311"/>
    <w:rsid w:val="002F35BA"/>
    <w:rsid w:val="002F39B0"/>
    <w:rsid w:val="002F3AB5"/>
    <w:rsid w:val="002F3D31"/>
    <w:rsid w:val="002F3F59"/>
    <w:rsid w:val="002F40EB"/>
    <w:rsid w:val="002F42C3"/>
    <w:rsid w:val="002F49C9"/>
    <w:rsid w:val="002F4A3F"/>
    <w:rsid w:val="002F4A52"/>
    <w:rsid w:val="002F4AEA"/>
    <w:rsid w:val="002F4CEC"/>
    <w:rsid w:val="002F4D8A"/>
    <w:rsid w:val="002F530D"/>
    <w:rsid w:val="002F57C6"/>
    <w:rsid w:val="002F5921"/>
    <w:rsid w:val="002F5C0C"/>
    <w:rsid w:val="002F5F65"/>
    <w:rsid w:val="002F6017"/>
    <w:rsid w:val="002F6024"/>
    <w:rsid w:val="002F61C2"/>
    <w:rsid w:val="002F655C"/>
    <w:rsid w:val="002F6918"/>
    <w:rsid w:val="002F69D5"/>
    <w:rsid w:val="002F6B1C"/>
    <w:rsid w:val="002F6D19"/>
    <w:rsid w:val="002F70C3"/>
    <w:rsid w:val="002F73C2"/>
    <w:rsid w:val="002F74EE"/>
    <w:rsid w:val="002F7A21"/>
    <w:rsid w:val="002F7AD5"/>
    <w:rsid w:val="002F7DF0"/>
    <w:rsid w:val="002F7EF1"/>
    <w:rsid w:val="002F7F67"/>
    <w:rsid w:val="003000E2"/>
    <w:rsid w:val="0030024E"/>
    <w:rsid w:val="00300BE6"/>
    <w:rsid w:val="00301277"/>
    <w:rsid w:val="00301360"/>
    <w:rsid w:val="00301442"/>
    <w:rsid w:val="00301529"/>
    <w:rsid w:val="003018DF"/>
    <w:rsid w:val="00301974"/>
    <w:rsid w:val="00301AE7"/>
    <w:rsid w:val="00301C54"/>
    <w:rsid w:val="00301FB9"/>
    <w:rsid w:val="00302047"/>
    <w:rsid w:val="0030242B"/>
    <w:rsid w:val="003026DA"/>
    <w:rsid w:val="003028C6"/>
    <w:rsid w:val="003029C3"/>
    <w:rsid w:val="00302AB7"/>
    <w:rsid w:val="00302F4B"/>
    <w:rsid w:val="00302FE6"/>
    <w:rsid w:val="00303545"/>
    <w:rsid w:val="00303612"/>
    <w:rsid w:val="003037C7"/>
    <w:rsid w:val="0030383C"/>
    <w:rsid w:val="00303AE7"/>
    <w:rsid w:val="00303C91"/>
    <w:rsid w:val="00303D14"/>
    <w:rsid w:val="00303D3F"/>
    <w:rsid w:val="00303D78"/>
    <w:rsid w:val="00303DB6"/>
    <w:rsid w:val="00303E10"/>
    <w:rsid w:val="00303E52"/>
    <w:rsid w:val="00304298"/>
    <w:rsid w:val="00304E81"/>
    <w:rsid w:val="00305470"/>
    <w:rsid w:val="003055B0"/>
    <w:rsid w:val="00305639"/>
    <w:rsid w:val="00305817"/>
    <w:rsid w:val="00305986"/>
    <w:rsid w:val="00305ADF"/>
    <w:rsid w:val="00305BBA"/>
    <w:rsid w:val="00305C10"/>
    <w:rsid w:val="00305F7A"/>
    <w:rsid w:val="00306036"/>
    <w:rsid w:val="00306756"/>
    <w:rsid w:val="00306770"/>
    <w:rsid w:val="003067BE"/>
    <w:rsid w:val="003072B2"/>
    <w:rsid w:val="0030750F"/>
    <w:rsid w:val="003079F2"/>
    <w:rsid w:val="00307A69"/>
    <w:rsid w:val="00307B47"/>
    <w:rsid w:val="00307BD2"/>
    <w:rsid w:val="00307BED"/>
    <w:rsid w:val="00307CC2"/>
    <w:rsid w:val="00310038"/>
    <w:rsid w:val="00310427"/>
    <w:rsid w:val="00310665"/>
    <w:rsid w:val="00310770"/>
    <w:rsid w:val="00311022"/>
    <w:rsid w:val="0031118C"/>
    <w:rsid w:val="003113E3"/>
    <w:rsid w:val="00311777"/>
    <w:rsid w:val="003117D4"/>
    <w:rsid w:val="00311A4C"/>
    <w:rsid w:val="00311C90"/>
    <w:rsid w:val="00311DE2"/>
    <w:rsid w:val="00312290"/>
    <w:rsid w:val="003123F7"/>
    <w:rsid w:val="00312732"/>
    <w:rsid w:val="0031281B"/>
    <w:rsid w:val="00312DBC"/>
    <w:rsid w:val="00312E4A"/>
    <w:rsid w:val="00312F07"/>
    <w:rsid w:val="00313626"/>
    <w:rsid w:val="00313680"/>
    <w:rsid w:val="003137CC"/>
    <w:rsid w:val="003137DE"/>
    <w:rsid w:val="00313B2D"/>
    <w:rsid w:val="00313B54"/>
    <w:rsid w:val="00313DBF"/>
    <w:rsid w:val="00313DCE"/>
    <w:rsid w:val="00313DD6"/>
    <w:rsid w:val="00313FA2"/>
    <w:rsid w:val="0031505B"/>
    <w:rsid w:val="0031546F"/>
    <w:rsid w:val="003155FE"/>
    <w:rsid w:val="0031561A"/>
    <w:rsid w:val="00315894"/>
    <w:rsid w:val="00315B55"/>
    <w:rsid w:val="003162AE"/>
    <w:rsid w:val="00316B09"/>
    <w:rsid w:val="00316B0D"/>
    <w:rsid w:val="00316B1C"/>
    <w:rsid w:val="00316BE2"/>
    <w:rsid w:val="00316CDC"/>
    <w:rsid w:val="00316DB6"/>
    <w:rsid w:val="003173A1"/>
    <w:rsid w:val="003173CD"/>
    <w:rsid w:val="003174D7"/>
    <w:rsid w:val="00317507"/>
    <w:rsid w:val="00317647"/>
    <w:rsid w:val="00317682"/>
    <w:rsid w:val="0031776A"/>
    <w:rsid w:val="00317A1F"/>
    <w:rsid w:val="00317AD3"/>
    <w:rsid w:val="00317B6F"/>
    <w:rsid w:val="00317BCA"/>
    <w:rsid w:val="00317F59"/>
    <w:rsid w:val="0032011A"/>
    <w:rsid w:val="003201B3"/>
    <w:rsid w:val="00320260"/>
    <w:rsid w:val="00320581"/>
    <w:rsid w:val="0032065D"/>
    <w:rsid w:val="003206C0"/>
    <w:rsid w:val="00320792"/>
    <w:rsid w:val="00320B9E"/>
    <w:rsid w:val="00320E5C"/>
    <w:rsid w:val="003210CB"/>
    <w:rsid w:val="003211B8"/>
    <w:rsid w:val="0032125D"/>
    <w:rsid w:val="0032143F"/>
    <w:rsid w:val="00322252"/>
    <w:rsid w:val="003227DE"/>
    <w:rsid w:val="003228E5"/>
    <w:rsid w:val="00322A5C"/>
    <w:rsid w:val="00322F2F"/>
    <w:rsid w:val="003230C3"/>
    <w:rsid w:val="00323128"/>
    <w:rsid w:val="00323337"/>
    <w:rsid w:val="00323538"/>
    <w:rsid w:val="003236CD"/>
    <w:rsid w:val="003238C9"/>
    <w:rsid w:val="003239CA"/>
    <w:rsid w:val="00323B57"/>
    <w:rsid w:val="00323C08"/>
    <w:rsid w:val="00323E10"/>
    <w:rsid w:val="00323FC4"/>
    <w:rsid w:val="003241BD"/>
    <w:rsid w:val="003245BE"/>
    <w:rsid w:val="00324672"/>
    <w:rsid w:val="00324721"/>
    <w:rsid w:val="003247BB"/>
    <w:rsid w:val="0032496D"/>
    <w:rsid w:val="00324988"/>
    <w:rsid w:val="00324E7C"/>
    <w:rsid w:val="003250AC"/>
    <w:rsid w:val="0032522A"/>
    <w:rsid w:val="003256ED"/>
    <w:rsid w:val="0032573E"/>
    <w:rsid w:val="003259E2"/>
    <w:rsid w:val="00325A3D"/>
    <w:rsid w:val="00325B4F"/>
    <w:rsid w:val="00325E2E"/>
    <w:rsid w:val="00325EAA"/>
    <w:rsid w:val="0032635C"/>
    <w:rsid w:val="003266C5"/>
    <w:rsid w:val="00326734"/>
    <w:rsid w:val="00326920"/>
    <w:rsid w:val="00326C40"/>
    <w:rsid w:val="00326CD0"/>
    <w:rsid w:val="00326E16"/>
    <w:rsid w:val="00327157"/>
    <w:rsid w:val="003274CA"/>
    <w:rsid w:val="0032796F"/>
    <w:rsid w:val="00327975"/>
    <w:rsid w:val="0032797A"/>
    <w:rsid w:val="00327CD3"/>
    <w:rsid w:val="003300DB"/>
    <w:rsid w:val="003306CF"/>
    <w:rsid w:val="0033075E"/>
    <w:rsid w:val="0033088D"/>
    <w:rsid w:val="0033098F"/>
    <w:rsid w:val="00330A94"/>
    <w:rsid w:val="00330AAF"/>
    <w:rsid w:val="00330CC4"/>
    <w:rsid w:val="00331046"/>
    <w:rsid w:val="00331273"/>
    <w:rsid w:val="0033147F"/>
    <w:rsid w:val="00331518"/>
    <w:rsid w:val="00331707"/>
    <w:rsid w:val="003317A1"/>
    <w:rsid w:val="00331A01"/>
    <w:rsid w:val="00331AEA"/>
    <w:rsid w:val="00331D98"/>
    <w:rsid w:val="00331DD8"/>
    <w:rsid w:val="00331E9F"/>
    <w:rsid w:val="00331FBE"/>
    <w:rsid w:val="00332329"/>
    <w:rsid w:val="00332905"/>
    <w:rsid w:val="00332E27"/>
    <w:rsid w:val="00332F3A"/>
    <w:rsid w:val="003333C3"/>
    <w:rsid w:val="00333671"/>
    <w:rsid w:val="00333939"/>
    <w:rsid w:val="00333CDA"/>
    <w:rsid w:val="00333E22"/>
    <w:rsid w:val="00333FF8"/>
    <w:rsid w:val="003340EC"/>
    <w:rsid w:val="0033431B"/>
    <w:rsid w:val="00334A66"/>
    <w:rsid w:val="00334CCB"/>
    <w:rsid w:val="00334DE9"/>
    <w:rsid w:val="00334ED7"/>
    <w:rsid w:val="00334F5E"/>
    <w:rsid w:val="00335031"/>
    <w:rsid w:val="00335425"/>
    <w:rsid w:val="00335795"/>
    <w:rsid w:val="0033584F"/>
    <w:rsid w:val="00335972"/>
    <w:rsid w:val="00335BB6"/>
    <w:rsid w:val="00335F64"/>
    <w:rsid w:val="00336694"/>
    <w:rsid w:val="0033684E"/>
    <w:rsid w:val="00336898"/>
    <w:rsid w:val="003368AF"/>
    <w:rsid w:val="0033698C"/>
    <w:rsid w:val="00336D74"/>
    <w:rsid w:val="00337449"/>
    <w:rsid w:val="00337616"/>
    <w:rsid w:val="003377F3"/>
    <w:rsid w:val="003379DA"/>
    <w:rsid w:val="00337A42"/>
    <w:rsid w:val="00337EE9"/>
    <w:rsid w:val="00337F59"/>
    <w:rsid w:val="0034035B"/>
    <w:rsid w:val="00340703"/>
    <w:rsid w:val="0034096E"/>
    <w:rsid w:val="00340C8F"/>
    <w:rsid w:val="00340F8E"/>
    <w:rsid w:val="00341064"/>
    <w:rsid w:val="00341754"/>
    <w:rsid w:val="003419E2"/>
    <w:rsid w:val="00341C85"/>
    <w:rsid w:val="00342171"/>
    <w:rsid w:val="0034221F"/>
    <w:rsid w:val="00342231"/>
    <w:rsid w:val="00342315"/>
    <w:rsid w:val="0034240D"/>
    <w:rsid w:val="00342647"/>
    <w:rsid w:val="00342681"/>
    <w:rsid w:val="0034271A"/>
    <w:rsid w:val="0034273D"/>
    <w:rsid w:val="00342779"/>
    <w:rsid w:val="00342A67"/>
    <w:rsid w:val="00342AB0"/>
    <w:rsid w:val="00342BD4"/>
    <w:rsid w:val="00343289"/>
    <w:rsid w:val="003434AA"/>
    <w:rsid w:val="00343888"/>
    <w:rsid w:val="0034391A"/>
    <w:rsid w:val="0034393D"/>
    <w:rsid w:val="00343A6A"/>
    <w:rsid w:val="00343D35"/>
    <w:rsid w:val="00343F2F"/>
    <w:rsid w:val="003440D4"/>
    <w:rsid w:val="00344865"/>
    <w:rsid w:val="00344D15"/>
    <w:rsid w:val="00345086"/>
    <w:rsid w:val="00345138"/>
    <w:rsid w:val="003451C0"/>
    <w:rsid w:val="00345753"/>
    <w:rsid w:val="00345CF0"/>
    <w:rsid w:val="00345E6D"/>
    <w:rsid w:val="003463F8"/>
    <w:rsid w:val="003464FA"/>
    <w:rsid w:val="00346E2C"/>
    <w:rsid w:val="00347003"/>
    <w:rsid w:val="003470CF"/>
    <w:rsid w:val="0034722D"/>
    <w:rsid w:val="00347295"/>
    <w:rsid w:val="00347451"/>
    <w:rsid w:val="00347510"/>
    <w:rsid w:val="003479F3"/>
    <w:rsid w:val="00347A59"/>
    <w:rsid w:val="00347A66"/>
    <w:rsid w:val="00347C38"/>
    <w:rsid w:val="00347C92"/>
    <w:rsid w:val="00347D31"/>
    <w:rsid w:val="003500C6"/>
    <w:rsid w:val="003500F2"/>
    <w:rsid w:val="0035010D"/>
    <w:rsid w:val="0035045A"/>
    <w:rsid w:val="003506DF"/>
    <w:rsid w:val="00350FB8"/>
    <w:rsid w:val="0035150D"/>
    <w:rsid w:val="003518D4"/>
    <w:rsid w:val="003519B2"/>
    <w:rsid w:val="00351C16"/>
    <w:rsid w:val="00351FF3"/>
    <w:rsid w:val="0035214F"/>
    <w:rsid w:val="003521D5"/>
    <w:rsid w:val="0035226B"/>
    <w:rsid w:val="0035236A"/>
    <w:rsid w:val="00352663"/>
    <w:rsid w:val="0035293E"/>
    <w:rsid w:val="00352ACC"/>
    <w:rsid w:val="00352B0E"/>
    <w:rsid w:val="00352B43"/>
    <w:rsid w:val="00352E3F"/>
    <w:rsid w:val="00353500"/>
    <w:rsid w:val="0035367B"/>
    <w:rsid w:val="0035386B"/>
    <w:rsid w:val="003539EA"/>
    <w:rsid w:val="003540D1"/>
    <w:rsid w:val="003543E0"/>
    <w:rsid w:val="00354499"/>
    <w:rsid w:val="003544B3"/>
    <w:rsid w:val="00354B75"/>
    <w:rsid w:val="00354E6D"/>
    <w:rsid w:val="00354F4B"/>
    <w:rsid w:val="00355178"/>
    <w:rsid w:val="003556B6"/>
    <w:rsid w:val="00355725"/>
    <w:rsid w:val="003558B0"/>
    <w:rsid w:val="00355E60"/>
    <w:rsid w:val="00355EC0"/>
    <w:rsid w:val="00355F57"/>
    <w:rsid w:val="00356204"/>
    <w:rsid w:val="003562FA"/>
    <w:rsid w:val="00356515"/>
    <w:rsid w:val="00356776"/>
    <w:rsid w:val="0035698C"/>
    <w:rsid w:val="00356A58"/>
    <w:rsid w:val="003571C8"/>
    <w:rsid w:val="0035750C"/>
    <w:rsid w:val="00357896"/>
    <w:rsid w:val="0035793B"/>
    <w:rsid w:val="00357A43"/>
    <w:rsid w:val="00357F78"/>
    <w:rsid w:val="003601B8"/>
    <w:rsid w:val="0036037A"/>
    <w:rsid w:val="003603BB"/>
    <w:rsid w:val="0036053D"/>
    <w:rsid w:val="00360555"/>
    <w:rsid w:val="0036056E"/>
    <w:rsid w:val="003606DD"/>
    <w:rsid w:val="003607F8"/>
    <w:rsid w:val="00360A06"/>
    <w:rsid w:val="00360DB1"/>
    <w:rsid w:val="0036104D"/>
    <w:rsid w:val="0036138B"/>
    <w:rsid w:val="003614D7"/>
    <w:rsid w:val="00361581"/>
    <w:rsid w:val="00361624"/>
    <w:rsid w:val="0036190B"/>
    <w:rsid w:val="00361969"/>
    <w:rsid w:val="003619F8"/>
    <w:rsid w:val="00361A6C"/>
    <w:rsid w:val="00361FD6"/>
    <w:rsid w:val="00361FDE"/>
    <w:rsid w:val="0036208C"/>
    <w:rsid w:val="0036228F"/>
    <w:rsid w:val="003623FF"/>
    <w:rsid w:val="00362494"/>
    <w:rsid w:val="00362735"/>
    <w:rsid w:val="003628AE"/>
    <w:rsid w:val="003629A5"/>
    <w:rsid w:val="00362BAD"/>
    <w:rsid w:val="00362F36"/>
    <w:rsid w:val="003630E7"/>
    <w:rsid w:val="00363306"/>
    <w:rsid w:val="00363325"/>
    <w:rsid w:val="00363774"/>
    <w:rsid w:val="00363AE5"/>
    <w:rsid w:val="00363B87"/>
    <w:rsid w:val="00363C43"/>
    <w:rsid w:val="00363D1F"/>
    <w:rsid w:val="00363DF2"/>
    <w:rsid w:val="00363ED2"/>
    <w:rsid w:val="0036424F"/>
    <w:rsid w:val="003643EC"/>
    <w:rsid w:val="00364A15"/>
    <w:rsid w:val="00364C44"/>
    <w:rsid w:val="00364CD3"/>
    <w:rsid w:val="00365941"/>
    <w:rsid w:val="00365ACD"/>
    <w:rsid w:val="00365CC0"/>
    <w:rsid w:val="003661F3"/>
    <w:rsid w:val="0036630A"/>
    <w:rsid w:val="00366CDD"/>
    <w:rsid w:val="003670ED"/>
    <w:rsid w:val="003672AC"/>
    <w:rsid w:val="00367866"/>
    <w:rsid w:val="00367DB6"/>
    <w:rsid w:val="00370115"/>
    <w:rsid w:val="00370740"/>
    <w:rsid w:val="0037149B"/>
    <w:rsid w:val="003716B4"/>
    <w:rsid w:val="003719BC"/>
    <w:rsid w:val="00371BB3"/>
    <w:rsid w:val="00371C4B"/>
    <w:rsid w:val="00371CD5"/>
    <w:rsid w:val="00371D5B"/>
    <w:rsid w:val="00371DC2"/>
    <w:rsid w:val="00371E52"/>
    <w:rsid w:val="00372011"/>
    <w:rsid w:val="003720D4"/>
    <w:rsid w:val="003724BB"/>
    <w:rsid w:val="00372562"/>
    <w:rsid w:val="00372815"/>
    <w:rsid w:val="00372954"/>
    <w:rsid w:val="00372CD9"/>
    <w:rsid w:val="00372E80"/>
    <w:rsid w:val="00372EDE"/>
    <w:rsid w:val="00373044"/>
    <w:rsid w:val="003734B4"/>
    <w:rsid w:val="00373589"/>
    <w:rsid w:val="00373621"/>
    <w:rsid w:val="0037371D"/>
    <w:rsid w:val="0037384D"/>
    <w:rsid w:val="00374038"/>
    <w:rsid w:val="003744E2"/>
    <w:rsid w:val="003745E7"/>
    <w:rsid w:val="00374B50"/>
    <w:rsid w:val="003750AF"/>
    <w:rsid w:val="003751C4"/>
    <w:rsid w:val="0037553D"/>
    <w:rsid w:val="0037559D"/>
    <w:rsid w:val="0037564E"/>
    <w:rsid w:val="003757CF"/>
    <w:rsid w:val="00375863"/>
    <w:rsid w:val="00375AC5"/>
    <w:rsid w:val="00375DC4"/>
    <w:rsid w:val="00375EFE"/>
    <w:rsid w:val="00375F59"/>
    <w:rsid w:val="00376309"/>
    <w:rsid w:val="00376365"/>
    <w:rsid w:val="003769C7"/>
    <w:rsid w:val="00376B40"/>
    <w:rsid w:val="00376C36"/>
    <w:rsid w:val="00376ED5"/>
    <w:rsid w:val="003772CB"/>
    <w:rsid w:val="0037742D"/>
    <w:rsid w:val="00377895"/>
    <w:rsid w:val="00377BEF"/>
    <w:rsid w:val="00377D5F"/>
    <w:rsid w:val="00380091"/>
    <w:rsid w:val="003800AB"/>
    <w:rsid w:val="003800E8"/>
    <w:rsid w:val="003801F8"/>
    <w:rsid w:val="003805FE"/>
    <w:rsid w:val="0038064A"/>
    <w:rsid w:val="00380B16"/>
    <w:rsid w:val="00380B96"/>
    <w:rsid w:val="00380E0C"/>
    <w:rsid w:val="00380E4F"/>
    <w:rsid w:val="00380F6C"/>
    <w:rsid w:val="00381103"/>
    <w:rsid w:val="003817C3"/>
    <w:rsid w:val="0038194E"/>
    <w:rsid w:val="00381BCC"/>
    <w:rsid w:val="00381CBB"/>
    <w:rsid w:val="00382399"/>
    <w:rsid w:val="00382448"/>
    <w:rsid w:val="00382549"/>
    <w:rsid w:val="00382605"/>
    <w:rsid w:val="00382AFA"/>
    <w:rsid w:val="00382B91"/>
    <w:rsid w:val="00383171"/>
    <w:rsid w:val="003831F4"/>
    <w:rsid w:val="0038388C"/>
    <w:rsid w:val="00383956"/>
    <w:rsid w:val="00383A2F"/>
    <w:rsid w:val="00383A4C"/>
    <w:rsid w:val="00383C77"/>
    <w:rsid w:val="00383EEF"/>
    <w:rsid w:val="0038400E"/>
    <w:rsid w:val="003848EF"/>
    <w:rsid w:val="00384A90"/>
    <w:rsid w:val="00384B68"/>
    <w:rsid w:val="00384B93"/>
    <w:rsid w:val="00384D6A"/>
    <w:rsid w:val="00384F4F"/>
    <w:rsid w:val="003855C2"/>
    <w:rsid w:val="00385B65"/>
    <w:rsid w:val="00385C2B"/>
    <w:rsid w:val="00385FD4"/>
    <w:rsid w:val="00386171"/>
    <w:rsid w:val="003861C8"/>
    <w:rsid w:val="00386448"/>
    <w:rsid w:val="00386459"/>
    <w:rsid w:val="003866DB"/>
    <w:rsid w:val="0038687D"/>
    <w:rsid w:val="0038694D"/>
    <w:rsid w:val="00386A58"/>
    <w:rsid w:val="00386A5D"/>
    <w:rsid w:val="00386B7E"/>
    <w:rsid w:val="00386B8C"/>
    <w:rsid w:val="00386CD0"/>
    <w:rsid w:val="0038733E"/>
    <w:rsid w:val="00387351"/>
    <w:rsid w:val="003874B7"/>
    <w:rsid w:val="0038752F"/>
    <w:rsid w:val="00387B67"/>
    <w:rsid w:val="00387C6F"/>
    <w:rsid w:val="00387C98"/>
    <w:rsid w:val="00387E87"/>
    <w:rsid w:val="00390441"/>
    <w:rsid w:val="0039049B"/>
    <w:rsid w:val="003905D0"/>
    <w:rsid w:val="003905E4"/>
    <w:rsid w:val="0039083F"/>
    <w:rsid w:val="00390A19"/>
    <w:rsid w:val="00390B42"/>
    <w:rsid w:val="00390C70"/>
    <w:rsid w:val="00390C94"/>
    <w:rsid w:val="0039100C"/>
    <w:rsid w:val="0039102C"/>
    <w:rsid w:val="00391075"/>
    <w:rsid w:val="00391288"/>
    <w:rsid w:val="00391305"/>
    <w:rsid w:val="003914C5"/>
    <w:rsid w:val="0039190F"/>
    <w:rsid w:val="00391929"/>
    <w:rsid w:val="003919B3"/>
    <w:rsid w:val="00391A1D"/>
    <w:rsid w:val="00391AF6"/>
    <w:rsid w:val="00391C53"/>
    <w:rsid w:val="00391CDA"/>
    <w:rsid w:val="00391E5F"/>
    <w:rsid w:val="00391F16"/>
    <w:rsid w:val="00392517"/>
    <w:rsid w:val="00392D42"/>
    <w:rsid w:val="00392F41"/>
    <w:rsid w:val="00393681"/>
    <w:rsid w:val="003936C8"/>
    <w:rsid w:val="0039379A"/>
    <w:rsid w:val="00393981"/>
    <w:rsid w:val="00393A34"/>
    <w:rsid w:val="00393BA1"/>
    <w:rsid w:val="00393C80"/>
    <w:rsid w:val="00393D34"/>
    <w:rsid w:val="00393FBE"/>
    <w:rsid w:val="003940DD"/>
    <w:rsid w:val="0039418D"/>
    <w:rsid w:val="00394A6C"/>
    <w:rsid w:val="00394DFA"/>
    <w:rsid w:val="0039504E"/>
    <w:rsid w:val="00395213"/>
    <w:rsid w:val="00395555"/>
    <w:rsid w:val="0039566F"/>
    <w:rsid w:val="00395714"/>
    <w:rsid w:val="003958BA"/>
    <w:rsid w:val="00395935"/>
    <w:rsid w:val="00395BE9"/>
    <w:rsid w:val="00395FC7"/>
    <w:rsid w:val="00396130"/>
    <w:rsid w:val="00396250"/>
    <w:rsid w:val="0039660A"/>
    <w:rsid w:val="0039676B"/>
    <w:rsid w:val="0039698E"/>
    <w:rsid w:val="00396A5D"/>
    <w:rsid w:val="00396C4C"/>
    <w:rsid w:val="00397050"/>
    <w:rsid w:val="0039709B"/>
    <w:rsid w:val="003974B3"/>
    <w:rsid w:val="00397855"/>
    <w:rsid w:val="00397A61"/>
    <w:rsid w:val="00397CAE"/>
    <w:rsid w:val="00397CB8"/>
    <w:rsid w:val="003A0059"/>
    <w:rsid w:val="003A0190"/>
    <w:rsid w:val="003A01C9"/>
    <w:rsid w:val="003A01D4"/>
    <w:rsid w:val="003A0595"/>
    <w:rsid w:val="003A064A"/>
    <w:rsid w:val="003A085E"/>
    <w:rsid w:val="003A087A"/>
    <w:rsid w:val="003A0A68"/>
    <w:rsid w:val="003A0F5D"/>
    <w:rsid w:val="003A1177"/>
    <w:rsid w:val="003A1230"/>
    <w:rsid w:val="003A12CE"/>
    <w:rsid w:val="003A1569"/>
    <w:rsid w:val="003A1813"/>
    <w:rsid w:val="003A1B92"/>
    <w:rsid w:val="003A1D62"/>
    <w:rsid w:val="003A1FA3"/>
    <w:rsid w:val="003A2019"/>
    <w:rsid w:val="003A2A24"/>
    <w:rsid w:val="003A2A86"/>
    <w:rsid w:val="003A2D3F"/>
    <w:rsid w:val="003A2D88"/>
    <w:rsid w:val="003A3210"/>
    <w:rsid w:val="003A3923"/>
    <w:rsid w:val="003A39AD"/>
    <w:rsid w:val="003A3B2B"/>
    <w:rsid w:val="003A3C0F"/>
    <w:rsid w:val="003A3CDA"/>
    <w:rsid w:val="003A3E57"/>
    <w:rsid w:val="003A4413"/>
    <w:rsid w:val="003A45F9"/>
    <w:rsid w:val="003A4B46"/>
    <w:rsid w:val="003A4B85"/>
    <w:rsid w:val="003A4BAF"/>
    <w:rsid w:val="003A4C9E"/>
    <w:rsid w:val="003A4E72"/>
    <w:rsid w:val="003A4EBC"/>
    <w:rsid w:val="003A50C0"/>
    <w:rsid w:val="003A526A"/>
    <w:rsid w:val="003A565B"/>
    <w:rsid w:val="003A58A6"/>
    <w:rsid w:val="003A5A19"/>
    <w:rsid w:val="003A5DB2"/>
    <w:rsid w:val="003A608D"/>
    <w:rsid w:val="003A6884"/>
    <w:rsid w:val="003A6944"/>
    <w:rsid w:val="003A6973"/>
    <w:rsid w:val="003A6A5B"/>
    <w:rsid w:val="003A6A74"/>
    <w:rsid w:val="003A6C54"/>
    <w:rsid w:val="003A7601"/>
    <w:rsid w:val="003A775A"/>
    <w:rsid w:val="003A7875"/>
    <w:rsid w:val="003A7A4F"/>
    <w:rsid w:val="003A7BDA"/>
    <w:rsid w:val="003A7C6A"/>
    <w:rsid w:val="003A7CD1"/>
    <w:rsid w:val="003A7E73"/>
    <w:rsid w:val="003A7FC0"/>
    <w:rsid w:val="003B00D5"/>
    <w:rsid w:val="003B0173"/>
    <w:rsid w:val="003B043C"/>
    <w:rsid w:val="003B0B64"/>
    <w:rsid w:val="003B0CE7"/>
    <w:rsid w:val="003B0EA7"/>
    <w:rsid w:val="003B113D"/>
    <w:rsid w:val="003B14E2"/>
    <w:rsid w:val="003B1AB9"/>
    <w:rsid w:val="003B2225"/>
    <w:rsid w:val="003B27DE"/>
    <w:rsid w:val="003B290F"/>
    <w:rsid w:val="003B2953"/>
    <w:rsid w:val="003B2AD5"/>
    <w:rsid w:val="003B2D07"/>
    <w:rsid w:val="003B2D72"/>
    <w:rsid w:val="003B31D5"/>
    <w:rsid w:val="003B334E"/>
    <w:rsid w:val="003B351F"/>
    <w:rsid w:val="003B3AE1"/>
    <w:rsid w:val="003B3B75"/>
    <w:rsid w:val="003B3BCC"/>
    <w:rsid w:val="003B461A"/>
    <w:rsid w:val="003B4FCE"/>
    <w:rsid w:val="003B502E"/>
    <w:rsid w:val="003B526E"/>
    <w:rsid w:val="003B529E"/>
    <w:rsid w:val="003B597E"/>
    <w:rsid w:val="003B5CDC"/>
    <w:rsid w:val="003B5EA7"/>
    <w:rsid w:val="003B62A0"/>
    <w:rsid w:val="003B63AB"/>
    <w:rsid w:val="003B6542"/>
    <w:rsid w:val="003B65EA"/>
    <w:rsid w:val="003B694A"/>
    <w:rsid w:val="003B69D4"/>
    <w:rsid w:val="003B69FE"/>
    <w:rsid w:val="003B6A2B"/>
    <w:rsid w:val="003B6DC9"/>
    <w:rsid w:val="003B73CE"/>
    <w:rsid w:val="003B7512"/>
    <w:rsid w:val="003B756C"/>
    <w:rsid w:val="003B76F5"/>
    <w:rsid w:val="003B7835"/>
    <w:rsid w:val="003B7849"/>
    <w:rsid w:val="003B79EF"/>
    <w:rsid w:val="003B7B80"/>
    <w:rsid w:val="003B7F1F"/>
    <w:rsid w:val="003B7F2F"/>
    <w:rsid w:val="003C0309"/>
    <w:rsid w:val="003C054E"/>
    <w:rsid w:val="003C078D"/>
    <w:rsid w:val="003C07E2"/>
    <w:rsid w:val="003C0AC5"/>
    <w:rsid w:val="003C0FF6"/>
    <w:rsid w:val="003C1053"/>
    <w:rsid w:val="003C1172"/>
    <w:rsid w:val="003C167D"/>
    <w:rsid w:val="003C1817"/>
    <w:rsid w:val="003C18B7"/>
    <w:rsid w:val="003C18D7"/>
    <w:rsid w:val="003C1A1A"/>
    <w:rsid w:val="003C1A2E"/>
    <w:rsid w:val="003C25DE"/>
    <w:rsid w:val="003C2684"/>
    <w:rsid w:val="003C2733"/>
    <w:rsid w:val="003C2E7A"/>
    <w:rsid w:val="003C2F60"/>
    <w:rsid w:val="003C316A"/>
    <w:rsid w:val="003C387E"/>
    <w:rsid w:val="003C3A65"/>
    <w:rsid w:val="003C3A80"/>
    <w:rsid w:val="003C3BA0"/>
    <w:rsid w:val="003C40C2"/>
    <w:rsid w:val="003C4B75"/>
    <w:rsid w:val="003C4DEA"/>
    <w:rsid w:val="003C4EC6"/>
    <w:rsid w:val="003C52EE"/>
    <w:rsid w:val="003C583A"/>
    <w:rsid w:val="003C5A17"/>
    <w:rsid w:val="003C5F0F"/>
    <w:rsid w:val="003C642A"/>
    <w:rsid w:val="003C64A8"/>
    <w:rsid w:val="003C6512"/>
    <w:rsid w:val="003C67ED"/>
    <w:rsid w:val="003C6961"/>
    <w:rsid w:val="003C6C45"/>
    <w:rsid w:val="003C72B3"/>
    <w:rsid w:val="003C7344"/>
    <w:rsid w:val="003C7734"/>
    <w:rsid w:val="003C7F68"/>
    <w:rsid w:val="003D013E"/>
    <w:rsid w:val="003D019B"/>
    <w:rsid w:val="003D02F8"/>
    <w:rsid w:val="003D03E3"/>
    <w:rsid w:val="003D0430"/>
    <w:rsid w:val="003D058E"/>
    <w:rsid w:val="003D078A"/>
    <w:rsid w:val="003D0902"/>
    <w:rsid w:val="003D09AD"/>
    <w:rsid w:val="003D1208"/>
    <w:rsid w:val="003D1239"/>
    <w:rsid w:val="003D1555"/>
    <w:rsid w:val="003D1845"/>
    <w:rsid w:val="003D1D3E"/>
    <w:rsid w:val="003D1D9F"/>
    <w:rsid w:val="003D21A3"/>
    <w:rsid w:val="003D22D7"/>
    <w:rsid w:val="003D290D"/>
    <w:rsid w:val="003D2C1E"/>
    <w:rsid w:val="003D2D28"/>
    <w:rsid w:val="003D2FBB"/>
    <w:rsid w:val="003D31BB"/>
    <w:rsid w:val="003D327F"/>
    <w:rsid w:val="003D3449"/>
    <w:rsid w:val="003D34B4"/>
    <w:rsid w:val="003D36CE"/>
    <w:rsid w:val="003D3728"/>
    <w:rsid w:val="003D377B"/>
    <w:rsid w:val="003D3DC8"/>
    <w:rsid w:val="003D3E7A"/>
    <w:rsid w:val="003D4112"/>
    <w:rsid w:val="003D42C3"/>
    <w:rsid w:val="003D4896"/>
    <w:rsid w:val="003D4999"/>
    <w:rsid w:val="003D4B14"/>
    <w:rsid w:val="003D514F"/>
    <w:rsid w:val="003D53F4"/>
    <w:rsid w:val="003D54D2"/>
    <w:rsid w:val="003D574B"/>
    <w:rsid w:val="003D5B1B"/>
    <w:rsid w:val="003D5BAA"/>
    <w:rsid w:val="003D5C0F"/>
    <w:rsid w:val="003D60D4"/>
    <w:rsid w:val="003D611C"/>
    <w:rsid w:val="003D69A3"/>
    <w:rsid w:val="003D6B79"/>
    <w:rsid w:val="003D6D24"/>
    <w:rsid w:val="003D7063"/>
    <w:rsid w:val="003D724E"/>
    <w:rsid w:val="003D75BB"/>
    <w:rsid w:val="003D777C"/>
    <w:rsid w:val="003D79A3"/>
    <w:rsid w:val="003D7BDF"/>
    <w:rsid w:val="003D7C44"/>
    <w:rsid w:val="003D7C4D"/>
    <w:rsid w:val="003E075F"/>
    <w:rsid w:val="003E09FE"/>
    <w:rsid w:val="003E0B02"/>
    <w:rsid w:val="003E0DB5"/>
    <w:rsid w:val="003E0F43"/>
    <w:rsid w:val="003E0FD8"/>
    <w:rsid w:val="003E1002"/>
    <w:rsid w:val="003E117F"/>
    <w:rsid w:val="003E11B6"/>
    <w:rsid w:val="003E1376"/>
    <w:rsid w:val="003E151D"/>
    <w:rsid w:val="003E1A68"/>
    <w:rsid w:val="003E1BCA"/>
    <w:rsid w:val="003E2052"/>
    <w:rsid w:val="003E214D"/>
    <w:rsid w:val="003E21B6"/>
    <w:rsid w:val="003E2332"/>
    <w:rsid w:val="003E2496"/>
    <w:rsid w:val="003E2599"/>
    <w:rsid w:val="003E25E1"/>
    <w:rsid w:val="003E2957"/>
    <w:rsid w:val="003E2BC8"/>
    <w:rsid w:val="003E2C79"/>
    <w:rsid w:val="003E2D85"/>
    <w:rsid w:val="003E2F2F"/>
    <w:rsid w:val="003E300B"/>
    <w:rsid w:val="003E32DB"/>
    <w:rsid w:val="003E350A"/>
    <w:rsid w:val="003E359A"/>
    <w:rsid w:val="003E3B3F"/>
    <w:rsid w:val="003E3BD3"/>
    <w:rsid w:val="003E409D"/>
    <w:rsid w:val="003E41E4"/>
    <w:rsid w:val="003E4314"/>
    <w:rsid w:val="003E4ADB"/>
    <w:rsid w:val="003E4B37"/>
    <w:rsid w:val="003E543A"/>
    <w:rsid w:val="003E57DC"/>
    <w:rsid w:val="003E580A"/>
    <w:rsid w:val="003E5939"/>
    <w:rsid w:val="003E5980"/>
    <w:rsid w:val="003E5F44"/>
    <w:rsid w:val="003E5F64"/>
    <w:rsid w:val="003E6145"/>
    <w:rsid w:val="003E695B"/>
    <w:rsid w:val="003E6B36"/>
    <w:rsid w:val="003E6B8B"/>
    <w:rsid w:val="003E6C4D"/>
    <w:rsid w:val="003E6C72"/>
    <w:rsid w:val="003E6D2D"/>
    <w:rsid w:val="003E6EFD"/>
    <w:rsid w:val="003E717F"/>
    <w:rsid w:val="003E74C3"/>
    <w:rsid w:val="003E7887"/>
    <w:rsid w:val="003E78C2"/>
    <w:rsid w:val="003E793D"/>
    <w:rsid w:val="003E7986"/>
    <w:rsid w:val="003E7C45"/>
    <w:rsid w:val="003F017E"/>
    <w:rsid w:val="003F04F7"/>
    <w:rsid w:val="003F08F0"/>
    <w:rsid w:val="003F114A"/>
    <w:rsid w:val="003F130F"/>
    <w:rsid w:val="003F13F8"/>
    <w:rsid w:val="003F17BC"/>
    <w:rsid w:val="003F1A1E"/>
    <w:rsid w:val="003F2111"/>
    <w:rsid w:val="003F22A5"/>
    <w:rsid w:val="003F2663"/>
    <w:rsid w:val="003F26A5"/>
    <w:rsid w:val="003F27F2"/>
    <w:rsid w:val="003F2A6B"/>
    <w:rsid w:val="003F3183"/>
    <w:rsid w:val="003F38C7"/>
    <w:rsid w:val="003F395F"/>
    <w:rsid w:val="003F3970"/>
    <w:rsid w:val="003F3D9E"/>
    <w:rsid w:val="003F3E59"/>
    <w:rsid w:val="003F42C9"/>
    <w:rsid w:val="003F43D8"/>
    <w:rsid w:val="003F4412"/>
    <w:rsid w:val="003F454E"/>
    <w:rsid w:val="003F45B9"/>
    <w:rsid w:val="003F4861"/>
    <w:rsid w:val="003F4A8A"/>
    <w:rsid w:val="003F4FEC"/>
    <w:rsid w:val="003F5102"/>
    <w:rsid w:val="003F5881"/>
    <w:rsid w:val="003F5A92"/>
    <w:rsid w:val="003F5B9A"/>
    <w:rsid w:val="003F5E1C"/>
    <w:rsid w:val="003F6095"/>
    <w:rsid w:val="003F6101"/>
    <w:rsid w:val="003F61AD"/>
    <w:rsid w:val="003F62A2"/>
    <w:rsid w:val="003F630C"/>
    <w:rsid w:val="003F63B9"/>
    <w:rsid w:val="003F6447"/>
    <w:rsid w:val="003F6705"/>
    <w:rsid w:val="003F6890"/>
    <w:rsid w:val="003F7144"/>
    <w:rsid w:val="003F71A8"/>
    <w:rsid w:val="003F7445"/>
    <w:rsid w:val="003F7607"/>
    <w:rsid w:val="003F76B6"/>
    <w:rsid w:val="003F773E"/>
    <w:rsid w:val="003F7A64"/>
    <w:rsid w:val="003F7B1F"/>
    <w:rsid w:val="003F7B94"/>
    <w:rsid w:val="003F7C03"/>
    <w:rsid w:val="003F7CDF"/>
    <w:rsid w:val="003F7E70"/>
    <w:rsid w:val="003F7E71"/>
    <w:rsid w:val="0040001E"/>
    <w:rsid w:val="004002A0"/>
    <w:rsid w:val="004002FC"/>
    <w:rsid w:val="00400351"/>
    <w:rsid w:val="004004BB"/>
    <w:rsid w:val="00400610"/>
    <w:rsid w:val="0040064E"/>
    <w:rsid w:val="004007B8"/>
    <w:rsid w:val="00400D54"/>
    <w:rsid w:val="00400DF4"/>
    <w:rsid w:val="00401346"/>
    <w:rsid w:val="004013DF"/>
    <w:rsid w:val="004016CB"/>
    <w:rsid w:val="00401970"/>
    <w:rsid w:val="00401981"/>
    <w:rsid w:val="00401B0E"/>
    <w:rsid w:val="00401F17"/>
    <w:rsid w:val="00402264"/>
    <w:rsid w:val="0040256F"/>
    <w:rsid w:val="00402AB0"/>
    <w:rsid w:val="00402B23"/>
    <w:rsid w:val="00403058"/>
    <w:rsid w:val="0040384B"/>
    <w:rsid w:val="00403AFD"/>
    <w:rsid w:val="00403C5C"/>
    <w:rsid w:val="004040B3"/>
    <w:rsid w:val="004040B5"/>
    <w:rsid w:val="0040419D"/>
    <w:rsid w:val="00404672"/>
    <w:rsid w:val="00404A04"/>
    <w:rsid w:val="00404C65"/>
    <w:rsid w:val="00404D97"/>
    <w:rsid w:val="00405096"/>
    <w:rsid w:val="00405120"/>
    <w:rsid w:val="00405338"/>
    <w:rsid w:val="0040556A"/>
    <w:rsid w:val="00405A0C"/>
    <w:rsid w:val="00405C7C"/>
    <w:rsid w:val="00405E57"/>
    <w:rsid w:val="00405E8B"/>
    <w:rsid w:val="00405EEA"/>
    <w:rsid w:val="0040618C"/>
    <w:rsid w:val="00406297"/>
    <w:rsid w:val="0040654F"/>
    <w:rsid w:val="00406692"/>
    <w:rsid w:val="004067E3"/>
    <w:rsid w:val="004069AA"/>
    <w:rsid w:val="00406B50"/>
    <w:rsid w:val="00406DA5"/>
    <w:rsid w:val="00406F13"/>
    <w:rsid w:val="0040753C"/>
    <w:rsid w:val="004077E2"/>
    <w:rsid w:val="004077E9"/>
    <w:rsid w:val="00407C0B"/>
    <w:rsid w:val="00407E53"/>
    <w:rsid w:val="004102C3"/>
    <w:rsid w:val="004106E8"/>
    <w:rsid w:val="00410B6C"/>
    <w:rsid w:val="00410C72"/>
    <w:rsid w:val="00410C82"/>
    <w:rsid w:val="00410C8B"/>
    <w:rsid w:val="00410CFA"/>
    <w:rsid w:val="004116B9"/>
    <w:rsid w:val="004117EA"/>
    <w:rsid w:val="004118EA"/>
    <w:rsid w:val="00411B4E"/>
    <w:rsid w:val="00412126"/>
    <w:rsid w:val="004122BD"/>
    <w:rsid w:val="00412409"/>
    <w:rsid w:val="00412612"/>
    <w:rsid w:val="0041269A"/>
    <w:rsid w:val="00412992"/>
    <w:rsid w:val="00412C9C"/>
    <w:rsid w:val="00412D38"/>
    <w:rsid w:val="0041332B"/>
    <w:rsid w:val="004137DB"/>
    <w:rsid w:val="004139B1"/>
    <w:rsid w:val="00413D50"/>
    <w:rsid w:val="00413FD4"/>
    <w:rsid w:val="00414390"/>
    <w:rsid w:val="00414666"/>
    <w:rsid w:val="00414926"/>
    <w:rsid w:val="004149E2"/>
    <w:rsid w:val="00414D0F"/>
    <w:rsid w:val="00414D59"/>
    <w:rsid w:val="00414ED6"/>
    <w:rsid w:val="004154CF"/>
    <w:rsid w:val="00415D22"/>
    <w:rsid w:val="00415E6C"/>
    <w:rsid w:val="00416700"/>
    <w:rsid w:val="00416781"/>
    <w:rsid w:val="004168FD"/>
    <w:rsid w:val="00416933"/>
    <w:rsid w:val="004169DF"/>
    <w:rsid w:val="00416B10"/>
    <w:rsid w:val="00416C74"/>
    <w:rsid w:val="00416E67"/>
    <w:rsid w:val="00416E9A"/>
    <w:rsid w:val="0041707B"/>
    <w:rsid w:val="004170A3"/>
    <w:rsid w:val="00417824"/>
    <w:rsid w:val="004179B9"/>
    <w:rsid w:val="00417AF8"/>
    <w:rsid w:val="00417C2E"/>
    <w:rsid w:val="0042015D"/>
    <w:rsid w:val="004201F1"/>
    <w:rsid w:val="004204F8"/>
    <w:rsid w:val="00420987"/>
    <w:rsid w:val="00420D14"/>
    <w:rsid w:val="00420E59"/>
    <w:rsid w:val="0042162E"/>
    <w:rsid w:val="00421635"/>
    <w:rsid w:val="00421879"/>
    <w:rsid w:val="0042207F"/>
    <w:rsid w:val="00422092"/>
    <w:rsid w:val="004221EB"/>
    <w:rsid w:val="00422569"/>
    <w:rsid w:val="00422748"/>
    <w:rsid w:val="00422959"/>
    <w:rsid w:val="00422A1E"/>
    <w:rsid w:val="00422F18"/>
    <w:rsid w:val="00422F7D"/>
    <w:rsid w:val="00423050"/>
    <w:rsid w:val="004233BB"/>
    <w:rsid w:val="00423444"/>
    <w:rsid w:val="00423698"/>
    <w:rsid w:val="004239CE"/>
    <w:rsid w:val="00423E74"/>
    <w:rsid w:val="00423E92"/>
    <w:rsid w:val="00423ED0"/>
    <w:rsid w:val="0042403B"/>
    <w:rsid w:val="004240F6"/>
    <w:rsid w:val="00424182"/>
    <w:rsid w:val="004242FE"/>
    <w:rsid w:val="0042439E"/>
    <w:rsid w:val="004244ED"/>
    <w:rsid w:val="0042461C"/>
    <w:rsid w:val="00424BAC"/>
    <w:rsid w:val="00424C0A"/>
    <w:rsid w:val="00424CB5"/>
    <w:rsid w:val="00424FE0"/>
    <w:rsid w:val="004253F2"/>
    <w:rsid w:val="004254F8"/>
    <w:rsid w:val="00425583"/>
    <w:rsid w:val="00425854"/>
    <w:rsid w:val="00425E0E"/>
    <w:rsid w:val="00425E1D"/>
    <w:rsid w:val="00426185"/>
    <w:rsid w:val="004264E0"/>
    <w:rsid w:val="004265BC"/>
    <w:rsid w:val="00426620"/>
    <w:rsid w:val="004266BA"/>
    <w:rsid w:val="004269AD"/>
    <w:rsid w:val="00426BA3"/>
    <w:rsid w:val="00426D74"/>
    <w:rsid w:val="00426D7A"/>
    <w:rsid w:val="00426DB4"/>
    <w:rsid w:val="004271C7"/>
    <w:rsid w:val="004271DC"/>
    <w:rsid w:val="0042737F"/>
    <w:rsid w:val="004275F9"/>
    <w:rsid w:val="004276AE"/>
    <w:rsid w:val="00427707"/>
    <w:rsid w:val="004277B4"/>
    <w:rsid w:val="00427F7A"/>
    <w:rsid w:val="0042B355"/>
    <w:rsid w:val="00430363"/>
    <w:rsid w:val="004306CB"/>
    <w:rsid w:val="00430724"/>
    <w:rsid w:val="004307A7"/>
    <w:rsid w:val="00430889"/>
    <w:rsid w:val="00430A40"/>
    <w:rsid w:val="00430E19"/>
    <w:rsid w:val="0043134A"/>
    <w:rsid w:val="004313C7"/>
    <w:rsid w:val="00431755"/>
    <w:rsid w:val="004318A6"/>
    <w:rsid w:val="004319CC"/>
    <w:rsid w:val="00431BE2"/>
    <w:rsid w:val="00431C64"/>
    <w:rsid w:val="004326CD"/>
    <w:rsid w:val="00432E78"/>
    <w:rsid w:val="00432F0C"/>
    <w:rsid w:val="00432F8F"/>
    <w:rsid w:val="00432FDF"/>
    <w:rsid w:val="00433688"/>
    <w:rsid w:val="00433946"/>
    <w:rsid w:val="004343BE"/>
    <w:rsid w:val="00434483"/>
    <w:rsid w:val="0043472E"/>
    <w:rsid w:val="00434913"/>
    <w:rsid w:val="004349B3"/>
    <w:rsid w:val="00434B48"/>
    <w:rsid w:val="00434E86"/>
    <w:rsid w:val="00435223"/>
    <w:rsid w:val="004352FD"/>
    <w:rsid w:val="00435358"/>
    <w:rsid w:val="00435806"/>
    <w:rsid w:val="00435810"/>
    <w:rsid w:val="0043616E"/>
    <w:rsid w:val="0043635A"/>
    <w:rsid w:val="004364EE"/>
    <w:rsid w:val="004366AE"/>
    <w:rsid w:val="0043678F"/>
    <w:rsid w:val="0043693E"/>
    <w:rsid w:val="00436A4C"/>
    <w:rsid w:val="00436DC7"/>
    <w:rsid w:val="00437074"/>
    <w:rsid w:val="00437180"/>
    <w:rsid w:val="00437181"/>
    <w:rsid w:val="00437185"/>
    <w:rsid w:val="00437574"/>
    <w:rsid w:val="004377DB"/>
    <w:rsid w:val="0043781C"/>
    <w:rsid w:val="00437C86"/>
    <w:rsid w:val="00437E34"/>
    <w:rsid w:val="00437FA7"/>
    <w:rsid w:val="0044034B"/>
    <w:rsid w:val="004403CD"/>
    <w:rsid w:val="00440471"/>
    <w:rsid w:val="00440473"/>
    <w:rsid w:val="00440793"/>
    <w:rsid w:val="004409A8"/>
    <w:rsid w:val="00440EB4"/>
    <w:rsid w:val="00441270"/>
    <w:rsid w:val="00441671"/>
    <w:rsid w:val="00441A81"/>
    <w:rsid w:val="00441B30"/>
    <w:rsid w:val="00441D17"/>
    <w:rsid w:val="00441ED6"/>
    <w:rsid w:val="004421D8"/>
    <w:rsid w:val="0044255B"/>
    <w:rsid w:val="004425FE"/>
    <w:rsid w:val="004429B2"/>
    <w:rsid w:val="00443016"/>
    <w:rsid w:val="004430D7"/>
    <w:rsid w:val="0044319B"/>
    <w:rsid w:val="004432B2"/>
    <w:rsid w:val="0044371A"/>
    <w:rsid w:val="00443DAA"/>
    <w:rsid w:val="00443E57"/>
    <w:rsid w:val="00444144"/>
    <w:rsid w:val="00444579"/>
    <w:rsid w:val="00444876"/>
    <w:rsid w:val="00444C3D"/>
    <w:rsid w:val="00444D35"/>
    <w:rsid w:val="00444F9A"/>
    <w:rsid w:val="004450CF"/>
    <w:rsid w:val="004452A8"/>
    <w:rsid w:val="0044545D"/>
    <w:rsid w:val="0044549B"/>
    <w:rsid w:val="00445640"/>
    <w:rsid w:val="004458F9"/>
    <w:rsid w:val="004459A9"/>
    <w:rsid w:val="00445FB7"/>
    <w:rsid w:val="00445FE2"/>
    <w:rsid w:val="0044604E"/>
    <w:rsid w:val="004461BE"/>
    <w:rsid w:val="0044634F"/>
    <w:rsid w:val="00446443"/>
    <w:rsid w:val="00446F27"/>
    <w:rsid w:val="00447348"/>
    <w:rsid w:val="0044735D"/>
    <w:rsid w:val="004473D3"/>
    <w:rsid w:val="00447799"/>
    <w:rsid w:val="00447BB4"/>
    <w:rsid w:val="00447C33"/>
    <w:rsid w:val="00447CF2"/>
    <w:rsid w:val="00447F12"/>
    <w:rsid w:val="00450185"/>
    <w:rsid w:val="00450531"/>
    <w:rsid w:val="0045054F"/>
    <w:rsid w:val="00450624"/>
    <w:rsid w:val="00450739"/>
    <w:rsid w:val="00450751"/>
    <w:rsid w:val="00450830"/>
    <w:rsid w:val="0045096A"/>
    <w:rsid w:val="00450ABE"/>
    <w:rsid w:val="00450FD6"/>
    <w:rsid w:val="004510C0"/>
    <w:rsid w:val="00451159"/>
    <w:rsid w:val="004511B6"/>
    <w:rsid w:val="00451594"/>
    <w:rsid w:val="00451BB9"/>
    <w:rsid w:val="0045267A"/>
    <w:rsid w:val="004530A2"/>
    <w:rsid w:val="004537AD"/>
    <w:rsid w:val="00453E81"/>
    <w:rsid w:val="004541C3"/>
    <w:rsid w:val="00454299"/>
    <w:rsid w:val="004543D1"/>
    <w:rsid w:val="00454696"/>
    <w:rsid w:val="004546FC"/>
    <w:rsid w:val="00454B37"/>
    <w:rsid w:val="00454C85"/>
    <w:rsid w:val="00455082"/>
    <w:rsid w:val="004551B4"/>
    <w:rsid w:val="0045548B"/>
    <w:rsid w:val="00455723"/>
    <w:rsid w:val="0045586C"/>
    <w:rsid w:val="00455933"/>
    <w:rsid w:val="00455BE6"/>
    <w:rsid w:val="00456A04"/>
    <w:rsid w:val="00456B45"/>
    <w:rsid w:val="00456B97"/>
    <w:rsid w:val="00456EBB"/>
    <w:rsid w:val="00456F9D"/>
    <w:rsid w:val="00457681"/>
    <w:rsid w:val="00457C16"/>
    <w:rsid w:val="00457C3F"/>
    <w:rsid w:val="00457CF2"/>
    <w:rsid w:val="00457E75"/>
    <w:rsid w:val="00460219"/>
    <w:rsid w:val="00460549"/>
    <w:rsid w:val="004607B1"/>
    <w:rsid w:val="0046099C"/>
    <w:rsid w:val="00460AA0"/>
    <w:rsid w:val="004612A0"/>
    <w:rsid w:val="0046153B"/>
    <w:rsid w:val="004616FF"/>
    <w:rsid w:val="00461732"/>
    <w:rsid w:val="00461A27"/>
    <w:rsid w:val="00461C25"/>
    <w:rsid w:val="00461C9A"/>
    <w:rsid w:val="004622B1"/>
    <w:rsid w:val="0046242F"/>
    <w:rsid w:val="0046251A"/>
    <w:rsid w:val="00462623"/>
    <w:rsid w:val="00462985"/>
    <w:rsid w:val="00462DD9"/>
    <w:rsid w:val="00462DF5"/>
    <w:rsid w:val="00462E1E"/>
    <w:rsid w:val="00463C29"/>
    <w:rsid w:val="00463CF2"/>
    <w:rsid w:val="00463ED6"/>
    <w:rsid w:val="004645A2"/>
    <w:rsid w:val="0046492C"/>
    <w:rsid w:val="004649D6"/>
    <w:rsid w:val="00464A95"/>
    <w:rsid w:val="00464B9F"/>
    <w:rsid w:val="00464DC4"/>
    <w:rsid w:val="00465009"/>
    <w:rsid w:val="00465066"/>
    <w:rsid w:val="00465388"/>
    <w:rsid w:val="00465474"/>
    <w:rsid w:val="00465557"/>
    <w:rsid w:val="00465C93"/>
    <w:rsid w:val="00465FB3"/>
    <w:rsid w:val="004661C1"/>
    <w:rsid w:val="004662BB"/>
    <w:rsid w:val="004665AC"/>
    <w:rsid w:val="00466A25"/>
    <w:rsid w:val="00466A28"/>
    <w:rsid w:val="004670AB"/>
    <w:rsid w:val="004670B8"/>
    <w:rsid w:val="00467198"/>
    <w:rsid w:val="00467284"/>
    <w:rsid w:val="00467296"/>
    <w:rsid w:val="004673B2"/>
    <w:rsid w:val="004673E9"/>
    <w:rsid w:val="00467A4F"/>
    <w:rsid w:val="00467A89"/>
    <w:rsid w:val="00467AAA"/>
    <w:rsid w:val="00467AAB"/>
    <w:rsid w:val="00467D5C"/>
    <w:rsid w:val="004703BC"/>
    <w:rsid w:val="00470560"/>
    <w:rsid w:val="0047057E"/>
    <w:rsid w:val="0047080C"/>
    <w:rsid w:val="00470B0F"/>
    <w:rsid w:val="00470D75"/>
    <w:rsid w:val="00470F5A"/>
    <w:rsid w:val="00470F86"/>
    <w:rsid w:val="004717FB"/>
    <w:rsid w:val="004718B9"/>
    <w:rsid w:val="004718D0"/>
    <w:rsid w:val="00471911"/>
    <w:rsid w:val="00471C26"/>
    <w:rsid w:val="00471F85"/>
    <w:rsid w:val="00471FC5"/>
    <w:rsid w:val="00472181"/>
    <w:rsid w:val="0047224B"/>
    <w:rsid w:val="004722B5"/>
    <w:rsid w:val="0047234D"/>
    <w:rsid w:val="004724A8"/>
    <w:rsid w:val="00472621"/>
    <w:rsid w:val="004727D8"/>
    <w:rsid w:val="00472CAC"/>
    <w:rsid w:val="00472DEC"/>
    <w:rsid w:val="0047326B"/>
    <w:rsid w:val="00473902"/>
    <w:rsid w:val="00473B48"/>
    <w:rsid w:val="00473BEA"/>
    <w:rsid w:val="00473DA3"/>
    <w:rsid w:val="00473DF4"/>
    <w:rsid w:val="004740F7"/>
    <w:rsid w:val="00474497"/>
    <w:rsid w:val="004744EA"/>
    <w:rsid w:val="00474714"/>
    <w:rsid w:val="00474794"/>
    <w:rsid w:val="00474FA2"/>
    <w:rsid w:val="00474FCF"/>
    <w:rsid w:val="00474FFC"/>
    <w:rsid w:val="004750A7"/>
    <w:rsid w:val="004752C6"/>
    <w:rsid w:val="004752DB"/>
    <w:rsid w:val="00475415"/>
    <w:rsid w:val="004759ED"/>
    <w:rsid w:val="00475CFC"/>
    <w:rsid w:val="004761F6"/>
    <w:rsid w:val="00476384"/>
    <w:rsid w:val="00476598"/>
    <w:rsid w:val="0047683C"/>
    <w:rsid w:val="00476A9F"/>
    <w:rsid w:val="00476D94"/>
    <w:rsid w:val="00476FDA"/>
    <w:rsid w:val="004771D3"/>
    <w:rsid w:val="0047727C"/>
    <w:rsid w:val="00477398"/>
    <w:rsid w:val="00477A78"/>
    <w:rsid w:val="00477A92"/>
    <w:rsid w:val="00477B42"/>
    <w:rsid w:val="0048001C"/>
    <w:rsid w:val="004801D6"/>
    <w:rsid w:val="004803EF"/>
    <w:rsid w:val="004804A1"/>
    <w:rsid w:val="0048091A"/>
    <w:rsid w:val="00481533"/>
    <w:rsid w:val="00481805"/>
    <w:rsid w:val="00481BA8"/>
    <w:rsid w:val="00481F1A"/>
    <w:rsid w:val="00482087"/>
    <w:rsid w:val="004820FE"/>
    <w:rsid w:val="0048241D"/>
    <w:rsid w:val="0048258B"/>
    <w:rsid w:val="004825F8"/>
    <w:rsid w:val="0048268C"/>
    <w:rsid w:val="00482762"/>
    <w:rsid w:val="00482765"/>
    <w:rsid w:val="00482B37"/>
    <w:rsid w:val="00482CC4"/>
    <w:rsid w:val="004835A9"/>
    <w:rsid w:val="00483811"/>
    <w:rsid w:val="00483BC3"/>
    <w:rsid w:val="00483C8E"/>
    <w:rsid w:val="00483D0A"/>
    <w:rsid w:val="00484060"/>
    <w:rsid w:val="0048409F"/>
    <w:rsid w:val="00484254"/>
    <w:rsid w:val="00484260"/>
    <w:rsid w:val="00484667"/>
    <w:rsid w:val="00484796"/>
    <w:rsid w:val="004849D9"/>
    <w:rsid w:val="00484A48"/>
    <w:rsid w:val="00484D98"/>
    <w:rsid w:val="00485022"/>
    <w:rsid w:val="004853E9"/>
    <w:rsid w:val="00485503"/>
    <w:rsid w:val="00485736"/>
    <w:rsid w:val="00485773"/>
    <w:rsid w:val="00485AD5"/>
    <w:rsid w:val="00485B1F"/>
    <w:rsid w:val="00485C3A"/>
    <w:rsid w:val="00486300"/>
    <w:rsid w:val="004866F4"/>
    <w:rsid w:val="00486A8E"/>
    <w:rsid w:val="00486F5A"/>
    <w:rsid w:val="004872D9"/>
    <w:rsid w:val="0048769B"/>
    <w:rsid w:val="004877B0"/>
    <w:rsid w:val="00487EA6"/>
    <w:rsid w:val="00487F71"/>
    <w:rsid w:val="004901A0"/>
    <w:rsid w:val="004901A8"/>
    <w:rsid w:val="0049057E"/>
    <w:rsid w:val="00490D26"/>
    <w:rsid w:val="00490EC9"/>
    <w:rsid w:val="00490F83"/>
    <w:rsid w:val="00491191"/>
    <w:rsid w:val="00491252"/>
    <w:rsid w:val="00491328"/>
    <w:rsid w:val="00491460"/>
    <w:rsid w:val="004914BA"/>
    <w:rsid w:val="004915E0"/>
    <w:rsid w:val="0049197B"/>
    <w:rsid w:val="004919C4"/>
    <w:rsid w:val="00491A72"/>
    <w:rsid w:val="00491ABF"/>
    <w:rsid w:val="00491C6F"/>
    <w:rsid w:val="00491CE9"/>
    <w:rsid w:val="00491DDF"/>
    <w:rsid w:val="00491FC2"/>
    <w:rsid w:val="004930C4"/>
    <w:rsid w:val="004930C5"/>
    <w:rsid w:val="00493646"/>
    <w:rsid w:val="00493891"/>
    <w:rsid w:val="004939CD"/>
    <w:rsid w:val="00493C34"/>
    <w:rsid w:val="00493D21"/>
    <w:rsid w:val="00493DF4"/>
    <w:rsid w:val="00493DFE"/>
    <w:rsid w:val="004944E3"/>
    <w:rsid w:val="00494882"/>
    <w:rsid w:val="004949EF"/>
    <w:rsid w:val="00494B6C"/>
    <w:rsid w:val="00494C34"/>
    <w:rsid w:val="00495405"/>
    <w:rsid w:val="004955EF"/>
    <w:rsid w:val="004957BB"/>
    <w:rsid w:val="004957C1"/>
    <w:rsid w:val="00495EFA"/>
    <w:rsid w:val="00496163"/>
    <w:rsid w:val="00496764"/>
    <w:rsid w:val="004967A5"/>
    <w:rsid w:val="0049686B"/>
    <w:rsid w:val="00496A7F"/>
    <w:rsid w:val="004978E4"/>
    <w:rsid w:val="004979B9"/>
    <w:rsid w:val="00497F24"/>
    <w:rsid w:val="00497F25"/>
    <w:rsid w:val="004A0494"/>
    <w:rsid w:val="004A0665"/>
    <w:rsid w:val="004A099C"/>
    <w:rsid w:val="004A09A7"/>
    <w:rsid w:val="004A0A76"/>
    <w:rsid w:val="004A0AD5"/>
    <w:rsid w:val="004A0AE3"/>
    <w:rsid w:val="004A0D24"/>
    <w:rsid w:val="004A1404"/>
    <w:rsid w:val="004A15F2"/>
    <w:rsid w:val="004A187F"/>
    <w:rsid w:val="004A1999"/>
    <w:rsid w:val="004A19C6"/>
    <w:rsid w:val="004A24F6"/>
    <w:rsid w:val="004A251F"/>
    <w:rsid w:val="004A277E"/>
    <w:rsid w:val="004A2902"/>
    <w:rsid w:val="004A292F"/>
    <w:rsid w:val="004A3060"/>
    <w:rsid w:val="004A333D"/>
    <w:rsid w:val="004A3431"/>
    <w:rsid w:val="004A36FD"/>
    <w:rsid w:val="004A400F"/>
    <w:rsid w:val="004A4079"/>
    <w:rsid w:val="004A433C"/>
    <w:rsid w:val="004A44A5"/>
    <w:rsid w:val="004A4775"/>
    <w:rsid w:val="004A4803"/>
    <w:rsid w:val="004A4A63"/>
    <w:rsid w:val="004A4C30"/>
    <w:rsid w:val="004A512C"/>
    <w:rsid w:val="004A52B7"/>
    <w:rsid w:val="004A569F"/>
    <w:rsid w:val="004A5927"/>
    <w:rsid w:val="004A5B27"/>
    <w:rsid w:val="004A6265"/>
    <w:rsid w:val="004A67ED"/>
    <w:rsid w:val="004A6961"/>
    <w:rsid w:val="004A6D27"/>
    <w:rsid w:val="004A6DB0"/>
    <w:rsid w:val="004A71BC"/>
    <w:rsid w:val="004A71E7"/>
    <w:rsid w:val="004A72FD"/>
    <w:rsid w:val="004A743D"/>
    <w:rsid w:val="004A78EB"/>
    <w:rsid w:val="004A7BFA"/>
    <w:rsid w:val="004A7CA8"/>
    <w:rsid w:val="004A7E69"/>
    <w:rsid w:val="004A7ECB"/>
    <w:rsid w:val="004A7F40"/>
    <w:rsid w:val="004B003B"/>
    <w:rsid w:val="004B00F4"/>
    <w:rsid w:val="004B047E"/>
    <w:rsid w:val="004B07C7"/>
    <w:rsid w:val="004B0816"/>
    <w:rsid w:val="004B0854"/>
    <w:rsid w:val="004B0AEC"/>
    <w:rsid w:val="004B0BAA"/>
    <w:rsid w:val="004B10EB"/>
    <w:rsid w:val="004B10EC"/>
    <w:rsid w:val="004B1882"/>
    <w:rsid w:val="004B1D64"/>
    <w:rsid w:val="004B1D76"/>
    <w:rsid w:val="004B1DC9"/>
    <w:rsid w:val="004B1FC7"/>
    <w:rsid w:val="004B2686"/>
    <w:rsid w:val="004B2738"/>
    <w:rsid w:val="004B2BA8"/>
    <w:rsid w:val="004B2CB0"/>
    <w:rsid w:val="004B2DD1"/>
    <w:rsid w:val="004B2F51"/>
    <w:rsid w:val="004B2FC7"/>
    <w:rsid w:val="004B30E8"/>
    <w:rsid w:val="004B3230"/>
    <w:rsid w:val="004B33F3"/>
    <w:rsid w:val="004B3A75"/>
    <w:rsid w:val="004B400E"/>
    <w:rsid w:val="004B4583"/>
    <w:rsid w:val="004B4592"/>
    <w:rsid w:val="004B4767"/>
    <w:rsid w:val="004B4969"/>
    <w:rsid w:val="004B49CF"/>
    <w:rsid w:val="004B4A79"/>
    <w:rsid w:val="004B4C70"/>
    <w:rsid w:val="004B50E7"/>
    <w:rsid w:val="004B54EB"/>
    <w:rsid w:val="004B5AE4"/>
    <w:rsid w:val="004B5D13"/>
    <w:rsid w:val="004B6416"/>
    <w:rsid w:val="004B6438"/>
    <w:rsid w:val="004B6596"/>
    <w:rsid w:val="004B6697"/>
    <w:rsid w:val="004B6717"/>
    <w:rsid w:val="004B67DA"/>
    <w:rsid w:val="004B6851"/>
    <w:rsid w:val="004B6856"/>
    <w:rsid w:val="004B692F"/>
    <w:rsid w:val="004B6A24"/>
    <w:rsid w:val="004B6B07"/>
    <w:rsid w:val="004B6B99"/>
    <w:rsid w:val="004B6EAD"/>
    <w:rsid w:val="004B708F"/>
    <w:rsid w:val="004B759C"/>
    <w:rsid w:val="004B7AB8"/>
    <w:rsid w:val="004B7B8B"/>
    <w:rsid w:val="004B7C82"/>
    <w:rsid w:val="004B7D84"/>
    <w:rsid w:val="004C0051"/>
    <w:rsid w:val="004C00B5"/>
    <w:rsid w:val="004C00EC"/>
    <w:rsid w:val="004C0300"/>
    <w:rsid w:val="004C031B"/>
    <w:rsid w:val="004C05A8"/>
    <w:rsid w:val="004C0756"/>
    <w:rsid w:val="004C0819"/>
    <w:rsid w:val="004C094D"/>
    <w:rsid w:val="004C09EE"/>
    <w:rsid w:val="004C09F7"/>
    <w:rsid w:val="004C0B7A"/>
    <w:rsid w:val="004C0C97"/>
    <w:rsid w:val="004C1081"/>
    <w:rsid w:val="004C18DD"/>
    <w:rsid w:val="004C1B63"/>
    <w:rsid w:val="004C1C5E"/>
    <w:rsid w:val="004C201A"/>
    <w:rsid w:val="004C2067"/>
    <w:rsid w:val="004C234C"/>
    <w:rsid w:val="004C2ADC"/>
    <w:rsid w:val="004C2B25"/>
    <w:rsid w:val="004C2CF7"/>
    <w:rsid w:val="004C2D79"/>
    <w:rsid w:val="004C2DA6"/>
    <w:rsid w:val="004C2EF1"/>
    <w:rsid w:val="004C321A"/>
    <w:rsid w:val="004C3331"/>
    <w:rsid w:val="004C351B"/>
    <w:rsid w:val="004C35C8"/>
    <w:rsid w:val="004C36B2"/>
    <w:rsid w:val="004C3746"/>
    <w:rsid w:val="004C375E"/>
    <w:rsid w:val="004C39D9"/>
    <w:rsid w:val="004C3A9C"/>
    <w:rsid w:val="004C3AFD"/>
    <w:rsid w:val="004C3C07"/>
    <w:rsid w:val="004C404A"/>
    <w:rsid w:val="004C4117"/>
    <w:rsid w:val="004C492E"/>
    <w:rsid w:val="004C4E8C"/>
    <w:rsid w:val="004C5B39"/>
    <w:rsid w:val="004C632B"/>
    <w:rsid w:val="004C6518"/>
    <w:rsid w:val="004C67C2"/>
    <w:rsid w:val="004C687A"/>
    <w:rsid w:val="004C6944"/>
    <w:rsid w:val="004C6960"/>
    <w:rsid w:val="004C69EB"/>
    <w:rsid w:val="004C6CF3"/>
    <w:rsid w:val="004C6D88"/>
    <w:rsid w:val="004C6E43"/>
    <w:rsid w:val="004C6E67"/>
    <w:rsid w:val="004C71F1"/>
    <w:rsid w:val="004C725D"/>
    <w:rsid w:val="004C7A27"/>
    <w:rsid w:val="004C7AC9"/>
    <w:rsid w:val="004C7F81"/>
    <w:rsid w:val="004D00E2"/>
    <w:rsid w:val="004D0384"/>
    <w:rsid w:val="004D0399"/>
    <w:rsid w:val="004D05B1"/>
    <w:rsid w:val="004D09D7"/>
    <w:rsid w:val="004D0CEE"/>
    <w:rsid w:val="004D10AC"/>
    <w:rsid w:val="004D1449"/>
    <w:rsid w:val="004D166F"/>
    <w:rsid w:val="004D1A3D"/>
    <w:rsid w:val="004D1D62"/>
    <w:rsid w:val="004D1E1D"/>
    <w:rsid w:val="004D1FE8"/>
    <w:rsid w:val="004D233E"/>
    <w:rsid w:val="004D23C9"/>
    <w:rsid w:val="004D24EB"/>
    <w:rsid w:val="004D27C6"/>
    <w:rsid w:val="004D2B37"/>
    <w:rsid w:val="004D2F63"/>
    <w:rsid w:val="004D2F6D"/>
    <w:rsid w:val="004D3125"/>
    <w:rsid w:val="004D35B8"/>
    <w:rsid w:val="004D376D"/>
    <w:rsid w:val="004D3C6B"/>
    <w:rsid w:val="004D3DE9"/>
    <w:rsid w:val="004D4140"/>
    <w:rsid w:val="004D4155"/>
    <w:rsid w:val="004D438A"/>
    <w:rsid w:val="004D46AD"/>
    <w:rsid w:val="004D48A6"/>
    <w:rsid w:val="004D4946"/>
    <w:rsid w:val="004D51F4"/>
    <w:rsid w:val="004D5575"/>
    <w:rsid w:val="004D5BB5"/>
    <w:rsid w:val="004D5BE7"/>
    <w:rsid w:val="004D5DC1"/>
    <w:rsid w:val="004D5F6E"/>
    <w:rsid w:val="004D653F"/>
    <w:rsid w:val="004D65EF"/>
    <w:rsid w:val="004D6C45"/>
    <w:rsid w:val="004D6DC7"/>
    <w:rsid w:val="004D6E51"/>
    <w:rsid w:val="004D745E"/>
    <w:rsid w:val="004D7491"/>
    <w:rsid w:val="004D783F"/>
    <w:rsid w:val="004E0A9D"/>
    <w:rsid w:val="004E0C52"/>
    <w:rsid w:val="004E0DA2"/>
    <w:rsid w:val="004E1272"/>
    <w:rsid w:val="004E14C8"/>
    <w:rsid w:val="004E14FC"/>
    <w:rsid w:val="004E18A6"/>
    <w:rsid w:val="004E191E"/>
    <w:rsid w:val="004E1921"/>
    <w:rsid w:val="004E1938"/>
    <w:rsid w:val="004E19CE"/>
    <w:rsid w:val="004E19EA"/>
    <w:rsid w:val="004E1CE4"/>
    <w:rsid w:val="004E1DB0"/>
    <w:rsid w:val="004E1E81"/>
    <w:rsid w:val="004E20D7"/>
    <w:rsid w:val="004E2173"/>
    <w:rsid w:val="004E22BD"/>
    <w:rsid w:val="004E26E0"/>
    <w:rsid w:val="004E29D5"/>
    <w:rsid w:val="004E2A38"/>
    <w:rsid w:val="004E2B3A"/>
    <w:rsid w:val="004E2BF9"/>
    <w:rsid w:val="004E2DCC"/>
    <w:rsid w:val="004E2FC6"/>
    <w:rsid w:val="004E3312"/>
    <w:rsid w:val="004E35FA"/>
    <w:rsid w:val="004E3629"/>
    <w:rsid w:val="004E365E"/>
    <w:rsid w:val="004E38F1"/>
    <w:rsid w:val="004E3D50"/>
    <w:rsid w:val="004E3E36"/>
    <w:rsid w:val="004E4183"/>
    <w:rsid w:val="004E4202"/>
    <w:rsid w:val="004E4404"/>
    <w:rsid w:val="004E4650"/>
    <w:rsid w:val="004E4BDD"/>
    <w:rsid w:val="004E4E79"/>
    <w:rsid w:val="004E5041"/>
    <w:rsid w:val="004E57BA"/>
    <w:rsid w:val="004E57C4"/>
    <w:rsid w:val="004E5915"/>
    <w:rsid w:val="004E59C0"/>
    <w:rsid w:val="004E5B16"/>
    <w:rsid w:val="004E5C02"/>
    <w:rsid w:val="004E5C05"/>
    <w:rsid w:val="004E6527"/>
    <w:rsid w:val="004E66D7"/>
    <w:rsid w:val="004E6B95"/>
    <w:rsid w:val="004E6C97"/>
    <w:rsid w:val="004E6CF2"/>
    <w:rsid w:val="004E71CC"/>
    <w:rsid w:val="004E75F4"/>
    <w:rsid w:val="004F03F2"/>
    <w:rsid w:val="004F0CFB"/>
    <w:rsid w:val="004F0F13"/>
    <w:rsid w:val="004F1034"/>
    <w:rsid w:val="004F10FD"/>
    <w:rsid w:val="004F152B"/>
    <w:rsid w:val="004F157A"/>
    <w:rsid w:val="004F171A"/>
    <w:rsid w:val="004F1888"/>
    <w:rsid w:val="004F18AF"/>
    <w:rsid w:val="004F1A7A"/>
    <w:rsid w:val="004F1AFC"/>
    <w:rsid w:val="004F1C83"/>
    <w:rsid w:val="004F1F2E"/>
    <w:rsid w:val="004F1FCF"/>
    <w:rsid w:val="004F21DC"/>
    <w:rsid w:val="004F25B9"/>
    <w:rsid w:val="004F25C4"/>
    <w:rsid w:val="004F27DE"/>
    <w:rsid w:val="004F2828"/>
    <w:rsid w:val="004F3309"/>
    <w:rsid w:val="004F34BD"/>
    <w:rsid w:val="004F35FC"/>
    <w:rsid w:val="004F37BD"/>
    <w:rsid w:val="004F397C"/>
    <w:rsid w:val="004F3BBE"/>
    <w:rsid w:val="004F4169"/>
    <w:rsid w:val="004F4318"/>
    <w:rsid w:val="004F433A"/>
    <w:rsid w:val="004F44B6"/>
    <w:rsid w:val="004F453E"/>
    <w:rsid w:val="004F46AA"/>
    <w:rsid w:val="004F46B1"/>
    <w:rsid w:val="004F46B8"/>
    <w:rsid w:val="004F46DD"/>
    <w:rsid w:val="004F48D1"/>
    <w:rsid w:val="004F4AA6"/>
    <w:rsid w:val="004F4C96"/>
    <w:rsid w:val="004F5015"/>
    <w:rsid w:val="004F5230"/>
    <w:rsid w:val="004F5AAF"/>
    <w:rsid w:val="004F6116"/>
    <w:rsid w:val="004F6743"/>
    <w:rsid w:val="004F694D"/>
    <w:rsid w:val="004F6C52"/>
    <w:rsid w:val="004F6DCF"/>
    <w:rsid w:val="004F7058"/>
    <w:rsid w:val="004F716B"/>
    <w:rsid w:val="004F73E8"/>
    <w:rsid w:val="004F75B8"/>
    <w:rsid w:val="004F7631"/>
    <w:rsid w:val="004F76C6"/>
    <w:rsid w:val="004F78AF"/>
    <w:rsid w:val="004F7E12"/>
    <w:rsid w:val="0050027F"/>
    <w:rsid w:val="00500317"/>
    <w:rsid w:val="00500322"/>
    <w:rsid w:val="005006AF"/>
    <w:rsid w:val="005006DA"/>
    <w:rsid w:val="005007E0"/>
    <w:rsid w:val="005008D1"/>
    <w:rsid w:val="00500A33"/>
    <w:rsid w:val="00500E85"/>
    <w:rsid w:val="0050111A"/>
    <w:rsid w:val="00501182"/>
    <w:rsid w:val="0050125D"/>
    <w:rsid w:val="005012E2"/>
    <w:rsid w:val="0050145A"/>
    <w:rsid w:val="00501705"/>
    <w:rsid w:val="005017A1"/>
    <w:rsid w:val="00501807"/>
    <w:rsid w:val="0050183B"/>
    <w:rsid w:val="00501896"/>
    <w:rsid w:val="00501A82"/>
    <w:rsid w:val="00501B13"/>
    <w:rsid w:val="00501C20"/>
    <w:rsid w:val="00501D77"/>
    <w:rsid w:val="00501D83"/>
    <w:rsid w:val="00501EF3"/>
    <w:rsid w:val="00501F0D"/>
    <w:rsid w:val="00502731"/>
    <w:rsid w:val="00502844"/>
    <w:rsid w:val="00502AA2"/>
    <w:rsid w:val="00502ABA"/>
    <w:rsid w:val="00502BA2"/>
    <w:rsid w:val="00502F78"/>
    <w:rsid w:val="0050359A"/>
    <w:rsid w:val="0050367B"/>
    <w:rsid w:val="00503A55"/>
    <w:rsid w:val="00503BD8"/>
    <w:rsid w:val="00503D36"/>
    <w:rsid w:val="00504244"/>
    <w:rsid w:val="005045C1"/>
    <w:rsid w:val="00504997"/>
    <w:rsid w:val="00504A95"/>
    <w:rsid w:val="00504D49"/>
    <w:rsid w:val="00505114"/>
    <w:rsid w:val="00505514"/>
    <w:rsid w:val="005063C1"/>
    <w:rsid w:val="00506565"/>
    <w:rsid w:val="0050668B"/>
    <w:rsid w:val="005067B0"/>
    <w:rsid w:val="00506848"/>
    <w:rsid w:val="00506BB6"/>
    <w:rsid w:val="00507039"/>
    <w:rsid w:val="0050718F"/>
    <w:rsid w:val="00507230"/>
    <w:rsid w:val="005072F0"/>
    <w:rsid w:val="0050753C"/>
    <w:rsid w:val="005075BF"/>
    <w:rsid w:val="00507663"/>
    <w:rsid w:val="00507832"/>
    <w:rsid w:val="0050784D"/>
    <w:rsid w:val="0050791A"/>
    <w:rsid w:val="00507A2E"/>
    <w:rsid w:val="00507C92"/>
    <w:rsid w:val="00507D92"/>
    <w:rsid w:val="00507E2B"/>
    <w:rsid w:val="00507ED6"/>
    <w:rsid w:val="0051008C"/>
    <w:rsid w:val="00510674"/>
    <w:rsid w:val="0051071A"/>
    <w:rsid w:val="00510A2D"/>
    <w:rsid w:val="00510C3D"/>
    <w:rsid w:val="00510C81"/>
    <w:rsid w:val="00510C82"/>
    <w:rsid w:val="00510F27"/>
    <w:rsid w:val="00510FD9"/>
    <w:rsid w:val="00511125"/>
    <w:rsid w:val="005113D5"/>
    <w:rsid w:val="00511578"/>
    <w:rsid w:val="00511693"/>
    <w:rsid w:val="005118ED"/>
    <w:rsid w:val="005119B0"/>
    <w:rsid w:val="00511FC0"/>
    <w:rsid w:val="005123B4"/>
    <w:rsid w:val="00512685"/>
    <w:rsid w:val="0051286E"/>
    <w:rsid w:val="00512A6D"/>
    <w:rsid w:val="00512CCD"/>
    <w:rsid w:val="00512F56"/>
    <w:rsid w:val="0051362E"/>
    <w:rsid w:val="00513915"/>
    <w:rsid w:val="00513CB9"/>
    <w:rsid w:val="00513D3D"/>
    <w:rsid w:val="00513DD0"/>
    <w:rsid w:val="00513E6C"/>
    <w:rsid w:val="0051405E"/>
    <w:rsid w:val="005140F9"/>
    <w:rsid w:val="005142DB"/>
    <w:rsid w:val="0051464C"/>
    <w:rsid w:val="005148FE"/>
    <w:rsid w:val="005149A6"/>
    <w:rsid w:val="00514EAB"/>
    <w:rsid w:val="0051501B"/>
    <w:rsid w:val="00515132"/>
    <w:rsid w:val="0051518A"/>
    <w:rsid w:val="005155FE"/>
    <w:rsid w:val="00515C95"/>
    <w:rsid w:val="00515F2B"/>
    <w:rsid w:val="00515F87"/>
    <w:rsid w:val="0051601B"/>
    <w:rsid w:val="005164D4"/>
    <w:rsid w:val="00516AE3"/>
    <w:rsid w:val="00516E20"/>
    <w:rsid w:val="00516F0D"/>
    <w:rsid w:val="00517168"/>
    <w:rsid w:val="00517277"/>
    <w:rsid w:val="005173E7"/>
    <w:rsid w:val="005175A0"/>
    <w:rsid w:val="00517C23"/>
    <w:rsid w:val="00517E9F"/>
    <w:rsid w:val="005201BC"/>
    <w:rsid w:val="005201D4"/>
    <w:rsid w:val="00520451"/>
    <w:rsid w:val="005205C7"/>
    <w:rsid w:val="005206A3"/>
    <w:rsid w:val="0052091B"/>
    <w:rsid w:val="00520AEF"/>
    <w:rsid w:val="00520C5D"/>
    <w:rsid w:val="00520E51"/>
    <w:rsid w:val="00521033"/>
    <w:rsid w:val="00521276"/>
    <w:rsid w:val="005216EF"/>
    <w:rsid w:val="00521CC0"/>
    <w:rsid w:val="00521D18"/>
    <w:rsid w:val="00521E25"/>
    <w:rsid w:val="00521F43"/>
    <w:rsid w:val="0052264A"/>
    <w:rsid w:val="00522A65"/>
    <w:rsid w:val="00522E56"/>
    <w:rsid w:val="00522F68"/>
    <w:rsid w:val="00523121"/>
    <w:rsid w:val="00523167"/>
    <w:rsid w:val="005233C9"/>
    <w:rsid w:val="00523958"/>
    <w:rsid w:val="00523D64"/>
    <w:rsid w:val="00523F69"/>
    <w:rsid w:val="00524062"/>
    <w:rsid w:val="00524413"/>
    <w:rsid w:val="0052491F"/>
    <w:rsid w:val="00524934"/>
    <w:rsid w:val="0052507E"/>
    <w:rsid w:val="005251EF"/>
    <w:rsid w:val="0052545B"/>
    <w:rsid w:val="00525507"/>
    <w:rsid w:val="005255B3"/>
    <w:rsid w:val="005256D4"/>
    <w:rsid w:val="00525D84"/>
    <w:rsid w:val="00525E53"/>
    <w:rsid w:val="00526132"/>
    <w:rsid w:val="0052629E"/>
    <w:rsid w:val="005263D6"/>
    <w:rsid w:val="00526662"/>
    <w:rsid w:val="0052672E"/>
    <w:rsid w:val="0052688A"/>
    <w:rsid w:val="00526B89"/>
    <w:rsid w:val="00526DA9"/>
    <w:rsid w:val="00526E59"/>
    <w:rsid w:val="00527343"/>
    <w:rsid w:val="005274E2"/>
    <w:rsid w:val="00527542"/>
    <w:rsid w:val="005279C8"/>
    <w:rsid w:val="00527A5E"/>
    <w:rsid w:val="00527EC0"/>
    <w:rsid w:val="005301B1"/>
    <w:rsid w:val="00530A9B"/>
    <w:rsid w:val="00530D6C"/>
    <w:rsid w:val="00530E1A"/>
    <w:rsid w:val="00531306"/>
    <w:rsid w:val="00531359"/>
    <w:rsid w:val="0053144A"/>
    <w:rsid w:val="00531466"/>
    <w:rsid w:val="00531761"/>
    <w:rsid w:val="00531990"/>
    <w:rsid w:val="00531D7B"/>
    <w:rsid w:val="00531F5D"/>
    <w:rsid w:val="0053203B"/>
    <w:rsid w:val="005321D0"/>
    <w:rsid w:val="00532CC5"/>
    <w:rsid w:val="00532E4F"/>
    <w:rsid w:val="00532FA6"/>
    <w:rsid w:val="00533257"/>
    <w:rsid w:val="00533399"/>
    <w:rsid w:val="005337A8"/>
    <w:rsid w:val="005339F4"/>
    <w:rsid w:val="00533BD4"/>
    <w:rsid w:val="00533D8C"/>
    <w:rsid w:val="00533F56"/>
    <w:rsid w:val="00533FF8"/>
    <w:rsid w:val="00534148"/>
    <w:rsid w:val="005342D4"/>
    <w:rsid w:val="00534402"/>
    <w:rsid w:val="00534523"/>
    <w:rsid w:val="0053452A"/>
    <w:rsid w:val="005345AE"/>
    <w:rsid w:val="00534FC2"/>
    <w:rsid w:val="005352F9"/>
    <w:rsid w:val="005353BC"/>
    <w:rsid w:val="00535B59"/>
    <w:rsid w:val="005360F6"/>
    <w:rsid w:val="00536877"/>
    <w:rsid w:val="005369C1"/>
    <w:rsid w:val="00536D92"/>
    <w:rsid w:val="00537082"/>
    <w:rsid w:val="0053710C"/>
    <w:rsid w:val="005373DA"/>
    <w:rsid w:val="00537657"/>
    <w:rsid w:val="00537BD2"/>
    <w:rsid w:val="00537D70"/>
    <w:rsid w:val="00540076"/>
    <w:rsid w:val="005400C8"/>
    <w:rsid w:val="005402F0"/>
    <w:rsid w:val="005403C0"/>
    <w:rsid w:val="005409B8"/>
    <w:rsid w:val="00540E91"/>
    <w:rsid w:val="00540F05"/>
    <w:rsid w:val="00541261"/>
    <w:rsid w:val="00541336"/>
    <w:rsid w:val="00541399"/>
    <w:rsid w:val="00541498"/>
    <w:rsid w:val="0054151F"/>
    <w:rsid w:val="00541B6C"/>
    <w:rsid w:val="00541BDF"/>
    <w:rsid w:val="005422F4"/>
    <w:rsid w:val="00542707"/>
    <w:rsid w:val="005430E7"/>
    <w:rsid w:val="00543197"/>
    <w:rsid w:val="005434B2"/>
    <w:rsid w:val="0054357F"/>
    <w:rsid w:val="00543BFE"/>
    <w:rsid w:val="00543D0B"/>
    <w:rsid w:val="00543E44"/>
    <w:rsid w:val="00543EA3"/>
    <w:rsid w:val="00543EC8"/>
    <w:rsid w:val="00543F84"/>
    <w:rsid w:val="00543FDE"/>
    <w:rsid w:val="0054411E"/>
    <w:rsid w:val="00544470"/>
    <w:rsid w:val="00544CE2"/>
    <w:rsid w:val="00544F8A"/>
    <w:rsid w:val="00544FF4"/>
    <w:rsid w:val="005458F5"/>
    <w:rsid w:val="00545946"/>
    <w:rsid w:val="00545966"/>
    <w:rsid w:val="00545B79"/>
    <w:rsid w:val="00545D4D"/>
    <w:rsid w:val="00545D75"/>
    <w:rsid w:val="005460B8"/>
    <w:rsid w:val="005461B8"/>
    <w:rsid w:val="005461F6"/>
    <w:rsid w:val="0054624A"/>
    <w:rsid w:val="005463FE"/>
    <w:rsid w:val="00546402"/>
    <w:rsid w:val="0054646E"/>
    <w:rsid w:val="0054660E"/>
    <w:rsid w:val="0054673B"/>
    <w:rsid w:val="00546A16"/>
    <w:rsid w:val="00546B85"/>
    <w:rsid w:val="00546D5D"/>
    <w:rsid w:val="00546DC7"/>
    <w:rsid w:val="00546E02"/>
    <w:rsid w:val="00546F71"/>
    <w:rsid w:val="00547024"/>
    <w:rsid w:val="005472CA"/>
    <w:rsid w:val="0054756F"/>
    <w:rsid w:val="00547768"/>
    <w:rsid w:val="00547A89"/>
    <w:rsid w:val="00547D22"/>
    <w:rsid w:val="00547D81"/>
    <w:rsid w:val="00547DA8"/>
    <w:rsid w:val="0055021D"/>
    <w:rsid w:val="00550BA0"/>
    <w:rsid w:val="005518B0"/>
    <w:rsid w:val="005519F9"/>
    <w:rsid w:val="00551CC8"/>
    <w:rsid w:val="00551F50"/>
    <w:rsid w:val="0055216B"/>
    <w:rsid w:val="005522EF"/>
    <w:rsid w:val="0055275B"/>
    <w:rsid w:val="00552C01"/>
    <w:rsid w:val="00552DEC"/>
    <w:rsid w:val="0055328E"/>
    <w:rsid w:val="005534DF"/>
    <w:rsid w:val="00553644"/>
    <w:rsid w:val="00553A56"/>
    <w:rsid w:val="00553BF4"/>
    <w:rsid w:val="00553CE0"/>
    <w:rsid w:val="00553F4C"/>
    <w:rsid w:val="00554398"/>
    <w:rsid w:val="005543DD"/>
    <w:rsid w:val="0055468A"/>
    <w:rsid w:val="00554871"/>
    <w:rsid w:val="00554C81"/>
    <w:rsid w:val="00554DCD"/>
    <w:rsid w:val="00554E8C"/>
    <w:rsid w:val="0055538B"/>
    <w:rsid w:val="00555552"/>
    <w:rsid w:val="00555B86"/>
    <w:rsid w:val="00555C80"/>
    <w:rsid w:val="00555D6B"/>
    <w:rsid w:val="00555EA3"/>
    <w:rsid w:val="00556024"/>
    <w:rsid w:val="005562FE"/>
    <w:rsid w:val="00556442"/>
    <w:rsid w:val="00556448"/>
    <w:rsid w:val="00556691"/>
    <w:rsid w:val="0055689A"/>
    <w:rsid w:val="005569A3"/>
    <w:rsid w:val="00556B51"/>
    <w:rsid w:val="00556D02"/>
    <w:rsid w:val="00556F24"/>
    <w:rsid w:val="005570B5"/>
    <w:rsid w:val="00557104"/>
    <w:rsid w:val="00557219"/>
    <w:rsid w:val="0055742D"/>
    <w:rsid w:val="00557491"/>
    <w:rsid w:val="005577C1"/>
    <w:rsid w:val="00557995"/>
    <w:rsid w:val="00557A10"/>
    <w:rsid w:val="0056022A"/>
    <w:rsid w:val="00560258"/>
    <w:rsid w:val="00560649"/>
    <w:rsid w:val="00560B7C"/>
    <w:rsid w:val="0056122D"/>
    <w:rsid w:val="0056125F"/>
    <w:rsid w:val="005613B8"/>
    <w:rsid w:val="00561516"/>
    <w:rsid w:val="00561A06"/>
    <w:rsid w:val="00561B8F"/>
    <w:rsid w:val="00561CE0"/>
    <w:rsid w:val="00561D82"/>
    <w:rsid w:val="00561F73"/>
    <w:rsid w:val="00562284"/>
    <w:rsid w:val="00562606"/>
    <w:rsid w:val="00562AC1"/>
    <w:rsid w:val="00562AD5"/>
    <w:rsid w:val="00562F28"/>
    <w:rsid w:val="0056329F"/>
    <w:rsid w:val="005633BC"/>
    <w:rsid w:val="00563560"/>
    <w:rsid w:val="00563B72"/>
    <w:rsid w:val="00563F2E"/>
    <w:rsid w:val="0056406F"/>
    <w:rsid w:val="0056430A"/>
    <w:rsid w:val="005644F5"/>
    <w:rsid w:val="00564E36"/>
    <w:rsid w:val="005651BA"/>
    <w:rsid w:val="0056539B"/>
    <w:rsid w:val="005654F1"/>
    <w:rsid w:val="005655F3"/>
    <w:rsid w:val="0056572F"/>
    <w:rsid w:val="0056580B"/>
    <w:rsid w:val="00565AC7"/>
    <w:rsid w:val="00565BB0"/>
    <w:rsid w:val="005665B0"/>
    <w:rsid w:val="005666D6"/>
    <w:rsid w:val="00566AD1"/>
    <w:rsid w:val="005670D0"/>
    <w:rsid w:val="005676B5"/>
    <w:rsid w:val="005676BD"/>
    <w:rsid w:val="005679C2"/>
    <w:rsid w:val="00567CCD"/>
    <w:rsid w:val="0057017F"/>
    <w:rsid w:val="005701B6"/>
    <w:rsid w:val="005702BA"/>
    <w:rsid w:val="00570422"/>
    <w:rsid w:val="005705AE"/>
    <w:rsid w:val="00570756"/>
    <w:rsid w:val="00570B3F"/>
    <w:rsid w:val="00570B69"/>
    <w:rsid w:val="00570B71"/>
    <w:rsid w:val="00570FE8"/>
    <w:rsid w:val="005712C8"/>
    <w:rsid w:val="0057138D"/>
    <w:rsid w:val="005717BA"/>
    <w:rsid w:val="005718E1"/>
    <w:rsid w:val="0057193B"/>
    <w:rsid w:val="005719DE"/>
    <w:rsid w:val="00571E41"/>
    <w:rsid w:val="00572010"/>
    <w:rsid w:val="00572212"/>
    <w:rsid w:val="0057248A"/>
    <w:rsid w:val="005725DA"/>
    <w:rsid w:val="00572883"/>
    <w:rsid w:val="005729EA"/>
    <w:rsid w:val="00572A44"/>
    <w:rsid w:val="00572CCD"/>
    <w:rsid w:val="00573192"/>
    <w:rsid w:val="005732B6"/>
    <w:rsid w:val="0057335C"/>
    <w:rsid w:val="00573479"/>
    <w:rsid w:val="0057368F"/>
    <w:rsid w:val="005738B2"/>
    <w:rsid w:val="00573A74"/>
    <w:rsid w:val="005740F4"/>
    <w:rsid w:val="005743D3"/>
    <w:rsid w:val="005745D9"/>
    <w:rsid w:val="0057480C"/>
    <w:rsid w:val="0057497F"/>
    <w:rsid w:val="005749C6"/>
    <w:rsid w:val="00574C2E"/>
    <w:rsid w:val="00574F28"/>
    <w:rsid w:val="0057524A"/>
    <w:rsid w:val="00575A59"/>
    <w:rsid w:val="00575C00"/>
    <w:rsid w:val="00575FC5"/>
    <w:rsid w:val="00576015"/>
    <w:rsid w:val="00576446"/>
    <w:rsid w:val="00576785"/>
    <w:rsid w:val="00576DB0"/>
    <w:rsid w:val="00576EF4"/>
    <w:rsid w:val="0057713C"/>
    <w:rsid w:val="005775D3"/>
    <w:rsid w:val="005778D4"/>
    <w:rsid w:val="00577C21"/>
    <w:rsid w:val="00577C42"/>
    <w:rsid w:val="00577C95"/>
    <w:rsid w:val="00577EFC"/>
    <w:rsid w:val="00577F65"/>
    <w:rsid w:val="005800AC"/>
    <w:rsid w:val="005801AB"/>
    <w:rsid w:val="005801DD"/>
    <w:rsid w:val="005802F2"/>
    <w:rsid w:val="00580385"/>
    <w:rsid w:val="005803DE"/>
    <w:rsid w:val="0058041A"/>
    <w:rsid w:val="00580858"/>
    <w:rsid w:val="00580886"/>
    <w:rsid w:val="00580C9F"/>
    <w:rsid w:val="00580FCE"/>
    <w:rsid w:val="005813AD"/>
    <w:rsid w:val="0058143A"/>
    <w:rsid w:val="00581692"/>
    <w:rsid w:val="00581840"/>
    <w:rsid w:val="00581892"/>
    <w:rsid w:val="00581976"/>
    <w:rsid w:val="00581AAF"/>
    <w:rsid w:val="00582832"/>
    <w:rsid w:val="00582C40"/>
    <w:rsid w:val="00582C41"/>
    <w:rsid w:val="00582DED"/>
    <w:rsid w:val="00583463"/>
    <w:rsid w:val="00583C9D"/>
    <w:rsid w:val="00583ECE"/>
    <w:rsid w:val="00584394"/>
    <w:rsid w:val="005844C3"/>
    <w:rsid w:val="005845BA"/>
    <w:rsid w:val="005845E8"/>
    <w:rsid w:val="005847C2"/>
    <w:rsid w:val="00584D04"/>
    <w:rsid w:val="00585212"/>
    <w:rsid w:val="00585520"/>
    <w:rsid w:val="00585820"/>
    <w:rsid w:val="00585972"/>
    <w:rsid w:val="00586510"/>
    <w:rsid w:val="0058676D"/>
    <w:rsid w:val="00586B12"/>
    <w:rsid w:val="00586CF2"/>
    <w:rsid w:val="00586E9C"/>
    <w:rsid w:val="0058730A"/>
    <w:rsid w:val="00587317"/>
    <w:rsid w:val="005873E1"/>
    <w:rsid w:val="00587552"/>
    <w:rsid w:val="00587778"/>
    <w:rsid w:val="00587831"/>
    <w:rsid w:val="0058793B"/>
    <w:rsid w:val="00587CFF"/>
    <w:rsid w:val="00587DD6"/>
    <w:rsid w:val="00587F61"/>
    <w:rsid w:val="005900EB"/>
    <w:rsid w:val="00590584"/>
    <w:rsid w:val="00590AAF"/>
    <w:rsid w:val="00591050"/>
    <w:rsid w:val="00591298"/>
    <w:rsid w:val="00591BCE"/>
    <w:rsid w:val="00591E4F"/>
    <w:rsid w:val="0059241A"/>
    <w:rsid w:val="0059241D"/>
    <w:rsid w:val="005925CB"/>
    <w:rsid w:val="00592656"/>
    <w:rsid w:val="00592DC3"/>
    <w:rsid w:val="00593B9D"/>
    <w:rsid w:val="00594109"/>
    <w:rsid w:val="00594318"/>
    <w:rsid w:val="00594323"/>
    <w:rsid w:val="005943FF"/>
    <w:rsid w:val="00594463"/>
    <w:rsid w:val="00594490"/>
    <w:rsid w:val="005945B5"/>
    <w:rsid w:val="00594693"/>
    <w:rsid w:val="00594780"/>
    <w:rsid w:val="005949A5"/>
    <w:rsid w:val="00594A22"/>
    <w:rsid w:val="00595007"/>
    <w:rsid w:val="00595573"/>
    <w:rsid w:val="00595600"/>
    <w:rsid w:val="0059577E"/>
    <w:rsid w:val="00595A88"/>
    <w:rsid w:val="0059608B"/>
    <w:rsid w:val="005964DF"/>
    <w:rsid w:val="005964F6"/>
    <w:rsid w:val="0059680C"/>
    <w:rsid w:val="00596A95"/>
    <w:rsid w:val="00596D08"/>
    <w:rsid w:val="00596F6E"/>
    <w:rsid w:val="005970AC"/>
    <w:rsid w:val="005972FC"/>
    <w:rsid w:val="00597555"/>
    <w:rsid w:val="005975D0"/>
    <w:rsid w:val="00597609"/>
    <w:rsid w:val="00597F85"/>
    <w:rsid w:val="005A043E"/>
    <w:rsid w:val="005A0475"/>
    <w:rsid w:val="005A0504"/>
    <w:rsid w:val="005A051A"/>
    <w:rsid w:val="005A0566"/>
    <w:rsid w:val="005A08A6"/>
    <w:rsid w:val="005A0B94"/>
    <w:rsid w:val="005A0C9F"/>
    <w:rsid w:val="005A0D53"/>
    <w:rsid w:val="005A0DE7"/>
    <w:rsid w:val="005A0DED"/>
    <w:rsid w:val="005A0E9D"/>
    <w:rsid w:val="005A0F6D"/>
    <w:rsid w:val="005A194A"/>
    <w:rsid w:val="005A1A7D"/>
    <w:rsid w:val="005A1E8F"/>
    <w:rsid w:val="005A1F04"/>
    <w:rsid w:val="005A2044"/>
    <w:rsid w:val="005A21FF"/>
    <w:rsid w:val="005A22B3"/>
    <w:rsid w:val="005A22D1"/>
    <w:rsid w:val="005A2343"/>
    <w:rsid w:val="005A248A"/>
    <w:rsid w:val="005A25BC"/>
    <w:rsid w:val="005A28FC"/>
    <w:rsid w:val="005A2995"/>
    <w:rsid w:val="005A2B50"/>
    <w:rsid w:val="005A2FC5"/>
    <w:rsid w:val="005A332A"/>
    <w:rsid w:val="005A3363"/>
    <w:rsid w:val="005A33AB"/>
    <w:rsid w:val="005A33DD"/>
    <w:rsid w:val="005A3574"/>
    <w:rsid w:val="005A3946"/>
    <w:rsid w:val="005A3997"/>
    <w:rsid w:val="005A3CAE"/>
    <w:rsid w:val="005A3D55"/>
    <w:rsid w:val="005A434A"/>
    <w:rsid w:val="005A447D"/>
    <w:rsid w:val="005A4914"/>
    <w:rsid w:val="005A4AB9"/>
    <w:rsid w:val="005A4BB5"/>
    <w:rsid w:val="005A4FCA"/>
    <w:rsid w:val="005A5292"/>
    <w:rsid w:val="005A533E"/>
    <w:rsid w:val="005A5B2D"/>
    <w:rsid w:val="005A68A2"/>
    <w:rsid w:val="005A696C"/>
    <w:rsid w:val="005A6B4E"/>
    <w:rsid w:val="005A6C5B"/>
    <w:rsid w:val="005A6D9C"/>
    <w:rsid w:val="005A796B"/>
    <w:rsid w:val="005A79F1"/>
    <w:rsid w:val="005A7C01"/>
    <w:rsid w:val="005B0225"/>
    <w:rsid w:val="005B0556"/>
    <w:rsid w:val="005B060E"/>
    <w:rsid w:val="005B09E2"/>
    <w:rsid w:val="005B0AB0"/>
    <w:rsid w:val="005B0AF3"/>
    <w:rsid w:val="005B0B90"/>
    <w:rsid w:val="005B1111"/>
    <w:rsid w:val="005B1206"/>
    <w:rsid w:val="005B15AF"/>
    <w:rsid w:val="005B171A"/>
    <w:rsid w:val="005B179D"/>
    <w:rsid w:val="005B184E"/>
    <w:rsid w:val="005B194A"/>
    <w:rsid w:val="005B1A02"/>
    <w:rsid w:val="005B1A99"/>
    <w:rsid w:val="005B1B2B"/>
    <w:rsid w:val="005B1F38"/>
    <w:rsid w:val="005B1F4F"/>
    <w:rsid w:val="005B241C"/>
    <w:rsid w:val="005B2525"/>
    <w:rsid w:val="005B258A"/>
    <w:rsid w:val="005B27D0"/>
    <w:rsid w:val="005B294A"/>
    <w:rsid w:val="005B29F8"/>
    <w:rsid w:val="005B2A5F"/>
    <w:rsid w:val="005B2BBC"/>
    <w:rsid w:val="005B2C79"/>
    <w:rsid w:val="005B2EB8"/>
    <w:rsid w:val="005B34A3"/>
    <w:rsid w:val="005B34EC"/>
    <w:rsid w:val="005B353D"/>
    <w:rsid w:val="005B4776"/>
    <w:rsid w:val="005B47A6"/>
    <w:rsid w:val="005B4B6E"/>
    <w:rsid w:val="005B4D58"/>
    <w:rsid w:val="005B4F40"/>
    <w:rsid w:val="005B50B6"/>
    <w:rsid w:val="005B512B"/>
    <w:rsid w:val="005B518D"/>
    <w:rsid w:val="005B53F3"/>
    <w:rsid w:val="005B5453"/>
    <w:rsid w:val="005B54E6"/>
    <w:rsid w:val="005B56ED"/>
    <w:rsid w:val="005B575B"/>
    <w:rsid w:val="005B5939"/>
    <w:rsid w:val="005B5E8F"/>
    <w:rsid w:val="005B60C3"/>
    <w:rsid w:val="005B62A7"/>
    <w:rsid w:val="005B62D3"/>
    <w:rsid w:val="005B697D"/>
    <w:rsid w:val="005B699B"/>
    <w:rsid w:val="005B6C3D"/>
    <w:rsid w:val="005B6D80"/>
    <w:rsid w:val="005B6F10"/>
    <w:rsid w:val="005B6F5A"/>
    <w:rsid w:val="005B7070"/>
    <w:rsid w:val="005B714A"/>
    <w:rsid w:val="005B7455"/>
    <w:rsid w:val="005B78A7"/>
    <w:rsid w:val="005B7B32"/>
    <w:rsid w:val="005B7B76"/>
    <w:rsid w:val="005B7F80"/>
    <w:rsid w:val="005C0045"/>
    <w:rsid w:val="005C00D6"/>
    <w:rsid w:val="005C04AF"/>
    <w:rsid w:val="005C0C7A"/>
    <w:rsid w:val="005C0F63"/>
    <w:rsid w:val="005C1182"/>
    <w:rsid w:val="005C13BB"/>
    <w:rsid w:val="005C148D"/>
    <w:rsid w:val="005C1943"/>
    <w:rsid w:val="005C1C4A"/>
    <w:rsid w:val="005C1EAF"/>
    <w:rsid w:val="005C2213"/>
    <w:rsid w:val="005C276D"/>
    <w:rsid w:val="005C27D7"/>
    <w:rsid w:val="005C28A4"/>
    <w:rsid w:val="005C28E0"/>
    <w:rsid w:val="005C2A43"/>
    <w:rsid w:val="005C2B42"/>
    <w:rsid w:val="005C2BA7"/>
    <w:rsid w:val="005C2DB2"/>
    <w:rsid w:val="005C3069"/>
    <w:rsid w:val="005C331B"/>
    <w:rsid w:val="005C334A"/>
    <w:rsid w:val="005C3519"/>
    <w:rsid w:val="005C39AA"/>
    <w:rsid w:val="005C3A3D"/>
    <w:rsid w:val="005C40C6"/>
    <w:rsid w:val="005C4183"/>
    <w:rsid w:val="005C42AE"/>
    <w:rsid w:val="005C43AA"/>
    <w:rsid w:val="005C44E6"/>
    <w:rsid w:val="005C45B1"/>
    <w:rsid w:val="005C46F8"/>
    <w:rsid w:val="005C4842"/>
    <w:rsid w:val="005C4DCE"/>
    <w:rsid w:val="005C50AA"/>
    <w:rsid w:val="005C523B"/>
    <w:rsid w:val="005C5303"/>
    <w:rsid w:val="005C5661"/>
    <w:rsid w:val="005C59FD"/>
    <w:rsid w:val="005C5AD2"/>
    <w:rsid w:val="005C5EC7"/>
    <w:rsid w:val="005C63D9"/>
    <w:rsid w:val="005C641F"/>
    <w:rsid w:val="005C69B1"/>
    <w:rsid w:val="005C6C35"/>
    <w:rsid w:val="005C6CC4"/>
    <w:rsid w:val="005C6E36"/>
    <w:rsid w:val="005C73C7"/>
    <w:rsid w:val="005C7655"/>
    <w:rsid w:val="005C7954"/>
    <w:rsid w:val="005C7BCE"/>
    <w:rsid w:val="005C7C79"/>
    <w:rsid w:val="005D06FF"/>
    <w:rsid w:val="005D079D"/>
    <w:rsid w:val="005D08D1"/>
    <w:rsid w:val="005D0D8D"/>
    <w:rsid w:val="005D0DEF"/>
    <w:rsid w:val="005D0E23"/>
    <w:rsid w:val="005D0E26"/>
    <w:rsid w:val="005D0F15"/>
    <w:rsid w:val="005D1445"/>
    <w:rsid w:val="005D181D"/>
    <w:rsid w:val="005D1837"/>
    <w:rsid w:val="005D194D"/>
    <w:rsid w:val="005D1AA0"/>
    <w:rsid w:val="005D1C01"/>
    <w:rsid w:val="005D2087"/>
    <w:rsid w:val="005D22DA"/>
    <w:rsid w:val="005D243A"/>
    <w:rsid w:val="005D2887"/>
    <w:rsid w:val="005D2C28"/>
    <w:rsid w:val="005D2D7A"/>
    <w:rsid w:val="005D2DDF"/>
    <w:rsid w:val="005D2EAC"/>
    <w:rsid w:val="005D3015"/>
    <w:rsid w:val="005D3182"/>
    <w:rsid w:val="005D3262"/>
    <w:rsid w:val="005D36ED"/>
    <w:rsid w:val="005D3CB2"/>
    <w:rsid w:val="005D3D90"/>
    <w:rsid w:val="005D3FD4"/>
    <w:rsid w:val="005D40AD"/>
    <w:rsid w:val="005D4324"/>
    <w:rsid w:val="005D4456"/>
    <w:rsid w:val="005D44B0"/>
    <w:rsid w:val="005D496A"/>
    <w:rsid w:val="005D4B59"/>
    <w:rsid w:val="005D4FE5"/>
    <w:rsid w:val="005D5052"/>
    <w:rsid w:val="005D5078"/>
    <w:rsid w:val="005D50B6"/>
    <w:rsid w:val="005D521B"/>
    <w:rsid w:val="005D5240"/>
    <w:rsid w:val="005D527C"/>
    <w:rsid w:val="005D532F"/>
    <w:rsid w:val="005D543D"/>
    <w:rsid w:val="005D55C3"/>
    <w:rsid w:val="005D56D8"/>
    <w:rsid w:val="005D57A4"/>
    <w:rsid w:val="005D643A"/>
    <w:rsid w:val="005D6868"/>
    <w:rsid w:val="005D6886"/>
    <w:rsid w:val="005D6962"/>
    <w:rsid w:val="005D6B3E"/>
    <w:rsid w:val="005D6BB5"/>
    <w:rsid w:val="005D6E2F"/>
    <w:rsid w:val="005D7050"/>
    <w:rsid w:val="005D712B"/>
    <w:rsid w:val="005D743D"/>
    <w:rsid w:val="005D74C2"/>
    <w:rsid w:val="005D7552"/>
    <w:rsid w:val="005D76CE"/>
    <w:rsid w:val="005D77E9"/>
    <w:rsid w:val="005D7D55"/>
    <w:rsid w:val="005D7FC6"/>
    <w:rsid w:val="005E01D7"/>
    <w:rsid w:val="005E05E0"/>
    <w:rsid w:val="005E099D"/>
    <w:rsid w:val="005E0AD4"/>
    <w:rsid w:val="005E0BDB"/>
    <w:rsid w:val="005E1170"/>
    <w:rsid w:val="005E1214"/>
    <w:rsid w:val="005E12D2"/>
    <w:rsid w:val="005E1674"/>
    <w:rsid w:val="005E17FD"/>
    <w:rsid w:val="005E1A3E"/>
    <w:rsid w:val="005E1C40"/>
    <w:rsid w:val="005E1D74"/>
    <w:rsid w:val="005E1F0B"/>
    <w:rsid w:val="005E26D4"/>
    <w:rsid w:val="005E27A1"/>
    <w:rsid w:val="005E27AE"/>
    <w:rsid w:val="005E28E3"/>
    <w:rsid w:val="005E2929"/>
    <w:rsid w:val="005E2BE6"/>
    <w:rsid w:val="005E301E"/>
    <w:rsid w:val="005E3895"/>
    <w:rsid w:val="005E38AB"/>
    <w:rsid w:val="005E3B5B"/>
    <w:rsid w:val="005E3E32"/>
    <w:rsid w:val="005E3F4C"/>
    <w:rsid w:val="005E4033"/>
    <w:rsid w:val="005E423F"/>
    <w:rsid w:val="005E449F"/>
    <w:rsid w:val="005E44B1"/>
    <w:rsid w:val="005E44CD"/>
    <w:rsid w:val="005E469A"/>
    <w:rsid w:val="005E4862"/>
    <w:rsid w:val="005E489C"/>
    <w:rsid w:val="005E4E47"/>
    <w:rsid w:val="005E4FD4"/>
    <w:rsid w:val="005E50D8"/>
    <w:rsid w:val="005E519A"/>
    <w:rsid w:val="005E531B"/>
    <w:rsid w:val="005E53E0"/>
    <w:rsid w:val="005E5540"/>
    <w:rsid w:val="005E58DC"/>
    <w:rsid w:val="005E5BC8"/>
    <w:rsid w:val="005E608D"/>
    <w:rsid w:val="005E643E"/>
    <w:rsid w:val="005E67A9"/>
    <w:rsid w:val="005E680D"/>
    <w:rsid w:val="005E697E"/>
    <w:rsid w:val="005E6A50"/>
    <w:rsid w:val="005E6A53"/>
    <w:rsid w:val="005E6C2B"/>
    <w:rsid w:val="005E7152"/>
    <w:rsid w:val="005E72E5"/>
    <w:rsid w:val="005E767D"/>
    <w:rsid w:val="005E7764"/>
    <w:rsid w:val="005E7E5B"/>
    <w:rsid w:val="005F019E"/>
    <w:rsid w:val="005F0394"/>
    <w:rsid w:val="005F03D7"/>
    <w:rsid w:val="005F075B"/>
    <w:rsid w:val="005F0A39"/>
    <w:rsid w:val="005F0B74"/>
    <w:rsid w:val="005F0B7C"/>
    <w:rsid w:val="005F0CCD"/>
    <w:rsid w:val="005F0EB1"/>
    <w:rsid w:val="005F0FE5"/>
    <w:rsid w:val="005F10C3"/>
    <w:rsid w:val="005F113F"/>
    <w:rsid w:val="005F12D8"/>
    <w:rsid w:val="005F15E0"/>
    <w:rsid w:val="005F1881"/>
    <w:rsid w:val="005F19BB"/>
    <w:rsid w:val="005F1A0D"/>
    <w:rsid w:val="005F1A0F"/>
    <w:rsid w:val="005F1F7A"/>
    <w:rsid w:val="005F21F6"/>
    <w:rsid w:val="005F2968"/>
    <w:rsid w:val="005F2CB0"/>
    <w:rsid w:val="005F3014"/>
    <w:rsid w:val="005F337B"/>
    <w:rsid w:val="005F3402"/>
    <w:rsid w:val="005F34D0"/>
    <w:rsid w:val="005F35AE"/>
    <w:rsid w:val="005F3B15"/>
    <w:rsid w:val="005F3D48"/>
    <w:rsid w:val="005F3DD1"/>
    <w:rsid w:val="005F408C"/>
    <w:rsid w:val="005F40B8"/>
    <w:rsid w:val="005F42CF"/>
    <w:rsid w:val="005F45C7"/>
    <w:rsid w:val="005F4762"/>
    <w:rsid w:val="005F47D1"/>
    <w:rsid w:val="005F4803"/>
    <w:rsid w:val="005F4F52"/>
    <w:rsid w:val="005F526E"/>
    <w:rsid w:val="005F527B"/>
    <w:rsid w:val="005F545B"/>
    <w:rsid w:val="005F5D9E"/>
    <w:rsid w:val="005F604B"/>
    <w:rsid w:val="005F60A0"/>
    <w:rsid w:val="005F60F8"/>
    <w:rsid w:val="005F6387"/>
    <w:rsid w:val="005F6508"/>
    <w:rsid w:val="005F6603"/>
    <w:rsid w:val="005F66C4"/>
    <w:rsid w:val="005F6787"/>
    <w:rsid w:val="005F6A8B"/>
    <w:rsid w:val="005F6B9D"/>
    <w:rsid w:val="005F6CF5"/>
    <w:rsid w:val="005F705D"/>
    <w:rsid w:val="005F721D"/>
    <w:rsid w:val="005F7658"/>
    <w:rsid w:val="005F7755"/>
    <w:rsid w:val="005F7870"/>
    <w:rsid w:val="005F78AD"/>
    <w:rsid w:val="005F79CC"/>
    <w:rsid w:val="005F7BDD"/>
    <w:rsid w:val="005F7CBF"/>
    <w:rsid w:val="00600148"/>
    <w:rsid w:val="006001C9"/>
    <w:rsid w:val="0060022A"/>
    <w:rsid w:val="006003FB"/>
    <w:rsid w:val="00600450"/>
    <w:rsid w:val="006007D0"/>
    <w:rsid w:val="00600999"/>
    <w:rsid w:val="00600AEF"/>
    <w:rsid w:val="00600B55"/>
    <w:rsid w:val="00600C9D"/>
    <w:rsid w:val="00601083"/>
    <w:rsid w:val="006014F0"/>
    <w:rsid w:val="006015B0"/>
    <w:rsid w:val="00601743"/>
    <w:rsid w:val="006017D5"/>
    <w:rsid w:val="00601B28"/>
    <w:rsid w:val="00601D56"/>
    <w:rsid w:val="00601FFA"/>
    <w:rsid w:val="00602917"/>
    <w:rsid w:val="0060293A"/>
    <w:rsid w:val="00602A76"/>
    <w:rsid w:val="00602B8B"/>
    <w:rsid w:val="00602C89"/>
    <w:rsid w:val="00602F1C"/>
    <w:rsid w:val="00603450"/>
    <w:rsid w:val="00603646"/>
    <w:rsid w:val="00603B0A"/>
    <w:rsid w:val="00603B12"/>
    <w:rsid w:val="00603B60"/>
    <w:rsid w:val="00603BD1"/>
    <w:rsid w:val="00603FC1"/>
    <w:rsid w:val="0060410A"/>
    <w:rsid w:val="00604510"/>
    <w:rsid w:val="006045CF"/>
    <w:rsid w:val="00604943"/>
    <w:rsid w:val="00604B44"/>
    <w:rsid w:val="00604ED8"/>
    <w:rsid w:val="00605767"/>
    <w:rsid w:val="00605996"/>
    <w:rsid w:val="00605B41"/>
    <w:rsid w:val="00605B63"/>
    <w:rsid w:val="00605D38"/>
    <w:rsid w:val="00605FF7"/>
    <w:rsid w:val="0060601A"/>
    <w:rsid w:val="006064E7"/>
    <w:rsid w:val="006066B0"/>
    <w:rsid w:val="00606888"/>
    <w:rsid w:val="00606A58"/>
    <w:rsid w:val="00606EED"/>
    <w:rsid w:val="00606F3F"/>
    <w:rsid w:val="00606FCF"/>
    <w:rsid w:val="00606FDD"/>
    <w:rsid w:val="00607C91"/>
    <w:rsid w:val="00607F0C"/>
    <w:rsid w:val="0061034A"/>
    <w:rsid w:val="006103F3"/>
    <w:rsid w:val="0061093F"/>
    <w:rsid w:val="00610F56"/>
    <w:rsid w:val="0061101E"/>
    <w:rsid w:val="0061124C"/>
    <w:rsid w:val="00611793"/>
    <w:rsid w:val="006118D1"/>
    <w:rsid w:val="00611C7C"/>
    <w:rsid w:val="00611EF4"/>
    <w:rsid w:val="0061203C"/>
    <w:rsid w:val="0061232F"/>
    <w:rsid w:val="00612936"/>
    <w:rsid w:val="00612A67"/>
    <w:rsid w:val="00612AB6"/>
    <w:rsid w:val="00612B2C"/>
    <w:rsid w:val="00612E02"/>
    <w:rsid w:val="00612EB5"/>
    <w:rsid w:val="00613239"/>
    <w:rsid w:val="0061381E"/>
    <w:rsid w:val="0061406E"/>
    <w:rsid w:val="006142F4"/>
    <w:rsid w:val="006142FD"/>
    <w:rsid w:val="0061440B"/>
    <w:rsid w:val="00614795"/>
    <w:rsid w:val="00614822"/>
    <w:rsid w:val="00614880"/>
    <w:rsid w:val="00614CFC"/>
    <w:rsid w:val="00614DDE"/>
    <w:rsid w:val="00614EC0"/>
    <w:rsid w:val="00614FA8"/>
    <w:rsid w:val="00615328"/>
    <w:rsid w:val="0061534A"/>
    <w:rsid w:val="00615407"/>
    <w:rsid w:val="006159CC"/>
    <w:rsid w:val="00615C19"/>
    <w:rsid w:val="00616332"/>
    <w:rsid w:val="006163D3"/>
    <w:rsid w:val="00616C1B"/>
    <w:rsid w:val="00617301"/>
    <w:rsid w:val="00617376"/>
    <w:rsid w:val="006173D0"/>
    <w:rsid w:val="0061754A"/>
    <w:rsid w:val="006177CD"/>
    <w:rsid w:val="00617996"/>
    <w:rsid w:val="00617AEB"/>
    <w:rsid w:val="00617FA4"/>
    <w:rsid w:val="006201D7"/>
    <w:rsid w:val="00620243"/>
    <w:rsid w:val="00620BCF"/>
    <w:rsid w:val="00620EBA"/>
    <w:rsid w:val="0062114B"/>
    <w:rsid w:val="0062140D"/>
    <w:rsid w:val="00621B2E"/>
    <w:rsid w:val="00621D57"/>
    <w:rsid w:val="00622141"/>
    <w:rsid w:val="006222AA"/>
    <w:rsid w:val="00622759"/>
    <w:rsid w:val="00622C92"/>
    <w:rsid w:val="006230A3"/>
    <w:rsid w:val="006231F7"/>
    <w:rsid w:val="0062338C"/>
    <w:rsid w:val="006234A6"/>
    <w:rsid w:val="006234A7"/>
    <w:rsid w:val="00623540"/>
    <w:rsid w:val="006235CA"/>
    <w:rsid w:val="00623CDF"/>
    <w:rsid w:val="006243DF"/>
    <w:rsid w:val="00624534"/>
    <w:rsid w:val="006247DB"/>
    <w:rsid w:val="0062514F"/>
    <w:rsid w:val="006251F9"/>
    <w:rsid w:val="0062546E"/>
    <w:rsid w:val="0062555E"/>
    <w:rsid w:val="00625996"/>
    <w:rsid w:val="00625AE0"/>
    <w:rsid w:val="00625B96"/>
    <w:rsid w:val="00625D49"/>
    <w:rsid w:val="00625E49"/>
    <w:rsid w:val="00625E97"/>
    <w:rsid w:val="00626008"/>
    <w:rsid w:val="00626288"/>
    <w:rsid w:val="006268C9"/>
    <w:rsid w:val="00626CA4"/>
    <w:rsid w:val="00627174"/>
    <w:rsid w:val="006271DB"/>
    <w:rsid w:val="00627288"/>
    <w:rsid w:val="0063030A"/>
    <w:rsid w:val="00630312"/>
    <w:rsid w:val="00630386"/>
    <w:rsid w:val="0063053F"/>
    <w:rsid w:val="006307F7"/>
    <w:rsid w:val="00630D43"/>
    <w:rsid w:val="006310AB"/>
    <w:rsid w:val="00631120"/>
    <w:rsid w:val="00631207"/>
    <w:rsid w:val="00631250"/>
    <w:rsid w:val="0063150D"/>
    <w:rsid w:val="0063154D"/>
    <w:rsid w:val="0063187C"/>
    <w:rsid w:val="00631A1E"/>
    <w:rsid w:val="00631D71"/>
    <w:rsid w:val="00631D81"/>
    <w:rsid w:val="0063228F"/>
    <w:rsid w:val="00632570"/>
    <w:rsid w:val="00632679"/>
    <w:rsid w:val="006329DB"/>
    <w:rsid w:val="00632BA5"/>
    <w:rsid w:val="00632C45"/>
    <w:rsid w:val="00632CCB"/>
    <w:rsid w:val="00632D9D"/>
    <w:rsid w:val="006332BD"/>
    <w:rsid w:val="00633839"/>
    <w:rsid w:val="006338EE"/>
    <w:rsid w:val="00633914"/>
    <w:rsid w:val="00633960"/>
    <w:rsid w:val="006339A3"/>
    <w:rsid w:val="00633A93"/>
    <w:rsid w:val="00633D87"/>
    <w:rsid w:val="00633E9C"/>
    <w:rsid w:val="00634095"/>
    <w:rsid w:val="00634297"/>
    <w:rsid w:val="006344FB"/>
    <w:rsid w:val="00634599"/>
    <w:rsid w:val="00634A89"/>
    <w:rsid w:val="006353D1"/>
    <w:rsid w:val="00635AE8"/>
    <w:rsid w:val="00635D86"/>
    <w:rsid w:val="00635FA6"/>
    <w:rsid w:val="00636564"/>
    <w:rsid w:val="0063666B"/>
    <w:rsid w:val="0063667D"/>
    <w:rsid w:val="006366C3"/>
    <w:rsid w:val="0063680E"/>
    <w:rsid w:val="00636985"/>
    <w:rsid w:val="00636DB5"/>
    <w:rsid w:val="0063713B"/>
    <w:rsid w:val="006374A7"/>
    <w:rsid w:val="006375B5"/>
    <w:rsid w:val="00637B1C"/>
    <w:rsid w:val="00637C62"/>
    <w:rsid w:val="00637D20"/>
    <w:rsid w:val="00637EA8"/>
    <w:rsid w:val="00637F51"/>
    <w:rsid w:val="006400F9"/>
    <w:rsid w:val="00640321"/>
    <w:rsid w:val="006403CB"/>
    <w:rsid w:val="00640676"/>
    <w:rsid w:val="0064098C"/>
    <w:rsid w:val="00640A9F"/>
    <w:rsid w:val="00640AA5"/>
    <w:rsid w:val="00640ADA"/>
    <w:rsid w:val="00640C93"/>
    <w:rsid w:val="00640F6C"/>
    <w:rsid w:val="00640F97"/>
    <w:rsid w:val="006411BA"/>
    <w:rsid w:val="006413B2"/>
    <w:rsid w:val="00641501"/>
    <w:rsid w:val="006415CC"/>
    <w:rsid w:val="00641674"/>
    <w:rsid w:val="00641D4A"/>
    <w:rsid w:val="00641E93"/>
    <w:rsid w:val="0064205D"/>
    <w:rsid w:val="006420F2"/>
    <w:rsid w:val="00642275"/>
    <w:rsid w:val="006422A4"/>
    <w:rsid w:val="006424F1"/>
    <w:rsid w:val="006427AA"/>
    <w:rsid w:val="006429D7"/>
    <w:rsid w:val="006433E0"/>
    <w:rsid w:val="0064351C"/>
    <w:rsid w:val="006438CF"/>
    <w:rsid w:val="00643FE1"/>
    <w:rsid w:val="006443B3"/>
    <w:rsid w:val="00644413"/>
    <w:rsid w:val="006448A0"/>
    <w:rsid w:val="006457AD"/>
    <w:rsid w:val="00645AB1"/>
    <w:rsid w:val="00645B68"/>
    <w:rsid w:val="00645C2E"/>
    <w:rsid w:val="00645CBF"/>
    <w:rsid w:val="00646131"/>
    <w:rsid w:val="0064632D"/>
    <w:rsid w:val="0064668A"/>
    <w:rsid w:val="00646885"/>
    <w:rsid w:val="00646D27"/>
    <w:rsid w:val="006472BB"/>
    <w:rsid w:val="006472D6"/>
    <w:rsid w:val="00647E51"/>
    <w:rsid w:val="00647F5C"/>
    <w:rsid w:val="0065042A"/>
    <w:rsid w:val="00650610"/>
    <w:rsid w:val="00650661"/>
    <w:rsid w:val="0065066D"/>
    <w:rsid w:val="00650A98"/>
    <w:rsid w:val="00650D47"/>
    <w:rsid w:val="0065105A"/>
    <w:rsid w:val="00651408"/>
    <w:rsid w:val="006517B6"/>
    <w:rsid w:val="006519C2"/>
    <w:rsid w:val="00651AE4"/>
    <w:rsid w:val="00651D92"/>
    <w:rsid w:val="00651E8F"/>
    <w:rsid w:val="00651F89"/>
    <w:rsid w:val="00652050"/>
    <w:rsid w:val="0065228E"/>
    <w:rsid w:val="006523FE"/>
    <w:rsid w:val="0065258A"/>
    <w:rsid w:val="00652627"/>
    <w:rsid w:val="00652867"/>
    <w:rsid w:val="00652D97"/>
    <w:rsid w:val="00652F9C"/>
    <w:rsid w:val="00653204"/>
    <w:rsid w:val="0065338F"/>
    <w:rsid w:val="0065360F"/>
    <w:rsid w:val="00653E09"/>
    <w:rsid w:val="0065428C"/>
    <w:rsid w:val="00654372"/>
    <w:rsid w:val="006544B9"/>
    <w:rsid w:val="006547A3"/>
    <w:rsid w:val="0065481C"/>
    <w:rsid w:val="0065485D"/>
    <w:rsid w:val="00654AFC"/>
    <w:rsid w:val="006553E0"/>
    <w:rsid w:val="00655A2F"/>
    <w:rsid w:val="00655BE6"/>
    <w:rsid w:val="006565C9"/>
    <w:rsid w:val="00656635"/>
    <w:rsid w:val="00656647"/>
    <w:rsid w:val="006566D2"/>
    <w:rsid w:val="006567AC"/>
    <w:rsid w:val="00656F08"/>
    <w:rsid w:val="006570C4"/>
    <w:rsid w:val="00657A1C"/>
    <w:rsid w:val="00657BB7"/>
    <w:rsid w:val="00657D2D"/>
    <w:rsid w:val="00657F02"/>
    <w:rsid w:val="00660096"/>
    <w:rsid w:val="0066017D"/>
    <w:rsid w:val="00660B6C"/>
    <w:rsid w:val="00660D0F"/>
    <w:rsid w:val="006611BA"/>
    <w:rsid w:val="00661505"/>
    <w:rsid w:val="00661576"/>
    <w:rsid w:val="0066160A"/>
    <w:rsid w:val="00661815"/>
    <w:rsid w:val="00661892"/>
    <w:rsid w:val="00661D00"/>
    <w:rsid w:val="00661D9B"/>
    <w:rsid w:val="00661DBF"/>
    <w:rsid w:val="00662588"/>
    <w:rsid w:val="006626B3"/>
    <w:rsid w:val="006628FA"/>
    <w:rsid w:val="00662C4C"/>
    <w:rsid w:val="00662EF2"/>
    <w:rsid w:val="00662F03"/>
    <w:rsid w:val="00662FD3"/>
    <w:rsid w:val="006633D7"/>
    <w:rsid w:val="00663598"/>
    <w:rsid w:val="00663812"/>
    <w:rsid w:val="006638C1"/>
    <w:rsid w:val="00663975"/>
    <w:rsid w:val="00663BEB"/>
    <w:rsid w:val="00663CE6"/>
    <w:rsid w:val="00663DF5"/>
    <w:rsid w:val="00663E04"/>
    <w:rsid w:val="00663EAD"/>
    <w:rsid w:val="00663EF5"/>
    <w:rsid w:val="00663F01"/>
    <w:rsid w:val="00663FA6"/>
    <w:rsid w:val="006642D3"/>
    <w:rsid w:val="0066436E"/>
    <w:rsid w:val="0066452E"/>
    <w:rsid w:val="00664734"/>
    <w:rsid w:val="006647CE"/>
    <w:rsid w:val="00664BC7"/>
    <w:rsid w:val="00664CC2"/>
    <w:rsid w:val="006651C5"/>
    <w:rsid w:val="00665221"/>
    <w:rsid w:val="0066546D"/>
    <w:rsid w:val="00665667"/>
    <w:rsid w:val="00665B03"/>
    <w:rsid w:val="00665CF7"/>
    <w:rsid w:val="00665FAD"/>
    <w:rsid w:val="006661C6"/>
    <w:rsid w:val="0066652A"/>
    <w:rsid w:val="00666B5D"/>
    <w:rsid w:val="006675E2"/>
    <w:rsid w:val="00667B15"/>
    <w:rsid w:val="00667E06"/>
    <w:rsid w:val="00667F2D"/>
    <w:rsid w:val="00670187"/>
    <w:rsid w:val="00670C9B"/>
    <w:rsid w:val="00670D90"/>
    <w:rsid w:val="00671134"/>
    <w:rsid w:val="00671375"/>
    <w:rsid w:val="006713A1"/>
    <w:rsid w:val="00671815"/>
    <w:rsid w:val="006719C9"/>
    <w:rsid w:val="00671E5A"/>
    <w:rsid w:val="0067200D"/>
    <w:rsid w:val="006722FF"/>
    <w:rsid w:val="006723C2"/>
    <w:rsid w:val="006724C2"/>
    <w:rsid w:val="0067263B"/>
    <w:rsid w:val="00672779"/>
    <w:rsid w:val="006727C3"/>
    <w:rsid w:val="006728B9"/>
    <w:rsid w:val="0067291A"/>
    <w:rsid w:val="00672BFC"/>
    <w:rsid w:val="00672C55"/>
    <w:rsid w:val="00672D9A"/>
    <w:rsid w:val="0067366D"/>
    <w:rsid w:val="006736DF"/>
    <w:rsid w:val="00673715"/>
    <w:rsid w:val="0067385D"/>
    <w:rsid w:val="0067401F"/>
    <w:rsid w:val="0067450C"/>
    <w:rsid w:val="00674551"/>
    <w:rsid w:val="0067460E"/>
    <w:rsid w:val="00674902"/>
    <w:rsid w:val="00674995"/>
    <w:rsid w:val="00674B01"/>
    <w:rsid w:val="00674C5B"/>
    <w:rsid w:val="00674EA0"/>
    <w:rsid w:val="00674F15"/>
    <w:rsid w:val="0067505C"/>
    <w:rsid w:val="006750C7"/>
    <w:rsid w:val="006750D2"/>
    <w:rsid w:val="006751FC"/>
    <w:rsid w:val="00675685"/>
    <w:rsid w:val="00675855"/>
    <w:rsid w:val="006758B1"/>
    <w:rsid w:val="00675B34"/>
    <w:rsid w:val="006762E5"/>
    <w:rsid w:val="00676685"/>
    <w:rsid w:val="00676957"/>
    <w:rsid w:val="00676AD5"/>
    <w:rsid w:val="00676B11"/>
    <w:rsid w:val="00676C2E"/>
    <w:rsid w:val="0067719A"/>
    <w:rsid w:val="00677E3F"/>
    <w:rsid w:val="00680731"/>
    <w:rsid w:val="00680792"/>
    <w:rsid w:val="0068098C"/>
    <w:rsid w:val="00680A68"/>
    <w:rsid w:val="00680F41"/>
    <w:rsid w:val="00680F9A"/>
    <w:rsid w:val="0068106F"/>
    <w:rsid w:val="00681190"/>
    <w:rsid w:val="006813E7"/>
    <w:rsid w:val="00681608"/>
    <w:rsid w:val="0068160C"/>
    <w:rsid w:val="006818F4"/>
    <w:rsid w:val="006819AE"/>
    <w:rsid w:val="00681F6D"/>
    <w:rsid w:val="00681FF0"/>
    <w:rsid w:val="006823F6"/>
    <w:rsid w:val="0068259F"/>
    <w:rsid w:val="00682A5D"/>
    <w:rsid w:val="00682A9C"/>
    <w:rsid w:val="00682B1E"/>
    <w:rsid w:val="00682D14"/>
    <w:rsid w:val="00682FFC"/>
    <w:rsid w:val="00683566"/>
    <w:rsid w:val="006839C7"/>
    <w:rsid w:val="006840A2"/>
    <w:rsid w:val="006848BA"/>
    <w:rsid w:val="00684995"/>
    <w:rsid w:val="00684B25"/>
    <w:rsid w:val="00684DED"/>
    <w:rsid w:val="0068528D"/>
    <w:rsid w:val="006854EA"/>
    <w:rsid w:val="0068554A"/>
    <w:rsid w:val="00685925"/>
    <w:rsid w:val="00685BF1"/>
    <w:rsid w:val="00685E8C"/>
    <w:rsid w:val="00685FF4"/>
    <w:rsid w:val="00686011"/>
    <w:rsid w:val="00686038"/>
    <w:rsid w:val="00686436"/>
    <w:rsid w:val="0068649D"/>
    <w:rsid w:val="0068695E"/>
    <w:rsid w:val="00687129"/>
    <w:rsid w:val="006872E8"/>
    <w:rsid w:val="00687334"/>
    <w:rsid w:val="006877C6"/>
    <w:rsid w:val="00687828"/>
    <w:rsid w:val="00687A0C"/>
    <w:rsid w:val="00687DA1"/>
    <w:rsid w:val="00690030"/>
    <w:rsid w:val="0069006A"/>
    <w:rsid w:val="0069016C"/>
    <w:rsid w:val="006901DA"/>
    <w:rsid w:val="00690288"/>
    <w:rsid w:val="00690312"/>
    <w:rsid w:val="00690456"/>
    <w:rsid w:val="006908F1"/>
    <w:rsid w:val="00690C91"/>
    <w:rsid w:val="00690D3F"/>
    <w:rsid w:val="00691085"/>
    <w:rsid w:val="006914F8"/>
    <w:rsid w:val="006917CA"/>
    <w:rsid w:val="00691D3D"/>
    <w:rsid w:val="00691DC7"/>
    <w:rsid w:val="00691F1F"/>
    <w:rsid w:val="00691F84"/>
    <w:rsid w:val="0069207F"/>
    <w:rsid w:val="006920F3"/>
    <w:rsid w:val="00692118"/>
    <w:rsid w:val="006922FF"/>
    <w:rsid w:val="006925C1"/>
    <w:rsid w:val="006925DC"/>
    <w:rsid w:val="006926C5"/>
    <w:rsid w:val="00692A97"/>
    <w:rsid w:val="0069326F"/>
    <w:rsid w:val="006938AF"/>
    <w:rsid w:val="006938C5"/>
    <w:rsid w:val="0069395D"/>
    <w:rsid w:val="0069395E"/>
    <w:rsid w:val="00693E45"/>
    <w:rsid w:val="00693FAA"/>
    <w:rsid w:val="006941D8"/>
    <w:rsid w:val="0069424F"/>
    <w:rsid w:val="0069428F"/>
    <w:rsid w:val="00694EA0"/>
    <w:rsid w:val="00695083"/>
    <w:rsid w:val="006956A9"/>
    <w:rsid w:val="0069597D"/>
    <w:rsid w:val="00695A90"/>
    <w:rsid w:val="00695D2C"/>
    <w:rsid w:val="00695F26"/>
    <w:rsid w:val="00695F93"/>
    <w:rsid w:val="0069610C"/>
    <w:rsid w:val="0069615C"/>
    <w:rsid w:val="006962F3"/>
    <w:rsid w:val="006964ED"/>
    <w:rsid w:val="0069662E"/>
    <w:rsid w:val="00696C23"/>
    <w:rsid w:val="00696D3A"/>
    <w:rsid w:val="00696E09"/>
    <w:rsid w:val="00696FE3"/>
    <w:rsid w:val="00696FF6"/>
    <w:rsid w:val="0069749B"/>
    <w:rsid w:val="006974AB"/>
    <w:rsid w:val="00697B60"/>
    <w:rsid w:val="00697BFC"/>
    <w:rsid w:val="00697F5C"/>
    <w:rsid w:val="00697FD8"/>
    <w:rsid w:val="00697FDB"/>
    <w:rsid w:val="006A017D"/>
    <w:rsid w:val="006A03D2"/>
    <w:rsid w:val="006A043E"/>
    <w:rsid w:val="006A04CA"/>
    <w:rsid w:val="006A092C"/>
    <w:rsid w:val="006A0A7C"/>
    <w:rsid w:val="006A0ABF"/>
    <w:rsid w:val="006A0CCA"/>
    <w:rsid w:val="006A1078"/>
    <w:rsid w:val="006A10C4"/>
    <w:rsid w:val="006A117A"/>
    <w:rsid w:val="006A1271"/>
    <w:rsid w:val="006A12C0"/>
    <w:rsid w:val="006A131D"/>
    <w:rsid w:val="006A13C1"/>
    <w:rsid w:val="006A15B8"/>
    <w:rsid w:val="006A1735"/>
    <w:rsid w:val="006A17CA"/>
    <w:rsid w:val="006A18B2"/>
    <w:rsid w:val="006A1CD1"/>
    <w:rsid w:val="006A1DF3"/>
    <w:rsid w:val="006A1E8C"/>
    <w:rsid w:val="006A1ED1"/>
    <w:rsid w:val="006A2637"/>
    <w:rsid w:val="006A2726"/>
    <w:rsid w:val="006A2795"/>
    <w:rsid w:val="006A2991"/>
    <w:rsid w:val="006A35B6"/>
    <w:rsid w:val="006A35C3"/>
    <w:rsid w:val="006A382B"/>
    <w:rsid w:val="006A3E66"/>
    <w:rsid w:val="006A4488"/>
    <w:rsid w:val="006A4A38"/>
    <w:rsid w:val="006A4DC5"/>
    <w:rsid w:val="006A4F27"/>
    <w:rsid w:val="006A529E"/>
    <w:rsid w:val="006A57A3"/>
    <w:rsid w:val="006A5ADE"/>
    <w:rsid w:val="006A5B31"/>
    <w:rsid w:val="006A5C6E"/>
    <w:rsid w:val="006A5D0B"/>
    <w:rsid w:val="006A5FDE"/>
    <w:rsid w:val="006A6075"/>
    <w:rsid w:val="006A6553"/>
    <w:rsid w:val="006A6B42"/>
    <w:rsid w:val="006A6D6D"/>
    <w:rsid w:val="006A6DD8"/>
    <w:rsid w:val="006A6FD7"/>
    <w:rsid w:val="006A709B"/>
    <w:rsid w:val="006A7256"/>
    <w:rsid w:val="006A73A4"/>
    <w:rsid w:val="006A78CB"/>
    <w:rsid w:val="006A7A52"/>
    <w:rsid w:val="006A7AA0"/>
    <w:rsid w:val="006B042E"/>
    <w:rsid w:val="006B04CA"/>
    <w:rsid w:val="006B06A4"/>
    <w:rsid w:val="006B07D8"/>
    <w:rsid w:val="006B085F"/>
    <w:rsid w:val="006B089B"/>
    <w:rsid w:val="006B0A14"/>
    <w:rsid w:val="006B0C4C"/>
    <w:rsid w:val="006B0CCB"/>
    <w:rsid w:val="006B0D46"/>
    <w:rsid w:val="006B0D86"/>
    <w:rsid w:val="006B0F8A"/>
    <w:rsid w:val="006B1312"/>
    <w:rsid w:val="006B1738"/>
    <w:rsid w:val="006B180E"/>
    <w:rsid w:val="006B1AA6"/>
    <w:rsid w:val="006B1C4B"/>
    <w:rsid w:val="006B1E91"/>
    <w:rsid w:val="006B1EE4"/>
    <w:rsid w:val="006B22E4"/>
    <w:rsid w:val="006B2432"/>
    <w:rsid w:val="006B249B"/>
    <w:rsid w:val="006B269B"/>
    <w:rsid w:val="006B2941"/>
    <w:rsid w:val="006B2AF2"/>
    <w:rsid w:val="006B3044"/>
    <w:rsid w:val="006B317B"/>
    <w:rsid w:val="006B3188"/>
    <w:rsid w:val="006B3208"/>
    <w:rsid w:val="006B3301"/>
    <w:rsid w:val="006B33B1"/>
    <w:rsid w:val="006B340A"/>
    <w:rsid w:val="006B3E41"/>
    <w:rsid w:val="006B4248"/>
    <w:rsid w:val="006B472B"/>
    <w:rsid w:val="006B47FD"/>
    <w:rsid w:val="006B48A5"/>
    <w:rsid w:val="006B4A7D"/>
    <w:rsid w:val="006B4A82"/>
    <w:rsid w:val="006B4D7D"/>
    <w:rsid w:val="006B4E8B"/>
    <w:rsid w:val="006B4F24"/>
    <w:rsid w:val="006B50F5"/>
    <w:rsid w:val="006B51DA"/>
    <w:rsid w:val="006B5265"/>
    <w:rsid w:val="006B5696"/>
    <w:rsid w:val="006B56FC"/>
    <w:rsid w:val="006B577B"/>
    <w:rsid w:val="006B59DF"/>
    <w:rsid w:val="006B59E1"/>
    <w:rsid w:val="006B5EA7"/>
    <w:rsid w:val="006B5EC3"/>
    <w:rsid w:val="006B5EDC"/>
    <w:rsid w:val="006B63FC"/>
    <w:rsid w:val="006B652E"/>
    <w:rsid w:val="006B66AD"/>
    <w:rsid w:val="006B66D2"/>
    <w:rsid w:val="006B6CED"/>
    <w:rsid w:val="006B77F3"/>
    <w:rsid w:val="006B7BD8"/>
    <w:rsid w:val="006B9ADD"/>
    <w:rsid w:val="006C002E"/>
    <w:rsid w:val="006C009D"/>
    <w:rsid w:val="006C00BA"/>
    <w:rsid w:val="006C05D5"/>
    <w:rsid w:val="006C0869"/>
    <w:rsid w:val="006C0887"/>
    <w:rsid w:val="006C08AD"/>
    <w:rsid w:val="006C08FE"/>
    <w:rsid w:val="006C0A18"/>
    <w:rsid w:val="006C0B8F"/>
    <w:rsid w:val="006C0C65"/>
    <w:rsid w:val="006C13CA"/>
    <w:rsid w:val="006C183C"/>
    <w:rsid w:val="006C187E"/>
    <w:rsid w:val="006C19F8"/>
    <w:rsid w:val="006C1F0E"/>
    <w:rsid w:val="006C209D"/>
    <w:rsid w:val="006C21B2"/>
    <w:rsid w:val="006C2305"/>
    <w:rsid w:val="006C2392"/>
    <w:rsid w:val="006C23E6"/>
    <w:rsid w:val="006C23EB"/>
    <w:rsid w:val="006C253D"/>
    <w:rsid w:val="006C2598"/>
    <w:rsid w:val="006C270D"/>
    <w:rsid w:val="006C2D8B"/>
    <w:rsid w:val="006C318A"/>
    <w:rsid w:val="006C32F3"/>
    <w:rsid w:val="006C3645"/>
    <w:rsid w:val="006C37CE"/>
    <w:rsid w:val="006C398D"/>
    <w:rsid w:val="006C3C02"/>
    <w:rsid w:val="006C3C9F"/>
    <w:rsid w:val="006C3CC0"/>
    <w:rsid w:val="006C3FAE"/>
    <w:rsid w:val="006C4070"/>
    <w:rsid w:val="006C4144"/>
    <w:rsid w:val="006C4293"/>
    <w:rsid w:val="006C43A7"/>
    <w:rsid w:val="006C4409"/>
    <w:rsid w:val="006C44F5"/>
    <w:rsid w:val="006C4678"/>
    <w:rsid w:val="006C4A6F"/>
    <w:rsid w:val="006C4B60"/>
    <w:rsid w:val="006C4BB2"/>
    <w:rsid w:val="006C4C44"/>
    <w:rsid w:val="006C511F"/>
    <w:rsid w:val="006C5123"/>
    <w:rsid w:val="006C54EB"/>
    <w:rsid w:val="006C58E0"/>
    <w:rsid w:val="006C5BED"/>
    <w:rsid w:val="006C5E61"/>
    <w:rsid w:val="006C5F83"/>
    <w:rsid w:val="006C60B4"/>
    <w:rsid w:val="006C6BA1"/>
    <w:rsid w:val="006C74F2"/>
    <w:rsid w:val="006C76D6"/>
    <w:rsid w:val="006C7A2C"/>
    <w:rsid w:val="006C7B63"/>
    <w:rsid w:val="006C7D05"/>
    <w:rsid w:val="006C7DB5"/>
    <w:rsid w:val="006C7ECE"/>
    <w:rsid w:val="006C7FC3"/>
    <w:rsid w:val="006D0612"/>
    <w:rsid w:val="006D07E5"/>
    <w:rsid w:val="006D083E"/>
    <w:rsid w:val="006D0A93"/>
    <w:rsid w:val="006D0C98"/>
    <w:rsid w:val="006D0DA0"/>
    <w:rsid w:val="006D0DF0"/>
    <w:rsid w:val="006D0DFE"/>
    <w:rsid w:val="006D1247"/>
    <w:rsid w:val="006D155C"/>
    <w:rsid w:val="006D1B4D"/>
    <w:rsid w:val="006D21BB"/>
    <w:rsid w:val="006D226A"/>
    <w:rsid w:val="006D2777"/>
    <w:rsid w:val="006D27EE"/>
    <w:rsid w:val="006D2906"/>
    <w:rsid w:val="006D2BD8"/>
    <w:rsid w:val="006D2CB7"/>
    <w:rsid w:val="006D2F4A"/>
    <w:rsid w:val="006D30E8"/>
    <w:rsid w:val="006D3412"/>
    <w:rsid w:val="006D370B"/>
    <w:rsid w:val="006D377C"/>
    <w:rsid w:val="006D3AF8"/>
    <w:rsid w:val="006D3B2B"/>
    <w:rsid w:val="006D3F54"/>
    <w:rsid w:val="006D3F5D"/>
    <w:rsid w:val="006D40C2"/>
    <w:rsid w:val="006D4151"/>
    <w:rsid w:val="006D41CF"/>
    <w:rsid w:val="006D44F0"/>
    <w:rsid w:val="006D46AC"/>
    <w:rsid w:val="006D4ACD"/>
    <w:rsid w:val="006D4C23"/>
    <w:rsid w:val="006D4C78"/>
    <w:rsid w:val="006D4E84"/>
    <w:rsid w:val="006D518C"/>
    <w:rsid w:val="006D5353"/>
    <w:rsid w:val="006D53F3"/>
    <w:rsid w:val="006D5DFC"/>
    <w:rsid w:val="006D5EA4"/>
    <w:rsid w:val="006D5FE3"/>
    <w:rsid w:val="006D603A"/>
    <w:rsid w:val="006D603E"/>
    <w:rsid w:val="006D6551"/>
    <w:rsid w:val="006D6981"/>
    <w:rsid w:val="006D6A59"/>
    <w:rsid w:val="006D70DD"/>
    <w:rsid w:val="006D72D2"/>
    <w:rsid w:val="006D7430"/>
    <w:rsid w:val="006D7440"/>
    <w:rsid w:val="006D7587"/>
    <w:rsid w:val="006D7AA9"/>
    <w:rsid w:val="006D7E3E"/>
    <w:rsid w:val="006E0019"/>
    <w:rsid w:val="006E0716"/>
    <w:rsid w:val="006E086B"/>
    <w:rsid w:val="006E08CE"/>
    <w:rsid w:val="006E08D1"/>
    <w:rsid w:val="006E09E2"/>
    <w:rsid w:val="006E0BC1"/>
    <w:rsid w:val="006E0D4A"/>
    <w:rsid w:val="006E11FB"/>
    <w:rsid w:val="006E13AD"/>
    <w:rsid w:val="006E17C3"/>
    <w:rsid w:val="006E182C"/>
    <w:rsid w:val="006E1E0B"/>
    <w:rsid w:val="006E267F"/>
    <w:rsid w:val="006E278A"/>
    <w:rsid w:val="006E2BB3"/>
    <w:rsid w:val="006E33DD"/>
    <w:rsid w:val="006E350F"/>
    <w:rsid w:val="006E359A"/>
    <w:rsid w:val="006E3897"/>
    <w:rsid w:val="006E3906"/>
    <w:rsid w:val="006E3BA5"/>
    <w:rsid w:val="006E437F"/>
    <w:rsid w:val="006E4635"/>
    <w:rsid w:val="006E497E"/>
    <w:rsid w:val="006E4A21"/>
    <w:rsid w:val="006E4B92"/>
    <w:rsid w:val="006E4D6E"/>
    <w:rsid w:val="006E52F8"/>
    <w:rsid w:val="006E534E"/>
    <w:rsid w:val="006E57B4"/>
    <w:rsid w:val="006E5845"/>
    <w:rsid w:val="006E5B2F"/>
    <w:rsid w:val="006E5C39"/>
    <w:rsid w:val="006E5D2F"/>
    <w:rsid w:val="006E5DF0"/>
    <w:rsid w:val="006E5E82"/>
    <w:rsid w:val="006E5F4C"/>
    <w:rsid w:val="006E60F1"/>
    <w:rsid w:val="006E61BC"/>
    <w:rsid w:val="006E6454"/>
    <w:rsid w:val="006E647F"/>
    <w:rsid w:val="006E672C"/>
    <w:rsid w:val="006E674E"/>
    <w:rsid w:val="006E6A4F"/>
    <w:rsid w:val="006E6B4C"/>
    <w:rsid w:val="006E6D7F"/>
    <w:rsid w:val="006E706E"/>
    <w:rsid w:val="006E7114"/>
    <w:rsid w:val="006E716E"/>
    <w:rsid w:val="006E72F8"/>
    <w:rsid w:val="006E7C59"/>
    <w:rsid w:val="006E7D9B"/>
    <w:rsid w:val="006F01F0"/>
    <w:rsid w:val="006F0263"/>
    <w:rsid w:val="006F081B"/>
    <w:rsid w:val="006F083C"/>
    <w:rsid w:val="006F08BC"/>
    <w:rsid w:val="006F0E0C"/>
    <w:rsid w:val="006F0E86"/>
    <w:rsid w:val="006F104D"/>
    <w:rsid w:val="006F12DF"/>
    <w:rsid w:val="006F1304"/>
    <w:rsid w:val="006F1337"/>
    <w:rsid w:val="006F157C"/>
    <w:rsid w:val="006F15A1"/>
    <w:rsid w:val="006F165C"/>
    <w:rsid w:val="006F1853"/>
    <w:rsid w:val="006F1A76"/>
    <w:rsid w:val="006F1AF7"/>
    <w:rsid w:val="006F1D82"/>
    <w:rsid w:val="006F1E8E"/>
    <w:rsid w:val="006F245A"/>
    <w:rsid w:val="006F2558"/>
    <w:rsid w:val="006F267A"/>
    <w:rsid w:val="006F293C"/>
    <w:rsid w:val="006F2995"/>
    <w:rsid w:val="006F2B49"/>
    <w:rsid w:val="006F2E9B"/>
    <w:rsid w:val="006F2FA8"/>
    <w:rsid w:val="006F3056"/>
    <w:rsid w:val="006F36A3"/>
    <w:rsid w:val="006F3959"/>
    <w:rsid w:val="006F3A0E"/>
    <w:rsid w:val="006F3D0F"/>
    <w:rsid w:val="006F3E3F"/>
    <w:rsid w:val="006F3FE1"/>
    <w:rsid w:val="006F412A"/>
    <w:rsid w:val="006F481F"/>
    <w:rsid w:val="006F48D6"/>
    <w:rsid w:val="006F4AEA"/>
    <w:rsid w:val="006F4B9D"/>
    <w:rsid w:val="006F4E13"/>
    <w:rsid w:val="006F505D"/>
    <w:rsid w:val="006F573D"/>
    <w:rsid w:val="006F5B1E"/>
    <w:rsid w:val="006F5C00"/>
    <w:rsid w:val="006F62D3"/>
    <w:rsid w:val="006F642E"/>
    <w:rsid w:val="006F674A"/>
    <w:rsid w:val="006F6C7C"/>
    <w:rsid w:val="006F6D2D"/>
    <w:rsid w:val="006F6F7A"/>
    <w:rsid w:val="006F7195"/>
    <w:rsid w:val="006F7326"/>
    <w:rsid w:val="006F7436"/>
    <w:rsid w:val="006F747D"/>
    <w:rsid w:val="006F7769"/>
    <w:rsid w:val="006F79D3"/>
    <w:rsid w:val="006F7B92"/>
    <w:rsid w:val="006F7CB5"/>
    <w:rsid w:val="006F7D1F"/>
    <w:rsid w:val="006F7D26"/>
    <w:rsid w:val="006F7F39"/>
    <w:rsid w:val="00700179"/>
    <w:rsid w:val="00700252"/>
    <w:rsid w:val="007002C4"/>
    <w:rsid w:val="00700300"/>
    <w:rsid w:val="0070036F"/>
    <w:rsid w:val="007006A8"/>
    <w:rsid w:val="007006AB"/>
    <w:rsid w:val="00700823"/>
    <w:rsid w:val="00700B48"/>
    <w:rsid w:val="007010AB"/>
    <w:rsid w:val="007012B9"/>
    <w:rsid w:val="007012C5"/>
    <w:rsid w:val="00701632"/>
    <w:rsid w:val="0070165C"/>
    <w:rsid w:val="00701C9E"/>
    <w:rsid w:val="007021CF"/>
    <w:rsid w:val="007022AC"/>
    <w:rsid w:val="0070230E"/>
    <w:rsid w:val="00702329"/>
    <w:rsid w:val="00702634"/>
    <w:rsid w:val="0070286B"/>
    <w:rsid w:val="00702C00"/>
    <w:rsid w:val="00702E58"/>
    <w:rsid w:val="00702F99"/>
    <w:rsid w:val="007036B8"/>
    <w:rsid w:val="00703C31"/>
    <w:rsid w:val="00703FCD"/>
    <w:rsid w:val="00704158"/>
    <w:rsid w:val="0070416C"/>
    <w:rsid w:val="00704347"/>
    <w:rsid w:val="00704F01"/>
    <w:rsid w:val="00705092"/>
    <w:rsid w:val="0070509A"/>
    <w:rsid w:val="007050A0"/>
    <w:rsid w:val="00705133"/>
    <w:rsid w:val="0070593E"/>
    <w:rsid w:val="00705BB1"/>
    <w:rsid w:val="00705C8C"/>
    <w:rsid w:val="00705DC7"/>
    <w:rsid w:val="00705E41"/>
    <w:rsid w:val="007061D8"/>
    <w:rsid w:val="00706298"/>
    <w:rsid w:val="007063C2"/>
    <w:rsid w:val="007068C7"/>
    <w:rsid w:val="00706984"/>
    <w:rsid w:val="00706A86"/>
    <w:rsid w:val="00706D4D"/>
    <w:rsid w:val="00707050"/>
    <w:rsid w:val="007073DC"/>
    <w:rsid w:val="00707405"/>
    <w:rsid w:val="007075FA"/>
    <w:rsid w:val="00707C7B"/>
    <w:rsid w:val="00707E09"/>
    <w:rsid w:val="00707F65"/>
    <w:rsid w:val="00707FB9"/>
    <w:rsid w:val="007100E6"/>
    <w:rsid w:val="007102FA"/>
    <w:rsid w:val="00710333"/>
    <w:rsid w:val="007103FB"/>
    <w:rsid w:val="0071079A"/>
    <w:rsid w:val="0071080C"/>
    <w:rsid w:val="0071084C"/>
    <w:rsid w:val="00710D31"/>
    <w:rsid w:val="00710DB4"/>
    <w:rsid w:val="00710E63"/>
    <w:rsid w:val="007115AC"/>
    <w:rsid w:val="00711765"/>
    <w:rsid w:val="00711935"/>
    <w:rsid w:val="00711A67"/>
    <w:rsid w:val="00711C32"/>
    <w:rsid w:val="00711E84"/>
    <w:rsid w:val="007123E6"/>
    <w:rsid w:val="007124DB"/>
    <w:rsid w:val="007128B2"/>
    <w:rsid w:val="007129F8"/>
    <w:rsid w:val="00712CC8"/>
    <w:rsid w:val="00712E7F"/>
    <w:rsid w:val="007134DC"/>
    <w:rsid w:val="0071354E"/>
    <w:rsid w:val="007136D6"/>
    <w:rsid w:val="00713796"/>
    <w:rsid w:val="007138DD"/>
    <w:rsid w:val="00713B53"/>
    <w:rsid w:val="00713CAD"/>
    <w:rsid w:val="007143FE"/>
    <w:rsid w:val="00714A77"/>
    <w:rsid w:val="00714D90"/>
    <w:rsid w:val="00714E79"/>
    <w:rsid w:val="0071527D"/>
    <w:rsid w:val="00715601"/>
    <w:rsid w:val="0071597C"/>
    <w:rsid w:val="00715A81"/>
    <w:rsid w:val="00715AEB"/>
    <w:rsid w:val="00715F18"/>
    <w:rsid w:val="00715F25"/>
    <w:rsid w:val="00716363"/>
    <w:rsid w:val="0071661F"/>
    <w:rsid w:val="0071669C"/>
    <w:rsid w:val="007169E0"/>
    <w:rsid w:val="00716A15"/>
    <w:rsid w:val="00716A5F"/>
    <w:rsid w:val="00716B6E"/>
    <w:rsid w:val="007170E3"/>
    <w:rsid w:val="0071733B"/>
    <w:rsid w:val="0071738E"/>
    <w:rsid w:val="007173A1"/>
    <w:rsid w:val="00717AB1"/>
    <w:rsid w:val="00720039"/>
    <w:rsid w:val="0072003A"/>
    <w:rsid w:val="007203B0"/>
    <w:rsid w:val="00720465"/>
    <w:rsid w:val="00720619"/>
    <w:rsid w:val="00720857"/>
    <w:rsid w:val="007208B2"/>
    <w:rsid w:val="00720930"/>
    <w:rsid w:val="007209CD"/>
    <w:rsid w:val="00720BDF"/>
    <w:rsid w:val="00720D91"/>
    <w:rsid w:val="00720DF8"/>
    <w:rsid w:val="00720E17"/>
    <w:rsid w:val="00720E77"/>
    <w:rsid w:val="0072122F"/>
    <w:rsid w:val="00721636"/>
    <w:rsid w:val="00721641"/>
    <w:rsid w:val="00721968"/>
    <w:rsid w:val="00721F0C"/>
    <w:rsid w:val="00722134"/>
    <w:rsid w:val="007223E8"/>
    <w:rsid w:val="007224C7"/>
    <w:rsid w:val="00722537"/>
    <w:rsid w:val="007225D5"/>
    <w:rsid w:val="00722B43"/>
    <w:rsid w:val="00722C6A"/>
    <w:rsid w:val="0072301D"/>
    <w:rsid w:val="00723348"/>
    <w:rsid w:val="00723734"/>
    <w:rsid w:val="007238F8"/>
    <w:rsid w:val="007239F8"/>
    <w:rsid w:val="00723A16"/>
    <w:rsid w:val="00723E06"/>
    <w:rsid w:val="00723E55"/>
    <w:rsid w:val="00723EC9"/>
    <w:rsid w:val="00723F3A"/>
    <w:rsid w:val="00724075"/>
    <w:rsid w:val="0072440A"/>
    <w:rsid w:val="0072458F"/>
    <w:rsid w:val="00724598"/>
    <w:rsid w:val="007245CD"/>
    <w:rsid w:val="007247CB"/>
    <w:rsid w:val="007248F1"/>
    <w:rsid w:val="00724E6B"/>
    <w:rsid w:val="00725091"/>
    <w:rsid w:val="0072536F"/>
    <w:rsid w:val="007253BB"/>
    <w:rsid w:val="00725580"/>
    <w:rsid w:val="00725B2F"/>
    <w:rsid w:val="00725B92"/>
    <w:rsid w:val="00725CD3"/>
    <w:rsid w:val="007262E9"/>
    <w:rsid w:val="0072674F"/>
    <w:rsid w:val="00726C18"/>
    <w:rsid w:val="00726F49"/>
    <w:rsid w:val="0072717B"/>
    <w:rsid w:val="0072793C"/>
    <w:rsid w:val="00727B3C"/>
    <w:rsid w:val="00727C6E"/>
    <w:rsid w:val="00727CF5"/>
    <w:rsid w:val="00727E90"/>
    <w:rsid w:val="00730035"/>
    <w:rsid w:val="007301E0"/>
    <w:rsid w:val="007302EA"/>
    <w:rsid w:val="00730358"/>
    <w:rsid w:val="00730490"/>
    <w:rsid w:val="007304E4"/>
    <w:rsid w:val="0073064D"/>
    <w:rsid w:val="007306C8"/>
    <w:rsid w:val="00730806"/>
    <w:rsid w:val="00730D47"/>
    <w:rsid w:val="00730DF2"/>
    <w:rsid w:val="00730F27"/>
    <w:rsid w:val="00731629"/>
    <w:rsid w:val="007316ED"/>
    <w:rsid w:val="00731A2A"/>
    <w:rsid w:val="00731A59"/>
    <w:rsid w:val="007321F2"/>
    <w:rsid w:val="0073249B"/>
    <w:rsid w:val="00732742"/>
    <w:rsid w:val="007327F0"/>
    <w:rsid w:val="00732813"/>
    <w:rsid w:val="00732872"/>
    <w:rsid w:val="00732DD2"/>
    <w:rsid w:val="00732E81"/>
    <w:rsid w:val="00732FEB"/>
    <w:rsid w:val="00733532"/>
    <w:rsid w:val="007336A5"/>
    <w:rsid w:val="007336AB"/>
    <w:rsid w:val="007336E0"/>
    <w:rsid w:val="00733855"/>
    <w:rsid w:val="00733986"/>
    <w:rsid w:val="00733A7F"/>
    <w:rsid w:val="00733AA6"/>
    <w:rsid w:val="00733B67"/>
    <w:rsid w:val="00733B77"/>
    <w:rsid w:val="00733EA2"/>
    <w:rsid w:val="00733EC9"/>
    <w:rsid w:val="0073455E"/>
    <w:rsid w:val="00734682"/>
    <w:rsid w:val="00734706"/>
    <w:rsid w:val="007348D8"/>
    <w:rsid w:val="0073492F"/>
    <w:rsid w:val="00734C74"/>
    <w:rsid w:val="00734D0C"/>
    <w:rsid w:val="00735506"/>
    <w:rsid w:val="00735537"/>
    <w:rsid w:val="007356EA"/>
    <w:rsid w:val="007358D9"/>
    <w:rsid w:val="0073592D"/>
    <w:rsid w:val="00735B5B"/>
    <w:rsid w:val="00735E7D"/>
    <w:rsid w:val="00736550"/>
    <w:rsid w:val="00736706"/>
    <w:rsid w:val="00736712"/>
    <w:rsid w:val="007369ED"/>
    <w:rsid w:val="00736A2A"/>
    <w:rsid w:val="00736AB3"/>
    <w:rsid w:val="00737059"/>
    <w:rsid w:val="00737116"/>
    <w:rsid w:val="00737309"/>
    <w:rsid w:val="007378DE"/>
    <w:rsid w:val="00737FE8"/>
    <w:rsid w:val="007403D4"/>
    <w:rsid w:val="007406D3"/>
    <w:rsid w:val="007407F0"/>
    <w:rsid w:val="007408A1"/>
    <w:rsid w:val="00740AD7"/>
    <w:rsid w:val="00740F73"/>
    <w:rsid w:val="007412A4"/>
    <w:rsid w:val="00741342"/>
    <w:rsid w:val="0074155F"/>
    <w:rsid w:val="0074158E"/>
    <w:rsid w:val="00741CB6"/>
    <w:rsid w:val="00741D8E"/>
    <w:rsid w:val="00741D97"/>
    <w:rsid w:val="00741ECD"/>
    <w:rsid w:val="0074203F"/>
    <w:rsid w:val="00742186"/>
    <w:rsid w:val="00742200"/>
    <w:rsid w:val="00742898"/>
    <w:rsid w:val="00742D8D"/>
    <w:rsid w:val="0074357B"/>
    <w:rsid w:val="00743773"/>
    <w:rsid w:val="00743A1C"/>
    <w:rsid w:val="00743AAC"/>
    <w:rsid w:val="00743B39"/>
    <w:rsid w:val="00743B40"/>
    <w:rsid w:val="00743BA1"/>
    <w:rsid w:val="00743D81"/>
    <w:rsid w:val="00743DF1"/>
    <w:rsid w:val="00743F48"/>
    <w:rsid w:val="007440D4"/>
    <w:rsid w:val="0074418E"/>
    <w:rsid w:val="00744256"/>
    <w:rsid w:val="0074431D"/>
    <w:rsid w:val="007446B4"/>
    <w:rsid w:val="007447BD"/>
    <w:rsid w:val="00744A07"/>
    <w:rsid w:val="00744FE5"/>
    <w:rsid w:val="00744FF6"/>
    <w:rsid w:val="0074541E"/>
    <w:rsid w:val="0074546E"/>
    <w:rsid w:val="00745570"/>
    <w:rsid w:val="00745B2F"/>
    <w:rsid w:val="00745B69"/>
    <w:rsid w:val="00745DC1"/>
    <w:rsid w:val="00745E60"/>
    <w:rsid w:val="00746862"/>
    <w:rsid w:val="00746BD3"/>
    <w:rsid w:val="00746C8F"/>
    <w:rsid w:val="00746D36"/>
    <w:rsid w:val="00746E16"/>
    <w:rsid w:val="00746E1E"/>
    <w:rsid w:val="00746EBC"/>
    <w:rsid w:val="00746FBF"/>
    <w:rsid w:val="007470D2"/>
    <w:rsid w:val="0074723A"/>
    <w:rsid w:val="007473C9"/>
    <w:rsid w:val="00747971"/>
    <w:rsid w:val="00747976"/>
    <w:rsid w:val="007479FE"/>
    <w:rsid w:val="00747AD0"/>
    <w:rsid w:val="00750143"/>
    <w:rsid w:val="007502F0"/>
    <w:rsid w:val="00750328"/>
    <w:rsid w:val="0075041E"/>
    <w:rsid w:val="007504D9"/>
    <w:rsid w:val="0075057A"/>
    <w:rsid w:val="007505EA"/>
    <w:rsid w:val="007505EF"/>
    <w:rsid w:val="00750677"/>
    <w:rsid w:val="007508D2"/>
    <w:rsid w:val="00750A4A"/>
    <w:rsid w:val="00750C17"/>
    <w:rsid w:val="00750CDA"/>
    <w:rsid w:val="00751006"/>
    <w:rsid w:val="0075140A"/>
    <w:rsid w:val="0075170C"/>
    <w:rsid w:val="00751758"/>
    <w:rsid w:val="00751C50"/>
    <w:rsid w:val="00751CE8"/>
    <w:rsid w:val="00751DB7"/>
    <w:rsid w:val="00751EBD"/>
    <w:rsid w:val="00751EFC"/>
    <w:rsid w:val="0075269D"/>
    <w:rsid w:val="00752CD2"/>
    <w:rsid w:val="00752DBA"/>
    <w:rsid w:val="00752E61"/>
    <w:rsid w:val="00753174"/>
    <w:rsid w:val="007532C9"/>
    <w:rsid w:val="00753488"/>
    <w:rsid w:val="00753667"/>
    <w:rsid w:val="007538B9"/>
    <w:rsid w:val="007538E9"/>
    <w:rsid w:val="00753A22"/>
    <w:rsid w:val="00753B23"/>
    <w:rsid w:val="00753B4D"/>
    <w:rsid w:val="00753E2D"/>
    <w:rsid w:val="007541A3"/>
    <w:rsid w:val="0075432E"/>
    <w:rsid w:val="007543EB"/>
    <w:rsid w:val="0075447D"/>
    <w:rsid w:val="007545F4"/>
    <w:rsid w:val="007545FE"/>
    <w:rsid w:val="00754949"/>
    <w:rsid w:val="00754D54"/>
    <w:rsid w:val="0075548D"/>
    <w:rsid w:val="00755720"/>
    <w:rsid w:val="007559FA"/>
    <w:rsid w:val="00755DF3"/>
    <w:rsid w:val="0075608F"/>
    <w:rsid w:val="00756462"/>
    <w:rsid w:val="00756489"/>
    <w:rsid w:val="007564C0"/>
    <w:rsid w:val="00756710"/>
    <w:rsid w:val="00756720"/>
    <w:rsid w:val="00756808"/>
    <w:rsid w:val="00756894"/>
    <w:rsid w:val="00756896"/>
    <w:rsid w:val="00756AF8"/>
    <w:rsid w:val="00756C48"/>
    <w:rsid w:val="00756CDA"/>
    <w:rsid w:val="00756D7D"/>
    <w:rsid w:val="0075706D"/>
    <w:rsid w:val="007570DA"/>
    <w:rsid w:val="007572E3"/>
    <w:rsid w:val="00757A7A"/>
    <w:rsid w:val="00757CA0"/>
    <w:rsid w:val="007602CC"/>
    <w:rsid w:val="007605CF"/>
    <w:rsid w:val="0076064B"/>
    <w:rsid w:val="00760657"/>
    <w:rsid w:val="00760945"/>
    <w:rsid w:val="00760A99"/>
    <w:rsid w:val="00760B36"/>
    <w:rsid w:val="007615DB"/>
    <w:rsid w:val="00761760"/>
    <w:rsid w:val="00761A27"/>
    <w:rsid w:val="00761C94"/>
    <w:rsid w:val="00761CD8"/>
    <w:rsid w:val="00762155"/>
    <w:rsid w:val="0076268C"/>
    <w:rsid w:val="00762716"/>
    <w:rsid w:val="0076280E"/>
    <w:rsid w:val="00762F32"/>
    <w:rsid w:val="00763387"/>
    <w:rsid w:val="007635DD"/>
    <w:rsid w:val="007636DA"/>
    <w:rsid w:val="0076372B"/>
    <w:rsid w:val="00763AB9"/>
    <w:rsid w:val="007641DC"/>
    <w:rsid w:val="00764287"/>
    <w:rsid w:val="007643CF"/>
    <w:rsid w:val="00764512"/>
    <w:rsid w:val="0076491E"/>
    <w:rsid w:val="0076498B"/>
    <w:rsid w:val="00764B60"/>
    <w:rsid w:val="007652A2"/>
    <w:rsid w:val="0076535A"/>
    <w:rsid w:val="00765951"/>
    <w:rsid w:val="00765AAC"/>
    <w:rsid w:val="00765D38"/>
    <w:rsid w:val="00765E34"/>
    <w:rsid w:val="007660B9"/>
    <w:rsid w:val="007661F0"/>
    <w:rsid w:val="007662C8"/>
    <w:rsid w:val="007666DA"/>
    <w:rsid w:val="00766B90"/>
    <w:rsid w:val="00766F2E"/>
    <w:rsid w:val="0076798C"/>
    <w:rsid w:val="00767BA6"/>
    <w:rsid w:val="00767C2C"/>
    <w:rsid w:val="00767D13"/>
    <w:rsid w:val="00767D73"/>
    <w:rsid w:val="007701B8"/>
    <w:rsid w:val="0077037C"/>
    <w:rsid w:val="00770707"/>
    <w:rsid w:val="00770783"/>
    <w:rsid w:val="00770A31"/>
    <w:rsid w:val="00770AA0"/>
    <w:rsid w:val="00770B9E"/>
    <w:rsid w:val="00770DC9"/>
    <w:rsid w:val="00770E7B"/>
    <w:rsid w:val="00771594"/>
    <w:rsid w:val="007719C0"/>
    <w:rsid w:val="00771DE8"/>
    <w:rsid w:val="00771ECD"/>
    <w:rsid w:val="00771F6B"/>
    <w:rsid w:val="007724FA"/>
    <w:rsid w:val="0077270A"/>
    <w:rsid w:val="00772797"/>
    <w:rsid w:val="00772AAE"/>
    <w:rsid w:val="00772FA8"/>
    <w:rsid w:val="00773127"/>
    <w:rsid w:val="00773272"/>
    <w:rsid w:val="007735AB"/>
    <w:rsid w:val="00773600"/>
    <w:rsid w:val="00773821"/>
    <w:rsid w:val="00773947"/>
    <w:rsid w:val="007739D4"/>
    <w:rsid w:val="00773AC7"/>
    <w:rsid w:val="00773C48"/>
    <w:rsid w:val="00774299"/>
    <w:rsid w:val="00774300"/>
    <w:rsid w:val="00774326"/>
    <w:rsid w:val="00774546"/>
    <w:rsid w:val="007748BE"/>
    <w:rsid w:val="007749AB"/>
    <w:rsid w:val="00774BE4"/>
    <w:rsid w:val="00774D24"/>
    <w:rsid w:val="00774EDB"/>
    <w:rsid w:val="007752C5"/>
    <w:rsid w:val="007756B5"/>
    <w:rsid w:val="00775B97"/>
    <w:rsid w:val="00775EBB"/>
    <w:rsid w:val="00775FC8"/>
    <w:rsid w:val="00776045"/>
    <w:rsid w:val="007761FD"/>
    <w:rsid w:val="00776FB9"/>
    <w:rsid w:val="007770D6"/>
    <w:rsid w:val="00777135"/>
    <w:rsid w:val="007771FE"/>
    <w:rsid w:val="0077739A"/>
    <w:rsid w:val="00777490"/>
    <w:rsid w:val="00777544"/>
    <w:rsid w:val="007775CE"/>
    <w:rsid w:val="0078028C"/>
    <w:rsid w:val="007805D5"/>
    <w:rsid w:val="00780620"/>
    <w:rsid w:val="0078066C"/>
    <w:rsid w:val="00780896"/>
    <w:rsid w:val="00780AC4"/>
    <w:rsid w:val="00780D5E"/>
    <w:rsid w:val="00780E7C"/>
    <w:rsid w:val="00780F7D"/>
    <w:rsid w:val="00781028"/>
    <w:rsid w:val="0078120E"/>
    <w:rsid w:val="0078121F"/>
    <w:rsid w:val="007814FF"/>
    <w:rsid w:val="0078172B"/>
    <w:rsid w:val="00781797"/>
    <w:rsid w:val="00781A58"/>
    <w:rsid w:val="00781BE6"/>
    <w:rsid w:val="00781C85"/>
    <w:rsid w:val="00781F58"/>
    <w:rsid w:val="0078213C"/>
    <w:rsid w:val="00782158"/>
    <w:rsid w:val="007822EA"/>
    <w:rsid w:val="00782356"/>
    <w:rsid w:val="00782528"/>
    <w:rsid w:val="007826FF"/>
    <w:rsid w:val="00782812"/>
    <w:rsid w:val="00782AD8"/>
    <w:rsid w:val="00782E63"/>
    <w:rsid w:val="00783061"/>
    <w:rsid w:val="007830D7"/>
    <w:rsid w:val="007834EA"/>
    <w:rsid w:val="0078396E"/>
    <w:rsid w:val="00783B8A"/>
    <w:rsid w:val="00783CAD"/>
    <w:rsid w:val="00783E37"/>
    <w:rsid w:val="00783E97"/>
    <w:rsid w:val="00784150"/>
    <w:rsid w:val="007841CC"/>
    <w:rsid w:val="007844D7"/>
    <w:rsid w:val="00784704"/>
    <w:rsid w:val="0078481F"/>
    <w:rsid w:val="007849AA"/>
    <w:rsid w:val="00784DAC"/>
    <w:rsid w:val="007853B1"/>
    <w:rsid w:val="00785535"/>
    <w:rsid w:val="00785758"/>
    <w:rsid w:val="00785933"/>
    <w:rsid w:val="00785C91"/>
    <w:rsid w:val="00785CE5"/>
    <w:rsid w:val="00785D20"/>
    <w:rsid w:val="00785E66"/>
    <w:rsid w:val="00786730"/>
    <w:rsid w:val="00786C66"/>
    <w:rsid w:val="00786CEF"/>
    <w:rsid w:val="00787068"/>
    <w:rsid w:val="00787176"/>
    <w:rsid w:val="00787215"/>
    <w:rsid w:val="00787271"/>
    <w:rsid w:val="007873D5"/>
    <w:rsid w:val="007874BA"/>
    <w:rsid w:val="007875DF"/>
    <w:rsid w:val="00787B22"/>
    <w:rsid w:val="00787F3F"/>
    <w:rsid w:val="00787FE7"/>
    <w:rsid w:val="0079052C"/>
    <w:rsid w:val="00790E7B"/>
    <w:rsid w:val="00790E94"/>
    <w:rsid w:val="00790ED6"/>
    <w:rsid w:val="00790F6D"/>
    <w:rsid w:val="00791278"/>
    <w:rsid w:val="007912AF"/>
    <w:rsid w:val="00791431"/>
    <w:rsid w:val="00791B8D"/>
    <w:rsid w:val="00791D38"/>
    <w:rsid w:val="00791D52"/>
    <w:rsid w:val="00791DB0"/>
    <w:rsid w:val="007920E1"/>
    <w:rsid w:val="0079221A"/>
    <w:rsid w:val="007922BE"/>
    <w:rsid w:val="007922C9"/>
    <w:rsid w:val="00792819"/>
    <w:rsid w:val="00792B1B"/>
    <w:rsid w:val="00793FA2"/>
    <w:rsid w:val="00794018"/>
    <w:rsid w:val="007940B6"/>
    <w:rsid w:val="00794172"/>
    <w:rsid w:val="007941D5"/>
    <w:rsid w:val="0079438E"/>
    <w:rsid w:val="0079441C"/>
    <w:rsid w:val="00794566"/>
    <w:rsid w:val="00794A0D"/>
    <w:rsid w:val="00794D5D"/>
    <w:rsid w:val="00794FE1"/>
    <w:rsid w:val="0079535D"/>
    <w:rsid w:val="007956C4"/>
    <w:rsid w:val="00795C14"/>
    <w:rsid w:val="0079619F"/>
    <w:rsid w:val="00796685"/>
    <w:rsid w:val="007969DD"/>
    <w:rsid w:val="00796AFB"/>
    <w:rsid w:val="00796F17"/>
    <w:rsid w:val="00796F24"/>
    <w:rsid w:val="007975CF"/>
    <w:rsid w:val="007977CA"/>
    <w:rsid w:val="00797C1F"/>
    <w:rsid w:val="00797D36"/>
    <w:rsid w:val="007A01AF"/>
    <w:rsid w:val="007A01F9"/>
    <w:rsid w:val="007A069E"/>
    <w:rsid w:val="007A07BB"/>
    <w:rsid w:val="007A096A"/>
    <w:rsid w:val="007A0F57"/>
    <w:rsid w:val="007A115C"/>
    <w:rsid w:val="007A122C"/>
    <w:rsid w:val="007A12C6"/>
    <w:rsid w:val="007A1B4C"/>
    <w:rsid w:val="007A1B82"/>
    <w:rsid w:val="007A1ECF"/>
    <w:rsid w:val="007A241C"/>
    <w:rsid w:val="007A2509"/>
    <w:rsid w:val="007A2517"/>
    <w:rsid w:val="007A27C5"/>
    <w:rsid w:val="007A27F5"/>
    <w:rsid w:val="007A287D"/>
    <w:rsid w:val="007A2F61"/>
    <w:rsid w:val="007A322F"/>
    <w:rsid w:val="007A3358"/>
    <w:rsid w:val="007A3387"/>
    <w:rsid w:val="007A373B"/>
    <w:rsid w:val="007A3E04"/>
    <w:rsid w:val="007A44E3"/>
    <w:rsid w:val="007A457E"/>
    <w:rsid w:val="007A46AF"/>
    <w:rsid w:val="007A4892"/>
    <w:rsid w:val="007A48B5"/>
    <w:rsid w:val="007A493B"/>
    <w:rsid w:val="007A50F9"/>
    <w:rsid w:val="007A52E1"/>
    <w:rsid w:val="007A552D"/>
    <w:rsid w:val="007A5849"/>
    <w:rsid w:val="007A5974"/>
    <w:rsid w:val="007A5BDC"/>
    <w:rsid w:val="007A5FA4"/>
    <w:rsid w:val="007A62E0"/>
    <w:rsid w:val="007A633C"/>
    <w:rsid w:val="007A63D1"/>
    <w:rsid w:val="007A64CE"/>
    <w:rsid w:val="007A655C"/>
    <w:rsid w:val="007A65F0"/>
    <w:rsid w:val="007A6693"/>
    <w:rsid w:val="007A66D5"/>
    <w:rsid w:val="007A6C0B"/>
    <w:rsid w:val="007A6CE2"/>
    <w:rsid w:val="007A7205"/>
    <w:rsid w:val="007A73BB"/>
    <w:rsid w:val="007A7533"/>
    <w:rsid w:val="007A79B0"/>
    <w:rsid w:val="007A7BBE"/>
    <w:rsid w:val="007A7D24"/>
    <w:rsid w:val="007A7EF0"/>
    <w:rsid w:val="007B026F"/>
    <w:rsid w:val="007B02A9"/>
    <w:rsid w:val="007B0399"/>
    <w:rsid w:val="007B0987"/>
    <w:rsid w:val="007B09D5"/>
    <w:rsid w:val="007B0A5B"/>
    <w:rsid w:val="007B0AB5"/>
    <w:rsid w:val="007B0C4D"/>
    <w:rsid w:val="007B0D06"/>
    <w:rsid w:val="007B0F3E"/>
    <w:rsid w:val="007B0FAF"/>
    <w:rsid w:val="007B112D"/>
    <w:rsid w:val="007B11DC"/>
    <w:rsid w:val="007B1263"/>
    <w:rsid w:val="007B127A"/>
    <w:rsid w:val="007B1584"/>
    <w:rsid w:val="007B179E"/>
    <w:rsid w:val="007B1847"/>
    <w:rsid w:val="007B1855"/>
    <w:rsid w:val="007B1876"/>
    <w:rsid w:val="007B1E90"/>
    <w:rsid w:val="007B1E94"/>
    <w:rsid w:val="007B20CD"/>
    <w:rsid w:val="007B2244"/>
    <w:rsid w:val="007B241B"/>
    <w:rsid w:val="007B2646"/>
    <w:rsid w:val="007B26E9"/>
    <w:rsid w:val="007B26FD"/>
    <w:rsid w:val="007B29F7"/>
    <w:rsid w:val="007B29FA"/>
    <w:rsid w:val="007B2CCE"/>
    <w:rsid w:val="007B2D08"/>
    <w:rsid w:val="007B2D24"/>
    <w:rsid w:val="007B2ECD"/>
    <w:rsid w:val="007B2FBE"/>
    <w:rsid w:val="007B318C"/>
    <w:rsid w:val="007B3288"/>
    <w:rsid w:val="007B3323"/>
    <w:rsid w:val="007B3355"/>
    <w:rsid w:val="007B3670"/>
    <w:rsid w:val="007B3955"/>
    <w:rsid w:val="007B3B4F"/>
    <w:rsid w:val="007B3EB3"/>
    <w:rsid w:val="007B3F5E"/>
    <w:rsid w:val="007B438D"/>
    <w:rsid w:val="007B43BA"/>
    <w:rsid w:val="007B469E"/>
    <w:rsid w:val="007B4747"/>
    <w:rsid w:val="007B4AC6"/>
    <w:rsid w:val="007B4E90"/>
    <w:rsid w:val="007B4F65"/>
    <w:rsid w:val="007B510F"/>
    <w:rsid w:val="007B5341"/>
    <w:rsid w:val="007B5678"/>
    <w:rsid w:val="007B58D8"/>
    <w:rsid w:val="007B5CA5"/>
    <w:rsid w:val="007B5CB5"/>
    <w:rsid w:val="007B5DC8"/>
    <w:rsid w:val="007B5E35"/>
    <w:rsid w:val="007B5F57"/>
    <w:rsid w:val="007B60D6"/>
    <w:rsid w:val="007B6397"/>
    <w:rsid w:val="007B66C4"/>
    <w:rsid w:val="007B67F4"/>
    <w:rsid w:val="007B6928"/>
    <w:rsid w:val="007B6F8A"/>
    <w:rsid w:val="007B6FB7"/>
    <w:rsid w:val="007B73B7"/>
    <w:rsid w:val="007B75BF"/>
    <w:rsid w:val="007B774C"/>
    <w:rsid w:val="007B7A05"/>
    <w:rsid w:val="007B7E09"/>
    <w:rsid w:val="007B7F84"/>
    <w:rsid w:val="007B7FCA"/>
    <w:rsid w:val="007C03CF"/>
    <w:rsid w:val="007C0527"/>
    <w:rsid w:val="007C0652"/>
    <w:rsid w:val="007C0658"/>
    <w:rsid w:val="007C0C5C"/>
    <w:rsid w:val="007C0ECB"/>
    <w:rsid w:val="007C11C2"/>
    <w:rsid w:val="007C14A3"/>
    <w:rsid w:val="007C15B8"/>
    <w:rsid w:val="007C1641"/>
    <w:rsid w:val="007C170A"/>
    <w:rsid w:val="007C184F"/>
    <w:rsid w:val="007C190A"/>
    <w:rsid w:val="007C1D48"/>
    <w:rsid w:val="007C1D6C"/>
    <w:rsid w:val="007C1F36"/>
    <w:rsid w:val="007C23DE"/>
    <w:rsid w:val="007C2565"/>
    <w:rsid w:val="007C26AB"/>
    <w:rsid w:val="007C272B"/>
    <w:rsid w:val="007C27F4"/>
    <w:rsid w:val="007C28B7"/>
    <w:rsid w:val="007C2A48"/>
    <w:rsid w:val="007C2B8F"/>
    <w:rsid w:val="007C2EF3"/>
    <w:rsid w:val="007C3334"/>
    <w:rsid w:val="007C349E"/>
    <w:rsid w:val="007C3518"/>
    <w:rsid w:val="007C398C"/>
    <w:rsid w:val="007C399D"/>
    <w:rsid w:val="007C3E91"/>
    <w:rsid w:val="007C3F60"/>
    <w:rsid w:val="007C3FE0"/>
    <w:rsid w:val="007C4346"/>
    <w:rsid w:val="007C4430"/>
    <w:rsid w:val="007C46BC"/>
    <w:rsid w:val="007C49D7"/>
    <w:rsid w:val="007C4D68"/>
    <w:rsid w:val="007C4F33"/>
    <w:rsid w:val="007C4FA8"/>
    <w:rsid w:val="007C519F"/>
    <w:rsid w:val="007C51C3"/>
    <w:rsid w:val="007C52EE"/>
    <w:rsid w:val="007C5418"/>
    <w:rsid w:val="007C544E"/>
    <w:rsid w:val="007C546E"/>
    <w:rsid w:val="007C560B"/>
    <w:rsid w:val="007C5B7C"/>
    <w:rsid w:val="007C5FA7"/>
    <w:rsid w:val="007C629C"/>
    <w:rsid w:val="007C63B6"/>
    <w:rsid w:val="007C64E8"/>
    <w:rsid w:val="007C6762"/>
    <w:rsid w:val="007C6ADB"/>
    <w:rsid w:val="007C6DF2"/>
    <w:rsid w:val="007C6FD2"/>
    <w:rsid w:val="007C706E"/>
    <w:rsid w:val="007C71D8"/>
    <w:rsid w:val="007C7562"/>
    <w:rsid w:val="007C7568"/>
    <w:rsid w:val="007C7660"/>
    <w:rsid w:val="007C7771"/>
    <w:rsid w:val="007C79CB"/>
    <w:rsid w:val="007C7ADF"/>
    <w:rsid w:val="007C7C6E"/>
    <w:rsid w:val="007D040D"/>
    <w:rsid w:val="007D04F9"/>
    <w:rsid w:val="007D050C"/>
    <w:rsid w:val="007D074A"/>
    <w:rsid w:val="007D0763"/>
    <w:rsid w:val="007D0E1D"/>
    <w:rsid w:val="007D0FAF"/>
    <w:rsid w:val="007D0FDD"/>
    <w:rsid w:val="007D11DC"/>
    <w:rsid w:val="007D11FF"/>
    <w:rsid w:val="007D1929"/>
    <w:rsid w:val="007D1A51"/>
    <w:rsid w:val="007D2003"/>
    <w:rsid w:val="007D2150"/>
    <w:rsid w:val="007D278E"/>
    <w:rsid w:val="007D2A57"/>
    <w:rsid w:val="007D2B89"/>
    <w:rsid w:val="007D2FFE"/>
    <w:rsid w:val="007D31D0"/>
    <w:rsid w:val="007D32A6"/>
    <w:rsid w:val="007D3355"/>
    <w:rsid w:val="007D33C8"/>
    <w:rsid w:val="007D3539"/>
    <w:rsid w:val="007D35C7"/>
    <w:rsid w:val="007D3862"/>
    <w:rsid w:val="007D394C"/>
    <w:rsid w:val="007D3991"/>
    <w:rsid w:val="007D3BCA"/>
    <w:rsid w:val="007D3C6C"/>
    <w:rsid w:val="007D3C8C"/>
    <w:rsid w:val="007D40A1"/>
    <w:rsid w:val="007D41C1"/>
    <w:rsid w:val="007D4215"/>
    <w:rsid w:val="007D43FD"/>
    <w:rsid w:val="007D440A"/>
    <w:rsid w:val="007D4480"/>
    <w:rsid w:val="007D44FF"/>
    <w:rsid w:val="007D4575"/>
    <w:rsid w:val="007D4CD8"/>
    <w:rsid w:val="007D4DBC"/>
    <w:rsid w:val="007D4E89"/>
    <w:rsid w:val="007D51B0"/>
    <w:rsid w:val="007D545B"/>
    <w:rsid w:val="007D558F"/>
    <w:rsid w:val="007D566C"/>
    <w:rsid w:val="007D57A8"/>
    <w:rsid w:val="007D57F1"/>
    <w:rsid w:val="007D5DC2"/>
    <w:rsid w:val="007D5E0F"/>
    <w:rsid w:val="007D6466"/>
    <w:rsid w:val="007D66CE"/>
    <w:rsid w:val="007D680C"/>
    <w:rsid w:val="007D6813"/>
    <w:rsid w:val="007D6A46"/>
    <w:rsid w:val="007D6E39"/>
    <w:rsid w:val="007D6F49"/>
    <w:rsid w:val="007D7122"/>
    <w:rsid w:val="007D758E"/>
    <w:rsid w:val="007D7775"/>
    <w:rsid w:val="007D7C6B"/>
    <w:rsid w:val="007D7CED"/>
    <w:rsid w:val="007D7DCB"/>
    <w:rsid w:val="007D7E76"/>
    <w:rsid w:val="007D7EC5"/>
    <w:rsid w:val="007E0A3C"/>
    <w:rsid w:val="007E0BB5"/>
    <w:rsid w:val="007E0F30"/>
    <w:rsid w:val="007E10FE"/>
    <w:rsid w:val="007E1606"/>
    <w:rsid w:val="007E162B"/>
    <w:rsid w:val="007E17AD"/>
    <w:rsid w:val="007E1855"/>
    <w:rsid w:val="007E18A7"/>
    <w:rsid w:val="007E1DF1"/>
    <w:rsid w:val="007E1E44"/>
    <w:rsid w:val="007E20AA"/>
    <w:rsid w:val="007E2435"/>
    <w:rsid w:val="007E2645"/>
    <w:rsid w:val="007E2859"/>
    <w:rsid w:val="007E28FD"/>
    <w:rsid w:val="007E2916"/>
    <w:rsid w:val="007E2A4C"/>
    <w:rsid w:val="007E2A4E"/>
    <w:rsid w:val="007E325A"/>
    <w:rsid w:val="007E33AF"/>
    <w:rsid w:val="007E38E2"/>
    <w:rsid w:val="007E3F26"/>
    <w:rsid w:val="007E3FA5"/>
    <w:rsid w:val="007E415D"/>
    <w:rsid w:val="007E42AA"/>
    <w:rsid w:val="007E46CC"/>
    <w:rsid w:val="007E46D1"/>
    <w:rsid w:val="007E494D"/>
    <w:rsid w:val="007E4AEB"/>
    <w:rsid w:val="007E4B22"/>
    <w:rsid w:val="007E4CD5"/>
    <w:rsid w:val="007E4D12"/>
    <w:rsid w:val="007E4ECF"/>
    <w:rsid w:val="007E56AC"/>
    <w:rsid w:val="007E57AB"/>
    <w:rsid w:val="007E5B3E"/>
    <w:rsid w:val="007E5B95"/>
    <w:rsid w:val="007E5CE9"/>
    <w:rsid w:val="007E5E4E"/>
    <w:rsid w:val="007E6207"/>
    <w:rsid w:val="007E66F7"/>
    <w:rsid w:val="007E685B"/>
    <w:rsid w:val="007E7169"/>
    <w:rsid w:val="007E7EFB"/>
    <w:rsid w:val="007F0022"/>
    <w:rsid w:val="007F0200"/>
    <w:rsid w:val="007F05DE"/>
    <w:rsid w:val="007F065A"/>
    <w:rsid w:val="007F0823"/>
    <w:rsid w:val="007F0968"/>
    <w:rsid w:val="007F0A53"/>
    <w:rsid w:val="007F103B"/>
    <w:rsid w:val="007F1644"/>
    <w:rsid w:val="007F17AE"/>
    <w:rsid w:val="007F1A57"/>
    <w:rsid w:val="007F1B00"/>
    <w:rsid w:val="007F223F"/>
    <w:rsid w:val="007F2558"/>
    <w:rsid w:val="007F25D9"/>
    <w:rsid w:val="007F279E"/>
    <w:rsid w:val="007F27CA"/>
    <w:rsid w:val="007F2999"/>
    <w:rsid w:val="007F2D93"/>
    <w:rsid w:val="007F2F8B"/>
    <w:rsid w:val="007F3B0C"/>
    <w:rsid w:val="007F3B18"/>
    <w:rsid w:val="007F3D41"/>
    <w:rsid w:val="007F3EA5"/>
    <w:rsid w:val="007F429B"/>
    <w:rsid w:val="007F43ED"/>
    <w:rsid w:val="007F44E6"/>
    <w:rsid w:val="007F488D"/>
    <w:rsid w:val="007F49B7"/>
    <w:rsid w:val="007F4C46"/>
    <w:rsid w:val="007F4DFF"/>
    <w:rsid w:val="007F4FA6"/>
    <w:rsid w:val="007F536A"/>
    <w:rsid w:val="007F561C"/>
    <w:rsid w:val="007F5675"/>
    <w:rsid w:val="007F5A88"/>
    <w:rsid w:val="007F5D33"/>
    <w:rsid w:val="007F5F1E"/>
    <w:rsid w:val="007F627B"/>
    <w:rsid w:val="007F633D"/>
    <w:rsid w:val="007F689E"/>
    <w:rsid w:val="007F692B"/>
    <w:rsid w:val="007F6B7C"/>
    <w:rsid w:val="007F6C5F"/>
    <w:rsid w:val="007F7061"/>
    <w:rsid w:val="007F71FB"/>
    <w:rsid w:val="007F75D9"/>
    <w:rsid w:val="007F7851"/>
    <w:rsid w:val="007F793A"/>
    <w:rsid w:val="007F7982"/>
    <w:rsid w:val="007F7FED"/>
    <w:rsid w:val="0080008B"/>
    <w:rsid w:val="00800242"/>
    <w:rsid w:val="008003C8"/>
    <w:rsid w:val="00800689"/>
    <w:rsid w:val="00800A64"/>
    <w:rsid w:val="00800D18"/>
    <w:rsid w:val="00800E7E"/>
    <w:rsid w:val="00800EE5"/>
    <w:rsid w:val="008010D9"/>
    <w:rsid w:val="008012E2"/>
    <w:rsid w:val="00801996"/>
    <w:rsid w:val="00801D4A"/>
    <w:rsid w:val="00801EA6"/>
    <w:rsid w:val="00802115"/>
    <w:rsid w:val="00802438"/>
    <w:rsid w:val="00802822"/>
    <w:rsid w:val="00802829"/>
    <w:rsid w:val="008029FE"/>
    <w:rsid w:val="00802A68"/>
    <w:rsid w:val="00802B01"/>
    <w:rsid w:val="00802B44"/>
    <w:rsid w:val="00802E73"/>
    <w:rsid w:val="00803235"/>
    <w:rsid w:val="00803576"/>
    <w:rsid w:val="008039EA"/>
    <w:rsid w:val="00803D10"/>
    <w:rsid w:val="00803D56"/>
    <w:rsid w:val="00804227"/>
    <w:rsid w:val="008044A1"/>
    <w:rsid w:val="00804823"/>
    <w:rsid w:val="008048CC"/>
    <w:rsid w:val="008049BA"/>
    <w:rsid w:val="00804B5B"/>
    <w:rsid w:val="00804BAC"/>
    <w:rsid w:val="00804D18"/>
    <w:rsid w:val="00804EE1"/>
    <w:rsid w:val="008051C4"/>
    <w:rsid w:val="00805553"/>
    <w:rsid w:val="00805B42"/>
    <w:rsid w:val="00805C23"/>
    <w:rsid w:val="00805D7A"/>
    <w:rsid w:val="00806286"/>
    <w:rsid w:val="008062B4"/>
    <w:rsid w:val="008062DB"/>
    <w:rsid w:val="00806393"/>
    <w:rsid w:val="00806721"/>
    <w:rsid w:val="0080677D"/>
    <w:rsid w:val="008068FC"/>
    <w:rsid w:val="00806D7E"/>
    <w:rsid w:val="00806E53"/>
    <w:rsid w:val="00806FE3"/>
    <w:rsid w:val="00807015"/>
    <w:rsid w:val="008072F8"/>
    <w:rsid w:val="00807406"/>
    <w:rsid w:val="00807569"/>
    <w:rsid w:val="00807651"/>
    <w:rsid w:val="008078C0"/>
    <w:rsid w:val="00807B09"/>
    <w:rsid w:val="00807B2D"/>
    <w:rsid w:val="00807B66"/>
    <w:rsid w:val="00807D6C"/>
    <w:rsid w:val="00807E3D"/>
    <w:rsid w:val="0081026E"/>
    <w:rsid w:val="0081039A"/>
    <w:rsid w:val="00810416"/>
    <w:rsid w:val="00810433"/>
    <w:rsid w:val="0081059E"/>
    <w:rsid w:val="00810A1C"/>
    <w:rsid w:val="00810CBA"/>
    <w:rsid w:val="00810D5C"/>
    <w:rsid w:val="00810EC8"/>
    <w:rsid w:val="0081108E"/>
    <w:rsid w:val="008117ED"/>
    <w:rsid w:val="0081198E"/>
    <w:rsid w:val="00811C8A"/>
    <w:rsid w:val="00811C9B"/>
    <w:rsid w:val="00811E14"/>
    <w:rsid w:val="00811F5B"/>
    <w:rsid w:val="00811FE9"/>
    <w:rsid w:val="0081208E"/>
    <w:rsid w:val="0081209A"/>
    <w:rsid w:val="0081222A"/>
    <w:rsid w:val="0081226F"/>
    <w:rsid w:val="00812654"/>
    <w:rsid w:val="008127DB"/>
    <w:rsid w:val="00812B2E"/>
    <w:rsid w:val="0081308C"/>
    <w:rsid w:val="00813107"/>
    <w:rsid w:val="00813229"/>
    <w:rsid w:val="00813257"/>
    <w:rsid w:val="00813445"/>
    <w:rsid w:val="00813804"/>
    <w:rsid w:val="008139E4"/>
    <w:rsid w:val="00813F3A"/>
    <w:rsid w:val="00813FD5"/>
    <w:rsid w:val="00814342"/>
    <w:rsid w:val="00814456"/>
    <w:rsid w:val="00814930"/>
    <w:rsid w:val="00814A8A"/>
    <w:rsid w:val="00814B28"/>
    <w:rsid w:val="00814BE1"/>
    <w:rsid w:val="00814E17"/>
    <w:rsid w:val="00814EE2"/>
    <w:rsid w:val="0081512D"/>
    <w:rsid w:val="0081525C"/>
    <w:rsid w:val="008157F3"/>
    <w:rsid w:val="00815EDD"/>
    <w:rsid w:val="008160E4"/>
    <w:rsid w:val="0081657A"/>
    <w:rsid w:val="0081669A"/>
    <w:rsid w:val="008166DB"/>
    <w:rsid w:val="008169FA"/>
    <w:rsid w:val="00816AC3"/>
    <w:rsid w:val="00816AC7"/>
    <w:rsid w:val="0081779D"/>
    <w:rsid w:val="0081785C"/>
    <w:rsid w:val="00817C10"/>
    <w:rsid w:val="00820235"/>
    <w:rsid w:val="008202F5"/>
    <w:rsid w:val="00820647"/>
    <w:rsid w:val="00820746"/>
    <w:rsid w:val="0082083F"/>
    <w:rsid w:val="00820C5A"/>
    <w:rsid w:val="00820E0F"/>
    <w:rsid w:val="00820E5B"/>
    <w:rsid w:val="00821635"/>
    <w:rsid w:val="008216E0"/>
    <w:rsid w:val="0082189D"/>
    <w:rsid w:val="0082194B"/>
    <w:rsid w:val="008219FD"/>
    <w:rsid w:val="00821C44"/>
    <w:rsid w:val="00821F68"/>
    <w:rsid w:val="00822905"/>
    <w:rsid w:val="00822BD7"/>
    <w:rsid w:val="00822CFE"/>
    <w:rsid w:val="0082305E"/>
    <w:rsid w:val="008231C0"/>
    <w:rsid w:val="00823258"/>
    <w:rsid w:val="0082331A"/>
    <w:rsid w:val="008234A2"/>
    <w:rsid w:val="00823633"/>
    <w:rsid w:val="008238A2"/>
    <w:rsid w:val="00823CCE"/>
    <w:rsid w:val="00823D4A"/>
    <w:rsid w:val="00823D8F"/>
    <w:rsid w:val="00823FEC"/>
    <w:rsid w:val="00824136"/>
    <w:rsid w:val="00824218"/>
    <w:rsid w:val="00824792"/>
    <w:rsid w:val="008248AE"/>
    <w:rsid w:val="00824C15"/>
    <w:rsid w:val="00825104"/>
    <w:rsid w:val="0082520B"/>
    <w:rsid w:val="00825394"/>
    <w:rsid w:val="00825551"/>
    <w:rsid w:val="008257DC"/>
    <w:rsid w:val="008258DC"/>
    <w:rsid w:val="00825AD6"/>
    <w:rsid w:val="00825B23"/>
    <w:rsid w:val="00826146"/>
    <w:rsid w:val="00826371"/>
    <w:rsid w:val="0082675A"/>
    <w:rsid w:val="0082682A"/>
    <w:rsid w:val="00826DC2"/>
    <w:rsid w:val="00827128"/>
    <w:rsid w:val="00827156"/>
    <w:rsid w:val="00827488"/>
    <w:rsid w:val="00827527"/>
    <w:rsid w:val="008275B9"/>
    <w:rsid w:val="00827661"/>
    <w:rsid w:val="00827A35"/>
    <w:rsid w:val="00827B1C"/>
    <w:rsid w:val="00827EF6"/>
    <w:rsid w:val="008301AB"/>
    <w:rsid w:val="00830254"/>
    <w:rsid w:val="008303A2"/>
    <w:rsid w:val="008304CE"/>
    <w:rsid w:val="00830D3F"/>
    <w:rsid w:val="00830D6E"/>
    <w:rsid w:val="00830F1B"/>
    <w:rsid w:val="00831230"/>
    <w:rsid w:val="008314B7"/>
    <w:rsid w:val="0083192E"/>
    <w:rsid w:val="00831981"/>
    <w:rsid w:val="008319B7"/>
    <w:rsid w:val="00831A26"/>
    <w:rsid w:val="00831B08"/>
    <w:rsid w:val="00831D8A"/>
    <w:rsid w:val="00832515"/>
    <w:rsid w:val="0083261D"/>
    <w:rsid w:val="0083278C"/>
    <w:rsid w:val="0083288B"/>
    <w:rsid w:val="008328F1"/>
    <w:rsid w:val="00832D89"/>
    <w:rsid w:val="00832E7B"/>
    <w:rsid w:val="008330E3"/>
    <w:rsid w:val="008331D4"/>
    <w:rsid w:val="00833242"/>
    <w:rsid w:val="00833799"/>
    <w:rsid w:val="008338ED"/>
    <w:rsid w:val="00833947"/>
    <w:rsid w:val="00833979"/>
    <w:rsid w:val="00833AB7"/>
    <w:rsid w:val="00833CF9"/>
    <w:rsid w:val="00833D5A"/>
    <w:rsid w:val="00833D87"/>
    <w:rsid w:val="00833DD2"/>
    <w:rsid w:val="00833E36"/>
    <w:rsid w:val="00833F98"/>
    <w:rsid w:val="00834032"/>
    <w:rsid w:val="008346E3"/>
    <w:rsid w:val="008348BF"/>
    <w:rsid w:val="008349E8"/>
    <w:rsid w:val="008349FA"/>
    <w:rsid w:val="00834C84"/>
    <w:rsid w:val="008352C6"/>
    <w:rsid w:val="00835784"/>
    <w:rsid w:val="00835BA9"/>
    <w:rsid w:val="00835E2B"/>
    <w:rsid w:val="00835EFB"/>
    <w:rsid w:val="00835FD4"/>
    <w:rsid w:val="00836077"/>
    <w:rsid w:val="00836165"/>
    <w:rsid w:val="008363B7"/>
    <w:rsid w:val="008365CA"/>
    <w:rsid w:val="00836BAD"/>
    <w:rsid w:val="00836BEA"/>
    <w:rsid w:val="00836CBE"/>
    <w:rsid w:val="00836FD9"/>
    <w:rsid w:val="00837505"/>
    <w:rsid w:val="008377E5"/>
    <w:rsid w:val="0083794E"/>
    <w:rsid w:val="00837B43"/>
    <w:rsid w:val="00837BD8"/>
    <w:rsid w:val="00837C2B"/>
    <w:rsid w:val="00837DD8"/>
    <w:rsid w:val="00837DE5"/>
    <w:rsid w:val="00837E43"/>
    <w:rsid w:val="0084001A"/>
    <w:rsid w:val="008401C5"/>
    <w:rsid w:val="00840865"/>
    <w:rsid w:val="008408A3"/>
    <w:rsid w:val="00840BB9"/>
    <w:rsid w:val="00840D7C"/>
    <w:rsid w:val="00840EF4"/>
    <w:rsid w:val="00841038"/>
    <w:rsid w:val="008414C1"/>
    <w:rsid w:val="00841512"/>
    <w:rsid w:val="0084162B"/>
    <w:rsid w:val="00841AA9"/>
    <w:rsid w:val="00841C84"/>
    <w:rsid w:val="00841D41"/>
    <w:rsid w:val="0084216B"/>
    <w:rsid w:val="008422A2"/>
    <w:rsid w:val="00842377"/>
    <w:rsid w:val="00842500"/>
    <w:rsid w:val="0084258D"/>
    <w:rsid w:val="00842726"/>
    <w:rsid w:val="00842AF4"/>
    <w:rsid w:val="00842C9B"/>
    <w:rsid w:val="00843032"/>
    <w:rsid w:val="008430C0"/>
    <w:rsid w:val="00843402"/>
    <w:rsid w:val="008434CE"/>
    <w:rsid w:val="008436AB"/>
    <w:rsid w:val="008438E0"/>
    <w:rsid w:val="008439BF"/>
    <w:rsid w:val="00843C47"/>
    <w:rsid w:val="00843E0B"/>
    <w:rsid w:val="00843F9A"/>
    <w:rsid w:val="00843FCD"/>
    <w:rsid w:val="00844153"/>
    <w:rsid w:val="00844467"/>
    <w:rsid w:val="00844739"/>
    <w:rsid w:val="008447AB"/>
    <w:rsid w:val="008447FE"/>
    <w:rsid w:val="0084486B"/>
    <w:rsid w:val="008449C9"/>
    <w:rsid w:val="00844E88"/>
    <w:rsid w:val="00845004"/>
    <w:rsid w:val="00845109"/>
    <w:rsid w:val="0084557E"/>
    <w:rsid w:val="0084573E"/>
    <w:rsid w:val="00845897"/>
    <w:rsid w:val="00845CAD"/>
    <w:rsid w:val="00845F4A"/>
    <w:rsid w:val="008463B3"/>
    <w:rsid w:val="00846412"/>
    <w:rsid w:val="0084641D"/>
    <w:rsid w:val="0084651C"/>
    <w:rsid w:val="00846823"/>
    <w:rsid w:val="00846C93"/>
    <w:rsid w:val="00846E16"/>
    <w:rsid w:val="00846EFE"/>
    <w:rsid w:val="0084724B"/>
    <w:rsid w:val="008472FB"/>
    <w:rsid w:val="00847477"/>
    <w:rsid w:val="00847491"/>
    <w:rsid w:val="0084763E"/>
    <w:rsid w:val="00847900"/>
    <w:rsid w:val="00847ED3"/>
    <w:rsid w:val="00847F6D"/>
    <w:rsid w:val="00850164"/>
    <w:rsid w:val="0085043B"/>
    <w:rsid w:val="008504D4"/>
    <w:rsid w:val="0085075B"/>
    <w:rsid w:val="00851130"/>
    <w:rsid w:val="008512C9"/>
    <w:rsid w:val="00851509"/>
    <w:rsid w:val="00851661"/>
    <w:rsid w:val="00851796"/>
    <w:rsid w:val="008518B7"/>
    <w:rsid w:val="008519C0"/>
    <w:rsid w:val="00851AEB"/>
    <w:rsid w:val="00851D9D"/>
    <w:rsid w:val="00851F54"/>
    <w:rsid w:val="008521AB"/>
    <w:rsid w:val="00852220"/>
    <w:rsid w:val="008525A7"/>
    <w:rsid w:val="00852612"/>
    <w:rsid w:val="0085298A"/>
    <w:rsid w:val="00852D9E"/>
    <w:rsid w:val="00852E3E"/>
    <w:rsid w:val="008531BC"/>
    <w:rsid w:val="008533A5"/>
    <w:rsid w:val="008533B2"/>
    <w:rsid w:val="00854104"/>
    <w:rsid w:val="008543B6"/>
    <w:rsid w:val="00854543"/>
    <w:rsid w:val="008547A3"/>
    <w:rsid w:val="0085486C"/>
    <w:rsid w:val="008548C2"/>
    <w:rsid w:val="00854ABC"/>
    <w:rsid w:val="00854AD8"/>
    <w:rsid w:val="00854B19"/>
    <w:rsid w:val="00854B46"/>
    <w:rsid w:val="00854BCF"/>
    <w:rsid w:val="00855176"/>
    <w:rsid w:val="0085561E"/>
    <w:rsid w:val="0085564F"/>
    <w:rsid w:val="008556BF"/>
    <w:rsid w:val="0085572C"/>
    <w:rsid w:val="00855B7C"/>
    <w:rsid w:val="0085619B"/>
    <w:rsid w:val="0085636B"/>
    <w:rsid w:val="008563A1"/>
    <w:rsid w:val="0085641D"/>
    <w:rsid w:val="008564D1"/>
    <w:rsid w:val="00856784"/>
    <w:rsid w:val="0085688F"/>
    <w:rsid w:val="00856AE6"/>
    <w:rsid w:val="00856C88"/>
    <w:rsid w:val="00856FFA"/>
    <w:rsid w:val="00857354"/>
    <w:rsid w:val="0085767A"/>
    <w:rsid w:val="00857A49"/>
    <w:rsid w:val="00857D02"/>
    <w:rsid w:val="00857F27"/>
    <w:rsid w:val="00857F38"/>
    <w:rsid w:val="00860234"/>
    <w:rsid w:val="00860318"/>
    <w:rsid w:val="00860396"/>
    <w:rsid w:val="00860D7A"/>
    <w:rsid w:val="00860F2A"/>
    <w:rsid w:val="008610D1"/>
    <w:rsid w:val="00861364"/>
    <w:rsid w:val="008613DA"/>
    <w:rsid w:val="0086151D"/>
    <w:rsid w:val="0086173E"/>
    <w:rsid w:val="00861C91"/>
    <w:rsid w:val="00861F53"/>
    <w:rsid w:val="00862349"/>
    <w:rsid w:val="008623CF"/>
    <w:rsid w:val="00862622"/>
    <w:rsid w:val="00862698"/>
    <w:rsid w:val="0086292D"/>
    <w:rsid w:val="00862AA2"/>
    <w:rsid w:val="00862C72"/>
    <w:rsid w:val="00862C7D"/>
    <w:rsid w:val="00862CE2"/>
    <w:rsid w:val="008631A6"/>
    <w:rsid w:val="0086347B"/>
    <w:rsid w:val="008636C6"/>
    <w:rsid w:val="00863746"/>
    <w:rsid w:val="008638DF"/>
    <w:rsid w:val="00863908"/>
    <w:rsid w:val="008639EC"/>
    <w:rsid w:val="00863A90"/>
    <w:rsid w:val="00863DB9"/>
    <w:rsid w:val="00863F5E"/>
    <w:rsid w:val="0086404F"/>
    <w:rsid w:val="008645FC"/>
    <w:rsid w:val="008646C5"/>
    <w:rsid w:val="00864F9E"/>
    <w:rsid w:val="00865078"/>
    <w:rsid w:val="0086527A"/>
    <w:rsid w:val="00865284"/>
    <w:rsid w:val="008656A3"/>
    <w:rsid w:val="00865859"/>
    <w:rsid w:val="00865A41"/>
    <w:rsid w:val="00865BE9"/>
    <w:rsid w:val="00865C01"/>
    <w:rsid w:val="00865D45"/>
    <w:rsid w:val="00865F09"/>
    <w:rsid w:val="00866277"/>
    <w:rsid w:val="008662D4"/>
    <w:rsid w:val="00866385"/>
    <w:rsid w:val="00866422"/>
    <w:rsid w:val="0086663E"/>
    <w:rsid w:val="00866940"/>
    <w:rsid w:val="00866A2A"/>
    <w:rsid w:val="00866B60"/>
    <w:rsid w:val="00866E2C"/>
    <w:rsid w:val="0086723A"/>
    <w:rsid w:val="0086726F"/>
    <w:rsid w:val="00867504"/>
    <w:rsid w:val="0086776B"/>
    <w:rsid w:val="00867855"/>
    <w:rsid w:val="008678C1"/>
    <w:rsid w:val="00867A18"/>
    <w:rsid w:val="00867CCD"/>
    <w:rsid w:val="00867DB6"/>
    <w:rsid w:val="00870098"/>
    <w:rsid w:val="0087046E"/>
    <w:rsid w:val="00870503"/>
    <w:rsid w:val="00870976"/>
    <w:rsid w:val="008713D9"/>
    <w:rsid w:val="008713F1"/>
    <w:rsid w:val="0087174F"/>
    <w:rsid w:val="0087184D"/>
    <w:rsid w:val="0087192B"/>
    <w:rsid w:val="00871CD2"/>
    <w:rsid w:val="00871D3B"/>
    <w:rsid w:val="008720D4"/>
    <w:rsid w:val="0087227B"/>
    <w:rsid w:val="0087253B"/>
    <w:rsid w:val="008729BB"/>
    <w:rsid w:val="00872BFE"/>
    <w:rsid w:val="00872D40"/>
    <w:rsid w:val="00872ED4"/>
    <w:rsid w:val="0087342E"/>
    <w:rsid w:val="008734CC"/>
    <w:rsid w:val="00873537"/>
    <w:rsid w:val="00873692"/>
    <w:rsid w:val="00873810"/>
    <w:rsid w:val="00873898"/>
    <w:rsid w:val="00873899"/>
    <w:rsid w:val="00873990"/>
    <w:rsid w:val="008739C4"/>
    <w:rsid w:val="00873A6F"/>
    <w:rsid w:val="00873D37"/>
    <w:rsid w:val="00873DED"/>
    <w:rsid w:val="00873E04"/>
    <w:rsid w:val="008740B2"/>
    <w:rsid w:val="00874611"/>
    <w:rsid w:val="00874652"/>
    <w:rsid w:val="00874C85"/>
    <w:rsid w:val="00874CD6"/>
    <w:rsid w:val="00874D28"/>
    <w:rsid w:val="00874D57"/>
    <w:rsid w:val="00874E29"/>
    <w:rsid w:val="0087517E"/>
    <w:rsid w:val="0087555E"/>
    <w:rsid w:val="00875835"/>
    <w:rsid w:val="00875922"/>
    <w:rsid w:val="00875CB1"/>
    <w:rsid w:val="00875CBE"/>
    <w:rsid w:val="00875D38"/>
    <w:rsid w:val="00875E31"/>
    <w:rsid w:val="00875E8D"/>
    <w:rsid w:val="00875F7A"/>
    <w:rsid w:val="00876292"/>
    <w:rsid w:val="008763FE"/>
    <w:rsid w:val="0087665C"/>
    <w:rsid w:val="00876669"/>
    <w:rsid w:val="00876680"/>
    <w:rsid w:val="00876843"/>
    <w:rsid w:val="00876AEC"/>
    <w:rsid w:val="00876B46"/>
    <w:rsid w:val="00876BD1"/>
    <w:rsid w:val="00876CD2"/>
    <w:rsid w:val="00876CE8"/>
    <w:rsid w:val="00877425"/>
    <w:rsid w:val="008774AC"/>
    <w:rsid w:val="00877675"/>
    <w:rsid w:val="008777F4"/>
    <w:rsid w:val="0087797E"/>
    <w:rsid w:val="00877DE6"/>
    <w:rsid w:val="00877EBC"/>
    <w:rsid w:val="00880043"/>
    <w:rsid w:val="008800AC"/>
    <w:rsid w:val="0088041C"/>
    <w:rsid w:val="00880440"/>
    <w:rsid w:val="00880680"/>
    <w:rsid w:val="0088072E"/>
    <w:rsid w:val="00880786"/>
    <w:rsid w:val="00880839"/>
    <w:rsid w:val="0088091E"/>
    <w:rsid w:val="00880DA7"/>
    <w:rsid w:val="00880E8E"/>
    <w:rsid w:val="00880F17"/>
    <w:rsid w:val="00880FB6"/>
    <w:rsid w:val="00881071"/>
    <w:rsid w:val="008810D5"/>
    <w:rsid w:val="008813CD"/>
    <w:rsid w:val="008813DE"/>
    <w:rsid w:val="008816BD"/>
    <w:rsid w:val="00881BB8"/>
    <w:rsid w:val="00881CF6"/>
    <w:rsid w:val="00881E14"/>
    <w:rsid w:val="00881E98"/>
    <w:rsid w:val="008821C3"/>
    <w:rsid w:val="008822D0"/>
    <w:rsid w:val="008824A8"/>
    <w:rsid w:val="00882508"/>
    <w:rsid w:val="008827F5"/>
    <w:rsid w:val="00882949"/>
    <w:rsid w:val="008829E0"/>
    <w:rsid w:val="00883014"/>
    <w:rsid w:val="0088350A"/>
    <w:rsid w:val="008836A3"/>
    <w:rsid w:val="0088370E"/>
    <w:rsid w:val="008838D9"/>
    <w:rsid w:val="00883BBD"/>
    <w:rsid w:val="00883BF2"/>
    <w:rsid w:val="00883FA6"/>
    <w:rsid w:val="008840BA"/>
    <w:rsid w:val="00884388"/>
    <w:rsid w:val="00884615"/>
    <w:rsid w:val="0088478A"/>
    <w:rsid w:val="00884D74"/>
    <w:rsid w:val="008850BE"/>
    <w:rsid w:val="008851D7"/>
    <w:rsid w:val="008857A5"/>
    <w:rsid w:val="008859F7"/>
    <w:rsid w:val="00885EE8"/>
    <w:rsid w:val="00885F55"/>
    <w:rsid w:val="00886123"/>
    <w:rsid w:val="008863AF"/>
    <w:rsid w:val="008869AF"/>
    <w:rsid w:val="00886CBC"/>
    <w:rsid w:val="00886DF5"/>
    <w:rsid w:val="00886E3C"/>
    <w:rsid w:val="008871A5"/>
    <w:rsid w:val="00887347"/>
    <w:rsid w:val="0088737A"/>
    <w:rsid w:val="008875CC"/>
    <w:rsid w:val="0088763F"/>
    <w:rsid w:val="008876C7"/>
    <w:rsid w:val="00887733"/>
    <w:rsid w:val="008877FA"/>
    <w:rsid w:val="0088785B"/>
    <w:rsid w:val="00887BCB"/>
    <w:rsid w:val="00887D24"/>
    <w:rsid w:val="00887DC4"/>
    <w:rsid w:val="00890004"/>
    <w:rsid w:val="00890459"/>
    <w:rsid w:val="0089084E"/>
    <w:rsid w:val="008913DE"/>
    <w:rsid w:val="00891586"/>
    <w:rsid w:val="00891686"/>
    <w:rsid w:val="00891733"/>
    <w:rsid w:val="008917CC"/>
    <w:rsid w:val="0089204B"/>
    <w:rsid w:val="008920EC"/>
    <w:rsid w:val="00892567"/>
    <w:rsid w:val="00892633"/>
    <w:rsid w:val="00892834"/>
    <w:rsid w:val="00892AB7"/>
    <w:rsid w:val="00892DD5"/>
    <w:rsid w:val="0089300B"/>
    <w:rsid w:val="008932D9"/>
    <w:rsid w:val="0089332D"/>
    <w:rsid w:val="00893421"/>
    <w:rsid w:val="008936E9"/>
    <w:rsid w:val="00893C87"/>
    <w:rsid w:val="00893E4E"/>
    <w:rsid w:val="00893ED3"/>
    <w:rsid w:val="00893F05"/>
    <w:rsid w:val="0089413B"/>
    <w:rsid w:val="0089418C"/>
    <w:rsid w:val="0089485E"/>
    <w:rsid w:val="008949AA"/>
    <w:rsid w:val="00894A6A"/>
    <w:rsid w:val="00894CE8"/>
    <w:rsid w:val="00895C47"/>
    <w:rsid w:val="00896033"/>
    <w:rsid w:val="00896192"/>
    <w:rsid w:val="0089635E"/>
    <w:rsid w:val="0089649B"/>
    <w:rsid w:val="008965C9"/>
    <w:rsid w:val="008966C0"/>
    <w:rsid w:val="00896AD4"/>
    <w:rsid w:val="00896C3A"/>
    <w:rsid w:val="00897A7B"/>
    <w:rsid w:val="00897B33"/>
    <w:rsid w:val="00897D52"/>
    <w:rsid w:val="008A002E"/>
    <w:rsid w:val="008A0288"/>
    <w:rsid w:val="008A04E2"/>
    <w:rsid w:val="008A05DA"/>
    <w:rsid w:val="008A0AE9"/>
    <w:rsid w:val="008A0B72"/>
    <w:rsid w:val="008A0EA7"/>
    <w:rsid w:val="008A1289"/>
    <w:rsid w:val="008A1698"/>
    <w:rsid w:val="008A1940"/>
    <w:rsid w:val="008A1B94"/>
    <w:rsid w:val="008A1D1F"/>
    <w:rsid w:val="008A1F5E"/>
    <w:rsid w:val="008A220B"/>
    <w:rsid w:val="008A2964"/>
    <w:rsid w:val="008A2C60"/>
    <w:rsid w:val="008A2CE1"/>
    <w:rsid w:val="008A2D7C"/>
    <w:rsid w:val="008A2FDD"/>
    <w:rsid w:val="008A3577"/>
    <w:rsid w:val="008A393A"/>
    <w:rsid w:val="008A3BCE"/>
    <w:rsid w:val="008A3DAB"/>
    <w:rsid w:val="008A420A"/>
    <w:rsid w:val="008A424E"/>
    <w:rsid w:val="008A4B82"/>
    <w:rsid w:val="008A4B88"/>
    <w:rsid w:val="008A4BE4"/>
    <w:rsid w:val="008A4D36"/>
    <w:rsid w:val="008A4ECC"/>
    <w:rsid w:val="008A50AC"/>
    <w:rsid w:val="008A5195"/>
    <w:rsid w:val="008A57D8"/>
    <w:rsid w:val="008A5B1A"/>
    <w:rsid w:val="008A605B"/>
    <w:rsid w:val="008A61E5"/>
    <w:rsid w:val="008A6222"/>
    <w:rsid w:val="008A64F0"/>
    <w:rsid w:val="008A68F9"/>
    <w:rsid w:val="008A698F"/>
    <w:rsid w:val="008A69BF"/>
    <w:rsid w:val="008A6BA7"/>
    <w:rsid w:val="008A6DA0"/>
    <w:rsid w:val="008A7064"/>
    <w:rsid w:val="008A712A"/>
    <w:rsid w:val="008A7373"/>
    <w:rsid w:val="008A7B32"/>
    <w:rsid w:val="008B0AA9"/>
    <w:rsid w:val="008B0AFA"/>
    <w:rsid w:val="008B0C4D"/>
    <w:rsid w:val="008B1389"/>
    <w:rsid w:val="008B1521"/>
    <w:rsid w:val="008B17FE"/>
    <w:rsid w:val="008B19A2"/>
    <w:rsid w:val="008B1EF2"/>
    <w:rsid w:val="008B202E"/>
    <w:rsid w:val="008B21B5"/>
    <w:rsid w:val="008B2298"/>
    <w:rsid w:val="008B2299"/>
    <w:rsid w:val="008B239C"/>
    <w:rsid w:val="008B24E2"/>
    <w:rsid w:val="008B28AC"/>
    <w:rsid w:val="008B29BF"/>
    <w:rsid w:val="008B2DD2"/>
    <w:rsid w:val="008B3185"/>
    <w:rsid w:val="008B3275"/>
    <w:rsid w:val="008B338B"/>
    <w:rsid w:val="008B35E0"/>
    <w:rsid w:val="008B4370"/>
    <w:rsid w:val="008B43DD"/>
    <w:rsid w:val="008B44F4"/>
    <w:rsid w:val="008B493F"/>
    <w:rsid w:val="008B4A4A"/>
    <w:rsid w:val="008B4FA5"/>
    <w:rsid w:val="008B572F"/>
    <w:rsid w:val="008B57BC"/>
    <w:rsid w:val="008B57DB"/>
    <w:rsid w:val="008B58E7"/>
    <w:rsid w:val="008B5914"/>
    <w:rsid w:val="008B59B0"/>
    <w:rsid w:val="008B5BDD"/>
    <w:rsid w:val="008B5C4C"/>
    <w:rsid w:val="008B5D26"/>
    <w:rsid w:val="008B5EB1"/>
    <w:rsid w:val="008B604D"/>
    <w:rsid w:val="008B62D6"/>
    <w:rsid w:val="008B63FB"/>
    <w:rsid w:val="008B6B0D"/>
    <w:rsid w:val="008B6EF0"/>
    <w:rsid w:val="008B7156"/>
    <w:rsid w:val="008B7222"/>
    <w:rsid w:val="008B790B"/>
    <w:rsid w:val="008B7960"/>
    <w:rsid w:val="008B79E5"/>
    <w:rsid w:val="008B7A47"/>
    <w:rsid w:val="008B7D63"/>
    <w:rsid w:val="008B7ED2"/>
    <w:rsid w:val="008B7F3E"/>
    <w:rsid w:val="008C034E"/>
    <w:rsid w:val="008C05B9"/>
    <w:rsid w:val="008C0639"/>
    <w:rsid w:val="008C0684"/>
    <w:rsid w:val="008C0CC2"/>
    <w:rsid w:val="008C0E0B"/>
    <w:rsid w:val="008C0ECC"/>
    <w:rsid w:val="008C0F06"/>
    <w:rsid w:val="008C10E3"/>
    <w:rsid w:val="008C115E"/>
    <w:rsid w:val="008C15D1"/>
    <w:rsid w:val="008C1669"/>
    <w:rsid w:val="008C17F3"/>
    <w:rsid w:val="008C18C1"/>
    <w:rsid w:val="008C18E6"/>
    <w:rsid w:val="008C19AB"/>
    <w:rsid w:val="008C1D3F"/>
    <w:rsid w:val="008C1D7F"/>
    <w:rsid w:val="008C1EA6"/>
    <w:rsid w:val="008C2417"/>
    <w:rsid w:val="008C2501"/>
    <w:rsid w:val="008C26D6"/>
    <w:rsid w:val="008C2775"/>
    <w:rsid w:val="008C2939"/>
    <w:rsid w:val="008C2E56"/>
    <w:rsid w:val="008C2FBE"/>
    <w:rsid w:val="008C314A"/>
    <w:rsid w:val="008C343B"/>
    <w:rsid w:val="008C3452"/>
    <w:rsid w:val="008C3522"/>
    <w:rsid w:val="008C3547"/>
    <w:rsid w:val="008C381C"/>
    <w:rsid w:val="008C3824"/>
    <w:rsid w:val="008C390E"/>
    <w:rsid w:val="008C3A4B"/>
    <w:rsid w:val="008C41F9"/>
    <w:rsid w:val="008C431E"/>
    <w:rsid w:val="008C43B2"/>
    <w:rsid w:val="008C47C2"/>
    <w:rsid w:val="008C47FE"/>
    <w:rsid w:val="008C4882"/>
    <w:rsid w:val="008C4AE4"/>
    <w:rsid w:val="008C4CE6"/>
    <w:rsid w:val="008C4E7E"/>
    <w:rsid w:val="008C523E"/>
    <w:rsid w:val="008C5265"/>
    <w:rsid w:val="008C5384"/>
    <w:rsid w:val="008C59EF"/>
    <w:rsid w:val="008C5CD9"/>
    <w:rsid w:val="008C61D7"/>
    <w:rsid w:val="008C65B4"/>
    <w:rsid w:val="008C6978"/>
    <w:rsid w:val="008C6C8B"/>
    <w:rsid w:val="008C6D6E"/>
    <w:rsid w:val="008C766B"/>
    <w:rsid w:val="008C78FA"/>
    <w:rsid w:val="008C7BD0"/>
    <w:rsid w:val="008C7C01"/>
    <w:rsid w:val="008C7DC0"/>
    <w:rsid w:val="008C7F38"/>
    <w:rsid w:val="008D045D"/>
    <w:rsid w:val="008D04D6"/>
    <w:rsid w:val="008D0504"/>
    <w:rsid w:val="008D0D91"/>
    <w:rsid w:val="008D0DFF"/>
    <w:rsid w:val="008D118E"/>
    <w:rsid w:val="008D1256"/>
    <w:rsid w:val="008D12B5"/>
    <w:rsid w:val="008D1BB3"/>
    <w:rsid w:val="008D1CF3"/>
    <w:rsid w:val="008D1FE8"/>
    <w:rsid w:val="008D2116"/>
    <w:rsid w:val="008D2190"/>
    <w:rsid w:val="008D2214"/>
    <w:rsid w:val="008D228D"/>
    <w:rsid w:val="008D246A"/>
    <w:rsid w:val="008D2514"/>
    <w:rsid w:val="008D2601"/>
    <w:rsid w:val="008D275A"/>
    <w:rsid w:val="008D2843"/>
    <w:rsid w:val="008D2916"/>
    <w:rsid w:val="008D295C"/>
    <w:rsid w:val="008D2E0E"/>
    <w:rsid w:val="008D2E7E"/>
    <w:rsid w:val="008D2F6F"/>
    <w:rsid w:val="008D3291"/>
    <w:rsid w:val="008D32A2"/>
    <w:rsid w:val="008D382B"/>
    <w:rsid w:val="008D39C4"/>
    <w:rsid w:val="008D3A48"/>
    <w:rsid w:val="008D3AB5"/>
    <w:rsid w:val="008D3FD3"/>
    <w:rsid w:val="008D3FFF"/>
    <w:rsid w:val="008D426E"/>
    <w:rsid w:val="008D4413"/>
    <w:rsid w:val="008D4424"/>
    <w:rsid w:val="008D4464"/>
    <w:rsid w:val="008D44E5"/>
    <w:rsid w:val="008D4E22"/>
    <w:rsid w:val="008D4F75"/>
    <w:rsid w:val="008D51CB"/>
    <w:rsid w:val="008D52FD"/>
    <w:rsid w:val="008D5397"/>
    <w:rsid w:val="008D5448"/>
    <w:rsid w:val="008D544F"/>
    <w:rsid w:val="008D5463"/>
    <w:rsid w:val="008D54BE"/>
    <w:rsid w:val="008D59EE"/>
    <w:rsid w:val="008D5BBD"/>
    <w:rsid w:val="008D5C9A"/>
    <w:rsid w:val="008D61FC"/>
    <w:rsid w:val="008D6393"/>
    <w:rsid w:val="008D6406"/>
    <w:rsid w:val="008D65C9"/>
    <w:rsid w:val="008D676B"/>
    <w:rsid w:val="008D6991"/>
    <w:rsid w:val="008D6993"/>
    <w:rsid w:val="008D69EE"/>
    <w:rsid w:val="008D6A6E"/>
    <w:rsid w:val="008D6C37"/>
    <w:rsid w:val="008D6D1D"/>
    <w:rsid w:val="008D6EBA"/>
    <w:rsid w:val="008D6F95"/>
    <w:rsid w:val="008D7052"/>
    <w:rsid w:val="008D72D9"/>
    <w:rsid w:val="008D74A4"/>
    <w:rsid w:val="008D788D"/>
    <w:rsid w:val="008D796D"/>
    <w:rsid w:val="008D7A69"/>
    <w:rsid w:val="008D7BCD"/>
    <w:rsid w:val="008E047B"/>
    <w:rsid w:val="008E059A"/>
    <w:rsid w:val="008E0875"/>
    <w:rsid w:val="008E09A6"/>
    <w:rsid w:val="008E09FF"/>
    <w:rsid w:val="008E0ADC"/>
    <w:rsid w:val="008E0D29"/>
    <w:rsid w:val="008E15E2"/>
    <w:rsid w:val="008E18C3"/>
    <w:rsid w:val="008E19DE"/>
    <w:rsid w:val="008E1E04"/>
    <w:rsid w:val="008E2219"/>
    <w:rsid w:val="008E2288"/>
    <w:rsid w:val="008E231C"/>
    <w:rsid w:val="008E29C1"/>
    <w:rsid w:val="008E2F56"/>
    <w:rsid w:val="008E33BC"/>
    <w:rsid w:val="008E3406"/>
    <w:rsid w:val="008E36B3"/>
    <w:rsid w:val="008E36DF"/>
    <w:rsid w:val="008E3946"/>
    <w:rsid w:val="008E3E47"/>
    <w:rsid w:val="008E3F9B"/>
    <w:rsid w:val="008E40A5"/>
    <w:rsid w:val="008E44E9"/>
    <w:rsid w:val="008E460B"/>
    <w:rsid w:val="008E4B19"/>
    <w:rsid w:val="008E5018"/>
    <w:rsid w:val="008E51E0"/>
    <w:rsid w:val="008E5284"/>
    <w:rsid w:val="008E571A"/>
    <w:rsid w:val="008E5788"/>
    <w:rsid w:val="008E58B2"/>
    <w:rsid w:val="008E58E9"/>
    <w:rsid w:val="008E5AB2"/>
    <w:rsid w:val="008E5B7B"/>
    <w:rsid w:val="008E5E5F"/>
    <w:rsid w:val="008E5F48"/>
    <w:rsid w:val="008E63D3"/>
    <w:rsid w:val="008E698E"/>
    <w:rsid w:val="008E6B74"/>
    <w:rsid w:val="008E702B"/>
    <w:rsid w:val="008E708F"/>
    <w:rsid w:val="008E7355"/>
    <w:rsid w:val="008E75C5"/>
    <w:rsid w:val="008E770E"/>
    <w:rsid w:val="008E79F4"/>
    <w:rsid w:val="008E7B44"/>
    <w:rsid w:val="008E7CCE"/>
    <w:rsid w:val="008F009E"/>
    <w:rsid w:val="008F00FB"/>
    <w:rsid w:val="008F0317"/>
    <w:rsid w:val="008F080B"/>
    <w:rsid w:val="008F1095"/>
    <w:rsid w:val="008F10DA"/>
    <w:rsid w:val="008F10ED"/>
    <w:rsid w:val="008F110D"/>
    <w:rsid w:val="008F12A6"/>
    <w:rsid w:val="008F1594"/>
    <w:rsid w:val="008F16A5"/>
    <w:rsid w:val="008F1A3C"/>
    <w:rsid w:val="008F2734"/>
    <w:rsid w:val="008F2A56"/>
    <w:rsid w:val="008F2AE8"/>
    <w:rsid w:val="008F2AE9"/>
    <w:rsid w:val="008F2B43"/>
    <w:rsid w:val="008F2F3E"/>
    <w:rsid w:val="008F3408"/>
    <w:rsid w:val="008F3499"/>
    <w:rsid w:val="008F34CE"/>
    <w:rsid w:val="008F35F3"/>
    <w:rsid w:val="008F3668"/>
    <w:rsid w:val="008F3872"/>
    <w:rsid w:val="008F39FD"/>
    <w:rsid w:val="008F3AC1"/>
    <w:rsid w:val="008F41A1"/>
    <w:rsid w:val="008F43A1"/>
    <w:rsid w:val="008F449C"/>
    <w:rsid w:val="008F4511"/>
    <w:rsid w:val="008F46CA"/>
    <w:rsid w:val="008F4DE5"/>
    <w:rsid w:val="008F505B"/>
    <w:rsid w:val="008F50A0"/>
    <w:rsid w:val="008F5276"/>
    <w:rsid w:val="008F574C"/>
    <w:rsid w:val="008F57E3"/>
    <w:rsid w:val="008F5A04"/>
    <w:rsid w:val="008F60D8"/>
    <w:rsid w:val="008F658C"/>
    <w:rsid w:val="008F699B"/>
    <w:rsid w:val="008F6AAE"/>
    <w:rsid w:val="008F6B3D"/>
    <w:rsid w:val="008F6F4D"/>
    <w:rsid w:val="008F7027"/>
    <w:rsid w:val="008F7461"/>
    <w:rsid w:val="008F77B1"/>
    <w:rsid w:val="008F78A2"/>
    <w:rsid w:val="008F793A"/>
    <w:rsid w:val="008F7A96"/>
    <w:rsid w:val="008F7AEC"/>
    <w:rsid w:val="008F7C9C"/>
    <w:rsid w:val="008F7F50"/>
    <w:rsid w:val="009002EC"/>
    <w:rsid w:val="00900655"/>
    <w:rsid w:val="009006A7"/>
    <w:rsid w:val="0090088B"/>
    <w:rsid w:val="00900ADD"/>
    <w:rsid w:val="00900DDA"/>
    <w:rsid w:val="00901036"/>
    <w:rsid w:val="00901281"/>
    <w:rsid w:val="009012FD"/>
    <w:rsid w:val="009013C1"/>
    <w:rsid w:val="00901446"/>
    <w:rsid w:val="00901738"/>
    <w:rsid w:val="00901756"/>
    <w:rsid w:val="00901AC3"/>
    <w:rsid w:val="00901B38"/>
    <w:rsid w:val="00901BD2"/>
    <w:rsid w:val="00901D1D"/>
    <w:rsid w:val="009020B9"/>
    <w:rsid w:val="009025AA"/>
    <w:rsid w:val="009027C5"/>
    <w:rsid w:val="00902CAC"/>
    <w:rsid w:val="00902D28"/>
    <w:rsid w:val="0090327F"/>
    <w:rsid w:val="009032E3"/>
    <w:rsid w:val="0090332C"/>
    <w:rsid w:val="009036CA"/>
    <w:rsid w:val="009037C5"/>
    <w:rsid w:val="00903D4B"/>
    <w:rsid w:val="00903F1B"/>
    <w:rsid w:val="0090430E"/>
    <w:rsid w:val="0090456E"/>
    <w:rsid w:val="00904690"/>
    <w:rsid w:val="009047B0"/>
    <w:rsid w:val="00904830"/>
    <w:rsid w:val="009049D6"/>
    <w:rsid w:val="00904BE5"/>
    <w:rsid w:val="0090500E"/>
    <w:rsid w:val="00905079"/>
    <w:rsid w:val="009051C4"/>
    <w:rsid w:val="0090526D"/>
    <w:rsid w:val="009059CB"/>
    <w:rsid w:val="00905E79"/>
    <w:rsid w:val="00905F56"/>
    <w:rsid w:val="0090607C"/>
    <w:rsid w:val="00906551"/>
    <w:rsid w:val="0090672F"/>
    <w:rsid w:val="009067E3"/>
    <w:rsid w:val="00906BC2"/>
    <w:rsid w:val="0090705F"/>
    <w:rsid w:val="009072AD"/>
    <w:rsid w:val="0090757C"/>
    <w:rsid w:val="009075A4"/>
    <w:rsid w:val="0091016B"/>
    <w:rsid w:val="0091021D"/>
    <w:rsid w:val="0091036B"/>
    <w:rsid w:val="00910393"/>
    <w:rsid w:val="0091056D"/>
    <w:rsid w:val="00910615"/>
    <w:rsid w:val="00910A04"/>
    <w:rsid w:val="00910A8D"/>
    <w:rsid w:val="00910F87"/>
    <w:rsid w:val="00911059"/>
    <w:rsid w:val="00911475"/>
    <w:rsid w:val="00911638"/>
    <w:rsid w:val="009117D8"/>
    <w:rsid w:val="00911956"/>
    <w:rsid w:val="00911A62"/>
    <w:rsid w:val="00911B0B"/>
    <w:rsid w:val="00911C8B"/>
    <w:rsid w:val="00911CB3"/>
    <w:rsid w:val="00911E21"/>
    <w:rsid w:val="00911EE0"/>
    <w:rsid w:val="00911FC7"/>
    <w:rsid w:val="00912300"/>
    <w:rsid w:val="00912393"/>
    <w:rsid w:val="00912477"/>
    <w:rsid w:val="00912553"/>
    <w:rsid w:val="009129BC"/>
    <w:rsid w:val="00912A36"/>
    <w:rsid w:val="00912CBA"/>
    <w:rsid w:val="0091310B"/>
    <w:rsid w:val="0091317A"/>
    <w:rsid w:val="00913516"/>
    <w:rsid w:val="00914114"/>
    <w:rsid w:val="0091425D"/>
    <w:rsid w:val="0091435E"/>
    <w:rsid w:val="009144EB"/>
    <w:rsid w:val="0091451F"/>
    <w:rsid w:val="00914A43"/>
    <w:rsid w:val="00914DF6"/>
    <w:rsid w:val="00915135"/>
    <w:rsid w:val="0091520D"/>
    <w:rsid w:val="009152DD"/>
    <w:rsid w:val="00915587"/>
    <w:rsid w:val="0091588F"/>
    <w:rsid w:val="00915956"/>
    <w:rsid w:val="00915C6D"/>
    <w:rsid w:val="00916103"/>
    <w:rsid w:val="00916152"/>
    <w:rsid w:val="00916B7E"/>
    <w:rsid w:val="00916DE1"/>
    <w:rsid w:val="00916F76"/>
    <w:rsid w:val="0091706E"/>
    <w:rsid w:val="009170FE"/>
    <w:rsid w:val="00917163"/>
    <w:rsid w:val="009172E8"/>
    <w:rsid w:val="00917728"/>
    <w:rsid w:val="00917EDC"/>
    <w:rsid w:val="00917F95"/>
    <w:rsid w:val="00917F9B"/>
    <w:rsid w:val="0092039D"/>
    <w:rsid w:val="0092045A"/>
    <w:rsid w:val="00920515"/>
    <w:rsid w:val="00920989"/>
    <w:rsid w:val="00920E46"/>
    <w:rsid w:val="00920F70"/>
    <w:rsid w:val="00920F9A"/>
    <w:rsid w:val="0092111D"/>
    <w:rsid w:val="0092132F"/>
    <w:rsid w:val="0092136B"/>
    <w:rsid w:val="009213AB"/>
    <w:rsid w:val="00921614"/>
    <w:rsid w:val="00921AAF"/>
    <w:rsid w:val="00921D80"/>
    <w:rsid w:val="00921F02"/>
    <w:rsid w:val="0092239D"/>
    <w:rsid w:val="009224EB"/>
    <w:rsid w:val="00922519"/>
    <w:rsid w:val="0092264B"/>
    <w:rsid w:val="00922682"/>
    <w:rsid w:val="0092285D"/>
    <w:rsid w:val="00922B16"/>
    <w:rsid w:val="00922B39"/>
    <w:rsid w:val="00923070"/>
    <w:rsid w:val="00923205"/>
    <w:rsid w:val="00923CA2"/>
    <w:rsid w:val="00923EDF"/>
    <w:rsid w:val="00924261"/>
    <w:rsid w:val="009247B1"/>
    <w:rsid w:val="009247D1"/>
    <w:rsid w:val="009248B5"/>
    <w:rsid w:val="00924934"/>
    <w:rsid w:val="00924939"/>
    <w:rsid w:val="00924BB9"/>
    <w:rsid w:val="00924E0B"/>
    <w:rsid w:val="00924E82"/>
    <w:rsid w:val="00924F77"/>
    <w:rsid w:val="00925295"/>
    <w:rsid w:val="00925552"/>
    <w:rsid w:val="00925592"/>
    <w:rsid w:val="00925B3B"/>
    <w:rsid w:val="00925BE7"/>
    <w:rsid w:val="0092601C"/>
    <w:rsid w:val="009263C9"/>
    <w:rsid w:val="00926684"/>
    <w:rsid w:val="00926789"/>
    <w:rsid w:val="009267D2"/>
    <w:rsid w:val="00927070"/>
    <w:rsid w:val="00927235"/>
    <w:rsid w:val="0092731E"/>
    <w:rsid w:val="00927343"/>
    <w:rsid w:val="00927504"/>
    <w:rsid w:val="00927A11"/>
    <w:rsid w:val="00927EFF"/>
    <w:rsid w:val="00927F5A"/>
    <w:rsid w:val="00930484"/>
    <w:rsid w:val="0093066A"/>
    <w:rsid w:val="0093067B"/>
    <w:rsid w:val="00930829"/>
    <w:rsid w:val="00930A88"/>
    <w:rsid w:val="00930F43"/>
    <w:rsid w:val="009313A0"/>
    <w:rsid w:val="009314BA"/>
    <w:rsid w:val="00931558"/>
    <w:rsid w:val="0093176B"/>
    <w:rsid w:val="00931894"/>
    <w:rsid w:val="00931D3D"/>
    <w:rsid w:val="00931D6B"/>
    <w:rsid w:val="00931EDF"/>
    <w:rsid w:val="00931F27"/>
    <w:rsid w:val="00931FFA"/>
    <w:rsid w:val="00932097"/>
    <w:rsid w:val="00932118"/>
    <w:rsid w:val="00932347"/>
    <w:rsid w:val="009327B2"/>
    <w:rsid w:val="009329E5"/>
    <w:rsid w:val="00933080"/>
    <w:rsid w:val="00933112"/>
    <w:rsid w:val="0093334A"/>
    <w:rsid w:val="009337BC"/>
    <w:rsid w:val="009337F6"/>
    <w:rsid w:val="00933AE0"/>
    <w:rsid w:val="00933D60"/>
    <w:rsid w:val="00933E08"/>
    <w:rsid w:val="009340EA"/>
    <w:rsid w:val="00934179"/>
    <w:rsid w:val="00934212"/>
    <w:rsid w:val="0093463D"/>
    <w:rsid w:val="009346AE"/>
    <w:rsid w:val="00934958"/>
    <w:rsid w:val="00934ACA"/>
    <w:rsid w:val="00934B13"/>
    <w:rsid w:val="00934C62"/>
    <w:rsid w:val="00935453"/>
    <w:rsid w:val="00935506"/>
    <w:rsid w:val="0093586A"/>
    <w:rsid w:val="00935BF7"/>
    <w:rsid w:val="00935C75"/>
    <w:rsid w:val="00935E11"/>
    <w:rsid w:val="0093625D"/>
    <w:rsid w:val="0093682A"/>
    <w:rsid w:val="00936AE7"/>
    <w:rsid w:val="00936B02"/>
    <w:rsid w:val="00936C77"/>
    <w:rsid w:val="00936D40"/>
    <w:rsid w:val="00937401"/>
    <w:rsid w:val="0093781A"/>
    <w:rsid w:val="00937846"/>
    <w:rsid w:val="009378C8"/>
    <w:rsid w:val="00937ECB"/>
    <w:rsid w:val="00937F91"/>
    <w:rsid w:val="009401B7"/>
    <w:rsid w:val="009402C8"/>
    <w:rsid w:val="0094086C"/>
    <w:rsid w:val="009408A8"/>
    <w:rsid w:val="00940C9E"/>
    <w:rsid w:val="00940F2A"/>
    <w:rsid w:val="00941059"/>
    <w:rsid w:val="009410EB"/>
    <w:rsid w:val="009413D2"/>
    <w:rsid w:val="00941557"/>
    <w:rsid w:val="009416BE"/>
    <w:rsid w:val="00941875"/>
    <w:rsid w:val="00941B1C"/>
    <w:rsid w:val="00941C86"/>
    <w:rsid w:val="00941FA3"/>
    <w:rsid w:val="0094215F"/>
    <w:rsid w:val="00942425"/>
    <w:rsid w:val="009425AD"/>
    <w:rsid w:val="00942759"/>
    <w:rsid w:val="009428F0"/>
    <w:rsid w:val="009429CC"/>
    <w:rsid w:val="00943285"/>
    <w:rsid w:val="009433AF"/>
    <w:rsid w:val="0094351A"/>
    <w:rsid w:val="00943695"/>
    <w:rsid w:val="00943991"/>
    <w:rsid w:val="00943AD4"/>
    <w:rsid w:val="00943B82"/>
    <w:rsid w:val="00943DE2"/>
    <w:rsid w:val="00943E24"/>
    <w:rsid w:val="00943F34"/>
    <w:rsid w:val="00943F4C"/>
    <w:rsid w:val="0094446E"/>
    <w:rsid w:val="0094467D"/>
    <w:rsid w:val="009447F5"/>
    <w:rsid w:val="009448D4"/>
    <w:rsid w:val="00944A25"/>
    <w:rsid w:val="00944AEE"/>
    <w:rsid w:val="00944C1F"/>
    <w:rsid w:val="00944CBA"/>
    <w:rsid w:val="00944F9C"/>
    <w:rsid w:val="009453B4"/>
    <w:rsid w:val="00945587"/>
    <w:rsid w:val="00945B30"/>
    <w:rsid w:val="00945E69"/>
    <w:rsid w:val="00945F7E"/>
    <w:rsid w:val="009461AA"/>
    <w:rsid w:val="009461C6"/>
    <w:rsid w:val="009463C3"/>
    <w:rsid w:val="0094688C"/>
    <w:rsid w:val="0094698F"/>
    <w:rsid w:val="00946F1D"/>
    <w:rsid w:val="009470B6"/>
    <w:rsid w:val="0094710A"/>
    <w:rsid w:val="0094733F"/>
    <w:rsid w:val="009474D7"/>
    <w:rsid w:val="009477E4"/>
    <w:rsid w:val="00947868"/>
    <w:rsid w:val="009479A7"/>
    <w:rsid w:val="0095045F"/>
    <w:rsid w:val="009506B9"/>
    <w:rsid w:val="009508DE"/>
    <w:rsid w:val="00950F09"/>
    <w:rsid w:val="0095105C"/>
    <w:rsid w:val="009512BC"/>
    <w:rsid w:val="00951863"/>
    <w:rsid w:val="00951981"/>
    <w:rsid w:val="00951CC5"/>
    <w:rsid w:val="009520DD"/>
    <w:rsid w:val="00952683"/>
    <w:rsid w:val="00952896"/>
    <w:rsid w:val="00953274"/>
    <w:rsid w:val="00953B9E"/>
    <w:rsid w:val="00953BFA"/>
    <w:rsid w:val="00953EA7"/>
    <w:rsid w:val="009540F0"/>
    <w:rsid w:val="0095415F"/>
    <w:rsid w:val="00954426"/>
    <w:rsid w:val="00954574"/>
    <w:rsid w:val="009549C9"/>
    <w:rsid w:val="009553F3"/>
    <w:rsid w:val="00955460"/>
    <w:rsid w:val="009554F0"/>
    <w:rsid w:val="00955643"/>
    <w:rsid w:val="00955A84"/>
    <w:rsid w:val="00955AC6"/>
    <w:rsid w:val="00955BDC"/>
    <w:rsid w:val="00955C50"/>
    <w:rsid w:val="00955D91"/>
    <w:rsid w:val="00955DE5"/>
    <w:rsid w:val="00955E04"/>
    <w:rsid w:val="00955F66"/>
    <w:rsid w:val="00956026"/>
    <w:rsid w:val="009566B9"/>
    <w:rsid w:val="0095690E"/>
    <w:rsid w:val="00956F68"/>
    <w:rsid w:val="00956FA4"/>
    <w:rsid w:val="00957784"/>
    <w:rsid w:val="0095782D"/>
    <w:rsid w:val="00957A63"/>
    <w:rsid w:val="00957C1B"/>
    <w:rsid w:val="00957D8B"/>
    <w:rsid w:val="00957EC3"/>
    <w:rsid w:val="00960206"/>
    <w:rsid w:val="009602AB"/>
    <w:rsid w:val="00960451"/>
    <w:rsid w:val="00960546"/>
    <w:rsid w:val="00960777"/>
    <w:rsid w:val="00960C7B"/>
    <w:rsid w:val="00960DEA"/>
    <w:rsid w:val="0096153F"/>
    <w:rsid w:val="00961582"/>
    <w:rsid w:val="009617C9"/>
    <w:rsid w:val="00961CBC"/>
    <w:rsid w:val="00961CFB"/>
    <w:rsid w:val="00961D0C"/>
    <w:rsid w:val="00961F45"/>
    <w:rsid w:val="00961F9C"/>
    <w:rsid w:val="0096226E"/>
    <w:rsid w:val="009622F5"/>
    <w:rsid w:val="009623B1"/>
    <w:rsid w:val="0096241A"/>
    <w:rsid w:val="0096263D"/>
    <w:rsid w:val="00962B4D"/>
    <w:rsid w:val="00962B50"/>
    <w:rsid w:val="00962BF1"/>
    <w:rsid w:val="00962E2D"/>
    <w:rsid w:val="00962F2B"/>
    <w:rsid w:val="0096312D"/>
    <w:rsid w:val="0096332A"/>
    <w:rsid w:val="0096345E"/>
    <w:rsid w:val="0096379E"/>
    <w:rsid w:val="0096393C"/>
    <w:rsid w:val="00963C53"/>
    <w:rsid w:val="00963D88"/>
    <w:rsid w:val="00963FB3"/>
    <w:rsid w:val="009640BA"/>
    <w:rsid w:val="009644C8"/>
    <w:rsid w:val="009644F2"/>
    <w:rsid w:val="00964804"/>
    <w:rsid w:val="0096489D"/>
    <w:rsid w:val="009648E6"/>
    <w:rsid w:val="00964A88"/>
    <w:rsid w:val="00964B5B"/>
    <w:rsid w:val="00964D5D"/>
    <w:rsid w:val="00964F8B"/>
    <w:rsid w:val="009650E2"/>
    <w:rsid w:val="00965246"/>
    <w:rsid w:val="00965382"/>
    <w:rsid w:val="009655A2"/>
    <w:rsid w:val="009655AA"/>
    <w:rsid w:val="00965895"/>
    <w:rsid w:val="00965C36"/>
    <w:rsid w:val="00965F22"/>
    <w:rsid w:val="00965F8B"/>
    <w:rsid w:val="00966491"/>
    <w:rsid w:val="009665F2"/>
    <w:rsid w:val="00966825"/>
    <w:rsid w:val="00967131"/>
    <w:rsid w:val="00967142"/>
    <w:rsid w:val="009671F0"/>
    <w:rsid w:val="00967315"/>
    <w:rsid w:val="00967A5E"/>
    <w:rsid w:val="00967B65"/>
    <w:rsid w:val="00967C5D"/>
    <w:rsid w:val="0097005F"/>
    <w:rsid w:val="0097054F"/>
    <w:rsid w:val="0097070F"/>
    <w:rsid w:val="0097080C"/>
    <w:rsid w:val="009709D7"/>
    <w:rsid w:val="00970A50"/>
    <w:rsid w:val="00970A67"/>
    <w:rsid w:val="00970C70"/>
    <w:rsid w:val="00970DB4"/>
    <w:rsid w:val="00971142"/>
    <w:rsid w:val="00971153"/>
    <w:rsid w:val="0097133D"/>
    <w:rsid w:val="00971795"/>
    <w:rsid w:val="00971ABF"/>
    <w:rsid w:val="00971EC0"/>
    <w:rsid w:val="0097248A"/>
    <w:rsid w:val="009725DE"/>
    <w:rsid w:val="0097263A"/>
    <w:rsid w:val="009726EC"/>
    <w:rsid w:val="0097289A"/>
    <w:rsid w:val="0097290D"/>
    <w:rsid w:val="00972F51"/>
    <w:rsid w:val="00973868"/>
    <w:rsid w:val="0097392A"/>
    <w:rsid w:val="00973938"/>
    <w:rsid w:val="00973C71"/>
    <w:rsid w:val="00973E2C"/>
    <w:rsid w:val="009741E9"/>
    <w:rsid w:val="009743B2"/>
    <w:rsid w:val="00974579"/>
    <w:rsid w:val="00974BD8"/>
    <w:rsid w:val="00974BDE"/>
    <w:rsid w:val="00974F1F"/>
    <w:rsid w:val="00974F95"/>
    <w:rsid w:val="0097515E"/>
    <w:rsid w:val="00975233"/>
    <w:rsid w:val="0097534F"/>
    <w:rsid w:val="0097549F"/>
    <w:rsid w:val="0097575D"/>
    <w:rsid w:val="00975846"/>
    <w:rsid w:val="00975858"/>
    <w:rsid w:val="00975865"/>
    <w:rsid w:val="009759DE"/>
    <w:rsid w:val="00975D44"/>
    <w:rsid w:val="00975E12"/>
    <w:rsid w:val="00975EB7"/>
    <w:rsid w:val="009760E5"/>
    <w:rsid w:val="0097612D"/>
    <w:rsid w:val="009768E4"/>
    <w:rsid w:val="00976B79"/>
    <w:rsid w:val="00976FC3"/>
    <w:rsid w:val="009771D6"/>
    <w:rsid w:val="00977229"/>
    <w:rsid w:val="009772D7"/>
    <w:rsid w:val="009778E7"/>
    <w:rsid w:val="00977A51"/>
    <w:rsid w:val="00977B6B"/>
    <w:rsid w:val="00977D37"/>
    <w:rsid w:val="009801E7"/>
    <w:rsid w:val="00980241"/>
    <w:rsid w:val="009804E1"/>
    <w:rsid w:val="009807A4"/>
    <w:rsid w:val="00980933"/>
    <w:rsid w:val="00980AF2"/>
    <w:rsid w:val="00980BCD"/>
    <w:rsid w:val="009810A5"/>
    <w:rsid w:val="0098119F"/>
    <w:rsid w:val="0098120E"/>
    <w:rsid w:val="00981238"/>
    <w:rsid w:val="009812BE"/>
    <w:rsid w:val="0098172A"/>
    <w:rsid w:val="00981A87"/>
    <w:rsid w:val="00981D66"/>
    <w:rsid w:val="00981E02"/>
    <w:rsid w:val="00981E5F"/>
    <w:rsid w:val="0098207C"/>
    <w:rsid w:val="00982397"/>
    <w:rsid w:val="009824D9"/>
    <w:rsid w:val="00982887"/>
    <w:rsid w:val="009829BA"/>
    <w:rsid w:val="00982A44"/>
    <w:rsid w:val="00982B1C"/>
    <w:rsid w:val="00982D56"/>
    <w:rsid w:val="00982F75"/>
    <w:rsid w:val="00983615"/>
    <w:rsid w:val="0098374A"/>
    <w:rsid w:val="00983782"/>
    <w:rsid w:val="00983AA8"/>
    <w:rsid w:val="00983E4B"/>
    <w:rsid w:val="0098439D"/>
    <w:rsid w:val="00984571"/>
    <w:rsid w:val="009849B3"/>
    <w:rsid w:val="00984A23"/>
    <w:rsid w:val="00984AE2"/>
    <w:rsid w:val="00984D8F"/>
    <w:rsid w:val="00984DAB"/>
    <w:rsid w:val="00984E0D"/>
    <w:rsid w:val="00984E20"/>
    <w:rsid w:val="00984ED6"/>
    <w:rsid w:val="0098528F"/>
    <w:rsid w:val="009856D8"/>
    <w:rsid w:val="0098575D"/>
    <w:rsid w:val="00985E12"/>
    <w:rsid w:val="009861B9"/>
    <w:rsid w:val="00986727"/>
    <w:rsid w:val="00986833"/>
    <w:rsid w:val="00986B9E"/>
    <w:rsid w:val="00986BBF"/>
    <w:rsid w:val="0098704C"/>
    <w:rsid w:val="0098715C"/>
    <w:rsid w:val="0098717C"/>
    <w:rsid w:val="00987334"/>
    <w:rsid w:val="00987423"/>
    <w:rsid w:val="009874C0"/>
    <w:rsid w:val="00987650"/>
    <w:rsid w:val="009877C8"/>
    <w:rsid w:val="009877E4"/>
    <w:rsid w:val="00987995"/>
    <w:rsid w:val="00990244"/>
    <w:rsid w:val="009905A9"/>
    <w:rsid w:val="00990B01"/>
    <w:rsid w:val="00990C5A"/>
    <w:rsid w:val="00990E92"/>
    <w:rsid w:val="00990EEC"/>
    <w:rsid w:val="00990EFA"/>
    <w:rsid w:val="00990F24"/>
    <w:rsid w:val="00990FA2"/>
    <w:rsid w:val="00991142"/>
    <w:rsid w:val="00991816"/>
    <w:rsid w:val="009919E3"/>
    <w:rsid w:val="00991B17"/>
    <w:rsid w:val="00992370"/>
    <w:rsid w:val="00992479"/>
    <w:rsid w:val="00992766"/>
    <w:rsid w:val="00992C8F"/>
    <w:rsid w:val="00992ECD"/>
    <w:rsid w:val="00992F6D"/>
    <w:rsid w:val="00993050"/>
    <w:rsid w:val="0099310F"/>
    <w:rsid w:val="0099313A"/>
    <w:rsid w:val="00993474"/>
    <w:rsid w:val="0099349B"/>
    <w:rsid w:val="00993985"/>
    <w:rsid w:val="00993AED"/>
    <w:rsid w:val="00993B67"/>
    <w:rsid w:val="00993D87"/>
    <w:rsid w:val="00994181"/>
    <w:rsid w:val="00994220"/>
    <w:rsid w:val="00994260"/>
    <w:rsid w:val="009944BA"/>
    <w:rsid w:val="009944CD"/>
    <w:rsid w:val="009945B1"/>
    <w:rsid w:val="009946BC"/>
    <w:rsid w:val="009949E5"/>
    <w:rsid w:val="00994A3C"/>
    <w:rsid w:val="00994C35"/>
    <w:rsid w:val="00994CF9"/>
    <w:rsid w:val="00994D63"/>
    <w:rsid w:val="00994DE9"/>
    <w:rsid w:val="00994E5B"/>
    <w:rsid w:val="00994FDE"/>
    <w:rsid w:val="009950EA"/>
    <w:rsid w:val="0099518D"/>
    <w:rsid w:val="00995227"/>
    <w:rsid w:val="009952D0"/>
    <w:rsid w:val="009954D6"/>
    <w:rsid w:val="009959DE"/>
    <w:rsid w:val="009959E0"/>
    <w:rsid w:val="00995D05"/>
    <w:rsid w:val="009961F5"/>
    <w:rsid w:val="009965CD"/>
    <w:rsid w:val="00996919"/>
    <w:rsid w:val="00996944"/>
    <w:rsid w:val="00996BC1"/>
    <w:rsid w:val="00996BEA"/>
    <w:rsid w:val="00996F85"/>
    <w:rsid w:val="00997071"/>
    <w:rsid w:val="00997117"/>
    <w:rsid w:val="00997645"/>
    <w:rsid w:val="00997852"/>
    <w:rsid w:val="00997858"/>
    <w:rsid w:val="00997BD3"/>
    <w:rsid w:val="00997D0D"/>
    <w:rsid w:val="00997EA4"/>
    <w:rsid w:val="009A025D"/>
    <w:rsid w:val="009A0673"/>
    <w:rsid w:val="009A09CF"/>
    <w:rsid w:val="009A0DD0"/>
    <w:rsid w:val="009A0E68"/>
    <w:rsid w:val="009A13ED"/>
    <w:rsid w:val="009A1AD3"/>
    <w:rsid w:val="009A1ED8"/>
    <w:rsid w:val="009A2117"/>
    <w:rsid w:val="009A2176"/>
    <w:rsid w:val="009A21A7"/>
    <w:rsid w:val="009A288F"/>
    <w:rsid w:val="009A2947"/>
    <w:rsid w:val="009A29D1"/>
    <w:rsid w:val="009A2C79"/>
    <w:rsid w:val="009A2D73"/>
    <w:rsid w:val="009A30E0"/>
    <w:rsid w:val="009A3284"/>
    <w:rsid w:val="009A33FB"/>
    <w:rsid w:val="009A3A78"/>
    <w:rsid w:val="009A3BC6"/>
    <w:rsid w:val="009A3C87"/>
    <w:rsid w:val="009A3D94"/>
    <w:rsid w:val="009A3F8E"/>
    <w:rsid w:val="009A40C4"/>
    <w:rsid w:val="009A462F"/>
    <w:rsid w:val="009A4632"/>
    <w:rsid w:val="009A4A79"/>
    <w:rsid w:val="009A4B52"/>
    <w:rsid w:val="009A4C2E"/>
    <w:rsid w:val="009A4CEC"/>
    <w:rsid w:val="009A4DA7"/>
    <w:rsid w:val="009A4E4C"/>
    <w:rsid w:val="009A53BE"/>
    <w:rsid w:val="009A54BF"/>
    <w:rsid w:val="009A580C"/>
    <w:rsid w:val="009A5A04"/>
    <w:rsid w:val="009A5AA7"/>
    <w:rsid w:val="009A5ACE"/>
    <w:rsid w:val="009A5BB5"/>
    <w:rsid w:val="009A6666"/>
    <w:rsid w:val="009A66AA"/>
    <w:rsid w:val="009A6D1A"/>
    <w:rsid w:val="009A6D76"/>
    <w:rsid w:val="009A6EDB"/>
    <w:rsid w:val="009A705D"/>
    <w:rsid w:val="009A74AB"/>
    <w:rsid w:val="009A7A98"/>
    <w:rsid w:val="009A7AF7"/>
    <w:rsid w:val="009A7CCC"/>
    <w:rsid w:val="009A7E68"/>
    <w:rsid w:val="009A7EAD"/>
    <w:rsid w:val="009A7FB4"/>
    <w:rsid w:val="009B0091"/>
    <w:rsid w:val="009B01BA"/>
    <w:rsid w:val="009B037E"/>
    <w:rsid w:val="009B0525"/>
    <w:rsid w:val="009B096A"/>
    <w:rsid w:val="009B0B04"/>
    <w:rsid w:val="009B0C67"/>
    <w:rsid w:val="009B0ED4"/>
    <w:rsid w:val="009B11BE"/>
    <w:rsid w:val="009B1383"/>
    <w:rsid w:val="009B19EB"/>
    <w:rsid w:val="009B1A44"/>
    <w:rsid w:val="009B1B39"/>
    <w:rsid w:val="009B1D97"/>
    <w:rsid w:val="009B1E53"/>
    <w:rsid w:val="009B1F6D"/>
    <w:rsid w:val="009B225E"/>
    <w:rsid w:val="009B22BA"/>
    <w:rsid w:val="009B25D2"/>
    <w:rsid w:val="009B2759"/>
    <w:rsid w:val="009B2823"/>
    <w:rsid w:val="009B2BE4"/>
    <w:rsid w:val="009B2C80"/>
    <w:rsid w:val="009B2E58"/>
    <w:rsid w:val="009B2EA6"/>
    <w:rsid w:val="009B2F29"/>
    <w:rsid w:val="009B2F8B"/>
    <w:rsid w:val="009B3318"/>
    <w:rsid w:val="009B342C"/>
    <w:rsid w:val="009B345B"/>
    <w:rsid w:val="009B3474"/>
    <w:rsid w:val="009B36BF"/>
    <w:rsid w:val="009B3735"/>
    <w:rsid w:val="009B376A"/>
    <w:rsid w:val="009B3911"/>
    <w:rsid w:val="009B3D0E"/>
    <w:rsid w:val="009B3D20"/>
    <w:rsid w:val="009B3E7C"/>
    <w:rsid w:val="009B3F33"/>
    <w:rsid w:val="009B3FE9"/>
    <w:rsid w:val="009B4143"/>
    <w:rsid w:val="009B416C"/>
    <w:rsid w:val="009B427C"/>
    <w:rsid w:val="009B4379"/>
    <w:rsid w:val="009B4615"/>
    <w:rsid w:val="009B4658"/>
    <w:rsid w:val="009B4D29"/>
    <w:rsid w:val="009B50A0"/>
    <w:rsid w:val="009B54C1"/>
    <w:rsid w:val="009B55B8"/>
    <w:rsid w:val="009B5A75"/>
    <w:rsid w:val="009B5B81"/>
    <w:rsid w:val="009B5F1A"/>
    <w:rsid w:val="009B6803"/>
    <w:rsid w:val="009B685D"/>
    <w:rsid w:val="009B6C88"/>
    <w:rsid w:val="009B6C89"/>
    <w:rsid w:val="009B6EDF"/>
    <w:rsid w:val="009B70FC"/>
    <w:rsid w:val="009B746C"/>
    <w:rsid w:val="009B79D3"/>
    <w:rsid w:val="009B7B0B"/>
    <w:rsid w:val="009B7BE2"/>
    <w:rsid w:val="009B7E2F"/>
    <w:rsid w:val="009B7F1A"/>
    <w:rsid w:val="009B7F30"/>
    <w:rsid w:val="009C067E"/>
    <w:rsid w:val="009C081D"/>
    <w:rsid w:val="009C0DA7"/>
    <w:rsid w:val="009C0FDE"/>
    <w:rsid w:val="009C1272"/>
    <w:rsid w:val="009C13A4"/>
    <w:rsid w:val="009C14A1"/>
    <w:rsid w:val="009C19D5"/>
    <w:rsid w:val="009C236D"/>
    <w:rsid w:val="009C25DE"/>
    <w:rsid w:val="009C2767"/>
    <w:rsid w:val="009C29B4"/>
    <w:rsid w:val="009C2D0B"/>
    <w:rsid w:val="009C2D3C"/>
    <w:rsid w:val="009C2E0D"/>
    <w:rsid w:val="009C2EEF"/>
    <w:rsid w:val="009C2FEB"/>
    <w:rsid w:val="009C30BA"/>
    <w:rsid w:val="009C32B3"/>
    <w:rsid w:val="009C33ED"/>
    <w:rsid w:val="009C35A6"/>
    <w:rsid w:val="009C3616"/>
    <w:rsid w:val="009C373D"/>
    <w:rsid w:val="009C4067"/>
    <w:rsid w:val="009C4507"/>
    <w:rsid w:val="009C47E9"/>
    <w:rsid w:val="009C48A9"/>
    <w:rsid w:val="009C49CC"/>
    <w:rsid w:val="009C4B13"/>
    <w:rsid w:val="009C4BC9"/>
    <w:rsid w:val="009C4DCA"/>
    <w:rsid w:val="009C51C7"/>
    <w:rsid w:val="009C56DA"/>
    <w:rsid w:val="009C596B"/>
    <w:rsid w:val="009C5F30"/>
    <w:rsid w:val="009C5FF1"/>
    <w:rsid w:val="009C6025"/>
    <w:rsid w:val="009C614B"/>
    <w:rsid w:val="009C61EC"/>
    <w:rsid w:val="009C6A16"/>
    <w:rsid w:val="009C6BFC"/>
    <w:rsid w:val="009C6E16"/>
    <w:rsid w:val="009C7031"/>
    <w:rsid w:val="009C708C"/>
    <w:rsid w:val="009C713F"/>
    <w:rsid w:val="009C77F4"/>
    <w:rsid w:val="009C79CF"/>
    <w:rsid w:val="009C7FB3"/>
    <w:rsid w:val="009D02A1"/>
    <w:rsid w:val="009D0876"/>
    <w:rsid w:val="009D09FC"/>
    <w:rsid w:val="009D0A4A"/>
    <w:rsid w:val="009D0DCE"/>
    <w:rsid w:val="009D17F8"/>
    <w:rsid w:val="009D1C32"/>
    <w:rsid w:val="009D2670"/>
    <w:rsid w:val="009D26FE"/>
    <w:rsid w:val="009D2D9B"/>
    <w:rsid w:val="009D30D1"/>
    <w:rsid w:val="009D3A4C"/>
    <w:rsid w:val="009D3A7A"/>
    <w:rsid w:val="009D3D1D"/>
    <w:rsid w:val="009D3F32"/>
    <w:rsid w:val="009D409D"/>
    <w:rsid w:val="009D40FF"/>
    <w:rsid w:val="009D41C3"/>
    <w:rsid w:val="009D41C5"/>
    <w:rsid w:val="009D4520"/>
    <w:rsid w:val="009D4944"/>
    <w:rsid w:val="009D49A1"/>
    <w:rsid w:val="009D49D6"/>
    <w:rsid w:val="009D51AD"/>
    <w:rsid w:val="009D53A3"/>
    <w:rsid w:val="009D5703"/>
    <w:rsid w:val="009D58AA"/>
    <w:rsid w:val="009D5A19"/>
    <w:rsid w:val="009D5A68"/>
    <w:rsid w:val="009D5F1D"/>
    <w:rsid w:val="009D612B"/>
    <w:rsid w:val="009D6138"/>
    <w:rsid w:val="009D6162"/>
    <w:rsid w:val="009D6330"/>
    <w:rsid w:val="009D650F"/>
    <w:rsid w:val="009D6691"/>
    <w:rsid w:val="009D6AB0"/>
    <w:rsid w:val="009D6D05"/>
    <w:rsid w:val="009D73E0"/>
    <w:rsid w:val="009D7453"/>
    <w:rsid w:val="009D7473"/>
    <w:rsid w:val="009D760D"/>
    <w:rsid w:val="009D76E2"/>
    <w:rsid w:val="009D7A09"/>
    <w:rsid w:val="009E01AC"/>
    <w:rsid w:val="009E0290"/>
    <w:rsid w:val="009E03BF"/>
    <w:rsid w:val="009E0D1B"/>
    <w:rsid w:val="009E0EA6"/>
    <w:rsid w:val="009E0F0F"/>
    <w:rsid w:val="009E0FD5"/>
    <w:rsid w:val="009E0FDA"/>
    <w:rsid w:val="009E1015"/>
    <w:rsid w:val="009E13D7"/>
    <w:rsid w:val="009E1507"/>
    <w:rsid w:val="009E1589"/>
    <w:rsid w:val="009E1BA9"/>
    <w:rsid w:val="009E1BAF"/>
    <w:rsid w:val="009E2033"/>
    <w:rsid w:val="009E2128"/>
    <w:rsid w:val="009E21F8"/>
    <w:rsid w:val="009E23FE"/>
    <w:rsid w:val="009E243E"/>
    <w:rsid w:val="009E27B3"/>
    <w:rsid w:val="009E2B1D"/>
    <w:rsid w:val="009E2D6D"/>
    <w:rsid w:val="009E2EEF"/>
    <w:rsid w:val="009E2F67"/>
    <w:rsid w:val="009E39D2"/>
    <w:rsid w:val="009E3B7A"/>
    <w:rsid w:val="009E3E02"/>
    <w:rsid w:val="009E418B"/>
    <w:rsid w:val="009E4346"/>
    <w:rsid w:val="009E4460"/>
    <w:rsid w:val="009E4489"/>
    <w:rsid w:val="009E4676"/>
    <w:rsid w:val="009E46F3"/>
    <w:rsid w:val="009E4744"/>
    <w:rsid w:val="009E4771"/>
    <w:rsid w:val="009E4CED"/>
    <w:rsid w:val="009E4D0D"/>
    <w:rsid w:val="009E4D55"/>
    <w:rsid w:val="009E5058"/>
    <w:rsid w:val="009E50D1"/>
    <w:rsid w:val="009E5584"/>
    <w:rsid w:val="009E560F"/>
    <w:rsid w:val="009E5FC5"/>
    <w:rsid w:val="009E647D"/>
    <w:rsid w:val="009E6C75"/>
    <w:rsid w:val="009E6E4A"/>
    <w:rsid w:val="009E6EB3"/>
    <w:rsid w:val="009E6FEE"/>
    <w:rsid w:val="009E74AF"/>
    <w:rsid w:val="009E75D7"/>
    <w:rsid w:val="009E7649"/>
    <w:rsid w:val="009E765E"/>
    <w:rsid w:val="009E774E"/>
    <w:rsid w:val="009E7A34"/>
    <w:rsid w:val="009E7BF8"/>
    <w:rsid w:val="009F025D"/>
    <w:rsid w:val="009F0CF3"/>
    <w:rsid w:val="009F0ED1"/>
    <w:rsid w:val="009F0F9C"/>
    <w:rsid w:val="009F0FD5"/>
    <w:rsid w:val="009F1570"/>
    <w:rsid w:val="009F18B4"/>
    <w:rsid w:val="009F1BF1"/>
    <w:rsid w:val="009F1C9D"/>
    <w:rsid w:val="009F1D1D"/>
    <w:rsid w:val="009F1DA4"/>
    <w:rsid w:val="009F1EED"/>
    <w:rsid w:val="009F24F8"/>
    <w:rsid w:val="009F2AAF"/>
    <w:rsid w:val="009F2B4A"/>
    <w:rsid w:val="009F2D3A"/>
    <w:rsid w:val="009F2E3D"/>
    <w:rsid w:val="009F320A"/>
    <w:rsid w:val="009F3382"/>
    <w:rsid w:val="009F34E8"/>
    <w:rsid w:val="009F35CA"/>
    <w:rsid w:val="009F39FA"/>
    <w:rsid w:val="009F3A3A"/>
    <w:rsid w:val="009F3B1E"/>
    <w:rsid w:val="009F41CC"/>
    <w:rsid w:val="009F450B"/>
    <w:rsid w:val="009F4692"/>
    <w:rsid w:val="009F47AC"/>
    <w:rsid w:val="009F49B3"/>
    <w:rsid w:val="009F4A97"/>
    <w:rsid w:val="009F4E9F"/>
    <w:rsid w:val="009F4EFE"/>
    <w:rsid w:val="009F5027"/>
    <w:rsid w:val="009F5351"/>
    <w:rsid w:val="009F568C"/>
    <w:rsid w:val="009F57D8"/>
    <w:rsid w:val="009F5A23"/>
    <w:rsid w:val="009F5A54"/>
    <w:rsid w:val="009F5AAB"/>
    <w:rsid w:val="009F5B86"/>
    <w:rsid w:val="009F5B89"/>
    <w:rsid w:val="009F5D68"/>
    <w:rsid w:val="009F66A2"/>
    <w:rsid w:val="009F68E7"/>
    <w:rsid w:val="009F6940"/>
    <w:rsid w:val="009F6AAC"/>
    <w:rsid w:val="009F6C52"/>
    <w:rsid w:val="009F6D84"/>
    <w:rsid w:val="009F6DF6"/>
    <w:rsid w:val="009F6EAF"/>
    <w:rsid w:val="009F6FBE"/>
    <w:rsid w:val="009F704A"/>
    <w:rsid w:val="009F751D"/>
    <w:rsid w:val="009F7622"/>
    <w:rsid w:val="009F78ED"/>
    <w:rsid w:val="009F7B36"/>
    <w:rsid w:val="009F7EC6"/>
    <w:rsid w:val="00A00368"/>
    <w:rsid w:val="00A005C1"/>
    <w:rsid w:val="00A00850"/>
    <w:rsid w:val="00A00EF2"/>
    <w:rsid w:val="00A01082"/>
    <w:rsid w:val="00A01225"/>
    <w:rsid w:val="00A016E5"/>
    <w:rsid w:val="00A01BA0"/>
    <w:rsid w:val="00A01DC6"/>
    <w:rsid w:val="00A0213A"/>
    <w:rsid w:val="00A0221B"/>
    <w:rsid w:val="00A02231"/>
    <w:rsid w:val="00A0258D"/>
    <w:rsid w:val="00A02632"/>
    <w:rsid w:val="00A0265D"/>
    <w:rsid w:val="00A029E2"/>
    <w:rsid w:val="00A02B2C"/>
    <w:rsid w:val="00A02B57"/>
    <w:rsid w:val="00A02DFD"/>
    <w:rsid w:val="00A03076"/>
    <w:rsid w:val="00A036AC"/>
    <w:rsid w:val="00A03A1B"/>
    <w:rsid w:val="00A03AED"/>
    <w:rsid w:val="00A03B04"/>
    <w:rsid w:val="00A03BEC"/>
    <w:rsid w:val="00A04085"/>
    <w:rsid w:val="00A04189"/>
    <w:rsid w:val="00A0418E"/>
    <w:rsid w:val="00A041B3"/>
    <w:rsid w:val="00A043A1"/>
    <w:rsid w:val="00A045DF"/>
    <w:rsid w:val="00A04ADA"/>
    <w:rsid w:val="00A0509C"/>
    <w:rsid w:val="00A0536D"/>
    <w:rsid w:val="00A0567E"/>
    <w:rsid w:val="00A05868"/>
    <w:rsid w:val="00A058B0"/>
    <w:rsid w:val="00A05A8E"/>
    <w:rsid w:val="00A05BEF"/>
    <w:rsid w:val="00A05D3E"/>
    <w:rsid w:val="00A05E0A"/>
    <w:rsid w:val="00A06794"/>
    <w:rsid w:val="00A068BF"/>
    <w:rsid w:val="00A069F9"/>
    <w:rsid w:val="00A06DE2"/>
    <w:rsid w:val="00A06DE9"/>
    <w:rsid w:val="00A07007"/>
    <w:rsid w:val="00A0718A"/>
    <w:rsid w:val="00A0769C"/>
    <w:rsid w:val="00A0799D"/>
    <w:rsid w:val="00A07D62"/>
    <w:rsid w:val="00A07E52"/>
    <w:rsid w:val="00A07E59"/>
    <w:rsid w:val="00A10127"/>
    <w:rsid w:val="00A10D68"/>
    <w:rsid w:val="00A111FB"/>
    <w:rsid w:val="00A1138E"/>
    <w:rsid w:val="00A1186E"/>
    <w:rsid w:val="00A11B8B"/>
    <w:rsid w:val="00A11BAF"/>
    <w:rsid w:val="00A11CA9"/>
    <w:rsid w:val="00A120C6"/>
    <w:rsid w:val="00A12152"/>
    <w:rsid w:val="00A12236"/>
    <w:rsid w:val="00A127B3"/>
    <w:rsid w:val="00A1296C"/>
    <w:rsid w:val="00A12B39"/>
    <w:rsid w:val="00A12C23"/>
    <w:rsid w:val="00A133C7"/>
    <w:rsid w:val="00A13549"/>
    <w:rsid w:val="00A13DF8"/>
    <w:rsid w:val="00A13F73"/>
    <w:rsid w:val="00A13FFF"/>
    <w:rsid w:val="00A14237"/>
    <w:rsid w:val="00A14315"/>
    <w:rsid w:val="00A1467A"/>
    <w:rsid w:val="00A146E3"/>
    <w:rsid w:val="00A1473A"/>
    <w:rsid w:val="00A14E48"/>
    <w:rsid w:val="00A14F43"/>
    <w:rsid w:val="00A14FAF"/>
    <w:rsid w:val="00A1528A"/>
    <w:rsid w:val="00A152B1"/>
    <w:rsid w:val="00A15670"/>
    <w:rsid w:val="00A15B32"/>
    <w:rsid w:val="00A15EC0"/>
    <w:rsid w:val="00A161D2"/>
    <w:rsid w:val="00A162B5"/>
    <w:rsid w:val="00A162E2"/>
    <w:rsid w:val="00A16D6A"/>
    <w:rsid w:val="00A16E14"/>
    <w:rsid w:val="00A172E8"/>
    <w:rsid w:val="00A173EC"/>
    <w:rsid w:val="00A17534"/>
    <w:rsid w:val="00A1758A"/>
    <w:rsid w:val="00A1783C"/>
    <w:rsid w:val="00A17894"/>
    <w:rsid w:val="00A179BD"/>
    <w:rsid w:val="00A17AF3"/>
    <w:rsid w:val="00A17B78"/>
    <w:rsid w:val="00A17E82"/>
    <w:rsid w:val="00A200EF"/>
    <w:rsid w:val="00A20285"/>
    <w:rsid w:val="00A202F7"/>
    <w:rsid w:val="00A2036D"/>
    <w:rsid w:val="00A205EF"/>
    <w:rsid w:val="00A206B2"/>
    <w:rsid w:val="00A209D4"/>
    <w:rsid w:val="00A20C44"/>
    <w:rsid w:val="00A20E12"/>
    <w:rsid w:val="00A21054"/>
    <w:rsid w:val="00A21226"/>
    <w:rsid w:val="00A21484"/>
    <w:rsid w:val="00A2153B"/>
    <w:rsid w:val="00A21815"/>
    <w:rsid w:val="00A218BF"/>
    <w:rsid w:val="00A21A8C"/>
    <w:rsid w:val="00A21C16"/>
    <w:rsid w:val="00A21E11"/>
    <w:rsid w:val="00A21F81"/>
    <w:rsid w:val="00A222E9"/>
    <w:rsid w:val="00A224AD"/>
    <w:rsid w:val="00A22B29"/>
    <w:rsid w:val="00A22B43"/>
    <w:rsid w:val="00A22C6B"/>
    <w:rsid w:val="00A22D5D"/>
    <w:rsid w:val="00A22D86"/>
    <w:rsid w:val="00A22EDD"/>
    <w:rsid w:val="00A230B1"/>
    <w:rsid w:val="00A232F0"/>
    <w:rsid w:val="00A23463"/>
    <w:rsid w:val="00A237A0"/>
    <w:rsid w:val="00A23861"/>
    <w:rsid w:val="00A2392C"/>
    <w:rsid w:val="00A239D9"/>
    <w:rsid w:val="00A23AF7"/>
    <w:rsid w:val="00A23C6C"/>
    <w:rsid w:val="00A244DA"/>
    <w:rsid w:val="00A2453D"/>
    <w:rsid w:val="00A24582"/>
    <w:rsid w:val="00A245EB"/>
    <w:rsid w:val="00A24650"/>
    <w:rsid w:val="00A2471E"/>
    <w:rsid w:val="00A2494C"/>
    <w:rsid w:val="00A249CB"/>
    <w:rsid w:val="00A2502F"/>
    <w:rsid w:val="00A2540F"/>
    <w:rsid w:val="00A255A9"/>
    <w:rsid w:val="00A25600"/>
    <w:rsid w:val="00A25764"/>
    <w:rsid w:val="00A25989"/>
    <w:rsid w:val="00A25A28"/>
    <w:rsid w:val="00A25FA3"/>
    <w:rsid w:val="00A2607E"/>
    <w:rsid w:val="00A2627A"/>
    <w:rsid w:val="00A26823"/>
    <w:rsid w:val="00A2697E"/>
    <w:rsid w:val="00A26A43"/>
    <w:rsid w:val="00A26D55"/>
    <w:rsid w:val="00A270F5"/>
    <w:rsid w:val="00A271CC"/>
    <w:rsid w:val="00A27AA1"/>
    <w:rsid w:val="00A27F23"/>
    <w:rsid w:val="00A27FEB"/>
    <w:rsid w:val="00A301DC"/>
    <w:rsid w:val="00A30B5D"/>
    <w:rsid w:val="00A30C96"/>
    <w:rsid w:val="00A30CD0"/>
    <w:rsid w:val="00A31206"/>
    <w:rsid w:val="00A3155E"/>
    <w:rsid w:val="00A3183E"/>
    <w:rsid w:val="00A31B6B"/>
    <w:rsid w:val="00A31B93"/>
    <w:rsid w:val="00A31C75"/>
    <w:rsid w:val="00A32104"/>
    <w:rsid w:val="00A321DA"/>
    <w:rsid w:val="00A32265"/>
    <w:rsid w:val="00A322B7"/>
    <w:rsid w:val="00A32CB8"/>
    <w:rsid w:val="00A3301D"/>
    <w:rsid w:val="00A33119"/>
    <w:rsid w:val="00A3329F"/>
    <w:rsid w:val="00A3351F"/>
    <w:rsid w:val="00A3353E"/>
    <w:rsid w:val="00A33A93"/>
    <w:rsid w:val="00A33F21"/>
    <w:rsid w:val="00A3402F"/>
    <w:rsid w:val="00A34245"/>
    <w:rsid w:val="00A34377"/>
    <w:rsid w:val="00A3454C"/>
    <w:rsid w:val="00A34A7A"/>
    <w:rsid w:val="00A34A95"/>
    <w:rsid w:val="00A351BC"/>
    <w:rsid w:val="00A3551F"/>
    <w:rsid w:val="00A355C8"/>
    <w:rsid w:val="00A35AA7"/>
    <w:rsid w:val="00A35AD3"/>
    <w:rsid w:val="00A35B51"/>
    <w:rsid w:val="00A35B7F"/>
    <w:rsid w:val="00A35C10"/>
    <w:rsid w:val="00A35C9C"/>
    <w:rsid w:val="00A362CB"/>
    <w:rsid w:val="00A3634E"/>
    <w:rsid w:val="00A36536"/>
    <w:rsid w:val="00A36934"/>
    <w:rsid w:val="00A369C5"/>
    <w:rsid w:val="00A36D7E"/>
    <w:rsid w:val="00A36EE8"/>
    <w:rsid w:val="00A3727B"/>
    <w:rsid w:val="00A37567"/>
    <w:rsid w:val="00A37612"/>
    <w:rsid w:val="00A3780F"/>
    <w:rsid w:val="00A4010C"/>
    <w:rsid w:val="00A40448"/>
    <w:rsid w:val="00A404DB"/>
    <w:rsid w:val="00A40D04"/>
    <w:rsid w:val="00A41207"/>
    <w:rsid w:val="00A41210"/>
    <w:rsid w:val="00A41427"/>
    <w:rsid w:val="00A4148D"/>
    <w:rsid w:val="00A41993"/>
    <w:rsid w:val="00A41A70"/>
    <w:rsid w:val="00A41BF9"/>
    <w:rsid w:val="00A41DB7"/>
    <w:rsid w:val="00A41E01"/>
    <w:rsid w:val="00A41E9D"/>
    <w:rsid w:val="00A41F41"/>
    <w:rsid w:val="00A4221B"/>
    <w:rsid w:val="00A42526"/>
    <w:rsid w:val="00A42628"/>
    <w:rsid w:val="00A4274F"/>
    <w:rsid w:val="00A42798"/>
    <w:rsid w:val="00A428D8"/>
    <w:rsid w:val="00A429DE"/>
    <w:rsid w:val="00A42BDB"/>
    <w:rsid w:val="00A42F63"/>
    <w:rsid w:val="00A42FD9"/>
    <w:rsid w:val="00A42FE0"/>
    <w:rsid w:val="00A4310A"/>
    <w:rsid w:val="00A43256"/>
    <w:rsid w:val="00A433FE"/>
    <w:rsid w:val="00A4360D"/>
    <w:rsid w:val="00A43716"/>
    <w:rsid w:val="00A4386C"/>
    <w:rsid w:val="00A4437B"/>
    <w:rsid w:val="00A44677"/>
    <w:rsid w:val="00A4467D"/>
    <w:rsid w:val="00A44859"/>
    <w:rsid w:val="00A4494D"/>
    <w:rsid w:val="00A44997"/>
    <w:rsid w:val="00A4499E"/>
    <w:rsid w:val="00A44CD0"/>
    <w:rsid w:val="00A44EAA"/>
    <w:rsid w:val="00A453AF"/>
    <w:rsid w:val="00A4557F"/>
    <w:rsid w:val="00A4585E"/>
    <w:rsid w:val="00A45ABA"/>
    <w:rsid w:val="00A45C92"/>
    <w:rsid w:val="00A45D1C"/>
    <w:rsid w:val="00A45D86"/>
    <w:rsid w:val="00A45FA8"/>
    <w:rsid w:val="00A461AB"/>
    <w:rsid w:val="00A46243"/>
    <w:rsid w:val="00A4627A"/>
    <w:rsid w:val="00A46830"/>
    <w:rsid w:val="00A46A16"/>
    <w:rsid w:val="00A46A25"/>
    <w:rsid w:val="00A46A59"/>
    <w:rsid w:val="00A46C3F"/>
    <w:rsid w:val="00A46FB3"/>
    <w:rsid w:val="00A4709F"/>
    <w:rsid w:val="00A47372"/>
    <w:rsid w:val="00A47686"/>
    <w:rsid w:val="00A47C07"/>
    <w:rsid w:val="00A47EBB"/>
    <w:rsid w:val="00A501EA"/>
    <w:rsid w:val="00A50610"/>
    <w:rsid w:val="00A507EE"/>
    <w:rsid w:val="00A50B6B"/>
    <w:rsid w:val="00A50C57"/>
    <w:rsid w:val="00A50C88"/>
    <w:rsid w:val="00A50CA1"/>
    <w:rsid w:val="00A50F53"/>
    <w:rsid w:val="00A51620"/>
    <w:rsid w:val="00A51924"/>
    <w:rsid w:val="00A51E56"/>
    <w:rsid w:val="00A51E95"/>
    <w:rsid w:val="00A5204A"/>
    <w:rsid w:val="00A5276E"/>
    <w:rsid w:val="00A527E7"/>
    <w:rsid w:val="00A527F4"/>
    <w:rsid w:val="00A52BB6"/>
    <w:rsid w:val="00A52C22"/>
    <w:rsid w:val="00A52DFB"/>
    <w:rsid w:val="00A5323E"/>
    <w:rsid w:val="00A53263"/>
    <w:rsid w:val="00A5361C"/>
    <w:rsid w:val="00A536FB"/>
    <w:rsid w:val="00A539FA"/>
    <w:rsid w:val="00A53A54"/>
    <w:rsid w:val="00A53B46"/>
    <w:rsid w:val="00A53BC0"/>
    <w:rsid w:val="00A53CAA"/>
    <w:rsid w:val="00A53E14"/>
    <w:rsid w:val="00A5400A"/>
    <w:rsid w:val="00A54195"/>
    <w:rsid w:val="00A5458A"/>
    <w:rsid w:val="00A545C3"/>
    <w:rsid w:val="00A5466E"/>
    <w:rsid w:val="00A547FC"/>
    <w:rsid w:val="00A54B95"/>
    <w:rsid w:val="00A5504E"/>
    <w:rsid w:val="00A5506E"/>
    <w:rsid w:val="00A55097"/>
    <w:rsid w:val="00A55326"/>
    <w:rsid w:val="00A559C0"/>
    <w:rsid w:val="00A55C66"/>
    <w:rsid w:val="00A56376"/>
    <w:rsid w:val="00A56551"/>
    <w:rsid w:val="00A56594"/>
    <w:rsid w:val="00A56709"/>
    <w:rsid w:val="00A568AA"/>
    <w:rsid w:val="00A5690E"/>
    <w:rsid w:val="00A56CE8"/>
    <w:rsid w:val="00A56E6C"/>
    <w:rsid w:val="00A5752D"/>
    <w:rsid w:val="00A57664"/>
    <w:rsid w:val="00A57B94"/>
    <w:rsid w:val="00A57BF0"/>
    <w:rsid w:val="00A57D1C"/>
    <w:rsid w:val="00A57E0E"/>
    <w:rsid w:val="00A6001D"/>
    <w:rsid w:val="00A60C2E"/>
    <w:rsid w:val="00A60C3F"/>
    <w:rsid w:val="00A60DF3"/>
    <w:rsid w:val="00A611DA"/>
    <w:rsid w:val="00A61255"/>
    <w:rsid w:val="00A61278"/>
    <w:rsid w:val="00A6155F"/>
    <w:rsid w:val="00A61711"/>
    <w:rsid w:val="00A61C0B"/>
    <w:rsid w:val="00A61CC1"/>
    <w:rsid w:val="00A62192"/>
    <w:rsid w:val="00A6247D"/>
    <w:rsid w:val="00A6266E"/>
    <w:rsid w:val="00A629E2"/>
    <w:rsid w:val="00A62B11"/>
    <w:rsid w:val="00A62C62"/>
    <w:rsid w:val="00A62F19"/>
    <w:rsid w:val="00A62FC5"/>
    <w:rsid w:val="00A632F9"/>
    <w:rsid w:val="00A63323"/>
    <w:rsid w:val="00A6368B"/>
    <w:rsid w:val="00A63EA7"/>
    <w:rsid w:val="00A64062"/>
    <w:rsid w:val="00A64353"/>
    <w:rsid w:val="00A647C3"/>
    <w:rsid w:val="00A64928"/>
    <w:rsid w:val="00A64B05"/>
    <w:rsid w:val="00A64DE2"/>
    <w:rsid w:val="00A6516B"/>
    <w:rsid w:val="00A653F0"/>
    <w:rsid w:val="00A65460"/>
    <w:rsid w:val="00A654AA"/>
    <w:rsid w:val="00A654D7"/>
    <w:rsid w:val="00A656DE"/>
    <w:rsid w:val="00A658EF"/>
    <w:rsid w:val="00A65B41"/>
    <w:rsid w:val="00A65B5D"/>
    <w:rsid w:val="00A65F85"/>
    <w:rsid w:val="00A66150"/>
    <w:rsid w:val="00A6644D"/>
    <w:rsid w:val="00A668A1"/>
    <w:rsid w:val="00A66C99"/>
    <w:rsid w:val="00A66CA8"/>
    <w:rsid w:val="00A66CE6"/>
    <w:rsid w:val="00A66CE8"/>
    <w:rsid w:val="00A67143"/>
    <w:rsid w:val="00A6716D"/>
    <w:rsid w:val="00A672D2"/>
    <w:rsid w:val="00A673EA"/>
    <w:rsid w:val="00A6742D"/>
    <w:rsid w:val="00A67472"/>
    <w:rsid w:val="00A678E5"/>
    <w:rsid w:val="00A67DDF"/>
    <w:rsid w:val="00A70135"/>
    <w:rsid w:val="00A704A5"/>
    <w:rsid w:val="00A70A17"/>
    <w:rsid w:val="00A70FF2"/>
    <w:rsid w:val="00A7109D"/>
    <w:rsid w:val="00A710A9"/>
    <w:rsid w:val="00A71100"/>
    <w:rsid w:val="00A71380"/>
    <w:rsid w:val="00A71AE4"/>
    <w:rsid w:val="00A71E11"/>
    <w:rsid w:val="00A71E17"/>
    <w:rsid w:val="00A71E6D"/>
    <w:rsid w:val="00A7207D"/>
    <w:rsid w:val="00A7239B"/>
    <w:rsid w:val="00A7245B"/>
    <w:rsid w:val="00A72651"/>
    <w:rsid w:val="00A726B2"/>
    <w:rsid w:val="00A72AE3"/>
    <w:rsid w:val="00A72C27"/>
    <w:rsid w:val="00A72DB5"/>
    <w:rsid w:val="00A735BC"/>
    <w:rsid w:val="00A7372A"/>
    <w:rsid w:val="00A7374C"/>
    <w:rsid w:val="00A73B38"/>
    <w:rsid w:val="00A73DCF"/>
    <w:rsid w:val="00A749FF"/>
    <w:rsid w:val="00A74A7E"/>
    <w:rsid w:val="00A74C95"/>
    <w:rsid w:val="00A74D0C"/>
    <w:rsid w:val="00A74D76"/>
    <w:rsid w:val="00A74E7D"/>
    <w:rsid w:val="00A75058"/>
    <w:rsid w:val="00A750C7"/>
    <w:rsid w:val="00A752C6"/>
    <w:rsid w:val="00A7545B"/>
    <w:rsid w:val="00A755C3"/>
    <w:rsid w:val="00A75618"/>
    <w:rsid w:val="00A75632"/>
    <w:rsid w:val="00A761CE"/>
    <w:rsid w:val="00A767B1"/>
    <w:rsid w:val="00A767EE"/>
    <w:rsid w:val="00A76A21"/>
    <w:rsid w:val="00A76EC7"/>
    <w:rsid w:val="00A776BC"/>
    <w:rsid w:val="00A779E8"/>
    <w:rsid w:val="00A77BE5"/>
    <w:rsid w:val="00A77E2A"/>
    <w:rsid w:val="00A77F27"/>
    <w:rsid w:val="00A80214"/>
    <w:rsid w:val="00A80863"/>
    <w:rsid w:val="00A8086D"/>
    <w:rsid w:val="00A80BF0"/>
    <w:rsid w:val="00A80C19"/>
    <w:rsid w:val="00A80F52"/>
    <w:rsid w:val="00A81086"/>
    <w:rsid w:val="00A811A8"/>
    <w:rsid w:val="00A8123F"/>
    <w:rsid w:val="00A81616"/>
    <w:rsid w:val="00A819FC"/>
    <w:rsid w:val="00A81D09"/>
    <w:rsid w:val="00A81E47"/>
    <w:rsid w:val="00A82446"/>
    <w:rsid w:val="00A82629"/>
    <w:rsid w:val="00A82653"/>
    <w:rsid w:val="00A82720"/>
    <w:rsid w:val="00A82902"/>
    <w:rsid w:val="00A82C5D"/>
    <w:rsid w:val="00A82ED1"/>
    <w:rsid w:val="00A83183"/>
    <w:rsid w:val="00A8365E"/>
    <w:rsid w:val="00A838C2"/>
    <w:rsid w:val="00A83F8E"/>
    <w:rsid w:val="00A84022"/>
    <w:rsid w:val="00A840C6"/>
    <w:rsid w:val="00A84139"/>
    <w:rsid w:val="00A8429D"/>
    <w:rsid w:val="00A844EC"/>
    <w:rsid w:val="00A8451F"/>
    <w:rsid w:val="00A84785"/>
    <w:rsid w:val="00A848D8"/>
    <w:rsid w:val="00A84B7A"/>
    <w:rsid w:val="00A84BAC"/>
    <w:rsid w:val="00A84DC4"/>
    <w:rsid w:val="00A84F46"/>
    <w:rsid w:val="00A85211"/>
    <w:rsid w:val="00A85409"/>
    <w:rsid w:val="00A858E5"/>
    <w:rsid w:val="00A860B7"/>
    <w:rsid w:val="00A86190"/>
    <w:rsid w:val="00A862B2"/>
    <w:rsid w:val="00A86401"/>
    <w:rsid w:val="00A86523"/>
    <w:rsid w:val="00A86564"/>
    <w:rsid w:val="00A86802"/>
    <w:rsid w:val="00A86E26"/>
    <w:rsid w:val="00A86E51"/>
    <w:rsid w:val="00A86E61"/>
    <w:rsid w:val="00A86E95"/>
    <w:rsid w:val="00A86EE7"/>
    <w:rsid w:val="00A87029"/>
    <w:rsid w:val="00A8768B"/>
    <w:rsid w:val="00A8786E"/>
    <w:rsid w:val="00A8787B"/>
    <w:rsid w:val="00A87B1C"/>
    <w:rsid w:val="00A87B44"/>
    <w:rsid w:val="00A87C14"/>
    <w:rsid w:val="00A87CE1"/>
    <w:rsid w:val="00A900FC"/>
    <w:rsid w:val="00A902A4"/>
    <w:rsid w:val="00A902F4"/>
    <w:rsid w:val="00A90A01"/>
    <w:rsid w:val="00A90BA0"/>
    <w:rsid w:val="00A90EB8"/>
    <w:rsid w:val="00A91173"/>
    <w:rsid w:val="00A9121D"/>
    <w:rsid w:val="00A9167C"/>
    <w:rsid w:val="00A916B2"/>
    <w:rsid w:val="00A919BA"/>
    <w:rsid w:val="00A91AA8"/>
    <w:rsid w:val="00A91AF3"/>
    <w:rsid w:val="00A91B7D"/>
    <w:rsid w:val="00A923B2"/>
    <w:rsid w:val="00A92580"/>
    <w:rsid w:val="00A92605"/>
    <w:rsid w:val="00A92793"/>
    <w:rsid w:val="00A927AF"/>
    <w:rsid w:val="00A92AA5"/>
    <w:rsid w:val="00A9311E"/>
    <w:rsid w:val="00A93158"/>
    <w:rsid w:val="00A93340"/>
    <w:rsid w:val="00A9354B"/>
    <w:rsid w:val="00A93C25"/>
    <w:rsid w:val="00A93D46"/>
    <w:rsid w:val="00A93DD2"/>
    <w:rsid w:val="00A93F3D"/>
    <w:rsid w:val="00A93F46"/>
    <w:rsid w:val="00A94026"/>
    <w:rsid w:val="00A9402F"/>
    <w:rsid w:val="00A94268"/>
    <w:rsid w:val="00A94361"/>
    <w:rsid w:val="00A943ED"/>
    <w:rsid w:val="00A9488D"/>
    <w:rsid w:val="00A94A29"/>
    <w:rsid w:val="00A94FC5"/>
    <w:rsid w:val="00A950F1"/>
    <w:rsid w:val="00A951BF"/>
    <w:rsid w:val="00A9550C"/>
    <w:rsid w:val="00A95584"/>
    <w:rsid w:val="00A95830"/>
    <w:rsid w:val="00A959D9"/>
    <w:rsid w:val="00A95DBA"/>
    <w:rsid w:val="00A95ED2"/>
    <w:rsid w:val="00A9606F"/>
    <w:rsid w:val="00A96104"/>
    <w:rsid w:val="00A9621F"/>
    <w:rsid w:val="00A96510"/>
    <w:rsid w:val="00A96687"/>
    <w:rsid w:val="00A966A5"/>
    <w:rsid w:val="00A967F4"/>
    <w:rsid w:val="00A967F5"/>
    <w:rsid w:val="00A96BEB"/>
    <w:rsid w:val="00A973B4"/>
    <w:rsid w:val="00A97C4B"/>
    <w:rsid w:val="00A97D4E"/>
    <w:rsid w:val="00A97E27"/>
    <w:rsid w:val="00AA0093"/>
    <w:rsid w:val="00AA02E5"/>
    <w:rsid w:val="00AA03AC"/>
    <w:rsid w:val="00AA0ACB"/>
    <w:rsid w:val="00AA0B87"/>
    <w:rsid w:val="00AA0CCA"/>
    <w:rsid w:val="00AA0DE3"/>
    <w:rsid w:val="00AA1361"/>
    <w:rsid w:val="00AA1386"/>
    <w:rsid w:val="00AA172F"/>
    <w:rsid w:val="00AA1917"/>
    <w:rsid w:val="00AA198C"/>
    <w:rsid w:val="00AA1E82"/>
    <w:rsid w:val="00AA228B"/>
    <w:rsid w:val="00AA287C"/>
    <w:rsid w:val="00AA2BA0"/>
    <w:rsid w:val="00AA2C1E"/>
    <w:rsid w:val="00AA35FF"/>
    <w:rsid w:val="00AA3D6E"/>
    <w:rsid w:val="00AA414D"/>
    <w:rsid w:val="00AA4168"/>
    <w:rsid w:val="00AA4258"/>
    <w:rsid w:val="00AA433C"/>
    <w:rsid w:val="00AA4CE3"/>
    <w:rsid w:val="00AA5739"/>
    <w:rsid w:val="00AA583C"/>
    <w:rsid w:val="00AA584F"/>
    <w:rsid w:val="00AA5899"/>
    <w:rsid w:val="00AA5B75"/>
    <w:rsid w:val="00AA5E6A"/>
    <w:rsid w:val="00AA600A"/>
    <w:rsid w:val="00AA61B5"/>
    <w:rsid w:val="00AA6226"/>
    <w:rsid w:val="00AA63A0"/>
    <w:rsid w:val="00AA65B1"/>
    <w:rsid w:val="00AA6BC6"/>
    <w:rsid w:val="00AA6D40"/>
    <w:rsid w:val="00AA6E65"/>
    <w:rsid w:val="00AA6F78"/>
    <w:rsid w:val="00AA716E"/>
    <w:rsid w:val="00AA7187"/>
    <w:rsid w:val="00AA740C"/>
    <w:rsid w:val="00AA74BF"/>
    <w:rsid w:val="00AA786F"/>
    <w:rsid w:val="00AA7943"/>
    <w:rsid w:val="00AA7965"/>
    <w:rsid w:val="00AA7B70"/>
    <w:rsid w:val="00AA7D20"/>
    <w:rsid w:val="00AA7F3A"/>
    <w:rsid w:val="00AA7FF4"/>
    <w:rsid w:val="00AB02F7"/>
    <w:rsid w:val="00AB0AA0"/>
    <w:rsid w:val="00AB0C62"/>
    <w:rsid w:val="00AB0C84"/>
    <w:rsid w:val="00AB0D71"/>
    <w:rsid w:val="00AB0E6D"/>
    <w:rsid w:val="00AB1493"/>
    <w:rsid w:val="00AB14BD"/>
    <w:rsid w:val="00AB14CF"/>
    <w:rsid w:val="00AB162E"/>
    <w:rsid w:val="00AB16CA"/>
    <w:rsid w:val="00AB1707"/>
    <w:rsid w:val="00AB1820"/>
    <w:rsid w:val="00AB1B1D"/>
    <w:rsid w:val="00AB1DA1"/>
    <w:rsid w:val="00AB23BE"/>
    <w:rsid w:val="00AB23C1"/>
    <w:rsid w:val="00AB2658"/>
    <w:rsid w:val="00AB26C1"/>
    <w:rsid w:val="00AB2A3D"/>
    <w:rsid w:val="00AB2B2A"/>
    <w:rsid w:val="00AB318A"/>
    <w:rsid w:val="00AB350C"/>
    <w:rsid w:val="00AB3654"/>
    <w:rsid w:val="00AB377A"/>
    <w:rsid w:val="00AB37A5"/>
    <w:rsid w:val="00AB3BAE"/>
    <w:rsid w:val="00AB3C78"/>
    <w:rsid w:val="00AB3CD3"/>
    <w:rsid w:val="00AB3DA5"/>
    <w:rsid w:val="00AB3E13"/>
    <w:rsid w:val="00AB3F51"/>
    <w:rsid w:val="00AB4157"/>
    <w:rsid w:val="00AB4210"/>
    <w:rsid w:val="00AB4CC3"/>
    <w:rsid w:val="00AB4EDE"/>
    <w:rsid w:val="00AB509F"/>
    <w:rsid w:val="00AB560F"/>
    <w:rsid w:val="00AB5664"/>
    <w:rsid w:val="00AB5C4D"/>
    <w:rsid w:val="00AB5E75"/>
    <w:rsid w:val="00AB6000"/>
    <w:rsid w:val="00AB67F4"/>
    <w:rsid w:val="00AB6A4A"/>
    <w:rsid w:val="00AB6D15"/>
    <w:rsid w:val="00AB6E17"/>
    <w:rsid w:val="00AB70F7"/>
    <w:rsid w:val="00AB71FE"/>
    <w:rsid w:val="00AB73A4"/>
    <w:rsid w:val="00AB76F7"/>
    <w:rsid w:val="00AB7710"/>
    <w:rsid w:val="00AB7AB3"/>
    <w:rsid w:val="00AB7EDB"/>
    <w:rsid w:val="00AB7FFC"/>
    <w:rsid w:val="00AC00D1"/>
    <w:rsid w:val="00AC0174"/>
    <w:rsid w:val="00AC04F3"/>
    <w:rsid w:val="00AC0877"/>
    <w:rsid w:val="00AC0BA4"/>
    <w:rsid w:val="00AC0FF1"/>
    <w:rsid w:val="00AC13A4"/>
    <w:rsid w:val="00AC13DB"/>
    <w:rsid w:val="00AC1438"/>
    <w:rsid w:val="00AC1558"/>
    <w:rsid w:val="00AC1765"/>
    <w:rsid w:val="00AC1A9F"/>
    <w:rsid w:val="00AC1AA3"/>
    <w:rsid w:val="00AC1D63"/>
    <w:rsid w:val="00AC1DBE"/>
    <w:rsid w:val="00AC1E52"/>
    <w:rsid w:val="00AC20A2"/>
    <w:rsid w:val="00AC20C1"/>
    <w:rsid w:val="00AC2102"/>
    <w:rsid w:val="00AC21C1"/>
    <w:rsid w:val="00AC234A"/>
    <w:rsid w:val="00AC23BD"/>
    <w:rsid w:val="00AC25E1"/>
    <w:rsid w:val="00AC276D"/>
    <w:rsid w:val="00AC2B51"/>
    <w:rsid w:val="00AC2C97"/>
    <w:rsid w:val="00AC2D32"/>
    <w:rsid w:val="00AC314A"/>
    <w:rsid w:val="00AC3241"/>
    <w:rsid w:val="00AC32B1"/>
    <w:rsid w:val="00AC32BC"/>
    <w:rsid w:val="00AC3436"/>
    <w:rsid w:val="00AC34AE"/>
    <w:rsid w:val="00AC3789"/>
    <w:rsid w:val="00AC3D1C"/>
    <w:rsid w:val="00AC4558"/>
    <w:rsid w:val="00AC4778"/>
    <w:rsid w:val="00AC47D2"/>
    <w:rsid w:val="00AC4CB4"/>
    <w:rsid w:val="00AC52F2"/>
    <w:rsid w:val="00AC55E0"/>
    <w:rsid w:val="00AC579B"/>
    <w:rsid w:val="00AC5A5D"/>
    <w:rsid w:val="00AC5B7B"/>
    <w:rsid w:val="00AC5C39"/>
    <w:rsid w:val="00AC5FFA"/>
    <w:rsid w:val="00AC6AE8"/>
    <w:rsid w:val="00AC6B02"/>
    <w:rsid w:val="00AC6D34"/>
    <w:rsid w:val="00AC71B6"/>
    <w:rsid w:val="00AC75E6"/>
    <w:rsid w:val="00AC7798"/>
    <w:rsid w:val="00AC7A7F"/>
    <w:rsid w:val="00AC7B3D"/>
    <w:rsid w:val="00AC7E87"/>
    <w:rsid w:val="00AD042C"/>
    <w:rsid w:val="00AD08D0"/>
    <w:rsid w:val="00AD090C"/>
    <w:rsid w:val="00AD0BBE"/>
    <w:rsid w:val="00AD0C3C"/>
    <w:rsid w:val="00AD0D60"/>
    <w:rsid w:val="00AD1225"/>
    <w:rsid w:val="00AD13C4"/>
    <w:rsid w:val="00AD1752"/>
    <w:rsid w:val="00AD19D3"/>
    <w:rsid w:val="00AD1DD9"/>
    <w:rsid w:val="00AD1F81"/>
    <w:rsid w:val="00AD1F9B"/>
    <w:rsid w:val="00AD201C"/>
    <w:rsid w:val="00AD212C"/>
    <w:rsid w:val="00AD2253"/>
    <w:rsid w:val="00AD24AA"/>
    <w:rsid w:val="00AD26A7"/>
    <w:rsid w:val="00AD2A1D"/>
    <w:rsid w:val="00AD2BC4"/>
    <w:rsid w:val="00AD2DD1"/>
    <w:rsid w:val="00AD2DFD"/>
    <w:rsid w:val="00AD2E80"/>
    <w:rsid w:val="00AD3083"/>
    <w:rsid w:val="00AD330D"/>
    <w:rsid w:val="00AD3B39"/>
    <w:rsid w:val="00AD3F33"/>
    <w:rsid w:val="00AD419E"/>
    <w:rsid w:val="00AD4479"/>
    <w:rsid w:val="00AD4594"/>
    <w:rsid w:val="00AD4D2B"/>
    <w:rsid w:val="00AD4E96"/>
    <w:rsid w:val="00AD4EAF"/>
    <w:rsid w:val="00AD4FC7"/>
    <w:rsid w:val="00AD510A"/>
    <w:rsid w:val="00AD51E7"/>
    <w:rsid w:val="00AD54D7"/>
    <w:rsid w:val="00AD569B"/>
    <w:rsid w:val="00AD585E"/>
    <w:rsid w:val="00AD5863"/>
    <w:rsid w:val="00AD5B5E"/>
    <w:rsid w:val="00AD5F2D"/>
    <w:rsid w:val="00AD6117"/>
    <w:rsid w:val="00AD611E"/>
    <w:rsid w:val="00AD612B"/>
    <w:rsid w:val="00AD6260"/>
    <w:rsid w:val="00AD62FD"/>
    <w:rsid w:val="00AD656D"/>
    <w:rsid w:val="00AD67A4"/>
    <w:rsid w:val="00AD67B0"/>
    <w:rsid w:val="00AD687C"/>
    <w:rsid w:val="00AD68DD"/>
    <w:rsid w:val="00AD6A6A"/>
    <w:rsid w:val="00AD6BC2"/>
    <w:rsid w:val="00AD6C46"/>
    <w:rsid w:val="00AD6FD6"/>
    <w:rsid w:val="00AD732E"/>
    <w:rsid w:val="00AD73EA"/>
    <w:rsid w:val="00AD747A"/>
    <w:rsid w:val="00AD756F"/>
    <w:rsid w:val="00AD7983"/>
    <w:rsid w:val="00AD7A47"/>
    <w:rsid w:val="00AD7BD3"/>
    <w:rsid w:val="00AD7CB0"/>
    <w:rsid w:val="00AD7D5E"/>
    <w:rsid w:val="00AD7E65"/>
    <w:rsid w:val="00AE008E"/>
    <w:rsid w:val="00AE0425"/>
    <w:rsid w:val="00AE049B"/>
    <w:rsid w:val="00AE06C9"/>
    <w:rsid w:val="00AE079A"/>
    <w:rsid w:val="00AE0A4A"/>
    <w:rsid w:val="00AE0A64"/>
    <w:rsid w:val="00AE0E38"/>
    <w:rsid w:val="00AE10C3"/>
    <w:rsid w:val="00AE1121"/>
    <w:rsid w:val="00AE13D0"/>
    <w:rsid w:val="00AE142D"/>
    <w:rsid w:val="00AE1460"/>
    <w:rsid w:val="00AE14EF"/>
    <w:rsid w:val="00AE1803"/>
    <w:rsid w:val="00AE1A08"/>
    <w:rsid w:val="00AE1A11"/>
    <w:rsid w:val="00AE1A5C"/>
    <w:rsid w:val="00AE21E7"/>
    <w:rsid w:val="00AE2577"/>
    <w:rsid w:val="00AE2586"/>
    <w:rsid w:val="00AE270E"/>
    <w:rsid w:val="00AE297B"/>
    <w:rsid w:val="00AE2AE1"/>
    <w:rsid w:val="00AE300E"/>
    <w:rsid w:val="00AE35A8"/>
    <w:rsid w:val="00AE3683"/>
    <w:rsid w:val="00AE36E6"/>
    <w:rsid w:val="00AE3D7B"/>
    <w:rsid w:val="00AE3E4D"/>
    <w:rsid w:val="00AE4320"/>
    <w:rsid w:val="00AE44CD"/>
    <w:rsid w:val="00AE45EA"/>
    <w:rsid w:val="00AE482B"/>
    <w:rsid w:val="00AE48F2"/>
    <w:rsid w:val="00AE5355"/>
    <w:rsid w:val="00AE539F"/>
    <w:rsid w:val="00AE5511"/>
    <w:rsid w:val="00AE58D5"/>
    <w:rsid w:val="00AE5906"/>
    <w:rsid w:val="00AE5A18"/>
    <w:rsid w:val="00AE5F7B"/>
    <w:rsid w:val="00AE60DA"/>
    <w:rsid w:val="00AE611A"/>
    <w:rsid w:val="00AE6686"/>
    <w:rsid w:val="00AE68F8"/>
    <w:rsid w:val="00AE68FD"/>
    <w:rsid w:val="00AE720C"/>
    <w:rsid w:val="00AE7318"/>
    <w:rsid w:val="00AE7385"/>
    <w:rsid w:val="00AE7396"/>
    <w:rsid w:val="00AE7728"/>
    <w:rsid w:val="00AE79F7"/>
    <w:rsid w:val="00AE7C41"/>
    <w:rsid w:val="00AE7C43"/>
    <w:rsid w:val="00AE7DC4"/>
    <w:rsid w:val="00AE7E91"/>
    <w:rsid w:val="00AF0266"/>
    <w:rsid w:val="00AF06D5"/>
    <w:rsid w:val="00AF082B"/>
    <w:rsid w:val="00AF0B11"/>
    <w:rsid w:val="00AF0EF6"/>
    <w:rsid w:val="00AF14F6"/>
    <w:rsid w:val="00AF170E"/>
    <w:rsid w:val="00AF19B4"/>
    <w:rsid w:val="00AF1CE7"/>
    <w:rsid w:val="00AF1DD6"/>
    <w:rsid w:val="00AF1EB5"/>
    <w:rsid w:val="00AF204C"/>
    <w:rsid w:val="00AF2157"/>
    <w:rsid w:val="00AF226D"/>
    <w:rsid w:val="00AF22A0"/>
    <w:rsid w:val="00AF23A2"/>
    <w:rsid w:val="00AF2655"/>
    <w:rsid w:val="00AF26F6"/>
    <w:rsid w:val="00AF2FE7"/>
    <w:rsid w:val="00AF3258"/>
    <w:rsid w:val="00AF36F0"/>
    <w:rsid w:val="00AF3B84"/>
    <w:rsid w:val="00AF3C55"/>
    <w:rsid w:val="00AF422B"/>
    <w:rsid w:val="00AF4821"/>
    <w:rsid w:val="00AF49E2"/>
    <w:rsid w:val="00AF49E5"/>
    <w:rsid w:val="00AF4ABB"/>
    <w:rsid w:val="00AF4BD3"/>
    <w:rsid w:val="00AF5386"/>
    <w:rsid w:val="00AF549A"/>
    <w:rsid w:val="00AF55C4"/>
    <w:rsid w:val="00AF5620"/>
    <w:rsid w:val="00AF575A"/>
    <w:rsid w:val="00AF57FC"/>
    <w:rsid w:val="00AF5A7E"/>
    <w:rsid w:val="00AF5B00"/>
    <w:rsid w:val="00AF5C95"/>
    <w:rsid w:val="00AF6161"/>
    <w:rsid w:val="00AF643C"/>
    <w:rsid w:val="00AF6854"/>
    <w:rsid w:val="00AF71DF"/>
    <w:rsid w:val="00AF72D8"/>
    <w:rsid w:val="00AF7337"/>
    <w:rsid w:val="00AF7414"/>
    <w:rsid w:val="00AF755D"/>
    <w:rsid w:val="00AF7B09"/>
    <w:rsid w:val="00AF7B74"/>
    <w:rsid w:val="00B0003F"/>
    <w:rsid w:val="00B00557"/>
    <w:rsid w:val="00B00785"/>
    <w:rsid w:val="00B00A63"/>
    <w:rsid w:val="00B00E0B"/>
    <w:rsid w:val="00B00F27"/>
    <w:rsid w:val="00B015F3"/>
    <w:rsid w:val="00B01634"/>
    <w:rsid w:val="00B01642"/>
    <w:rsid w:val="00B01655"/>
    <w:rsid w:val="00B01A89"/>
    <w:rsid w:val="00B01E4F"/>
    <w:rsid w:val="00B01E70"/>
    <w:rsid w:val="00B01EFE"/>
    <w:rsid w:val="00B021D9"/>
    <w:rsid w:val="00B025DB"/>
    <w:rsid w:val="00B02706"/>
    <w:rsid w:val="00B02771"/>
    <w:rsid w:val="00B02A63"/>
    <w:rsid w:val="00B02C6C"/>
    <w:rsid w:val="00B0344A"/>
    <w:rsid w:val="00B03891"/>
    <w:rsid w:val="00B039CC"/>
    <w:rsid w:val="00B03C4A"/>
    <w:rsid w:val="00B03D18"/>
    <w:rsid w:val="00B03E04"/>
    <w:rsid w:val="00B03EF1"/>
    <w:rsid w:val="00B040AE"/>
    <w:rsid w:val="00B0423D"/>
    <w:rsid w:val="00B04299"/>
    <w:rsid w:val="00B0474C"/>
    <w:rsid w:val="00B04A77"/>
    <w:rsid w:val="00B04AE9"/>
    <w:rsid w:val="00B04C54"/>
    <w:rsid w:val="00B04D3C"/>
    <w:rsid w:val="00B04F0C"/>
    <w:rsid w:val="00B04F3C"/>
    <w:rsid w:val="00B052AD"/>
    <w:rsid w:val="00B053C6"/>
    <w:rsid w:val="00B056CA"/>
    <w:rsid w:val="00B057B8"/>
    <w:rsid w:val="00B05AF0"/>
    <w:rsid w:val="00B05C8C"/>
    <w:rsid w:val="00B05CA6"/>
    <w:rsid w:val="00B0627D"/>
    <w:rsid w:val="00B06360"/>
    <w:rsid w:val="00B06546"/>
    <w:rsid w:val="00B06565"/>
    <w:rsid w:val="00B06AC4"/>
    <w:rsid w:val="00B06C44"/>
    <w:rsid w:val="00B06CC5"/>
    <w:rsid w:val="00B06D0C"/>
    <w:rsid w:val="00B06E43"/>
    <w:rsid w:val="00B06F3E"/>
    <w:rsid w:val="00B06F44"/>
    <w:rsid w:val="00B07496"/>
    <w:rsid w:val="00B079F8"/>
    <w:rsid w:val="00B07BDF"/>
    <w:rsid w:val="00B07C23"/>
    <w:rsid w:val="00B07C76"/>
    <w:rsid w:val="00B07C88"/>
    <w:rsid w:val="00B07E50"/>
    <w:rsid w:val="00B10687"/>
    <w:rsid w:val="00B107A3"/>
    <w:rsid w:val="00B108F6"/>
    <w:rsid w:val="00B10A7D"/>
    <w:rsid w:val="00B10CBF"/>
    <w:rsid w:val="00B10E2A"/>
    <w:rsid w:val="00B110F0"/>
    <w:rsid w:val="00B1166E"/>
    <w:rsid w:val="00B1178F"/>
    <w:rsid w:val="00B11793"/>
    <w:rsid w:val="00B119C1"/>
    <w:rsid w:val="00B11A8C"/>
    <w:rsid w:val="00B11C7D"/>
    <w:rsid w:val="00B11E35"/>
    <w:rsid w:val="00B12433"/>
    <w:rsid w:val="00B124EF"/>
    <w:rsid w:val="00B12A4D"/>
    <w:rsid w:val="00B138BF"/>
    <w:rsid w:val="00B13FA3"/>
    <w:rsid w:val="00B1439E"/>
    <w:rsid w:val="00B14501"/>
    <w:rsid w:val="00B14549"/>
    <w:rsid w:val="00B146DD"/>
    <w:rsid w:val="00B151E5"/>
    <w:rsid w:val="00B15369"/>
    <w:rsid w:val="00B15599"/>
    <w:rsid w:val="00B1569C"/>
    <w:rsid w:val="00B159F7"/>
    <w:rsid w:val="00B165BE"/>
    <w:rsid w:val="00B16980"/>
    <w:rsid w:val="00B17642"/>
    <w:rsid w:val="00B17752"/>
    <w:rsid w:val="00B17ACE"/>
    <w:rsid w:val="00B17C20"/>
    <w:rsid w:val="00B204B4"/>
    <w:rsid w:val="00B2068A"/>
    <w:rsid w:val="00B20785"/>
    <w:rsid w:val="00B20911"/>
    <w:rsid w:val="00B20C71"/>
    <w:rsid w:val="00B20CEB"/>
    <w:rsid w:val="00B210F1"/>
    <w:rsid w:val="00B211E6"/>
    <w:rsid w:val="00B21696"/>
    <w:rsid w:val="00B2180A"/>
    <w:rsid w:val="00B218E1"/>
    <w:rsid w:val="00B21BA3"/>
    <w:rsid w:val="00B21F56"/>
    <w:rsid w:val="00B220FA"/>
    <w:rsid w:val="00B221F4"/>
    <w:rsid w:val="00B2223D"/>
    <w:rsid w:val="00B22374"/>
    <w:rsid w:val="00B229BE"/>
    <w:rsid w:val="00B22B03"/>
    <w:rsid w:val="00B22D17"/>
    <w:rsid w:val="00B22D86"/>
    <w:rsid w:val="00B22DAE"/>
    <w:rsid w:val="00B22ED8"/>
    <w:rsid w:val="00B230D0"/>
    <w:rsid w:val="00B23195"/>
    <w:rsid w:val="00B2369E"/>
    <w:rsid w:val="00B23816"/>
    <w:rsid w:val="00B23BA4"/>
    <w:rsid w:val="00B23C7A"/>
    <w:rsid w:val="00B23EBC"/>
    <w:rsid w:val="00B23EC8"/>
    <w:rsid w:val="00B24044"/>
    <w:rsid w:val="00B24227"/>
    <w:rsid w:val="00B2437F"/>
    <w:rsid w:val="00B2444C"/>
    <w:rsid w:val="00B2450E"/>
    <w:rsid w:val="00B24624"/>
    <w:rsid w:val="00B24699"/>
    <w:rsid w:val="00B246A3"/>
    <w:rsid w:val="00B249A3"/>
    <w:rsid w:val="00B24A04"/>
    <w:rsid w:val="00B24B3A"/>
    <w:rsid w:val="00B24D0A"/>
    <w:rsid w:val="00B2517B"/>
    <w:rsid w:val="00B25497"/>
    <w:rsid w:val="00B25A90"/>
    <w:rsid w:val="00B25D64"/>
    <w:rsid w:val="00B26368"/>
    <w:rsid w:val="00B263E3"/>
    <w:rsid w:val="00B267F5"/>
    <w:rsid w:val="00B2688D"/>
    <w:rsid w:val="00B2747F"/>
    <w:rsid w:val="00B277CF"/>
    <w:rsid w:val="00B27A9E"/>
    <w:rsid w:val="00B27DBB"/>
    <w:rsid w:val="00B30066"/>
    <w:rsid w:val="00B3044F"/>
    <w:rsid w:val="00B305AD"/>
    <w:rsid w:val="00B30612"/>
    <w:rsid w:val="00B306FC"/>
    <w:rsid w:val="00B3086C"/>
    <w:rsid w:val="00B30A74"/>
    <w:rsid w:val="00B30C7F"/>
    <w:rsid w:val="00B30EC3"/>
    <w:rsid w:val="00B30F83"/>
    <w:rsid w:val="00B312C2"/>
    <w:rsid w:val="00B317D9"/>
    <w:rsid w:val="00B319B8"/>
    <w:rsid w:val="00B31A7E"/>
    <w:rsid w:val="00B31AF6"/>
    <w:rsid w:val="00B31B71"/>
    <w:rsid w:val="00B31E8E"/>
    <w:rsid w:val="00B31EAC"/>
    <w:rsid w:val="00B32080"/>
    <w:rsid w:val="00B3228D"/>
    <w:rsid w:val="00B323AC"/>
    <w:rsid w:val="00B323E0"/>
    <w:rsid w:val="00B323F2"/>
    <w:rsid w:val="00B3246E"/>
    <w:rsid w:val="00B32584"/>
    <w:rsid w:val="00B32E91"/>
    <w:rsid w:val="00B330F8"/>
    <w:rsid w:val="00B3317D"/>
    <w:rsid w:val="00B33738"/>
    <w:rsid w:val="00B33758"/>
    <w:rsid w:val="00B337AC"/>
    <w:rsid w:val="00B3388C"/>
    <w:rsid w:val="00B33923"/>
    <w:rsid w:val="00B33C17"/>
    <w:rsid w:val="00B33C45"/>
    <w:rsid w:val="00B34062"/>
    <w:rsid w:val="00B343D5"/>
    <w:rsid w:val="00B345DE"/>
    <w:rsid w:val="00B34796"/>
    <w:rsid w:val="00B34C1F"/>
    <w:rsid w:val="00B34CAD"/>
    <w:rsid w:val="00B34CF2"/>
    <w:rsid w:val="00B35053"/>
    <w:rsid w:val="00B3505A"/>
    <w:rsid w:val="00B353CF"/>
    <w:rsid w:val="00B35908"/>
    <w:rsid w:val="00B359A0"/>
    <w:rsid w:val="00B35A53"/>
    <w:rsid w:val="00B362EF"/>
    <w:rsid w:val="00B36583"/>
    <w:rsid w:val="00B36683"/>
    <w:rsid w:val="00B36805"/>
    <w:rsid w:val="00B3690D"/>
    <w:rsid w:val="00B36D3B"/>
    <w:rsid w:val="00B36F88"/>
    <w:rsid w:val="00B378F0"/>
    <w:rsid w:val="00B379B4"/>
    <w:rsid w:val="00B37C29"/>
    <w:rsid w:val="00B4038D"/>
    <w:rsid w:val="00B4047C"/>
    <w:rsid w:val="00B40495"/>
    <w:rsid w:val="00B404FB"/>
    <w:rsid w:val="00B40804"/>
    <w:rsid w:val="00B408A1"/>
    <w:rsid w:val="00B4095A"/>
    <w:rsid w:val="00B40E0C"/>
    <w:rsid w:val="00B40EF4"/>
    <w:rsid w:val="00B41096"/>
    <w:rsid w:val="00B41490"/>
    <w:rsid w:val="00B41499"/>
    <w:rsid w:val="00B415B1"/>
    <w:rsid w:val="00B41E28"/>
    <w:rsid w:val="00B41E8B"/>
    <w:rsid w:val="00B41EC4"/>
    <w:rsid w:val="00B41FFD"/>
    <w:rsid w:val="00B42254"/>
    <w:rsid w:val="00B429B1"/>
    <w:rsid w:val="00B42ACE"/>
    <w:rsid w:val="00B434A4"/>
    <w:rsid w:val="00B4387D"/>
    <w:rsid w:val="00B43910"/>
    <w:rsid w:val="00B43953"/>
    <w:rsid w:val="00B43A17"/>
    <w:rsid w:val="00B43ABC"/>
    <w:rsid w:val="00B43AD6"/>
    <w:rsid w:val="00B43DB2"/>
    <w:rsid w:val="00B43FD2"/>
    <w:rsid w:val="00B4438F"/>
    <w:rsid w:val="00B443C7"/>
    <w:rsid w:val="00B444E7"/>
    <w:rsid w:val="00B449AA"/>
    <w:rsid w:val="00B455C1"/>
    <w:rsid w:val="00B4584A"/>
    <w:rsid w:val="00B45A95"/>
    <w:rsid w:val="00B45FB8"/>
    <w:rsid w:val="00B46E1C"/>
    <w:rsid w:val="00B46FA5"/>
    <w:rsid w:val="00B472FD"/>
    <w:rsid w:val="00B473D6"/>
    <w:rsid w:val="00B47444"/>
    <w:rsid w:val="00B47584"/>
    <w:rsid w:val="00B47884"/>
    <w:rsid w:val="00B47962"/>
    <w:rsid w:val="00B47A6A"/>
    <w:rsid w:val="00B47B0C"/>
    <w:rsid w:val="00B501F6"/>
    <w:rsid w:val="00B50814"/>
    <w:rsid w:val="00B50BB7"/>
    <w:rsid w:val="00B50D86"/>
    <w:rsid w:val="00B50E85"/>
    <w:rsid w:val="00B514C9"/>
    <w:rsid w:val="00B51820"/>
    <w:rsid w:val="00B51920"/>
    <w:rsid w:val="00B51C49"/>
    <w:rsid w:val="00B51DC4"/>
    <w:rsid w:val="00B51DF7"/>
    <w:rsid w:val="00B51DF8"/>
    <w:rsid w:val="00B51E83"/>
    <w:rsid w:val="00B525CD"/>
    <w:rsid w:val="00B52A46"/>
    <w:rsid w:val="00B52AD5"/>
    <w:rsid w:val="00B52B9A"/>
    <w:rsid w:val="00B52BB3"/>
    <w:rsid w:val="00B52C9C"/>
    <w:rsid w:val="00B52CDF"/>
    <w:rsid w:val="00B52D1A"/>
    <w:rsid w:val="00B52DEE"/>
    <w:rsid w:val="00B52E19"/>
    <w:rsid w:val="00B53058"/>
    <w:rsid w:val="00B532C8"/>
    <w:rsid w:val="00B533C1"/>
    <w:rsid w:val="00B539BC"/>
    <w:rsid w:val="00B53AB1"/>
    <w:rsid w:val="00B53C04"/>
    <w:rsid w:val="00B53DBC"/>
    <w:rsid w:val="00B53F71"/>
    <w:rsid w:val="00B54261"/>
    <w:rsid w:val="00B54476"/>
    <w:rsid w:val="00B546CC"/>
    <w:rsid w:val="00B54E01"/>
    <w:rsid w:val="00B54F0F"/>
    <w:rsid w:val="00B54FE7"/>
    <w:rsid w:val="00B554CF"/>
    <w:rsid w:val="00B5555C"/>
    <w:rsid w:val="00B5595B"/>
    <w:rsid w:val="00B55ABC"/>
    <w:rsid w:val="00B55B7D"/>
    <w:rsid w:val="00B55BDB"/>
    <w:rsid w:val="00B55E29"/>
    <w:rsid w:val="00B55E35"/>
    <w:rsid w:val="00B56066"/>
    <w:rsid w:val="00B56506"/>
    <w:rsid w:val="00B56ABD"/>
    <w:rsid w:val="00B57216"/>
    <w:rsid w:val="00B5733F"/>
    <w:rsid w:val="00B57619"/>
    <w:rsid w:val="00B5763D"/>
    <w:rsid w:val="00B57700"/>
    <w:rsid w:val="00B579CC"/>
    <w:rsid w:val="00B57A05"/>
    <w:rsid w:val="00B57A96"/>
    <w:rsid w:val="00B57BA3"/>
    <w:rsid w:val="00B57D7B"/>
    <w:rsid w:val="00B57FA2"/>
    <w:rsid w:val="00B57FB8"/>
    <w:rsid w:val="00B60170"/>
    <w:rsid w:val="00B605E3"/>
    <w:rsid w:val="00B60C3C"/>
    <w:rsid w:val="00B6101D"/>
    <w:rsid w:val="00B610EB"/>
    <w:rsid w:val="00B612B7"/>
    <w:rsid w:val="00B61508"/>
    <w:rsid w:val="00B6199A"/>
    <w:rsid w:val="00B61C1C"/>
    <w:rsid w:val="00B61D8D"/>
    <w:rsid w:val="00B61DD1"/>
    <w:rsid w:val="00B62198"/>
    <w:rsid w:val="00B6229B"/>
    <w:rsid w:val="00B622B6"/>
    <w:rsid w:val="00B62782"/>
    <w:rsid w:val="00B627F7"/>
    <w:rsid w:val="00B6296C"/>
    <w:rsid w:val="00B62C98"/>
    <w:rsid w:val="00B63440"/>
    <w:rsid w:val="00B63620"/>
    <w:rsid w:val="00B63758"/>
    <w:rsid w:val="00B63794"/>
    <w:rsid w:val="00B6389F"/>
    <w:rsid w:val="00B639F2"/>
    <w:rsid w:val="00B63A84"/>
    <w:rsid w:val="00B63AE0"/>
    <w:rsid w:val="00B63BA4"/>
    <w:rsid w:val="00B63CE8"/>
    <w:rsid w:val="00B63F6C"/>
    <w:rsid w:val="00B63FBC"/>
    <w:rsid w:val="00B640C5"/>
    <w:rsid w:val="00B64135"/>
    <w:rsid w:val="00B645BD"/>
    <w:rsid w:val="00B64E57"/>
    <w:rsid w:val="00B651AB"/>
    <w:rsid w:val="00B651F7"/>
    <w:rsid w:val="00B65542"/>
    <w:rsid w:val="00B65821"/>
    <w:rsid w:val="00B65ACA"/>
    <w:rsid w:val="00B66105"/>
    <w:rsid w:val="00B66310"/>
    <w:rsid w:val="00B67069"/>
    <w:rsid w:val="00B67235"/>
    <w:rsid w:val="00B6725A"/>
    <w:rsid w:val="00B675A7"/>
    <w:rsid w:val="00B675AA"/>
    <w:rsid w:val="00B67642"/>
    <w:rsid w:val="00B6782B"/>
    <w:rsid w:val="00B67A6B"/>
    <w:rsid w:val="00B67D8E"/>
    <w:rsid w:val="00B67DCA"/>
    <w:rsid w:val="00B67E42"/>
    <w:rsid w:val="00B67E64"/>
    <w:rsid w:val="00B67E65"/>
    <w:rsid w:val="00B700C9"/>
    <w:rsid w:val="00B70116"/>
    <w:rsid w:val="00B701ED"/>
    <w:rsid w:val="00B70263"/>
    <w:rsid w:val="00B70490"/>
    <w:rsid w:val="00B704E3"/>
    <w:rsid w:val="00B7074F"/>
    <w:rsid w:val="00B709A1"/>
    <w:rsid w:val="00B70A89"/>
    <w:rsid w:val="00B70BF5"/>
    <w:rsid w:val="00B70F55"/>
    <w:rsid w:val="00B71044"/>
    <w:rsid w:val="00B7126E"/>
    <w:rsid w:val="00B71C00"/>
    <w:rsid w:val="00B7232C"/>
    <w:rsid w:val="00B72382"/>
    <w:rsid w:val="00B72941"/>
    <w:rsid w:val="00B72A76"/>
    <w:rsid w:val="00B72C16"/>
    <w:rsid w:val="00B72F39"/>
    <w:rsid w:val="00B73109"/>
    <w:rsid w:val="00B73458"/>
    <w:rsid w:val="00B734B3"/>
    <w:rsid w:val="00B73856"/>
    <w:rsid w:val="00B73EB8"/>
    <w:rsid w:val="00B7408F"/>
    <w:rsid w:val="00B740B9"/>
    <w:rsid w:val="00B740C2"/>
    <w:rsid w:val="00B7442A"/>
    <w:rsid w:val="00B7481A"/>
    <w:rsid w:val="00B74B93"/>
    <w:rsid w:val="00B74CD6"/>
    <w:rsid w:val="00B757B9"/>
    <w:rsid w:val="00B75A6C"/>
    <w:rsid w:val="00B75AF0"/>
    <w:rsid w:val="00B75E8D"/>
    <w:rsid w:val="00B75EBD"/>
    <w:rsid w:val="00B75FDD"/>
    <w:rsid w:val="00B762F4"/>
    <w:rsid w:val="00B763B3"/>
    <w:rsid w:val="00B765AF"/>
    <w:rsid w:val="00B7693A"/>
    <w:rsid w:val="00B76A8A"/>
    <w:rsid w:val="00B76D68"/>
    <w:rsid w:val="00B76DAC"/>
    <w:rsid w:val="00B76F4D"/>
    <w:rsid w:val="00B77273"/>
    <w:rsid w:val="00B773BF"/>
    <w:rsid w:val="00B773C8"/>
    <w:rsid w:val="00B773CB"/>
    <w:rsid w:val="00B77726"/>
    <w:rsid w:val="00B77A1F"/>
    <w:rsid w:val="00B77D30"/>
    <w:rsid w:val="00B77D9A"/>
    <w:rsid w:val="00B77F28"/>
    <w:rsid w:val="00B77F53"/>
    <w:rsid w:val="00B800C5"/>
    <w:rsid w:val="00B80270"/>
    <w:rsid w:val="00B804C1"/>
    <w:rsid w:val="00B806D0"/>
    <w:rsid w:val="00B80E25"/>
    <w:rsid w:val="00B80E83"/>
    <w:rsid w:val="00B81003"/>
    <w:rsid w:val="00B8116D"/>
    <w:rsid w:val="00B81335"/>
    <w:rsid w:val="00B819C1"/>
    <w:rsid w:val="00B81A06"/>
    <w:rsid w:val="00B81A84"/>
    <w:rsid w:val="00B81DFF"/>
    <w:rsid w:val="00B81E33"/>
    <w:rsid w:val="00B81F4B"/>
    <w:rsid w:val="00B81FDF"/>
    <w:rsid w:val="00B82104"/>
    <w:rsid w:val="00B821C8"/>
    <w:rsid w:val="00B82252"/>
    <w:rsid w:val="00B828FC"/>
    <w:rsid w:val="00B82BE4"/>
    <w:rsid w:val="00B83299"/>
    <w:rsid w:val="00B834BA"/>
    <w:rsid w:val="00B8382B"/>
    <w:rsid w:val="00B83843"/>
    <w:rsid w:val="00B8386A"/>
    <w:rsid w:val="00B83A16"/>
    <w:rsid w:val="00B83DA0"/>
    <w:rsid w:val="00B83F6E"/>
    <w:rsid w:val="00B83F96"/>
    <w:rsid w:val="00B8426B"/>
    <w:rsid w:val="00B8436F"/>
    <w:rsid w:val="00B844C8"/>
    <w:rsid w:val="00B845F9"/>
    <w:rsid w:val="00B84621"/>
    <w:rsid w:val="00B84642"/>
    <w:rsid w:val="00B84731"/>
    <w:rsid w:val="00B84885"/>
    <w:rsid w:val="00B84A4E"/>
    <w:rsid w:val="00B84A85"/>
    <w:rsid w:val="00B84A8D"/>
    <w:rsid w:val="00B84D02"/>
    <w:rsid w:val="00B84DB7"/>
    <w:rsid w:val="00B8522E"/>
    <w:rsid w:val="00B8525C"/>
    <w:rsid w:val="00B85482"/>
    <w:rsid w:val="00B8563B"/>
    <w:rsid w:val="00B857B0"/>
    <w:rsid w:val="00B8584F"/>
    <w:rsid w:val="00B8599A"/>
    <w:rsid w:val="00B85AD3"/>
    <w:rsid w:val="00B85B95"/>
    <w:rsid w:val="00B85E6C"/>
    <w:rsid w:val="00B86826"/>
    <w:rsid w:val="00B8705B"/>
    <w:rsid w:val="00B87303"/>
    <w:rsid w:val="00B8752B"/>
    <w:rsid w:val="00B876A5"/>
    <w:rsid w:val="00B87836"/>
    <w:rsid w:val="00B87B23"/>
    <w:rsid w:val="00B87C6F"/>
    <w:rsid w:val="00B87E28"/>
    <w:rsid w:val="00B87E41"/>
    <w:rsid w:val="00B87E45"/>
    <w:rsid w:val="00B87E7E"/>
    <w:rsid w:val="00B90298"/>
    <w:rsid w:val="00B90349"/>
    <w:rsid w:val="00B906B4"/>
    <w:rsid w:val="00B9087D"/>
    <w:rsid w:val="00B9121C"/>
    <w:rsid w:val="00B9163E"/>
    <w:rsid w:val="00B917B3"/>
    <w:rsid w:val="00B91854"/>
    <w:rsid w:val="00B919F2"/>
    <w:rsid w:val="00B91B86"/>
    <w:rsid w:val="00B91D02"/>
    <w:rsid w:val="00B91FC3"/>
    <w:rsid w:val="00B92013"/>
    <w:rsid w:val="00B92128"/>
    <w:rsid w:val="00B92312"/>
    <w:rsid w:val="00B9256D"/>
    <w:rsid w:val="00B9265E"/>
    <w:rsid w:val="00B92704"/>
    <w:rsid w:val="00B929A1"/>
    <w:rsid w:val="00B92A6B"/>
    <w:rsid w:val="00B93268"/>
    <w:rsid w:val="00B93353"/>
    <w:rsid w:val="00B9393C"/>
    <w:rsid w:val="00B9393F"/>
    <w:rsid w:val="00B93A8F"/>
    <w:rsid w:val="00B941BB"/>
    <w:rsid w:val="00B9432C"/>
    <w:rsid w:val="00B94798"/>
    <w:rsid w:val="00B947BB"/>
    <w:rsid w:val="00B947E6"/>
    <w:rsid w:val="00B94B12"/>
    <w:rsid w:val="00B94E0F"/>
    <w:rsid w:val="00B95073"/>
    <w:rsid w:val="00B953D6"/>
    <w:rsid w:val="00B954F6"/>
    <w:rsid w:val="00B95533"/>
    <w:rsid w:val="00B95A9D"/>
    <w:rsid w:val="00B95CCE"/>
    <w:rsid w:val="00B95FC2"/>
    <w:rsid w:val="00B96061"/>
    <w:rsid w:val="00B96072"/>
    <w:rsid w:val="00B9620B"/>
    <w:rsid w:val="00B964E5"/>
    <w:rsid w:val="00B96605"/>
    <w:rsid w:val="00B968E5"/>
    <w:rsid w:val="00B96C5B"/>
    <w:rsid w:val="00B970B7"/>
    <w:rsid w:val="00B9717F"/>
    <w:rsid w:val="00B97202"/>
    <w:rsid w:val="00B9797D"/>
    <w:rsid w:val="00B97BF8"/>
    <w:rsid w:val="00B97F11"/>
    <w:rsid w:val="00B97F32"/>
    <w:rsid w:val="00BA0120"/>
    <w:rsid w:val="00BA030A"/>
    <w:rsid w:val="00BA0390"/>
    <w:rsid w:val="00BA03FF"/>
    <w:rsid w:val="00BA0962"/>
    <w:rsid w:val="00BA0A55"/>
    <w:rsid w:val="00BA0D00"/>
    <w:rsid w:val="00BA103E"/>
    <w:rsid w:val="00BA1241"/>
    <w:rsid w:val="00BA168C"/>
    <w:rsid w:val="00BA1716"/>
    <w:rsid w:val="00BA18DC"/>
    <w:rsid w:val="00BA1C0A"/>
    <w:rsid w:val="00BA1E77"/>
    <w:rsid w:val="00BA1F12"/>
    <w:rsid w:val="00BA1F83"/>
    <w:rsid w:val="00BA20E9"/>
    <w:rsid w:val="00BA22AC"/>
    <w:rsid w:val="00BA276B"/>
    <w:rsid w:val="00BA291A"/>
    <w:rsid w:val="00BA2DB2"/>
    <w:rsid w:val="00BA32F3"/>
    <w:rsid w:val="00BA3A9D"/>
    <w:rsid w:val="00BA3D52"/>
    <w:rsid w:val="00BA3EB9"/>
    <w:rsid w:val="00BA3F02"/>
    <w:rsid w:val="00BA40B4"/>
    <w:rsid w:val="00BA4121"/>
    <w:rsid w:val="00BA4526"/>
    <w:rsid w:val="00BA4A29"/>
    <w:rsid w:val="00BA5259"/>
    <w:rsid w:val="00BA5284"/>
    <w:rsid w:val="00BA541B"/>
    <w:rsid w:val="00BA565E"/>
    <w:rsid w:val="00BA5985"/>
    <w:rsid w:val="00BA5B72"/>
    <w:rsid w:val="00BA5D24"/>
    <w:rsid w:val="00BA5DF4"/>
    <w:rsid w:val="00BA62DF"/>
    <w:rsid w:val="00BA632D"/>
    <w:rsid w:val="00BA668B"/>
    <w:rsid w:val="00BA72F6"/>
    <w:rsid w:val="00BA7681"/>
    <w:rsid w:val="00BA7754"/>
    <w:rsid w:val="00BA7B37"/>
    <w:rsid w:val="00BA7D0D"/>
    <w:rsid w:val="00BA7F80"/>
    <w:rsid w:val="00BB001C"/>
    <w:rsid w:val="00BB021E"/>
    <w:rsid w:val="00BB08F4"/>
    <w:rsid w:val="00BB0AB2"/>
    <w:rsid w:val="00BB0D93"/>
    <w:rsid w:val="00BB11C9"/>
    <w:rsid w:val="00BB1324"/>
    <w:rsid w:val="00BB13B1"/>
    <w:rsid w:val="00BB14C2"/>
    <w:rsid w:val="00BB16D7"/>
    <w:rsid w:val="00BB1B51"/>
    <w:rsid w:val="00BB1EDF"/>
    <w:rsid w:val="00BB1F89"/>
    <w:rsid w:val="00BB1FFF"/>
    <w:rsid w:val="00BB20E2"/>
    <w:rsid w:val="00BB23BD"/>
    <w:rsid w:val="00BB249F"/>
    <w:rsid w:val="00BB2574"/>
    <w:rsid w:val="00BB25D9"/>
    <w:rsid w:val="00BB29C5"/>
    <w:rsid w:val="00BB3233"/>
    <w:rsid w:val="00BB3413"/>
    <w:rsid w:val="00BB3B3D"/>
    <w:rsid w:val="00BB3C47"/>
    <w:rsid w:val="00BB3D2F"/>
    <w:rsid w:val="00BB40B5"/>
    <w:rsid w:val="00BB40D7"/>
    <w:rsid w:val="00BB42C8"/>
    <w:rsid w:val="00BB4355"/>
    <w:rsid w:val="00BB4502"/>
    <w:rsid w:val="00BB4675"/>
    <w:rsid w:val="00BB46E4"/>
    <w:rsid w:val="00BB48FA"/>
    <w:rsid w:val="00BB4975"/>
    <w:rsid w:val="00BB4B32"/>
    <w:rsid w:val="00BB4DE1"/>
    <w:rsid w:val="00BB5456"/>
    <w:rsid w:val="00BB5667"/>
    <w:rsid w:val="00BB575B"/>
    <w:rsid w:val="00BB5794"/>
    <w:rsid w:val="00BB5925"/>
    <w:rsid w:val="00BB5A7D"/>
    <w:rsid w:val="00BB5E76"/>
    <w:rsid w:val="00BB5E9F"/>
    <w:rsid w:val="00BB5F3A"/>
    <w:rsid w:val="00BB6044"/>
    <w:rsid w:val="00BB657C"/>
    <w:rsid w:val="00BB6872"/>
    <w:rsid w:val="00BB6B80"/>
    <w:rsid w:val="00BB6CAC"/>
    <w:rsid w:val="00BB7163"/>
    <w:rsid w:val="00BB741C"/>
    <w:rsid w:val="00BB74A4"/>
    <w:rsid w:val="00BB79C1"/>
    <w:rsid w:val="00BB7B3D"/>
    <w:rsid w:val="00BB7BDF"/>
    <w:rsid w:val="00BB7C77"/>
    <w:rsid w:val="00BB7D70"/>
    <w:rsid w:val="00BB7E01"/>
    <w:rsid w:val="00BB7E0D"/>
    <w:rsid w:val="00BC0251"/>
    <w:rsid w:val="00BC055A"/>
    <w:rsid w:val="00BC0604"/>
    <w:rsid w:val="00BC0C82"/>
    <w:rsid w:val="00BC0D9D"/>
    <w:rsid w:val="00BC110C"/>
    <w:rsid w:val="00BC14BA"/>
    <w:rsid w:val="00BC16A6"/>
    <w:rsid w:val="00BC1972"/>
    <w:rsid w:val="00BC1B3E"/>
    <w:rsid w:val="00BC1CAE"/>
    <w:rsid w:val="00BC24CA"/>
    <w:rsid w:val="00BC2542"/>
    <w:rsid w:val="00BC299D"/>
    <w:rsid w:val="00BC2C50"/>
    <w:rsid w:val="00BC307D"/>
    <w:rsid w:val="00BC3124"/>
    <w:rsid w:val="00BC32D7"/>
    <w:rsid w:val="00BC38DC"/>
    <w:rsid w:val="00BC3AA0"/>
    <w:rsid w:val="00BC3E72"/>
    <w:rsid w:val="00BC418D"/>
    <w:rsid w:val="00BC41D8"/>
    <w:rsid w:val="00BC4258"/>
    <w:rsid w:val="00BC430E"/>
    <w:rsid w:val="00BC43B8"/>
    <w:rsid w:val="00BC44FF"/>
    <w:rsid w:val="00BC4530"/>
    <w:rsid w:val="00BC4A0A"/>
    <w:rsid w:val="00BC4C67"/>
    <w:rsid w:val="00BC517B"/>
    <w:rsid w:val="00BC51B8"/>
    <w:rsid w:val="00BC53D8"/>
    <w:rsid w:val="00BC5866"/>
    <w:rsid w:val="00BC5A2B"/>
    <w:rsid w:val="00BC5B94"/>
    <w:rsid w:val="00BC5C7E"/>
    <w:rsid w:val="00BC5EE2"/>
    <w:rsid w:val="00BC5FD3"/>
    <w:rsid w:val="00BC6003"/>
    <w:rsid w:val="00BC60ED"/>
    <w:rsid w:val="00BC6325"/>
    <w:rsid w:val="00BC645B"/>
    <w:rsid w:val="00BC648E"/>
    <w:rsid w:val="00BC6522"/>
    <w:rsid w:val="00BC65CD"/>
    <w:rsid w:val="00BC6BF7"/>
    <w:rsid w:val="00BC6D65"/>
    <w:rsid w:val="00BC6F62"/>
    <w:rsid w:val="00BC6F98"/>
    <w:rsid w:val="00BC70A2"/>
    <w:rsid w:val="00BC7144"/>
    <w:rsid w:val="00BC74E5"/>
    <w:rsid w:val="00BC757C"/>
    <w:rsid w:val="00BC7590"/>
    <w:rsid w:val="00BC767C"/>
    <w:rsid w:val="00BC77A4"/>
    <w:rsid w:val="00BC786A"/>
    <w:rsid w:val="00BC7A60"/>
    <w:rsid w:val="00BC7A64"/>
    <w:rsid w:val="00BC7CCF"/>
    <w:rsid w:val="00BC7DEE"/>
    <w:rsid w:val="00BD001E"/>
    <w:rsid w:val="00BD0641"/>
    <w:rsid w:val="00BD07F1"/>
    <w:rsid w:val="00BD0D46"/>
    <w:rsid w:val="00BD0D71"/>
    <w:rsid w:val="00BD113A"/>
    <w:rsid w:val="00BD147B"/>
    <w:rsid w:val="00BD14E1"/>
    <w:rsid w:val="00BD1631"/>
    <w:rsid w:val="00BD16B9"/>
    <w:rsid w:val="00BD1C8D"/>
    <w:rsid w:val="00BD27E4"/>
    <w:rsid w:val="00BD2B00"/>
    <w:rsid w:val="00BD2BDC"/>
    <w:rsid w:val="00BD2CFE"/>
    <w:rsid w:val="00BD2F3B"/>
    <w:rsid w:val="00BD31D8"/>
    <w:rsid w:val="00BD3222"/>
    <w:rsid w:val="00BD3593"/>
    <w:rsid w:val="00BD35D4"/>
    <w:rsid w:val="00BD360D"/>
    <w:rsid w:val="00BD3A64"/>
    <w:rsid w:val="00BD3BBF"/>
    <w:rsid w:val="00BD3BC4"/>
    <w:rsid w:val="00BD3D8C"/>
    <w:rsid w:val="00BD3DA8"/>
    <w:rsid w:val="00BD41F2"/>
    <w:rsid w:val="00BD427B"/>
    <w:rsid w:val="00BD45D5"/>
    <w:rsid w:val="00BD466C"/>
    <w:rsid w:val="00BD47F2"/>
    <w:rsid w:val="00BD49A6"/>
    <w:rsid w:val="00BD4BBC"/>
    <w:rsid w:val="00BD4C6E"/>
    <w:rsid w:val="00BD4F20"/>
    <w:rsid w:val="00BD548E"/>
    <w:rsid w:val="00BD5675"/>
    <w:rsid w:val="00BD578A"/>
    <w:rsid w:val="00BD593B"/>
    <w:rsid w:val="00BD5AC8"/>
    <w:rsid w:val="00BD6251"/>
    <w:rsid w:val="00BD6590"/>
    <w:rsid w:val="00BD6CF6"/>
    <w:rsid w:val="00BD72A6"/>
    <w:rsid w:val="00BD765C"/>
    <w:rsid w:val="00BD7817"/>
    <w:rsid w:val="00BD7FE9"/>
    <w:rsid w:val="00BE017E"/>
    <w:rsid w:val="00BE01C5"/>
    <w:rsid w:val="00BE02B3"/>
    <w:rsid w:val="00BE0403"/>
    <w:rsid w:val="00BE04EF"/>
    <w:rsid w:val="00BE057D"/>
    <w:rsid w:val="00BE06D2"/>
    <w:rsid w:val="00BE08EA"/>
    <w:rsid w:val="00BE0B19"/>
    <w:rsid w:val="00BE0C11"/>
    <w:rsid w:val="00BE0C92"/>
    <w:rsid w:val="00BE0E2F"/>
    <w:rsid w:val="00BE17EB"/>
    <w:rsid w:val="00BE188B"/>
    <w:rsid w:val="00BE1D4B"/>
    <w:rsid w:val="00BE20FD"/>
    <w:rsid w:val="00BE211C"/>
    <w:rsid w:val="00BE2AE1"/>
    <w:rsid w:val="00BE2DAE"/>
    <w:rsid w:val="00BE2E18"/>
    <w:rsid w:val="00BE3038"/>
    <w:rsid w:val="00BE3206"/>
    <w:rsid w:val="00BE35E4"/>
    <w:rsid w:val="00BE3944"/>
    <w:rsid w:val="00BE3A9D"/>
    <w:rsid w:val="00BE3D17"/>
    <w:rsid w:val="00BE3DBE"/>
    <w:rsid w:val="00BE3DD2"/>
    <w:rsid w:val="00BE3FDF"/>
    <w:rsid w:val="00BE424E"/>
    <w:rsid w:val="00BE4506"/>
    <w:rsid w:val="00BE470E"/>
    <w:rsid w:val="00BE47D1"/>
    <w:rsid w:val="00BE4841"/>
    <w:rsid w:val="00BE4882"/>
    <w:rsid w:val="00BE4FAA"/>
    <w:rsid w:val="00BE5348"/>
    <w:rsid w:val="00BE5369"/>
    <w:rsid w:val="00BE58FA"/>
    <w:rsid w:val="00BE5AF6"/>
    <w:rsid w:val="00BE5D45"/>
    <w:rsid w:val="00BE656D"/>
    <w:rsid w:val="00BE666F"/>
    <w:rsid w:val="00BE68E1"/>
    <w:rsid w:val="00BE6DBC"/>
    <w:rsid w:val="00BE6E3C"/>
    <w:rsid w:val="00BE6F18"/>
    <w:rsid w:val="00BE7084"/>
    <w:rsid w:val="00BE7F75"/>
    <w:rsid w:val="00BE7FA0"/>
    <w:rsid w:val="00BE7FB2"/>
    <w:rsid w:val="00BF02AE"/>
    <w:rsid w:val="00BF0919"/>
    <w:rsid w:val="00BF0CA4"/>
    <w:rsid w:val="00BF0F94"/>
    <w:rsid w:val="00BF11C3"/>
    <w:rsid w:val="00BF11F4"/>
    <w:rsid w:val="00BF184D"/>
    <w:rsid w:val="00BF18E9"/>
    <w:rsid w:val="00BF1992"/>
    <w:rsid w:val="00BF1B13"/>
    <w:rsid w:val="00BF1DF3"/>
    <w:rsid w:val="00BF1EF2"/>
    <w:rsid w:val="00BF21F1"/>
    <w:rsid w:val="00BF236D"/>
    <w:rsid w:val="00BF2520"/>
    <w:rsid w:val="00BF26CB"/>
    <w:rsid w:val="00BF27C6"/>
    <w:rsid w:val="00BF2A07"/>
    <w:rsid w:val="00BF2AA7"/>
    <w:rsid w:val="00BF2FD8"/>
    <w:rsid w:val="00BF2FE2"/>
    <w:rsid w:val="00BF354D"/>
    <w:rsid w:val="00BF3867"/>
    <w:rsid w:val="00BF3BE8"/>
    <w:rsid w:val="00BF3D52"/>
    <w:rsid w:val="00BF3E39"/>
    <w:rsid w:val="00BF3F35"/>
    <w:rsid w:val="00BF40C1"/>
    <w:rsid w:val="00BF41EF"/>
    <w:rsid w:val="00BF43D2"/>
    <w:rsid w:val="00BF43E9"/>
    <w:rsid w:val="00BF45F3"/>
    <w:rsid w:val="00BF4902"/>
    <w:rsid w:val="00BF4997"/>
    <w:rsid w:val="00BF4B6F"/>
    <w:rsid w:val="00BF4FEF"/>
    <w:rsid w:val="00BF51EF"/>
    <w:rsid w:val="00BF5A18"/>
    <w:rsid w:val="00BF5EA0"/>
    <w:rsid w:val="00BF6B4B"/>
    <w:rsid w:val="00BF6BC9"/>
    <w:rsid w:val="00BF6BF2"/>
    <w:rsid w:val="00BF6CC2"/>
    <w:rsid w:val="00BF7021"/>
    <w:rsid w:val="00BF7144"/>
    <w:rsid w:val="00BF71ED"/>
    <w:rsid w:val="00BF73B0"/>
    <w:rsid w:val="00BF7501"/>
    <w:rsid w:val="00BF7591"/>
    <w:rsid w:val="00BF77EB"/>
    <w:rsid w:val="00BF7AC3"/>
    <w:rsid w:val="00BF7D90"/>
    <w:rsid w:val="00BF7EFF"/>
    <w:rsid w:val="00C00129"/>
    <w:rsid w:val="00C0031C"/>
    <w:rsid w:val="00C00425"/>
    <w:rsid w:val="00C004E9"/>
    <w:rsid w:val="00C005E6"/>
    <w:rsid w:val="00C00697"/>
    <w:rsid w:val="00C0095A"/>
    <w:rsid w:val="00C00BE5"/>
    <w:rsid w:val="00C00C0B"/>
    <w:rsid w:val="00C00DDA"/>
    <w:rsid w:val="00C00F3E"/>
    <w:rsid w:val="00C01191"/>
    <w:rsid w:val="00C0129C"/>
    <w:rsid w:val="00C0173C"/>
    <w:rsid w:val="00C01C43"/>
    <w:rsid w:val="00C02061"/>
    <w:rsid w:val="00C02261"/>
    <w:rsid w:val="00C02892"/>
    <w:rsid w:val="00C02992"/>
    <w:rsid w:val="00C02A40"/>
    <w:rsid w:val="00C03187"/>
    <w:rsid w:val="00C03466"/>
    <w:rsid w:val="00C03D42"/>
    <w:rsid w:val="00C0414E"/>
    <w:rsid w:val="00C041BD"/>
    <w:rsid w:val="00C04E9D"/>
    <w:rsid w:val="00C050B5"/>
    <w:rsid w:val="00C054A6"/>
    <w:rsid w:val="00C057C9"/>
    <w:rsid w:val="00C05919"/>
    <w:rsid w:val="00C05B21"/>
    <w:rsid w:val="00C05C03"/>
    <w:rsid w:val="00C05CD0"/>
    <w:rsid w:val="00C06098"/>
    <w:rsid w:val="00C063A3"/>
    <w:rsid w:val="00C066C3"/>
    <w:rsid w:val="00C06ADE"/>
    <w:rsid w:val="00C0732B"/>
    <w:rsid w:val="00C0732C"/>
    <w:rsid w:val="00C073B3"/>
    <w:rsid w:val="00C07574"/>
    <w:rsid w:val="00C07712"/>
    <w:rsid w:val="00C07B64"/>
    <w:rsid w:val="00C100BC"/>
    <w:rsid w:val="00C10286"/>
    <w:rsid w:val="00C106AC"/>
    <w:rsid w:val="00C10755"/>
    <w:rsid w:val="00C10796"/>
    <w:rsid w:val="00C109AB"/>
    <w:rsid w:val="00C109F9"/>
    <w:rsid w:val="00C10B63"/>
    <w:rsid w:val="00C113F2"/>
    <w:rsid w:val="00C1178B"/>
    <w:rsid w:val="00C1194E"/>
    <w:rsid w:val="00C11BA9"/>
    <w:rsid w:val="00C120B5"/>
    <w:rsid w:val="00C120D8"/>
    <w:rsid w:val="00C12253"/>
    <w:rsid w:val="00C1258C"/>
    <w:rsid w:val="00C1273C"/>
    <w:rsid w:val="00C127E1"/>
    <w:rsid w:val="00C12803"/>
    <w:rsid w:val="00C12939"/>
    <w:rsid w:val="00C12AFF"/>
    <w:rsid w:val="00C12B5C"/>
    <w:rsid w:val="00C12C25"/>
    <w:rsid w:val="00C12D2F"/>
    <w:rsid w:val="00C12F9F"/>
    <w:rsid w:val="00C1310F"/>
    <w:rsid w:val="00C1335D"/>
    <w:rsid w:val="00C13621"/>
    <w:rsid w:val="00C13644"/>
    <w:rsid w:val="00C1383E"/>
    <w:rsid w:val="00C13843"/>
    <w:rsid w:val="00C13A5A"/>
    <w:rsid w:val="00C13BF8"/>
    <w:rsid w:val="00C1416F"/>
    <w:rsid w:val="00C1433E"/>
    <w:rsid w:val="00C148C1"/>
    <w:rsid w:val="00C14BC9"/>
    <w:rsid w:val="00C14BED"/>
    <w:rsid w:val="00C14E58"/>
    <w:rsid w:val="00C15437"/>
    <w:rsid w:val="00C1570E"/>
    <w:rsid w:val="00C15A09"/>
    <w:rsid w:val="00C15B10"/>
    <w:rsid w:val="00C15BFB"/>
    <w:rsid w:val="00C15C8C"/>
    <w:rsid w:val="00C15F00"/>
    <w:rsid w:val="00C1682F"/>
    <w:rsid w:val="00C16B70"/>
    <w:rsid w:val="00C16BEC"/>
    <w:rsid w:val="00C16BF7"/>
    <w:rsid w:val="00C16E70"/>
    <w:rsid w:val="00C16FBA"/>
    <w:rsid w:val="00C17434"/>
    <w:rsid w:val="00C176E1"/>
    <w:rsid w:val="00C177BD"/>
    <w:rsid w:val="00C17866"/>
    <w:rsid w:val="00C17B35"/>
    <w:rsid w:val="00C17E3D"/>
    <w:rsid w:val="00C17F3E"/>
    <w:rsid w:val="00C1E754"/>
    <w:rsid w:val="00C20309"/>
    <w:rsid w:val="00C20AD5"/>
    <w:rsid w:val="00C20C57"/>
    <w:rsid w:val="00C20F00"/>
    <w:rsid w:val="00C2132A"/>
    <w:rsid w:val="00C21A1B"/>
    <w:rsid w:val="00C21B06"/>
    <w:rsid w:val="00C21DCB"/>
    <w:rsid w:val="00C21EC7"/>
    <w:rsid w:val="00C21F7E"/>
    <w:rsid w:val="00C224F4"/>
    <w:rsid w:val="00C229A0"/>
    <w:rsid w:val="00C22BDC"/>
    <w:rsid w:val="00C22E6B"/>
    <w:rsid w:val="00C22FDE"/>
    <w:rsid w:val="00C233A0"/>
    <w:rsid w:val="00C233A6"/>
    <w:rsid w:val="00C23684"/>
    <w:rsid w:val="00C237E5"/>
    <w:rsid w:val="00C23817"/>
    <w:rsid w:val="00C23A7F"/>
    <w:rsid w:val="00C23BE2"/>
    <w:rsid w:val="00C23E16"/>
    <w:rsid w:val="00C24071"/>
    <w:rsid w:val="00C24189"/>
    <w:rsid w:val="00C2428D"/>
    <w:rsid w:val="00C249AB"/>
    <w:rsid w:val="00C24A6F"/>
    <w:rsid w:val="00C24CB9"/>
    <w:rsid w:val="00C25331"/>
    <w:rsid w:val="00C25444"/>
    <w:rsid w:val="00C256F2"/>
    <w:rsid w:val="00C25F18"/>
    <w:rsid w:val="00C25FC8"/>
    <w:rsid w:val="00C26079"/>
    <w:rsid w:val="00C261EF"/>
    <w:rsid w:val="00C2625D"/>
    <w:rsid w:val="00C262EB"/>
    <w:rsid w:val="00C268B4"/>
    <w:rsid w:val="00C26F65"/>
    <w:rsid w:val="00C272F1"/>
    <w:rsid w:val="00C276D9"/>
    <w:rsid w:val="00C27985"/>
    <w:rsid w:val="00C27BB5"/>
    <w:rsid w:val="00C27C91"/>
    <w:rsid w:val="00C27F34"/>
    <w:rsid w:val="00C27FDF"/>
    <w:rsid w:val="00C3041A"/>
    <w:rsid w:val="00C307B4"/>
    <w:rsid w:val="00C30B51"/>
    <w:rsid w:val="00C30B63"/>
    <w:rsid w:val="00C30D65"/>
    <w:rsid w:val="00C30DA5"/>
    <w:rsid w:val="00C30E81"/>
    <w:rsid w:val="00C31372"/>
    <w:rsid w:val="00C3151C"/>
    <w:rsid w:val="00C31741"/>
    <w:rsid w:val="00C317D7"/>
    <w:rsid w:val="00C31C1E"/>
    <w:rsid w:val="00C321EF"/>
    <w:rsid w:val="00C32274"/>
    <w:rsid w:val="00C322FB"/>
    <w:rsid w:val="00C32497"/>
    <w:rsid w:val="00C32B13"/>
    <w:rsid w:val="00C32B23"/>
    <w:rsid w:val="00C32B60"/>
    <w:rsid w:val="00C32BF6"/>
    <w:rsid w:val="00C32CB2"/>
    <w:rsid w:val="00C33366"/>
    <w:rsid w:val="00C33617"/>
    <w:rsid w:val="00C33C05"/>
    <w:rsid w:val="00C33C35"/>
    <w:rsid w:val="00C34011"/>
    <w:rsid w:val="00C3406A"/>
    <w:rsid w:val="00C3417F"/>
    <w:rsid w:val="00C344EE"/>
    <w:rsid w:val="00C34537"/>
    <w:rsid w:val="00C34557"/>
    <w:rsid w:val="00C34565"/>
    <w:rsid w:val="00C34637"/>
    <w:rsid w:val="00C3499E"/>
    <w:rsid w:val="00C349CC"/>
    <w:rsid w:val="00C34D52"/>
    <w:rsid w:val="00C34E2C"/>
    <w:rsid w:val="00C34EBA"/>
    <w:rsid w:val="00C35076"/>
    <w:rsid w:val="00C350CD"/>
    <w:rsid w:val="00C354ED"/>
    <w:rsid w:val="00C35576"/>
    <w:rsid w:val="00C355A4"/>
    <w:rsid w:val="00C35E30"/>
    <w:rsid w:val="00C35ED7"/>
    <w:rsid w:val="00C362C4"/>
    <w:rsid w:val="00C3668F"/>
    <w:rsid w:val="00C368DD"/>
    <w:rsid w:val="00C36E28"/>
    <w:rsid w:val="00C371E9"/>
    <w:rsid w:val="00C3756E"/>
    <w:rsid w:val="00C3772A"/>
    <w:rsid w:val="00C37BF5"/>
    <w:rsid w:val="00C37C65"/>
    <w:rsid w:val="00C37CBE"/>
    <w:rsid w:val="00C37F9B"/>
    <w:rsid w:val="00C400B5"/>
    <w:rsid w:val="00C402D0"/>
    <w:rsid w:val="00C403AF"/>
    <w:rsid w:val="00C40512"/>
    <w:rsid w:val="00C4071A"/>
    <w:rsid w:val="00C407BA"/>
    <w:rsid w:val="00C40E1E"/>
    <w:rsid w:val="00C410D8"/>
    <w:rsid w:val="00C411EE"/>
    <w:rsid w:val="00C4126E"/>
    <w:rsid w:val="00C413A0"/>
    <w:rsid w:val="00C416EB"/>
    <w:rsid w:val="00C41912"/>
    <w:rsid w:val="00C41A99"/>
    <w:rsid w:val="00C422AB"/>
    <w:rsid w:val="00C42342"/>
    <w:rsid w:val="00C427CF"/>
    <w:rsid w:val="00C42901"/>
    <w:rsid w:val="00C43322"/>
    <w:rsid w:val="00C433C4"/>
    <w:rsid w:val="00C4361A"/>
    <w:rsid w:val="00C43655"/>
    <w:rsid w:val="00C4377C"/>
    <w:rsid w:val="00C4389C"/>
    <w:rsid w:val="00C43EA1"/>
    <w:rsid w:val="00C43F09"/>
    <w:rsid w:val="00C441CA"/>
    <w:rsid w:val="00C44233"/>
    <w:rsid w:val="00C445AE"/>
    <w:rsid w:val="00C447D4"/>
    <w:rsid w:val="00C44A48"/>
    <w:rsid w:val="00C44ACC"/>
    <w:rsid w:val="00C44B9A"/>
    <w:rsid w:val="00C45420"/>
    <w:rsid w:val="00C454D0"/>
    <w:rsid w:val="00C4572E"/>
    <w:rsid w:val="00C4574A"/>
    <w:rsid w:val="00C458A0"/>
    <w:rsid w:val="00C45F1B"/>
    <w:rsid w:val="00C4613B"/>
    <w:rsid w:val="00C461A3"/>
    <w:rsid w:val="00C46339"/>
    <w:rsid w:val="00C464E9"/>
    <w:rsid w:val="00C46B76"/>
    <w:rsid w:val="00C46B99"/>
    <w:rsid w:val="00C46BF2"/>
    <w:rsid w:val="00C46E53"/>
    <w:rsid w:val="00C473F8"/>
    <w:rsid w:val="00C474DA"/>
    <w:rsid w:val="00C476CB"/>
    <w:rsid w:val="00C4775A"/>
    <w:rsid w:val="00C4778A"/>
    <w:rsid w:val="00C47D56"/>
    <w:rsid w:val="00C50090"/>
    <w:rsid w:val="00C500BF"/>
    <w:rsid w:val="00C506CE"/>
    <w:rsid w:val="00C50751"/>
    <w:rsid w:val="00C50773"/>
    <w:rsid w:val="00C509E2"/>
    <w:rsid w:val="00C50AB1"/>
    <w:rsid w:val="00C50BDC"/>
    <w:rsid w:val="00C50CFC"/>
    <w:rsid w:val="00C50D3F"/>
    <w:rsid w:val="00C50D8C"/>
    <w:rsid w:val="00C50F73"/>
    <w:rsid w:val="00C5133D"/>
    <w:rsid w:val="00C51551"/>
    <w:rsid w:val="00C51C42"/>
    <w:rsid w:val="00C51C6B"/>
    <w:rsid w:val="00C51CBB"/>
    <w:rsid w:val="00C51E27"/>
    <w:rsid w:val="00C51F10"/>
    <w:rsid w:val="00C52085"/>
    <w:rsid w:val="00C520BD"/>
    <w:rsid w:val="00C52165"/>
    <w:rsid w:val="00C52223"/>
    <w:rsid w:val="00C525AC"/>
    <w:rsid w:val="00C525BF"/>
    <w:rsid w:val="00C526CF"/>
    <w:rsid w:val="00C5290D"/>
    <w:rsid w:val="00C52950"/>
    <w:rsid w:val="00C52BDA"/>
    <w:rsid w:val="00C52C7A"/>
    <w:rsid w:val="00C52E0C"/>
    <w:rsid w:val="00C53155"/>
    <w:rsid w:val="00C531C4"/>
    <w:rsid w:val="00C532D8"/>
    <w:rsid w:val="00C533ED"/>
    <w:rsid w:val="00C5382B"/>
    <w:rsid w:val="00C539C7"/>
    <w:rsid w:val="00C53BAC"/>
    <w:rsid w:val="00C53BF4"/>
    <w:rsid w:val="00C53D1D"/>
    <w:rsid w:val="00C53E7E"/>
    <w:rsid w:val="00C544B9"/>
    <w:rsid w:val="00C544CF"/>
    <w:rsid w:val="00C54B9E"/>
    <w:rsid w:val="00C54D25"/>
    <w:rsid w:val="00C553FC"/>
    <w:rsid w:val="00C556E7"/>
    <w:rsid w:val="00C557EE"/>
    <w:rsid w:val="00C55B68"/>
    <w:rsid w:val="00C55CAA"/>
    <w:rsid w:val="00C55FEA"/>
    <w:rsid w:val="00C56398"/>
    <w:rsid w:val="00C56A41"/>
    <w:rsid w:val="00C56E0D"/>
    <w:rsid w:val="00C57021"/>
    <w:rsid w:val="00C574C3"/>
    <w:rsid w:val="00C574C9"/>
    <w:rsid w:val="00C60280"/>
    <w:rsid w:val="00C603C3"/>
    <w:rsid w:val="00C603FE"/>
    <w:rsid w:val="00C60556"/>
    <w:rsid w:val="00C608D5"/>
    <w:rsid w:val="00C6097C"/>
    <w:rsid w:val="00C60C9C"/>
    <w:rsid w:val="00C60DF6"/>
    <w:rsid w:val="00C61062"/>
    <w:rsid w:val="00C611E6"/>
    <w:rsid w:val="00C614D2"/>
    <w:rsid w:val="00C6166D"/>
    <w:rsid w:val="00C6197C"/>
    <w:rsid w:val="00C619CA"/>
    <w:rsid w:val="00C61AE8"/>
    <w:rsid w:val="00C61C1F"/>
    <w:rsid w:val="00C61E85"/>
    <w:rsid w:val="00C61F34"/>
    <w:rsid w:val="00C6232E"/>
    <w:rsid w:val="00C6260E"/>
    <w:rsid w:val="00C6265C"/>
    <w:rsid w:val="00C628A1"/>
    <w:rsid w:val="00C62960"/>
    <w:rsid w:val="00C62AB2"/>
    <w:rsid w:val="00C62EC9"/>
    <w:rsid w:val="00C63309"/>
    <w:rsid w:val="00C6368F"/>
    <w:rsid w:val="00C63745"/>
    <w:rsid w:val="00C63946"/>
    <w:rsid w:val="00C63D0D"/>
    <w:rsid w:val="00C6417B"/>
    <w:rsid w:val="00C64309"/>
    <w:rsid w:val="00C64324"/>
    <w:rsid w:val="00C64892"/>
    <w:rsid w:val="00C64924"/>
    <w:rsid w:val="00C64B73"/>
    <w:rsid w:val="00C64BAF"/>
    <w:rsid w:val="00C64E5F"/>
    <w:rsid w:val="00C64F37"/>
    <w:rsid w:val="00C6547D"/>
    <w:rsid w:val="00C654CC"/>
    <w:rsid w:val="00C655A8"/>
    <w:rsid w:val="00C65807"/>
    <w:rsid w:val="00C6582E"/>
    <w:rsid w:val="00C65D0B"/>
    <w:rsid w:val="00C65D56"/>
    <w:rsid w:val="00C65DAE"/>
    <w:rsid w:val="00C66091"/>
    <w:rsid w:val="00C6616E"/>
    <w:rsid w:val="00C661C2"/>
    <w:rsid w:val="00C66563"/>
    <w:rsid w:val="00C6685B"/>
    <w:rsid w:val="00C66A73"/>
    <w:rsid w:val="00C66C6E"/>
    <w:rsid w:val="00C66CBA"/>
    <w:rsid w:val="00C673F5"/>
    <w:rsid w:val="00C677AD"/>
    <w:rsid w:val="00C67AA6"/>
    <w:rsid w:val="00C67B82"/>
    <w:rsid w:val="00C67ED6"/>
    <w:rsid w:val="00C7017F"/>
    <w:rsid w:val="00C701EC"/>
    <w:rsid w:val="00C70400"/>
    <w:rsid w:val="00C70553"/>
    <w:rsid w:val="00C705B3"/>
    <w:rsid w:val="00C70723"/>
    <w:rsid w:val="00C709B5"/>
    <w:rsid w:val="00C70B85"/>
    <w:rsid w:val="00C70E51"/>
    <w:rsid w:val="00C711D5"/>
    <w:rsid w:val="00C7144C"/>
    <w:rsid w:val="00C71A6C"/>
    <w:rsid w:val="00C71ADB"/>
    <w:rsid w:val="00C71BAC"/>
    <w:rsid w:val="00C71DAF"/>
    <w:rsid w:val="00C71EC5"/>
    <w:rsid w:val="00C71F0B"/>
    <w:rsid w:val="00C72681"/>
    <w:rsid w:val="00C72739"/>
    <w:rsid w:val="00C72E17"/>
    <w:rsid w:val="00C73020"/>
    <w:rsid w:val="00C7330B"/>
    <w:rsid w:val="00C7356D"/>
    <w:rsid w:val="00C73570"/>
    <w:rsid w:val="00C7395F"/>
    <w:rsid w:val="00C73BC0"/>
    <w:rsid w:val="00C73DC1"/>
    <w:rsid w:val="00C73ECE"/>
    <w:rsid w:val="00C73F2E"/>
    <w:rsid w:val="00C743A1"/>
    <w:rsid w:val="00C7468E"/>
    <w:rsid w:val="00C746F9"/>
    <w:rsid w:val="00C74721"/>
    <w:rsid w:val="00C74838"/>
    <w:rsid w:val="00C74A95"/>
    <w:rsid w:val="00C74BA9"/>
    <w:rsid w:val="00C751C2"/>
    <w:rsid w:val="00C75317"/>
    <w:rsid w:val="00C75547"/>
    <w:rsid w:val="00C756EB"/>
    <w:rsid w:val="00C75B9D"/>
    <w:rsid w:val="00C75BD7"/>
    <w:rsid w:val="00C761AF"/>
    <w:rsid w:val="00C765DC"/>
    <w:rsid w:val="00C769AE"/>
    <w:rsid w:val="00C76FAB"/>
    <w:rsid w:val="00C77094"/>
    <w:rsid w:val="00C77259"/>
    <w:rsid w:val="00C77596"/>
    <w:rsid w:val="00C7783D"/>
    <w:rsid w:val="00C77A0A"/>
    <w:rsid w:val="00C77D55"/>
    <w:rsid w:val="00C77FBE"/>
    <w:rsid w:val="00C8048B"/>
    <w:rsid w:val="00C80572"/>
    <w:rsid w:val="00C8063A"/>
    <w:rsid w:val="00C806EE"/>
    <w:rsid w:val="00C80CAE"/>
    <w:rsid w:val="00C80CF8"/>
    <w:rsid w:val="00C80D25"/>
    <w:rsid w:val="00C80DFC"/>
    <w:rsid w:val="00C80F70"/>
    <w:rsid w:val="00C811E3"/>
    <w:rsid w:val="00C81433"/>
    <w:rsid w:val="00C8143E"/>
    <w:rsid w:val="00C814B9"/>
    <w:rsid w:val="00C8168E"/>
    <w:rsid w:val="00C816EC"/>
    <w:rsid w:val="00C81EC3"/>
    <w:rsid w:val="00C821CC"/>
    <w:rsid w:val="00C82342"/>
    <w:rsid w:val="00C825F9"/>
    <w:rsid w:val="00C827AF"/>
    <w:rsid w:val="00C829EE"/>
    <w:rsid w:val="00C82C48"/>
    <w:rsid w:val="00C83031"/>
    <w:rsid w:val="00C83108"/>
    <w:rsid w:val="00C834C0"/>
    <w:rsid w:val="00C83847"/>
    <w:rsid w:val="00C83A6F"/>
    <w:rsid w:val="00C83BF4"/>
    <w:rsid w:val="00C8401F"/>
    <w:rsid w:val="00C84241"/>
    <w:rsid w:val="00C84510"/>
    <w:rsid w:val="00C8485D"/>
    <w:rsid w:val="00C84DDA"/>
    <w:rsid w:val="00C84E4D"/>
    <w:rsid w:val="00C84FB6"/>
    <w:rsid w:val="00C852F8"/>
    <w:rsid w:val="00C857BC"/>
    <w:rsid w:val="00C857E6"/>
    <w:rsid w:val="00C858B1"/>
    <w:rsid w:val="00C85B8A"/>
    <w:rsid w:val="00C86399"/>
    <w:rsid w:val="00C863BE"/>
    <w:rsid w:val="00C864D5"/>
    <w:rsid w:val="00C864F8"/>
    <w:rsid w:val="00C86679"/>
    <w:rsid w:val="00C86956"/>
    <w:rsid w:val="00C86F22"/>
    <w:rsid w:val="00C8708D"/>
    <w:rsid w:val="00C870C6"/>
    <w:rsid w:val="00C872BB"/>
    <w:rsid w:val="00C873C4"/>
    <w:rsid w:val="00C87CA5"/>
    <w:rsid w:val="00C87D1F"/>
    <w:rsid w:val="00C9027E"/>
    <w:rsid w:val="00C90A4D"/>
    <w:rsid w:val="00C90CE5"/>
    <w:rsid w:val="00C90FB0"/>
    <w:rsid w:val="00C91466"/>
    <w:rsid w:val="00C919E9"/>
    <w:rsid w:val="00C91B32"/>
    <w:rsid w:val="00C927BE"/>
    <w:rsid w:val="00C9291E"/>
    <w:rsid w:val="00C92A95"/>
    <w:rsid w:val="00C92EF3"/>
    <w:rsid w:val="00C9306E"/>
    <w:rsid w:val="00C931D0"/>
    <w:rsid w:val="00C933C9"/>
    <w:rsid w:val="00C9345B"/>
    <w:rsid w:val="00C9390A"/>
    <w:rsid w:val="00C939BC"/>
    <w:rsid w:val="00C93B42"/>
    <w:rsid w:val="00C93C4C"/>
    <w:rsid w:val="00C93E94"/>
    <w:rsid w:val="00C94075"/>
    <w:rsid w:val="00C9417C"/>
    <w:rsid w:val="00C94884"/>
    <w:rsid w:val="00C9506D"/>
    <w:rsid w:val="00C9526D"/>
    <w:rsid w:val="00C9526E"/>
    <w:rsid w:val="00C952B5"/>
    <w:rsid w:val="00C953B4"/>
    <w:rsid w:val="00C9548B"/>
    <w:rsid w:val="00C959B4"/>
    <w:rsid w:val="00C95D09"/>
    <w:rsid w:val="00C95D66"/>
    <w:rsid w:val="00C95EA2"/>
    <w:rsid w:val="00C95F04"/>
    <w:rsid w:val="00C964AD"/>
    <w:rsid w:val="00C9650F"/>
    <w:rsid w:val="00C9663F"/>
    <w:rsid w:val="00C96CB1"/>
    <w:rsid w:val="00C96CDC"/>
    <w:rsid w:val="00C96D80"/>
    <w:rsid w:val="00C9713B"/>
    <w:rsid w:val="00C9731D"/>
    <w:rsid w:val="00C9741E"/>
    <w:rsid w:val="00C979FF"/>
    <w:rsid w:val="00CA01C3"/>
    <w:rsid w:val="00CA0221"/>
    <w:rsid w:val="00CA0516"/>
    <w:rsid w:val="00CA06AA"/>
    <w:rsid w:val="00CA09C2"/>
    <w:rsid w:val="00CA0B6F"/>
    <w:rsid w:val="00CA142A"/>
    <w:rsid w:val="00CA1A68"/>
    <w:rsid w:val="00CA1DED"/>
    <w:rsid w:val="00CA1E59"/>
    <w:rsid w:val="00CA2058"/>
    <w:rsid w:val="00CA220D"/>
    <w:rsid w:val="00CA27A6"/>
    <w:rsid w:val="00CA27CC"/>
    <w:rsid w:val="00CA2AA8"/>
    <w:rsid w:val="00CA30F1"/>
    <w:rsid w:val="00CA3153"/>
    <w:rsid w:val="00CA32EE"/>
    <w:rsid w:val="00CA33C7"/>
    <w:rsid w:val="00CA37AF"/>
    <w:rsid w:val="00CA3B99"/>
    <w:rsid w:val="00CA3C35"/>
    <w:rsid w:val="00CA3EB5"/>
    <w:rsid w:val="00CA461C"/>
    <w:rsid w:val="00CA4634"/>
    <w:rsid w:val="00CA4966"/>
    <w:rsid w:val="00CA5218"/>
    <w:rsid w:val="00CA577B"/>
    <w:rsid w:val="00CA5808"/>
    <w:rsid w:val="00CA5A25"/>
    <w:rsid w:val="00CA5A56"/>
    <w:rsid w:val="00CA5ECD"/>
    <w:rsid w:val="00CA64AC"/>
    <w:rsid w:val="00CA65C7"/>
    <w:rsid w:val="00CA67F7"/>
    <w:rsid w:val="00CA68C0"/>
    <w:rsid w:val="00CA6CBE"/>
    <w:rsid w:val="00CA6D43"/>
    <w:rsid w:val="00CA6D90"/>
    <w:rsid w:val="00CA6FEB"/>
    <w:rsid w:val="00CA72A6"/>
    <w:rsid w:val="00CA7538"/>
    <w:rsid w:val="00CA7AA4"/>
    <w:rsid w:val="00CA7BEA"/>
    <w:rsid w:val="00CA7DA7"/>
    <w:rsid w:val="00CA7F59"/>
    <w:rsid w:val="00CB0436"/>
    <w:rsid w:val="00CB055F"/>
    <w:rsid w:val="00CB0935"/>
    <w:rsid w:val="00CB1167"/>
    <w:rsid w:val="00CB12A6"/>
    <w:rsid w:val="00CB1560"/>
    <w:rsid w:val="00CB16B2"/>
    <w:rsid w:val="00CB16FE"/>
    <w:rsid w:val="00CB1D9E"/>
    <w:rsid w:val="00CB1E3D"/>
    <w:rsid w:val="00CB1F78"/>
    <w:rsid w:val="00CB2029"/>
    <w:rsid w:val="00CB24E0"/>
    <w:rsid w:val="00CB2517"/>
    <w:rsid w:val="00CB2625"/>
    <w:rsid w:val="00CB2961"/>
    <w:rsid w:val="00CB29B1"/>
    <w:rsid w:val="00CB29FE"/>
    <w:rsid w:val="00CB2A97"/>
    <w:rsid w:val="00CB2C58"/>
    <w:rsid w:val="00CB2D83"/>
    <w:rsid w:val="00CB300F"/>
    <w:rsid w:val="00CB3116"/>
    <w:rsid w:val="00CB32C3"/>
    <w:rsid w:val="00CB34BC"/>
    <w:rsid w:val="00CB352E"/>
    <w:rsid w:val="00CB38A3"/>
    <w:rsid w:val="00CB3953"/>
    <w:rsid w:val="00CB3AA1"/>
    <w:rsid w:val="00CB3ED0"/>
    <w:rsid w:val="00CB40DE"/>
    <w:rsid w:val="00CB4573"/>
    <w:rsid w:val="00CB45AC"/>
    <w:rsid w:val="00CB49CC"/>
    <w:rsid w:val="00CB50D2"/>
    <w:rsid w:val="00CB50D4"/>
    <w:rsid w:val="00CB5111"/>
    <w:rsid w:val="00CB516D"/>
    <w:rsid w:val="00CB53BE"/>
    <w:rsid w:val="00CB5AF5"/>
    <w:rsid w:val="00CB5E45"/>
    <w:rsid w:val="00CB5FC3"/>
    <w:rsid w:val="00CB63A7"/>
    <w:rsid w:val="00CB6CE0"/>
    <w:rsid w:val="00CB6F34"/>
    <w:rsid w:val="00CB72C3"/>
    <w:rsid w:val="00CB7396"/>
    <w:rsid w:val="00CB74EE"/>
    <w:rsid w:val="00CB75E0"/>
    <w:rsid w:val="00CB7AA8"/>
    <w:rsid w:val="00CB7EF5"/>
    <w:rsid w:val="00CB7FA4"/>
    <w:rsid w:val="00CC0077"/>
    <w:rsid w:val="00CC00D1"/>
    <w:rsid w:val="00CC0571"/>
    <w:rsid w:val="00CC0C9E"/>
    <w:rsid w:val="00CC0E2C"/>
    <w:rsid w:val="00CC1641"/>
    <w:rsid w:val="00CC1ACA"/>
    <w:rsid w:val="00CC1BFC"/>
    <w:rsid w:val="00CC1D6F"/>
    <w:rsid w:val="00CC1F8D"/>
    <w:rsid w:val="00CC22BC"/>
    <w:rsid w:val="00CC2343"/>
    <w:rsid w:val="00CC2390"/>
    <w:rsid w:val="00CC2611"/>
    <w:rsid w:val="00CC2628"/>
    <w:rsid w:val="00CC36B9"/>
    <w:rsid w:val="00CC390B"/>
    <w:rsid w:val="00CC39D3"/>
    <w:rsid w:val="00CC3CB3"/>
    <w:rsid w:val="00CC3CEB"/>
    <w:rsid w:val="00CC3E33"/>
    <w:rsid w:val="00CC3E4E"/>
    <w:rsid w:val="00CC4691"/>
    <w:rsid w:val="00CC4788"/>
    <w:rsid w:val="00CC4905"/>
    <w:rsid w:val="00CC490C"/>
    <w:rsid w:val="00CC4AE9"/>
    <w:rsid w:val="00CC4F39"/>
    <w:rsid w:val="00CC5288"/>
    <w:rsid w:val="00CC546F"/>
    <w:rsid w:val="00CC56C0"/>
    <w:rsid w:val="00CC5890"/>
    <w:rsid w:val="00CC6215"/>
    <w:rsid w:val="00CC65B9"/>
    <w:rsid w:val="00CC677A"/>
    <w:rsid w:val="00CC692B"/>
    <w:rsid w:val="00CC694F"/>
    <w:rsid w:val="00CC69C2"/>
    <w:rsid w:val="00CC6A42"/>
    <w:rsid w:val="00CC6E71"/>
    <w:rsid w:val="00CC7CA0"/>
    <w:rsid w:val="00CC7D3F"/>
    <w:rsid w:val="00CC7FD7"/>
    <w:rsid w:val="00CC7FEF"/>
    <w:rsid w:val="00CC7FF9"/>
    <w:rsid w:val="00CD01CA"/>
    <w:rsid w:val="00CD064B"/>
    <w:rsid w:val="00CD0B66"/>
    <w:rsid w:val="00CD10DB"/>
    <w:rsid w:val="00CD1D46"/>
    <w:rsid w:val="00CD1DFC"/>
    <w:rsid w:val="00CD203D"/>
    <w:rsid w:val="00CD20D0"/>
    <w:rsid w:val="00CD218B"/>
    <w:rsid w:val="00CD21A7"/>
    <w:rsid w:val="00CD24DC"/>
    <w:rsid w:val="00CD2B76"/>
    <w:rsid w:val="00CD2BDD"/>
    <w:rsid w:val="00CD2EBC"/>
    <w:rsid w:val="00CD303E"/>
    <w:rsid w:val="00CD32B1"/>
    <w:rsid w:val="00CD37B7"/>
    <w:rsid w:val="00CD38BE"/>
    <w:rsid w:val="00CD3B62"/>
    <w:rsid w:val="00CD3D08"/>
    <w:rsid w:val="00CD3F0E"/>
    <w:rsid w:val="00CD3FD9"/>
    <w:rsid w:val="00CD4043"/>
    <w:rsid w:val="00CD42DE"/>
    <w:rsid w:val="00CD4509"/>
    <w:rsid w:val="00CD458E"/>
    <w:rsid w:val="00CD48AF"/>
    <w:rsid w:val="00CD4C14"/>
    <w:rsid w:val="00CD4C26"/>
    <w:rsid w:val="00CD4D4A"/>
    <w:rsid w:val="00CD4F6B"/>
    <w:rsid w:val="00CD5155"/>
    <w:rsid w:val="00CD5391"/>
    <w:rsid w:val="00CD5577"/>
    <w:rsid w:val="00CD5BEF"/>
    <w:rsid w:val="00CD5CA2"/>
    <w:rsid w:val="00CD5CC5"/>
    <w:rsid w:val="00CD5F5B"/>
    <w:rsid w:val="00CD5FB6"/>
    <w:rsid w:val="00CD6488"/>
    <w:rsid w:val="00CD67E7"/>
    <w:rsid w:val="00CD6986"/>
    <w:rsid w:val="00CD6C18"/>
    <w:rsid w:val="00CD6C50"/>
    <w:rsid w:val="00CD6E60"/>
    <w:rsid w:val="00CD6FAB"/>
    <w:rsid w:val="00CD717D"/>
    <w:rsid w:val="00CD7203"/>
    <w:rsid w:val="00CD721B"/>
    <w:rsid w:val="00CD730D"/>
    <w:rsid w:val="00CD75A4"/>
    <w:rsid w:val="00CD7914"/>
    <w:rsid w:val="00CD79DD"/>
    <w:rsid w:val="00CD7D12"/>
    <w:rsid w:val="00CE0013"/>
    <w:rsid w:val="00CE0108"/>
    <w:rsid w:val="00CE063D"/>
    <w:rsid w:val="00CE067A"/>
    <w:rsid w:val="00CE06A5"/>
    <w:rsid w:val="00CE1482"/>
    <w:rsid w:val="00CE1635"/>
    <w:rsid w:val="00CE16B6"/>
    <w:rsid w:val="00CE17D9"/>
    <w:rsid w:val="00CE1FD7"/>
    <w:rsid w:val="00CE2204"/>
    <w:rsid w:val="00CE2256"/>
    <w:rsid w:val="00CE2912"/>
    <w:rsid w:val="00CE2913"/>
    <w:rsid w:val="00CE2A04"/>
    <w:rsid w:val="00CE2B8C"/>
    <w:rsid w:val="00CE2E76"/>
    <w:rsid w:val="00CE2F2B"/>
    <w:rsid w:val="00CE2F63"/>
    <w:rsid w:val="00CE35C4"/>
    <w:rsid w:val="00CE3703"/>
    <w:rsid w:val="00CE37A4"/>
    <w:rsid w:val="00CE3822"/>
    <w:rsid w:val="00CE3856"/>
    <w:rsid w:val="00CE3894"/>
    <w:rsid w:val="00CE3B81"/>
    <w:rsid w:val="00CE3EF3"/>
    <w:rsid w:val="00CE40CF"/>
    <w:rsid w:val="00CE43A0"/>
    <w:rsid w:val="00CE44D9"/>
    <w:rsid w:val="00CE4891"/>
    <w:rsid w:val="00CE4BDA"/>
    <w:rsid w:val="00CE4C59"/>
    <w:rsid w:val="00CE550E"/>
    <w:rsid w:val="00CE569D"/>
    <w:rsid w:val="00CE56F3"/>
    <w:rsid w:val="00CE5734"/>
    <w:rsid w:val="00CE5A20"/>
    <w:rsid w:val="00CE5B5F"/>
    <w:rsid w:val="00CE5BC6"/>
    <w:rsid w:val="00CE5C12"/>
    <w:rsid w:val="00CE5DCF"/>
    <w:rsid w:val="00CE5F05"/>
    <w:rsid w:val="00CE6542"/>
    <w:rsid w:val="00CE654E"/>
    <w:rsid w:val="00CE66B7"/>
    <w:rsid w:val="00CE6915"/>
    <w:rsid w:val="00CE69CA"/>
    <w:rsid w:val="00CE6CB8"/>
    <w:rsid w:val="00CE6EC6"/>
    <w:rsid w:val="00CE6F53"/>
    <w:rsid w:val="00CE7487"/>
    <w:rsid w:val="00CE7569"/>
    <w:rsid w:val="00CE7822"/>
    <w:rsid w:val="00CE7FC2"/>
    <w:rsid w:val="00CF028C"/>
    <w:rsid w:val="00CF02CB"/>
    <w:rsid w:val="00CF02FB"/>
    <w:rsid w:val="00CF0590"/>
    <w:rsid w:val="00CF0C15"/>
    <w:rsid w:val="00CF0D33"/>
    <w:rsid w:val="00CF0DD8"/>
    <w:rsid w:val="00CF10F9"/>
    <w:rsid w:val="00CF1686"/>
    <w:rsid w:val="00CF1EFD"/>
    <w:rsid w:val="00CF1FD1"/>
    <w:rsid w:val="00CF2242"/>
    <w:rsid w:val="00CF22B7"/>
    <w:rsid w:val="00CF241B"/>
    <w:rsid w:val="00CF24DB"/>
    <w:rsid w:val="00CF297A"/>
    <w:rsid w:val="00CF2C3E"/>
    <w:rsid w:val="00CF2CF1"/>
    <w:rsid w:val="00CF2E7D"/>
    <w:rsid w:val="00CF36AB"/>
    <w:rsid w:val="00CF37CC"/>
    <w:rsid w:val="00CF3AA6"/>
    <w:rsid w:val="00CF3CDE"/>
    <w:rsid w:val="00CF3E7C"/>
    <w:rsid w:val="00CF3ECA"/>
    <w:rsid w:val="00CF4072"/>
    <w:rsid w:val="00CF4D92"/>
    <w:rsid w:val="00CF4E9D"/>
    <w:rsid w:val="00CF504A"/>
    <w:rsid w:val="00CF50BE"/>
    <w:rsid w:val="00CF5328"/>
    <w:rsid w:val="00CF54C7"/>
    <w:rsid w:val="00CF5508"/>
    <w:rsid w:val="00CF5571"/>
    <w:rsid w:val="00CF55A7"/>
    <w:rsid w:val="00CF57DF"/>
    <w:rsid w:val="00CF5A97"/>
    <w:rsid w:val="00CF5FFD"/>
    <w:rsid w:val="00CF61DC"/>
    <w:rsid w:val="00CF6325"/>
    <w:rsid w:val="00CF647E"/>
    <w:rsid w:val="00CF6594"/>
    <w:rsid w:val="00CF6A7F"/>
    <w:rsid w:val="00CF6BBA"/>
    <w:rsid w:val="00CF6C02"/>
    <w:rsid w:val="00CF6C2C"/>
    <w:rsid w:val="00CF6C56"/>
    <w:rsid w:val="00CF6C9E"/>
    <w:rsid w:val="00CF6D2F"/>
    <w:rsid w:val="00CF70E1"/>
    <w:rsid w:val="00CF7819"/>
    <w:rsid w:val="00CF7C48"/>
    <w:rsid w:val="00CF7E4F"/>
    <w:rsid w:val="00CF7F86"/>
    <w:rsid w:val="00D00220"/>
    <w:rsid w:val="00D002AF"/>
    <w:rsid w:val="00D002C5"/>
    <w:rsid w:val="00D0033F"/>
    <w:rsid w:val="00D0062E"/>
    <w:rsid w:val="00D0068D"/>
    <w:rsid w:val="00D00816"/>
    <w:rsid w:val="00D00B4E"/>
    <w:rsid w:val="00D00D38"/>
    <w:rsid w:val="00D00EB8"/>
    <w:rsid w:val="00D00F15"/>
    <w:rsid w:val="00D00F19"/>
    <w:rsid w:val="00D01111"/>
    <w:rsid w:val="00D01192"/>
    <w:rsid w:val="00D0134E"/>
    <w:rsid w:val="00D013D9"/>
    <w:rsid w:val="00D0166E"/>
    <w:rsid w:val="00D0188F"/>
    <w:rsid w:val="00D018F3"/>
    <w:rsid w:val="00D019C8"/>
    <w:rsid w:val="00D01AC2"/>
    <w:rsid w:val="00D01B10"/>
    <w:rsid w:val="00D01B77"/>
    <w:rsid w:val="00D024DD"/>
    <w:rsid w:val="00D028B0"/>
    <w:rsid w:val="00D02902"/>
    <w:rsid w:val="00D02964"/>
    <w:rsid w:val="00D0297F"/>
    <w:rsid w:val="00D02AB9"/>
    <w:rsid w:val="00D02B90"/>
    <w:rsid w:val="00D02CF5"/>
    <w:rsid w:val="00D03009"/>
    <w:rsid w:val="00D0342A"/>
    <w:rsid w:val="00D03626"/>
    <w:rsid w:val="00D03654"/>
    <w:rsid w:val="00D037A4"/>
    <w:rsid w:val="00D039DD"/>
    <w:rsid w:val="00D03A83"/>
    <w:rsid w:val="00D03BB7"/>
    <w:rsid w:val="00D03D33"/>
    <w:rsid w:val="00D03D8D"/>
    <w:rsid w:val="00D04317"/>
    <w:rsid w:val="00D043E7"/>
    <w:rsid w:val="00D048E0"/>
    <w:rsid w:val="00D04A9B"/>
    <w:rsid w:val="00D05153"/>
    <w:rsid w:val="00D052AA"/>
    <w:rsid w:val="00D05322"/>
    <w:rsid w:val="00D056DB"/>
    <w:rsid w:val="00D05838"/>
    <w:rsid w:val="00D05840"/>
    <w:rsid w:val="00D059B9"/>
    <w:rsid w:val="00D05B11"/>
    <w:rsid w:val="00D05C55"/>
    <w:rsid w:val="00D05DED"/>
    <w:rsid w:val="00D05F09"/>
    <w:rsid w:val="00D06000"/>
    <w:rsid w:val="00D060A4"/>
    <w:rsid w:val="00D06243"/>
    <w:rsid w:val="00D0656E"/>
    <w:rsid w:val="00D06873"/>
    <w:rsid w:val="00D06887"/>
    <w:rsid w:val="00D068FB"/>
    <w:rsid w:val="00D06CCE"/>
    <w:rsid w:val="00D06DD5"/>
    <w:rsid w:val="00D06E82"/>
    <w:rsid w:val="00D0705D"/>
    <w:rsid w:val="00D074FD"/>
    <w:rsid w:val="00D07C6B"/>
    <w:rsid w:val="00D07E16"/>
    <w:rsid w:val="00D07E68"/>
    <w:rsid w:val="00D10060"/>
    <w:rsid w:val="00D102FA"/>
    <w:rsid w:val="00D10A15"/>
    <w:rsid w:val="00D10E35"/>
    <w:rsid w:val="00D10E86"/>
    <w:rsid w:val="00D10FF9"/>
    <w:rsid w:val="00D1112E"/>
    <w:rsid w:val="00D1181A"/>
    <w:rsid w:val="00D11AD7"/>
    <w:rsid w:val="00D11CAF"/>
    <w:rsid w:val="00D11E6E"/>
    <w:rsid w:val="00D11FE6"/>
    <w:rsid w:val="00D120A1"/>
    <w:rsid w:val="00D123BC"/>
    <w:rsid w:val="00D1253A"/>
    <w:rsid w:val="00D12720"/>
    <w:rsid w:val="00D12742"/>
    <w:rsid w:val="00D12796"/>
    <w:rsid w:val="00D1289A"/>
    <w:rsid w:val="00D129F2"/>
    <w:rsid w:val="00D12AE7"/>
    <w:rsid w:val="00D1308A"/>
    <w:rsid w:val="00D136EB"/>
    <w:rsid w:val="00D1393E"/>
    <w:rsid w:val="00D13C51"/>
    <w:rsid w:val="00D13C63"/>
    <w:rsid w:val="00D13E7F"/>
    <w:rsid w:val="00D14B44"/>
    <w:rsid w:val="00D14CC1"/>
    <w:rsid w:val="00D14CDB"/>
    <w:rsid w:val="00D15069"/>
    <w:rsid w:val="00D152AB"/>
    <w:rsid w:val="00D154AC"/>
    <w:rsid w:val="00D155E9"/>
    <w:rsid w:val="00D158E6"/>
    <w:rsid w:val="00D15AA8"/>
    <w:rsid w:val="00D15C37"/>
    <w:rsid w:val="00D15F3E"/>
    <w:rsid w:val="00D1621F"/>
    <w:rsid w:val="00D16C66"/>
    <w:rsid w:val="00D16D49"/>
    <w:rsid w:val="00D16E00"/>
    <w:rsid w:val="00D17024"/>
    <w:rsid w:val="00D170C5"/>
    <w:rsid w:val="00D17165"/>
    <w:rsid w:val="00D17385"/>
    <w:rsid w:val="00D174CB"/>
    <w:rsid w:val="00D177CF"/>
    <w:rsid w:val="00D17959"/>
    <w:rsid w:val="00D179EE"/>
    <w:rsid w:val="00D17A6D"/>
    <w:rsid w:val="00D17D12"/>
    <w:rsid w:val="00D17D26"/>
    <w:rsid w:val="00D17F21"/>
    <w:rsid w:val="00D20052"/>
    <w:rsid w:val="00D2012A"/>
    <w:rsid w:val="00D201E9"/>
    <w:rsid w:val="00D202A4"/>
    <w:rsid w:val="00D202E9"/>
    <w:rsid w:val="00D204EC"/>
    <w:rsid w:val="00D20A4F"/>
    <w:rsid w:val="00D20E88"/>
    <w:rsid w:val="00D2100D"/>
    <w:rsid w:val="00D210DC"/>
    <w:rsid w:val="00D21150"/>
    <w:rsid w:val="00D212AE"/>
    <w:rsid w:val="00D217AE"/>
    <w:rsid w:val="00D21C0A"/>
    <w:rsid w:val="00D21CB3"/>
    <w:rsid w:val="00D21D1E"/>
    <w:rsid w:val="00D22929"/>
    <w:rsid w:val="00D22BD4"/>
    <w:rsid w:val="00D22CF6"/>
    <w:rsid w:val="00D22D33"/>
    <w:rsid w:val="00D23190"/>
    <w:rsid w:val="00D23416"/>
    <w:rsid w:val="00D234C2"/>
    <w:rsid w:val="00D239D0"/>
    <w:rsid w:val="00D23BAC"/>
    <w:rsid w:val="00D23F2E"/>
    <w:rsid w:val="00D23F58"/>
    <w:rsid w:val="00D245EF"/>
    <w:rsid w:val="00D24605"/>
    <w:rsid w:val="00D246F2"/>
    <w:rsid w:val="00D24843"/>
    <w:rsid w:val="00D2485F"/>
    <w:rsid w:val="00D24861"/>
    <w:rsid w:val="00D24C9A"/>
    <w:rsid w:val="00D250D8"/>
    <w:rsid w:val="00D25571"/>
    <w:rsid w:val="00D256C9"/>
    <w:rsid w:val="00D25BC5"/>
    <w:rsid w:val="00D25F58"/>
    <w:rsid w:val="00D265EE"/>
    <w:rsid w:val="00D26617"/>
    <w:rsid w:val="00D2681E"/>
    <w:rsid w:val="00D26AF9"/>
    <w:rsid w:val="00D26C29"/>
    <w:rsid w:val="00D26C8B"/>
    <w:rsid w:val="00D26D77"/>
    <w:rsid w:val="00D27041"/>
    <w:rsid w:val="00D27332"/>
    <w:rsid w:val="00D2748D"/>
    <w:rsid w:val="00D275A0"/>
    <w:rsid w:val="00D27742"/>
    <w:rsid w:val="00D27DF3"/>
    <w:rsid w:val="00D27F2C"/>
    <w:rsid w:val="00D300D7"/>
    <w:rsid w:val="00D301EB"/>
    <w:rsid w:val="00D30609"/>
    <w:rsid w:val="00D307F5"/>
    <w:rsid w:val="00D30A61"/>
    <w:rsid w:val="00D30C0F"/>
    <w:rsid w:val="00D30D13"/>
    <w:rsid w:val="00D30F6E"/>
    <w:rsid w:val="00D312F7"/>
    <w:rsid w:val="00D315A4"/>
    <w:rsid w:val="00D31787"/>
    <w:rsid w:val="00D31850"/>
    <w:rsid w:val="00D318B2"/>
    <w:rsid w:val="00D31BA2"/>
    <w:rsid w:val="00D31E0A"/>
    <w:rsid w:val="00D3202C"/>
    <w:rsid w:val="00D325E7"/>
    <w:rsid w:val="00D3274F"/>
    <w:rsid w:val="00D328FB"/>
    <w:rsid w:val="00D32BB8"/>
    <w:rsid w:val="00D32CD7"/>
    <w:rsid w:val="00D32DB4"/>
    <w:rsid w:val="00D32F4F"/>
    <w:rsid w:val="00D32FB2"/>
    <w:rsid w:val="00D336F7"/>
    <w:rsid w:val="00D3375E"/>
    <w:rsid w:val="00D3388A"/>
    <w:rsid w:val="00D33947"/>
    <w:rsid w:val="00D33AF7"/>
    <w:rsid w:val="00D33DE6"/>
    <w:rsid w:val="00D34040"/>
    <w:rsid w:val="00D340AD"/>
    <w:rsid w:val="00D340BB"/>
    <w:rsid w:val="00D341A1"/>
    <w:rsid w:val="00D34521"/>
    <w:rsid w:val="00D345C8"/>
    <w:rsid w:val="00D3472C"/>
    <w:rsid w:val="00D347DE"/>
    <w:rsid w:val="00D34981"/>
    <w:rsid w:val="00D34AE0"/>
    <w:rsid w:val="00D34C00"/>
    <w:rsid w:val="00D34C8F"/>
    <w:rsid w:val="00D34CD7"/>
    <w:rsid w:val="00D34D3F"/>
    <w:rsid w:val="00D34F34"/>
    <w:rsid w:val="00D34F3A"/>
    <w:rsid w:val="00D34F5C"/>
    <w:rsid w:val="00D35061"/>
    <w:rsid w:val="00D353C2"/>
    <w:rsid w:val="00D3553D"/>
    <w:rsid w:val="00D35692"/>
    <w:rsid w:val="00D356BE"/>
    <w:rsid w:val="00D35E83"/>
    <w:rsid w:val="00D35EC1"/>
    <w:rsid w:val="00D36326"/>
    <w:rsid w:val="00D36381"/>
    <w:rsid w:val="00D3713F"/>
    <w:rsid w:val="00D37217"/>
    <w:rsid w:val="00D37827"/>
    <w:rsid w:val="00D37D9E"/>
    <w:rsid w:val="00D37FE4"/>
    <w:rsid w:val="00D400A7"/>
    <w:rsid w:val="00D4015A"/>
    <w:rsid w:val="00D40208"/>
    <w:rsid w:val="00D40236"/>
    <w:rsid w:val="00D40323"/>
    <w:rsid w:val="00D4033E"/>
    <w:rsid w:val="00D40360"/>
    <w:rsid w:val="00D4057C"/>
    <w:rsid w:val="00D40F19"/>
    <w:rsid w:val="00D4122F"/>
    <w:rsid w:val="00D412DB"/>
    <w:rsid w:val="00D413DA"/>
    <w:rsid w:val="00D4144A"/>
    <w:rsid w:val="00D418B5"/>
    <w:rsid w:val="00D41D21"/>
    <w:rsid w:val="00D41D3E"/>
    <w:rsid w:val="00D4238F"/>
    <w:rsid w:val="00D42485"/>
    <w:rsid w:val="00D42728"/>
    <w:rsid w:val="00D43174"/>
    <w:rsid w:val="00D431C4"/>
    <w:rsid w:val="00D4347E"/>
    <w:rsid w:val="00D439C2"/>
    <w:rsid w:val="00D439D2"/>
    <w:rsid w:val="00D43ADF"/>
    <w:rsid w:val="00D43B3E"/>
    <w:rsid w:val="00D43C1D"/>
    <w:rsid w:val="00D43F28"/>
    <w:rsid w:val="00D443CF"/>
    <w:rsid w:val="00D44BEF"/>
    <w:rsid w:val="00D44EBD"/>
    <w:rsid w:val="00D44EEA"/>
    <w:rsid w:val="00D450A9"/>
    <w:rsid w:val="00D451DA"/>
    <w:rsid w:val="00D45276"/>
    <w:rsid w:val="00D45372"/>
    <w:rsid w:val="00D45752"/>
    <w:rsid w:val="00D45CF5"/>
    <w:rsid w:val="00D45D04"/>
    <w:rsid w:val="00D4602A"/>
    <w:rsid w:val="00D46144"/>
    <w:rsid w:val="00D46256"/>
    <w:rsid w:val="00D463FF"/>
    <w:rsid w:val="00D4643A"/>
    <w:rsid w:val="00D466E3"/>
    <w:rsid w:val="00D46846"/>
    <w:rsid w:val="00D4699F"/>
    <w:rsid w:val="00D46B2C"/>
    <w:rsid w:val="00D46D67"/>
    <w:rsid w:val="00D46D87"/>
    <w:rsid w:val="00D46DA6"/>
    <w:rsid w:val="00D46FE2"/>
    <w:rsid w:val="00D472D0"/>
    <w:rsid w:val="00D4748D"/>
    <w:rsid w:val="00D475DE"/>
    <w:rsid w:val="00D4785F"/>
    <w:rsid w:val="00D47963"/>
    <w:rsid w:val="00D47B3C"/>
    <w:rsid w:val="00D47CB5"/>
    <w:rsid w:val="00D47E88"/>
    <w:rsid w:val="00D47F34"/>
    <w:rsid w:val="00D5033E"/>
    <w:rsid w:val="00D505A9"/>
    <w:rsid w:val="00D5093F"/>
    <w:rsid w:val="00D50ACB"/>
    <w:rsid w:val="00D50DED"/>
    <w:rsid w:val="00D510F3"/>
    <w:rsid w:val="00D5118C"/>
    <w:rsid w:val="00D51485"/>
    <w:rsid w:val="00D51661"/>
    <w:rsid w:val="00D51940"/>
    <w:rsid w:val="00D51958"/>
    <w:rsid w:val="00D51D7F"/>
    <w:rsid w:val="00D51EE7"/>
    <w:rsid w:val="00D52023"/>
    <w:rsid w:val="00D52159"/>
    <w:rsid w:val="00D52187"/>
    <w:rsid w:val="00D52456"/>
    <w:rsid w:val="00D52681"/>
    <w:rsid w:val="00D528AD"/>
    <w:rsid w:val="00D52AFA"/>
    <w:rsid w:val="00D52B22"/>
    <w:rsid w:val="00D52E15"/>
    <w:rsid w:val="00D52E56"/>
    <w:rsid w:val="00D53196"/>
    <w:rsid w:val="00D53738"/>
    <w:rsid w:val="00D537DE"/>
    <w:rsid w:val="00D53CCE"/>
    <w:rsid w:val="00D53DAF"/>
    <w:rsid w:val="00D53E42"/>
    <w:rsid w:val="00D54034"/>
    <w:rsid w:val="00D540DC"/>
    <w:rsid w:val="00D5413C"/>
    <w:rsid w:val="00D542AA"/>
    <w:rsid w:val="00D544DD"/>
    <w:rsid w:val="00D5451C"/>
    <w:rsid w:val="00D54831"/>
    <w:rsid w:val="00D54CE5"/>
    <w:rsid w:val="00D54F6F"/>
    <w:rsid w:val="00D54FDC"/>
    <w:rsid w:val="00D55121"/>
    <w:rsid w:val="00D55169"/>
    <w:rsid w:val="00D5534B"/>
    <w:rsid w:val="00D5599E"/>
    <w:rsid w:val="00D55C8A"/>
    <w:rsid w:val="00D5602E"/>
    <w:rsid w:val="00D56460"/>
    <w:rsid w:val="00D56500"/>
    <w:rsid w:val="00D565E8"/>
    <w:rsid w:val="00D56782"/>
    <w:rsid w:val="00D567DB"/>
    <w:rsid w:val="00D568E0"/>
    <w:rsid w:val="00D5690E"/>
    <w:rsid w:val="00D56B54"/>
    <w:rsid w:val="00D56DCE"/>
    <w:rsid w:val="00D56DD1"/>
    <w:rsid w:val="00D57258"/>
    <w:rsid w:val="00D5774B"/>
    <w:rsid w:val="00D579CA"/>
    <w:rsid w:val="00D57D63"/>
    <w:rsid w:val="00D57DAC"/>
    <w:rsid w:val="00D57EA7"/>
    <w:rsid w:val="00D57F8F"/>
    <w:rsid w:val="00D600E6"/>
    <w:rsid w:val="00D60586"/>
    <w:rsid w:val="00D605E0"/>
    <w:rsid w:val="00D60B09"/>
    <w:rsid w:val="00D611A9"/>
    <w:rsid w:val="00D61784"/>
    <w:rsid w:val="00D61920"/>
    <w:rsid w:val="00D619A2"/>
    <w:rsid w:val="00D619F6"/>
    <w:rsid w:val="00D61A6A"/>
    <w:rsid w:val="00D61DB2"/>
    <w:rsid w:val="00D61EA3"/>
    <w:rsid w:val="00D621F3"/>
    <w:rsid w:val="00D62446"/>
    <w:rsid w:val="00D62547"/>
    <w:rsid w:val="00D62854"/>
    <w:rsid w:val="00D6298E"/>
    <w:rsid w:val="00D62A0F"/>
    <w:rsid w:val="00D62DA7"/>
    <w:rsid w:val="00D62E54"/>
    <w:rsid w:val="00D62FC5"/>
    <w:rsid w:val="00D632B2"/>
    <w:rsid w:val="00D634FC"/>
    <w:rsid w:val="00D6358A"/>
    <w:rsid w:val="00D638E9"/>
    <w:rsid w:val="00D63FC2"/>
    <w:rsid w:val="00D64095"/>
    <w:rsid w:val="00D64116"/>
    <w:rsid w:val="00D64B4B"/>
    <w:rsid w:val="00D64CDC"/>
    <w:rsid w:val="00D64EFF"/>
    <w:rsid w:val="00D6523C"/>
    <w:rsid w:val="00D6545B"/>
    <w:rsid w:val="00D65B79"/>
    <w:rsid w:val="00D65BD4"/>
    <w:rsid w:val="00D65C8D"/>
    <w:rsid w:val="00D65E20"/>
    <w:rsid w:val="00D65E54"/>
    <w:rsid w:val="00D6637F"/>
    <w:rsid w:val="00D6673D"/>
    <w:rsid w:val="00D66773"/>
    <w:rsid w:val="00D6685C"/>
    <w:rsid w:val="00D66914"/>
    <w:rsid w:val="00D66BD4"/>
    <w:rsid w:val="00D66C38"/>
    <w:rsid w:val="00D66C4D"/>
    <w:rsid w:val="00D66DE2"/>
    <w:rsid w:val="00D66F8B"/>
    <w:rsid w:val="00D67059"/>
    <w:rsid w:val="00D670B5"/>
    <w:rsid w:val="00D67131"/>
    <w:rsid w:val="00D67719"/>
    <w:rsid w:val="00D677F5"/>
    <w:rsid w:val="00D67801"/>
    <w:rsid w:val="00D678B9"/>
    <w:rsid w:val="00D678C0"/>
    <w:rsid w:val="00D679B5"/>
    <w:rsid w:val="00D67ABD"/>
    <w:rsid w:val="00D67FA1"/>
    <w:rsid w:val="00D67FD4"/>
    <w:rsid w:val="00D703FB"/>
    <w:rsid w:val="00D705F8"/>
    <w:rsid w:val="00D70AA4"/>
    <w:rsid w:val="00D70AED"/>
    <w:rsid w:val="00D70E5A"/>
    <w:rsid w:val="00D70E73"/>
    <w:rsid w:val="00D71064"/>
    <w:rsid w:val="00D7122C"/>
    <w:rsid w:val="00D717E2"/>
    <w:rsid w:val="00D71957"/>
    <w:rsid w:val="00D71C53"/>
    <w:rsid w:val="00D71E9E"/>
    <w:rsid w:val="00D72206"/>
    <w:rsid w:val="00D7224D"/>
    <w:rsid w:val="00D722A7"/>
    <w:rsid w:val="00D722E9"/>
    <w:rsid w:val="00D72624"/>
    <w:rsid w:val="00D72DB5"/>
    <w:rsid w:val="00D734D1"/>
    <w:rsid w:val="00D73661"/>
    <w:rsid w:val="00D7378A"/>
    <w:rsid w:val="00D737A0"/>
    <w:rsid w:val="00D73CF7"/>
    <w:rsid w:val="00D73E31"/>
    <w:rsid w:val="00D741C2"/>
    <w:rsid w:val="00D742F1"/>
    <w:rsid w:val="00D743B3"/>
    <w:rsid w:val="00D743E3"/>
    <w:rsid w:val="00D74682"/>
    <w:rsid w:val="00D747A0"/>
    <w:rsid w:val="00D7498F"/>
    <w:rsid w:val="00D74BB2"/>
    <w:rsid w:val="00D74F6D"/>
    <w:rsid w:val="00D74FBC"/>
    <w:rsid w:val="00D75076"/>
    <w:rsid w:val="00D7508D"/>
    <w:rsid w:val="00D75127"/>
    <w:rsid w:val="00D75142"/>
    <w:rsid w:val="00D75156"/>
    <w:rsid w:val="00D7530B"/>
    <w:rsid w:val="00D75361"/>
    <w:rsid w:val="00D753E7"/>
    <w:rsid w:val="00D756C3"/>
    <w:rsid w:val="00D765BB"/>
    <w:rsid w:val="00D76701"/>
    <w:rsid w:val="00D76855"/>
    <w:rsid w:val="00D76C19"/>
    <w:rsid w:val="00D76C1A"/>
    <w:rsid w:val="00D7702E"/>
    <w:rsid w:val="00D775EE"/>
    <w:rsid w:val="00D77706"/>
    <w:rsid w:val="00D7783B"/>
    <w:rsid w:val="00D77BA4"/>
    <w:rsid w:val="00D77D34"/>
    <w:rsid w:val="00D77FBE"/>
    <w:rsid w:val="00D8024F"/>
    <w:rsid w:val="00D807FA"/>
    <w:rsid w:val="00D8094B"/>
    <w:rsid w:val="00D8096D"/>
    <w:rsid w:val="00D80BA5"/>
    <w:rsid w:val="00D80C23"/>
    <w:rsid w:val="00D80E81"/>
    <w:rsid w:val="00D8178E"/>
    <w:rsid w:val="00D8183C"/>
    <w:rsid w:val="00D81907"/>
    <w:rsid w:val="00D81973"/>
    <w:rsid w:val="00D819B5"/>
    <w:rsid w:val="00D81C1F"/>
    <w:rsid w:val="00D81DAA"/>
    <w:rsid w:val="00D823C7"/>
    <w:rsid w:val="00D828D0"/>
    <w:rsid w:val="00D82CD7"/>
    <w:rsid w:val="00D831CC"/>
    <w:rsid w:val="00D83926"/>
    <w:rsid w:val="00D83AAB"/>
    <w:rsid w:val="00D83C42"/>
    <w:rsid w:val="00D83D76"/>
    <w:rsid w:val="00D83DB3"/>
    <w:rsid w:val="00D83E18"/>
    <w:rsid w:val="00D83F25"/>
    <w:rsid w:val="00D842A9"/>
    <w:rsid w:val="00D84590"/>
    <w:rsid w:val="00D84BE1"/>
    <w:rsid w:val="00D84C90"/>
    <w:rsid w:val="00D84CE3"/>
    <w:rsid w:val="00D8522A"/>
    <w:rsid w:val="00D85682"/>
    <w:rsid w:val="00D857B5"/>
    <w:rsid w:val="00D85D0F"/>
    <w:rsid w:val="00D86068"/>
    <w:rsid w:val="00D86135"/>
    <w:rsid w:val="00D86172"/>
    <w:rsid w:val="00D86294"/>
    <w:rsid w:val="00D8642F"/>
    <w:rsid w:val="00D8662D"/>
    <w:rsid w:val="00D86F33"/>
    <w:rsid w:val="00D86FEC"/>
    <w:rsid w:val="00D8725E"/>
    <w:rsid w:val="00D875DB"/>
    <w:rsid w:val="00D87970"/>
    <w:rsid w:val="00D87B89"/>
    <w:rsid w:val="00D87CCB"/>
    <w:rsid w:val="00D87DEE"/>
    <w:rsid w:val="00D87FCF"/>
    <w:rsid w:val="00D9000B"/>
    <w:rsid w:val="00D9003A"/>
    <w:rsid w:val="00D9012E"/>
    <w:rsid w:val="00D9066E"/>
    <w:rsid w:val="00D90897"/>
    <w:rsid w:val="00D909FB"/>
    <w:rsid w:val="00D90B1A"/>
    <w:rsid w:val="00D90C88"/>
    <w:rsid w:val="00D90C96"/>
    <w:rsid w:val="00D90CD9"/>
    <w:rsid w:val="00D90DF6"/>
    <w:rsid w:val="00D91051"/>
    <w:rsid w:val="00D91104"/>
    <w:rsid w:val="00D9115D"/>
    <w:rsid w:val="00D911B5"/>
    <w:rsid w:val="00D9127D"/>
    <w:rsid w:val="00D91299"/>
    <w:rsid w:val="00D912D4"/>
    <w:rsid w:val="00D914B4"/>
    <w:rsid w:val="00D91771"/>
    <w:rsid w:val="00D91C1B"/>
    <w:rsid w:val="00D926A6"/>
    <w:rsid w:val="00D926CE"/>
    <w:rsid w:val="00D9279B"/>
    <w:rsid w:val="00D92B15"/>
    <w:rsid w:val="00D92BCD"/>
    <w:rsid w:val="00D92C43"/>
    <w:rsid w:val="00D92CC6"/>
    <w:rsid w:val="00D92E3D"/>
    <w:rsid w:val="00D93586"/>
    <w:rsid w:val="00D93E86"/>
    <w:rsid w:val="00D93F4B"/>
    <w:rsid w:val="00D94523"/>
    <w:rsid w:val="00D94848"/>
    <w:rsid w:val="00D948A2"/>
    <w:rsid w:val="00D94A03"/>
    <w:rsid w:val="00D94C5E"/>
    <w:rsid w:val="00D94C9C"/>
    <w:rsid w:val="00D951CA"/>
    <w:rsid w:val="00D951E8"/>
    <w:rsid w:val="00D952CB"/>
    <w:rsid w:val="00D95712"/>
    <w:rsid w:val="00D95C9E"/>
    <w:rsid w:val="00D95CB9"/>
    <w:rsid w:val="00D95E49"/>
    <w:rsid w:val="00D95ED8"/>
    <w:rsid w:val="00D95FF0"/>
    <w:rsid w:val="00D960F1"/>
    <w:rsid w:val="00D96156"/>
    <w:rsid w:val="00D962C3"/>
    <w:rsid w:val="00D9650A"/>
    <w:rsid w:val="00D96597"/>
    <w:rsid w:val="00D969DB"/>
    <w:rsid w:val="00D96FB7"/>
    <w:rsid w:val="00D96FDA"/>
    <w:rsid w:val="00D9706A"/>
    <w:rsid w:val="00D971C3"/>
    <w:rsid w:val="00D97442"/>
    <w:rsid w:val="00D974D9"/>
    <w:rsid w:val="00D97C9C"/>
    <w:rsid w:val="00D97DDE"/>
    <w:rsid w:val="00DA0006"/>
    <w:rsid w:val="00DA0332"/>
    <w:rsid w:val="00DA0649"/>
    <w:rsid w:val="00DA0919"/>
    <w:rsid w:val="00DA0951"/>
    <w:rsid w:val="00DA0EA0"/>
    <w:rsid w:val="00DA0EA9"/>
    <w:rsid w:val="00DA10C4"/>
    <w:rsid w:val="00DA10C7"/>
    <w:rsid w:val="00DA112A"/>
    <w:rsid w:val="00DA1557"/>
    <w:rsid w:val="00DA18A5"/>
    <w:rsid w:val="00DA1922"/>
    <w:rsid w:val="00DA1B23"/>
    <w:rsid w:val="00DA1EA9"/>
    <w:rsid w:val="00DA2263"/>
    <w:rsid w:val="00DA2753"/>
    <w:rsid w:val="00DA2759"/>
    <w:rsid w:val="00DA2852"/>
    <w:rsid w:val="00DA2DFD"/>
    <w:rsid w:val="00DA2FAF"/>
    <w:rsid w:val="00DA3036"/>
    <w:rsid w:val="00DA3486"/>
    <w:rsid w:val="00DA3F26"/>
    <w:rsid w:val="00DA40FD"/>
    <w:rsid w:val="00DA488F"/>
    <w:rsid w:val="00DA4A19"/>
    <w:rsid w:val="00DA4BCC"/>
    <w:rsid w:val="00DA4C62"/>
    <w:rsid w:val="00DA51AD"/>
    <w:rsid w:val="00DA5340"/>
    <w:rsid w:val="00DA588A"/>
    <w:rsid w:val="00DA59DB"/>
    <w:rsid w:val="00DA5AA4"/>
    <w:rsid w:val="00DA5C05"/>
    <w:rsid w:val="00DA5D5F"/>
    <w:rsid w:val="00DA5F0C"/>
    <w:rsid w:val="00DA5FC8"/>
    <w:rsid w:val="00DA605E"/>
    <w:rsid w:val="00DA618E"/>
    <w:rsid w:val="00DA6429"/>
    <w:rsid w:val="00DA6466"/>
    <w:rsid w:val="00DA68B7"/>
    <w:rsid w:val="00DA6984"/>
    <w:rsid w:val="00DA6AF0"/>
    <w:rsid w:val="00DA6DEA"/>
    <w:rsid w:val="00DA6E33"/>
    <w:rsid w:val="00DA6F63"/>
    <w:rsid w:val="00DA708F"/>
    <w:rsid w:val="00DA75E3"/>
    <w:rsid w:val="00DB015B"/>
    <w:rsid w:val="00DB02D3"/>
    <w:rsid w:val="00DB02D5"/>
    <w:rsid w:val="00DB0589"/>
    <w:rsid w:val="00DB05E1"/>
    <w:rsid w:val="00DB080C"/>
    <w:rsid w:val="00DB0D3B"/>
    <w:rsid w:val="00DB0D51"/>
    <w:rsid w:val="00DB1024"/>
    <w:rsid w:val="00DB119E"/>
    <w:rsid w:val="00DB12C8"/>
    <w:rsid w:val="00DB12DF"/>
    <w:rsid w:val="00DB1448"/>
    <w:rsid w:val="00DB18AE"/>
    <w:rsid w:val="00DB1F8D"/>
    <w:rsid w:val="00DB1F9E"/>
    <w:rsid w:val="00DB20F5"/>
    <w:rsid w:val="00DB22BD"/>
    <w:rsid w:val="00DB2393"/>
    <w:rsid w:val="00DB28F5"/>
    <w:rsid w:val="00DB2B71"/>
    <w:rsid w:val="00DB2F8A"/>
    <w:rsid w:val="00DB2FDE"/>
    <w:rsid w:val="00DB3521"/>
    <w:rsid w:val="00DB3D28"/>
    <w:rsid w:val="00DB3DEB"/>
    <w:rsid w:val="00DB3DFB"/>
    <w:rsid w:val="00DB4577"/>
    <w:rsid w:val="00DB462A"/>
    <w:rsid w:val="00DB4789"/>
    <w:rsid w:val="00DB478D"/>
    <w:rsid w:val="00DB480A"/>
    <w:rsid w:val="00DB48EB"/>
    <w:rsid w:val="00DB49A4"/>
    <w:rsid w:val="00DB4B35"/>
    <w:rsid w:val="00DB4E18"/>
    <w:rsid w:val="00DB5035"/>
    <w:rsid w:val="00DB5049"/>
    <w:rsid w:val="00DB56C1"/>
    <w:rsid w:val="00DB57F7"/>
    <w:rsid w:val="00DB5B5A"/>
    <w:rsid w:val="00DB5B9A"/>
    <w:rsid w:val="00DB5C78"/>
    <w:rsid w:val="00DB5DED"/>
    <w:rsid w:val="00DB5E67"/>
    <w:rsid w:val="00DB605D"/>
    <w:rsid w:val="00DB6197"/>
    <w:rsid w:val="00DB6378"/>
    <w:rsid w:val="00DB63A1"/>
    <w:rsid w:val="00DB65DA"/>
    <w:rsid w:val="00DB663C"/>
    <w:rsid w:val="00DB670E"/>
    <w:rsid w:val="00DB6864"/>
    <w:rsid w:val="00DB68B1"/>
    <w:rsid w:val="00DB6912"/>
    <w:rsid w:val="00DB6B0E"/>
    <w:rsid w:val="00DB6C33"/>
    <w:rsid w:val="00DB6D4B"/>
    <w:rsid w:val="00DB6F16"/>
    <w:rsid w:val="00DB6F85"/>
    <w:rsid w:val="00DB7120"/>
    <w:rsid w:val="00DB7573"/>
    <w:rsid w:val="00DB760B"/>
    <w:rsid w:val="00DB785C"/>
    <w:rsid w:val="00DB7BA8"/>
    <w:rsid w:val="00DB7DEE"/>
    <w:rsid w:val="00DB7DFC"/>
    <w:rsid w:val="00DB7EE7"/>
    <w:rsid w:val="00DC00F6"/>
    <w:rsid w:val="00DC0658"/>
    <w:rsid w:val="00DC067A"/>
    <w:rsid w:val="00DC06C8"/>
    <w:rsid w:val="00DC079E"/>
    <w:rsid w:val="00DC093C"/>
    <w:rsid w:val="00DC093F"/>
    <w:rsid w:val="00DC0993"/>
    <w:rsid w:val="00DC0CEE"/>
    <w:rsid w:val="00DC10F6"/>
    <w:rsid w:val="00DC1215"/>
    <w:rsid w:val="00DC1418"/>
    <w:rsid w:val="00DC153A"/>
    <w:rsid w:val="00DC19B1"/>
    <w:rsid w:val="00DC1A21"/>
    <w:rsid w:val="00DC1F54"/>
    <w:rsid w:val="00DC2382"/>
    <w:rsid w:val="00DC2488"/>
    <w:rsid w:val="00DC24A1"/>
    <w:rsid w:val="00DC24E6"/>
    <w:rsid w:val="00DC2629"/>
    <w:rsid w:val="00DC2CB5"/>
    <w:rsid w:val="00DC2D15"/>
    <w:rsid w:val="00DC3059"/>
    <w:rsid w:val="00DC3082"/>
    <w:rsid w:val="00DC3250"/>
    <w:rsid w:val="00DC32C4"/>
    <w:rsid w:val="00DC3410"/>
    <w:rsid w:val="00DC35EA"/>
    <w:rsid w:val="00DC3814"/>
    <w:rsid w:val="00DC384B"/>
    <w:rsid w:val="00DC39F0"/>
    <w:rsid w:val="00DC3E50"/>
    <w:rsid w:val="00DC402A"/>
    <w:rsid w:val="00DC411A"/>
    <w:rsid w:val="00DC43D0"/>
    <w:rsid w:val="00DC45B2"/>
    <w:rsid w:val="00DC481B"/>
    <w:rsid w:val="00DC499C"/>
    <w:rsid w:val="00DC4A3E"/>
    <w:rsid w:val="00DC4AA7"/>
    <w:rsid w:val="00DC4D56"/>
    <w:rsid w:val="00DC5182"/>
    <w:rsid w:val="00DC562F"/>
    <w:rsid w:val="00DC56DC"/>
    <w:rsid w:val="00DC5A7C"/>
    <w:rsid w:val="00DC6403"/>
    <w:rsid w:val="00DC6732"/>
    <w:rsid w:val="00DC67A3"/>
    <w:rsid w:val="00DC6820"/>
    <w:rsid w:val="00DC6976"/>
    <w:rsid w:val="00DC6A3F"/>
    <w:rsid w:val="00DC6B32"/>
    <w:rsid w:val="00DC6E1E"/>
    <w:rsid w:val="00DC6FE6"/>
    <w:rsid w:val="00DC74E4"/>
    <w:rsid w:val="00DC753B"/>
    <w:rsid w:val="00DC7592"/>
    <w:rsid w:val="00DC763E"/>
    <w:rsid w:val="00DC764A"/>
    <w:rsid w:val="00DC76F0"/>
    <w:rsid w:val="00DD025A"/>
    <w:rsid w:val="00DD02FC"/>
    <w:rsid w:val="00DD04E7"/>
    <w:rsid w:val="00DD07B2"/>
    <w:rsid w:val="00DD08DE"/>
    <w:rsid w:val="00DD0AC0"/>
    <w:rsid w:val="00DD0BB9"/>
    <w:rsid w:val="00DD0CC4"/>
    <w:rsid w:val="00DD0E84"/>
    <w:rsid w:val="00DD147B"/>
    <w:rsid w:val="00DD192C"/>
    <w:rsid w:val="00DD1A24"/>
    <w:rsid w:val="00DD1B42"/>
    <w:rsid w:val="00DD1C64"/>
    <w:rsid w:val="00DD237E"/>
    <w:rsid w:val="00DD2437"/>
    <w:rsid w:val="00DD2593"/>
    <w:rsid w:val="00DD2674"/>
    <w:rsid w:val="00DD2CA8"/>
    <w:rsid w:val="00DD2FD6"/>
    <w:rsid w:val="00DD2FFD"/>
    <w:rsid w:val="00DD323C"/>
    <w:rsid w:val="00DD3339"/>
    <w:rsid w:val="00DD3451"/>
    <w:rsid w:val="00DD36AE"/>
    <w:rsid w:val="00DD36B3"/>
    <w:rsid w:val="00DD39EE"/>
    <w:rsid w:val="00DD3A9A"/>
    <w:rsid w:val="00DD3DD3"/>
    <w:rsid w:val="00DD3F4F"/>
    <w:rsid w:val="00DD4041"/>
    <w:rsid w:val="00DD4B0D"/>
    <w:rsid w:val="00DD4B81"/>
    <w:rsid w:val="00DD5003"/>
    <w:rsid w:val="00DD54F7"/>
    <w:rsid w:val="00DD5774"/>
    <w:rsid w:val="00DD57F3"/>
    <w:rsid w:val="00DD5A93"/>
    <w:rsid w:val="00DD5CBC"/>
    <w:rsid w:val="00DD5E23"/>
    <w:rsid w:val="00DD6004"/>
    <w:rsid w:val="00DD61F1"/>
    <w:rsid w:val="00DD640A"/>
    <w:rsid w:val="00DD6525"/>
    <w:rsid w:val="00DD655C"/>
    <w:rsid w:val="00DD6589"/>
    <w:rsid w:val="00DD6B0E"/>
    <w:rsid w:val="00DD6C08"/>
    <w:rsid w:val="00DD6D5C"/>
    <w:rsid w:val="00DD70AF"/>
    <w:rsid w:val="00DD737B"/>
    <w:rsid w:val="00DD73AD"/>
    <w:rsid w:val="00DD7401"/>
    <w:rsid w:val="00DD7745"/>
    <w:rsid w:val="00DD77CD"/>
    <w:rsid w:val="00DD7915"/>
    <w:rsid w:val="00DD7BC0"/>
    <w:rsid w:val="00DD7E5D"/>
    <w:rsid w:val="00DD7E77"/>
    <w:rsid w:val="00DE03A2"/>
    <w:rsid w:val="00DE03EE"/>
    <w:rsid w:val="00DE04BD"/>
    <w:rsid w:val="00DE04DE"/>
    <w:rsid w:val="00DE07B6"/>
    <w:rsid w:val="00DE0846"/>
    <w:rsid w:val="00DE0C27"/>
    <w:rsid w:val="00DE0ED5"/>
    <w:rsid w:val="00DE1064"/>
    <w:rsid w:val="00DE13DB"/>
    <w:rsid w:val="00DE193D"/>
    <w:rsid w:val="00DE1B21"/>
    <w:rsid w:val="00DE1C60"/>
    <w:rsid w:val="00DE1E08"/>
    <w:rsid w:val="00DE219C"/>
    <w:rsid w:val="00DE21B5"/>
    <w:rsid w:val="00DE2265"/>
    <w:rsid w:val="00DE241C"/>
    <w:rsid w:val="00DE2669"/>
    <w:rsid w:val="00DE26E9"/>
    <w:rsid w:val="00DE271D"/>
    <w:rsid w:val="00DE277D"/>
    <w:rsid w:val="00DE296C"/>
    <w:rsid w:val="00DE29B5"/>
    <w:rsid w:val="00DE2CA0"/>
    <w:rsid w:val="00DE2D5B"/>
    <w:rsid w:val="00DE2F16"/>
    <w:rsid w:val="00DE385D"/>
    <w:rsid w:val="00DE3C64"/>
    <w:rsid w:val="00DE3D8E"/>
    <w:rsid w:val="00DE3DBA"/>
    <w:rsid w:val="00DE3EC0"/>
    <w:rsid w:val="00DE3F9F"/>
    <w:rsid w:val="00DE40D7"/>
    <w:rsid w:val="00DE4695"/>
    <w:rsid w:val="00DE547A"/>
    <w:rsid w:val="00DE561D"/>
    <w:rsid w:val="00DE5A55"/>
    <w:rsid w:val="00DE5A95"/>
    <w:rsid w:val="00DE5D77"/>
    <w:rsid w:val="00DE6257"/>
    <w:rsid w:val="00DE628B"/>
    <w:rsid w:val="00DE6732"/>
    <w:rsid w:val="00DE6766"/>
    <w:rsid w:val="00DE6985"/>
    <w:rsid w:val="00DE6F9B"/>
    <w:rsid w:val="00DE710F"/>
    <w:rsid w:val="00DE7270"/>
    <w:rsid w:val="00DE73DA"/>
    <w:rsid w:val="00DE766C"/>
    <w:rsid w:val="00DE7709"/>
    <w:rsid w:val="00DE789B"/>
    <w:rsid w:val="00DE7C24"/>
    <w:rsid w:val="00DE7D78"/>
    <w:rsid w:val="00DE7EED"/>
    <w:rsid w:val="00DE7EEE"/>
    <w:rsid w:val="00DE7FB1"/>
    <w:rsid w:val="00DE7FB4"/>
    <w:rsid w:val="00DF018C"/>
    <w:rsid w:val="00DF02DE"/>
    <w:rsid w:val="00DF091B"/>
    <w:rsid w:val="00DF09FB"/>
    <w:rsid w:val="00DF0AF4"/>
    <w:rsid w:val="00DF0D39"/>
    <w:rsid w:val="00DF0F6A"/>
    <w:rsid w:val="00DF0FC7"/>
    <w:rsid w:val="00DF1012"/>
    <w:rsid w:val="00DF142F"/>
    <w:rsid w:val="00DF157D"/>
    <w:rsid w:val="00DF1663"/>
    <w:rsid w:val="00DF1674"/>
    <w:rsid w:val="00DF1710"/>
    <w:rsid w:val="00DF17E3"/>
    <w:rsid w:val="00DF1A23"/>
    <w:rsid w:val="00DF1B30"/>
    <w:rsid w:val="00DF20F4"/>
    <w:rsid w:val="00DF2185"/>
    <w:rsid w:val="00DF25FB"/>
    <w:rsid w:val="00DF285B"/>
    <w:rsid w:val="00DF2A43"/>
    <w:rsid w:val="00DF2F08"/>
    <w:rsid w:val="00DF33D5"/>
    <w:rsid w:val="00DF3597"/>
    <w:rsid w:val="00DF35E8"/>
    <w:rsid w:val="00DF3626"/>
    <w:rsid w:val="00DF38BD"/>
    <w:rsid w:val="00DF3B73"/>
    <w:rsid w:val="00DF3D26"/>
    <w:rsid w:val="00DF4294"/>
    <w:rsid w:val="00DF461C"/>
    <w:rsid w:val="00DF49AD"/>
    <w:rsid w:val="00DF4A5C"/>
    <w:rsid w:val="00DF4A9B"/>
    <w:rsid w:val="00DF4C91"/>
    <w:rsid w:val="00DF515A"/>
    <w:rsid w:val="00DF515E"/>
    <w:rsid w:val="00DF56BE"/>
    <w:rsid w:val="00DF575A"/>
    <w:rsid w:val="00DF57D6"/>
    <w:rsid w:val="00DF57E8"/>
    <w:rsid w:val="00DF58FC"/>
    <w:rsid w:val="00DF613E"/>
    <w:rsid w:val="00DF63B9"/>
    <w:rsid w:val="00DF682F"/>
    <w:rsid w:val="00DF68F8"/>
    <w:rsid w:val="00DF6A13"/>
    <w:rsid w:val="00DF6BCB"/>
    <w:rsid w:val="00DF6CCA"/>
    <w:rsid w:val="00DF7050"/>
    <w:rsid w:val="00DF7294"/>
    <w:rsid w:val="00DF73EB"/>
    <w:rsid w:val="00DF768D"/>
    <w:rsid w:val="00DF7735"/>
    <w:rsid w:val="00DF79A5"/>
    <w:rsid w:val="00DF79DA"/>
    <w:rsid w:val="00DF79EC"/>
    <w:rsid w:val="00DF7A5C"/>
    <w:rsid w:val="00DF7C48"/>
    <w:rsid w:val="00DF7C83"/>
    <w:rsid w:val="00DF7D3E"/>
    <w:rsid w:val="00DF7D98"/>
    <w:rsid w:val="00DF7ED6"/>
    <w:rsid w:val="00E003C0"/>
    <w:rsid w:val="00E00439"/>
    <w:rsid w:val="00E004C3"/>
    <w:rsid w:val="00E00AFA"/>
    <w:rsid w:val="00E00BC3"/>
    <w:rsid w:val="00E00BF3"/>
    <w:rsid w:val="00E00C39"/>
    <w:rsid w:val="00E00EAA"/>
    <w:rsid w:val="00E018C9"/>
    <w:rsid w:val="00E01B77"/>
    <w:rsid w:val="00E01CA9"/>
    <w:rsid w:val="00E01D25"/>
    <w:rsid w:val="00E01E83"/>
    <w:rsid w:val="00E02084"/>
    <w:rsid w:val="00E022EB"/>
    <w:rsid w:val="00E02374"/>
    <w:rsid w:val="00E0291A"/>
    <w:rsid w:val="00E02C42"/>
    <w:rsid w:val="00E02E5D"/>
    <w:rsid w:val="00E034B1"/>
    <w:rsid w:val="00E03F7B"/>
    <w:rsid w:val="00E047D7"/>
    <w:rsid w:val="00E04F1F"/>
    <w:rsid w:val="00E0510C"/>
    <w:rsid w:val="00E0516D"/>
    <w:rsid w:val="00E05410"/>
    <w:rsid w:val="00E05482"/>
    <w:rsid w:val="00E05848"/>
    <w:rsid w:val="00E05B58"/>
    <w:rsid w:val="00E06466"/>
    <w:rsid w:val="00E068A1"/>
    <w:rsid w:val="00E068EB"/>
    <w:rsid w:val="00E06AC7"/>
    <w:rsid w:val="00E06C7D"/>
    <w:rsid w:val="00E06F0A"/>
    <w:rsid w:val="00E070F2"/>
    <w:rsid w:val="00E07362"/>
    <w:rsid w:val="00E073DD"/>
    <w:rsid w:val="00E07733"/>
    <w:rsid w:val="00E077BB"/>
    <w:rsid w:val="00E07847"/>
    <w:rsid w:val="00E0795E"/>
    <w:rsid w:val="00E0BB96"/>
    <w:rsid w:val="00E1043C"/>
    <w:rsid w:val="00E10570"/>
    <w:rsid w:val="00E10E5A"/>
    <w:rsid w:val="00E116A8"/>
    <w:rsid w:val="00E116DE"/>
    <w:rsid w:val="00E118AA"/>
    <w:rsid w:val="00E11988"/>
    <w:rsid w:val="00E11C5D"/>
    <w:rsid w:val="00E11DE0"/>
    <w:rsid w:val="00E12008"/>
    <w:rsid w:val="00E125A8"/>
    <w:rsid w:val="00E1274F"/>
    <w:rsid w:val="00E12897"/>
    <w:rsid w:val="00E12EFF"/>
    <w:rsid w:val="00E131EB"/>
    <w:rsid w:val="00E133BE"/>
    <w:rsid w:val="00E13AC9"/>
    <w:rsid w:val="00E13AE0"/>
    <w:rsid w:val="00E13B42"/>
    <w:rsid w:val="00E13CA7"/>
    <w:rsid w:val="00E13DC4"/>
    <w:rsid w:val="00E140BA"/>
    <w:rsid w:val="00E14316"/>
    <w:rsid w:val="00E14A0C"/>
    <w:rsid w:val="00E14B90"/>
    <w:rsid w:val="00E14EFD"/>
    <w:rsid w:val="00E14F8D"/>
    <w:rsid w:val="00E15278"/>
    <w:rsid w:val="00E155E6"/>
    <w:rsid w:val="00E156EC"/>
    <w:rsid w:val="00E1597A"/>
    <w:rsid w:val="00E15A96"/>
    <w:rsid w:val="00E15C01"/>
    <w:rsid w:val="00E1604F"/>
    <w:rsid w:val="00E1643C"/>
    <w:rsid w:val="00E1644E"/>
    <w:rsid w:val="00E164FE"/>
    <w:rsid w:val="00E17075"/>
    <w:rsid w:val="00E173A0"/>
    <w:rsid w:val="00E17678"/>
    <w:rsid w:val="00E17748"/>
    <w:rsid w:val="00E17D99"/>
    <w:rsid w:val="00E17EDD"/>
    <w:rsid w:val="00E203AA"/>
    <w:rsid w:val="00E2056F"/>
    <w:rsid w:val="00E20741"/>
    <w:rsid w:val="00E20DB1"/>
    <w:rsid w:val="00E20E01"/>
    <w:rsid w:val="00E2110C"/>
    <w:rsid w:val="00E212C6"/>
    <w:rsid w:val="00E21786"/>
    <w:rsid w:val="00E218F7"/>
    <w:rsid w:val="00E219EE"/>
    <w:rsid w:val="00E220DA"/>
    <w:rsid w:val="00E2251A"/>
    <w:rsid w:val="00E2279F"/>
    <w:rsid w:val="00E22884"/>
    <w:rsid w:val="00E22A51"/>
    <w:rsid w:val="00E22E61"/>
    <w:rsid w:val="00E23326"/>
    <w:rsid w:val="00E235DA"/>
    <w:rsid w:val="00E2367F"/>
    <w:rsid w:val="00E236A8"/>
    <w:rsid w:val="00E237C8"/>
    <w:rsid w:val="00E2394C"/>
    <w:rsid w:val="00E23B18"/>
    <w:rsid w:val="00E23FBE"/>
    <w:rsid w:val="00E244DC"/>
    <w:rsid w:val="00E24A6C"/>
    <w:rsid w:val="00E24C4E"/>
    <w:rsid w:val="00E24D1B"/>
    <w:rsid w:val="00E24E5C"/>
    <w:rsid w:val="00E24F81"/>
    <w:rsid w:val="00E25107"/>
    <w:rsid w:val="00E25118"/>
    <w:rsid w:val="00E251DD"/>
    <w:rsid w:val="00E254CA"/>
    <w:rsid w:val="00E257EF"/>
    <w:rsid w:val="00E25B14"/>
    <w:rsid w:val="00E25B5A"/>
    <w:rsid w:val="00E25CCC"/>
    <w:rsid w:val="00E26427"/>
    <w:rsid w:val="00E2665A"/>
    <w:rsid w:val="00E26684"/>
    <w:rsid w:val="00E266AA"/>
    <w:rsid w:val="00E2707B"/>
    <w:rsid w:val="00E2719D"/>
    <w:rsid w:val="00E271E9"/>
    <w:rsid w:val="00E27995"/>
    <w:rsid w:val="00E27C4C"/>
    <w:rsid w:val="00E27E4C"/>
    <w:rsid w:val="00E30166"/>
    <w:rsid w:val="00E30260"/>
    <w:rsid w:val="00E3035B"/>
    <w:rsid w:val="00E303D4"/>
    <w:rsid w:val="00E303DC"/>
    <w:rsid w:val="00E3042E"/>
    <w:rsid w:val="00E304AA"/>
    <w:rsid w:val="00E30680"/>
    <w:rsid w:val="00E30B13"/>
    <w:rsid w:val="00E30B9F"/>
    <w:rsid w:val="00E30BCE"/>
    <w:rsid w:val="00E30C19"/>
    <w:rsid w:val="00E31610"/>
    <w:rsid w:val="00E316F2"/>
    <w:rsid w:val="00E3192B"/>
    <w:rsid w:val="00E319DA"/>
    <w:rsid w:val="00E31D2D"/>
    <w:rsid w:val="00E3217C"/>
    <w:rsid w:val="00E32475"/>
    <w:rsid w:val="00E3255E"/>
    <w:rsid w:val="00E32586"/>
    <w:rsid w:val="00E327DE"/>
    <w:rsid w:val="00E32B53"/>
    <w:rsid w:val="00E33175"/>
    <w:rsid w:val="00E33638"/>
    <w:rsid w:val="00E338B1"/>
    <w:rsid w:val="00E33F58"/>
    <w:rsid w:val="00E3429A"/>
    <w:rsid w:val="00E346AA"/>
    <w:rsid w:val="00E34A47"/>
    <w:rsid w:val="00E34B12"/>
    <w:rsid w:val="00E34C67"/>
    <w:rsid w:val="00E34D43"/>
    <w:rsid w:val="00E34E9A"/>
    <w:rsid w:val="00E34F03"/>
    <w:rsid w:val="00E3532C"/>
    <w:rsid w:val="00E35832"/>
    <w:rsid w:val="00E35D60"/>
    <w:rsid w:val="00E35F44"/>
    <w:rsid w:val="00E3619C"/>
    <w:rsid w:val="00E36710"/>
    <w:rsid w:val="00E369C6"/>
    <w:rsid w:val="00E36A6A"/>
    <w:rsid w:val="00E3701D"/>
    <w:rsid w:val="00E370A2"/>
    <w:rsid w:val="00E3716C"/>
    <w:rsid w:val="00E3727F"/>
    <w:rsid w:val="00E3772B"/>
    <w:rsid w:val="00E3779A"/>
    <w:rsid w:val="00E37B6E"/>
    <w:rsid w:val="00E40021"/>
    <w:rsid w:val="00E40077"/>
    <w:rsid w:val="00E401B3"/>
    <w:rsid w:val="00E4024E"/>
    <w:rsid w:val="00E403F0"/>
    <w:rsid w:val="00E403F4"/>
    <w:rsid w:val="00E404FE"/>
    <w:rsid w:val="00E40DF0"/>
    <w:rsid w:val="00E40FC7"/>
    <w:rsid w:val="00E411A1"/>
    <w:rsid w:val="00E41911"/>
    <w:rsid w:val="00E41C0C"/>
    <w:rsid w:val="00E41D79"/>
    <w:rsid w:val="00E41F76"/>
    <w:rsid w:val="00E4216B"/>
    <w:rsid w:val="00E424A1"/>
    <w:rsid w:val="00E4252D"/>
    <w:rsid w:val="00E427F3"/>
    <w:rsid w:val="00E428FA"/>
    <w:rsid w:val="00E42BBA"/>
    <w:rsid w:val="00E42FEE"/>
    <w:rsid w:val="00E4305F"/>
    <w:rsid w:val="00E43079"/>
    <w:rsid w:val="00E431EF"/>
    <w:rsid w:val="00E432BF"/>
    <w:rsid w:val="00E435BF"/>
    <w:rsid w:val="00E4362D"/>
    <w:rsid w:val="00E436A9"/>
    <w:rsid w:val="00E436E6"/>
    <w:rsid w:val="00E43717"/>
    <w:rsid w:val="00E437BD"/>
    <w:rsid w:val="00E439DD"/>
    <w:rsid w:val="00E43AF8"/>
    <w:rsid w:val="00E43DE5"/>
    <w:rsid w:val="00E43E19"/>
    <w:rsid w:val="00E44301"/>
    <w:rsid w:val="00E4463E"/>
    <w:rsid w:val="00E44749"/>
    <w:rsid w:val="00E44777"/>
    <w:rsid w:val="00E44906"/>
    <w:rsid w:val="00E44971"/>
    <w:rsid w:val="00E44DEE"/>
    <w:rsid w:val="00E450E8"/>
    <w:rsid w:val="00E45349"/>
    <w:rsid w:val="00E454C9"/>
    <w:rsid w:val="00E45DFE"/>
    <w:rsid w:val="00E45F3E"/>
    <w:rsid w:val="00E4614F"/>
    <w:rsid w:val="00E4635A"/>
    <w:rsid w:val="00E46448"/>
    <w:rsid w:val="00E46566"/>
    <w:rsid w:val="00E4677C"/>
    <w:rsid w:val="00E46921"/>
    <w:rsid w:val="00E46C5D"/>
    <w:rsid w:val="00E46CF6"/>
    <w:rsid w:val="00E473B2"/>
    <w:rsid w:val="00E473C8"/>
    <w:rsid w:val="00E4747A"/>
    <w:rsid w:val="00E4747B"/>
    <w:rsid w:val="00E4776D"/>
    <w:rsid w:val="00E47B1C"/>
    <w:rsid w:val="00E47B3B"/>
    <w:rsid w:val="00E47C12"/>
    <w:rsid w:val="00E47C75"/>
    <w:rsid w:val="00E47E9C"/>
    <w:rsid w:val="00E47F27"/>
    <w:rsid w:val="00E47F95"/>
    <w:rsid w:val="00E5020D"/>
    <w:rsid w:val="00E50ADE"/>
    <w:rsid w:val="00E50CF6"/>
    <w:rsid w:val="00E50E7D"/>
    <w:rsid w:val="00E5136D"/>
    <w:rsid w:val="00E513D0"/>
    <w:rsid w:val="00E51624"/>
    <w:rsid w:val="00E5168D"/>
    <w:rsid w:val="00E51B86"/>
    <w:rsid w:val="00E51D13"/>
    <w:rsid w:val="00E51DAB"/>
    <w:rsid w:val="00E51E37"/>
    <w:rsid w:val="00E52151"/>
    <w:rsid w:val="00E52182"/>
    <w:rsid w:val="00E523E9"/>
    <w:rsid w:val="00E52935"/>
    <w:rsid w:val="00E52A7F"/>
    <w:rsid w:val="00E52D5B"/>
    <w:rsid w:val="00E52F28"/>
    <w:rsid w:val="00E5300A"/>
    <w:rsid w:val="00E532C9"/>
    <w:rsid w:val="00E532FD"/>
    <w:rsid w:val="00E538F5"/>
    <w:rsid w:val="00E5399C"/>
    <w:rsid w:val="00E53ABD"/>
    <w:rsid w:val="00E53BD2"/>
    <w:rsid w:val="00E5444B"/>
    <w:rsid w:val="00E547F5"/>
    <w:rsid w:val="00E54810"/>
    <w:rsid w:val="00E54E8D"/>
    <w:rsid w:val="00E54F0E"/>
    <w:rsid w:val="00E5531F"/>
    <w:rsid w:val="00E55544"/>
    <w:rsid w:val="00E55B95"/>
    <w:rsid w:val="00E55C56"/>
    <w:rsid w:val="00E55ECB"/>
    <w:rsid w:val="00E55F62"/>
    <w:rsid w:val="00E569DE"/>
    <w:rsid w:val="00E56BE1"/>
    <w:rsid w:val="00E56EF3"/>
    <w:rsid w:val="00E57130"/>
    <w:rsid w:val="00E5717C"/>
    <w:rsid w:val="00E57899"/>
    <w:rsid w:val="00E578B7"/>
    <w:rsid w:val="00E57B2A"/>
    <w:rsid w:val="00E57C71"/>
    <w:rsid w:val="00E57F01"/>
    <w:rsid w:val="00E5BCC1"/>
    <w:rsid w:val="00E601E1"/>
    <w:rsid w:val="00E605DF"/>
    <w:rsid w:val="00E6060F"/>
    <w:rsid w:val="00E609A3"/>
    <w:rsid w:val="00E60B41"/>
    <w:rsid w:val="00E60BAB"/>
    <w:rsid w:val="00E61156"/>
    <w:rsid w:val="00E61380"/>
    <w:rsid w:val="00E613A2"/>
    <w:rsid w:val="00E6156A"/>
    <w:rsid w:val="00E6161D"/>
    <w:rsid w:val="00E6173F"/>
    <w:rsid w:val="00E61878"/>
    <w:rsid w:val="00E6190B"/>
    <w:rsid w:val="00E61E10"/>
    <w:rsid w:val="00E62392"/>
    <w:rsid w:val="00E62532"/>
    <w:rsid w:val="00E62CF5"/>
    <w:rsid w:val="00E62D5D"/>
    <w:rsid w:val="00E6310F"/>
    <w:rsid w:val="00E63188"/>
    <w:rsid w:val="00E63249"/>
    <w:rsid w:val="00E63393"/>
    <w:rsid w:val="00E63771"/>
    <w:rsid w:val="00E638E0"/>
    <w:rsid w:val="00E63AD2"/>
    <w:rsid w:val="00E63E4B"/>
    <w:rsid w:val="00E6412B"/>
    <w:rsid w:val="00E64279"/>
    <w:rsid w:val="00E645C3"/>
    <w:rsid w:val="00E64739"/>
    <w:rsid w:val="00E649DD"/>
    <w:rsid w:val="00E64A7F"/>
    <w:rsid w:val="00E64CC9"/>
    <w:rsid w:val="00E64DD9"/>
    <w:rsid w:val="00E64E6F"/>
    <w:rsid w:val="00E65070"/>
    <w:rsid w:val="00E653E0"/>
    <w:rsid w:val="00E6557B"/>
    <w:rsid w:val="00E655B2"/>
    <w:rsid w:val="00E655D9"/>
    <w:rsid w:val="00E6567D"/>
    <w:rsid w:val="00E65AE2"/>
    <w:rsid w:val="00E65C8E"/>
    <w:rsid w:val="00E660E2"/>
    <w:rsid w:val="00E66501"/>
    <w:rsid w:val="00E6668D"/>
    <w:rsid w:val="00E66D98"/>
    <w:rsid w:val="00E66FBB"/>
    <w:rsid w:val="00E67166"/>
    <w:rsid w:val="00E67563"/>
    <w:rsid w:val="00E67621"/>
    <w:rsid w:val="00E67C46"/>
    <w:rsid w:val="00E67C86"/>
    <w:rsid w:val="00E67DBC"/>
    <w:rsid w:val="00E67E28"/>
    <w:rsid w:val="00E7004E"/>
    <w:rsid w:val="00E70089"/>
    <w:rsid w:val="00E70410"/>
    <w:rsid w:val="00E707B3"/>
    <w:rsid w:val="00E70996"/>
    <w:rsid w:val="00E709AF"/>
    <w:rsid w:val="00E709D8"/>
    <w:rsid w:val="00E70A5A"/>
    <w:rsid w:val="00E70BCA"/>
    <w:rsid w:val="00E7117D"/>
    <w:rsid w:val="00E71283"/>
    <w:rsid w:val="00E713C7"/>
    <w:rsid w:val="00E714CE"/>
    <w:rsid w:val="00E714FF"/>
    <w:rsid w:val="00E718DB"/>
    <w:rsid w:val="00E71B55"/>
    <w:rsid w:val="00E71CE8"/>
    <w:rsid w:val="00E7211B"/>
    <w:rsid w:val="00E7227E"/>
    <w:rsid w:val="00E72426"/>
    <w:rsid w:val="00E7242C"/>
    <w:rsid w:val="00E7247D"/>
    <w:rsid w:val="00E72630"/>
    <w:rsid w:val="00E72B6A"/>
    <w:rsid w:val="00E72DAE"/>
    <w:rsid w:val="00E72DAF"/>
    <w:rsid w:val="00E7329A"/>
    <w:rsid w:val="00E73419"/>
    <w:rsid w:val="00E73498"/>
    <w:rsid w:val="00E736FE"/>
    <w:rsid w:val="00E737D9"/>
    <w:rsid w:val="00E73A8D"/>
    <w:rsid w:val="00E73AAF"/>
    <w:rsid w:val="00E73B42"/>
    <w:rsid w:val="00E73EFC"/>
    <w:rsid w:val="00E74AC0"/>
    <w:rsid w:val="00E74CD7"/>
    <w:rsid w:val="00E752D5"/>
    <w:rsid w:val="00E756E1"/>
    <w:rsid w:val="00E75E94"/>
    <w:rsid w:val="00E75FA2"/>
    <w:rsid w:val="00E7602E"/>
    <w:rsid w:val="00E760E6"/>
    <w:rsid w:val="00E76451"/>
    <w:rsid w:val="00E76498"/>
    <w:rsid w:val="00E7669C"/>
    <w:rsid w:val="00E773D8"/>
    <w:rsid w:val="00E77499"/>
    <w:rsid w:val="00E7788A"/>
    <w:rsid w:val="00E77DB8"/>
    <w:rsid w:val="00E77FB1"/>
    <w:rsid w:val="00E8016F"/>
    <w:rsid w:val="00E8017E"/>
    <w:rsid w:val="00E80566"/>
    <w:rsid w:val="00E80726"/>
    <w:rsid w:val="00E80BCE"/>
    <w:rsid w:val="00E80E52"/>
    <w:rsid w:val="00E80EC2"/>
    <w:rsid w:val="00E8107D"/>
    <w:rsid w:val="00E810B5"/>
    <w:rsid w:val="00E812DD"/>
    <w:rsid w:val="00E816CE"/>
    <w:rsid w:val="00E81A05"/>
    <w:rsid w:val="00E81DF8"/>
    <w:rsid w:val="00E81F20"/>
    <w:rsid w:val="00E8228E"/>
    <w:rsid w:val="00E82433"/>
    <w:rsid w:val="00E827E0"/>
    <w:rsid w:val="00E82B3E"/>
    <w:rsid w:val="00E82B64"/>
    <w:rsid w:val="00E83326"/>
    <w:rsid w:val="00E83977"/>
    <w:rsid w:val="00E83BBF"/>
    <w:rsid w:val="00E83DC7"/>
    <w:rsid w:val="00E83FB6"/>
    <w:rsid w:val="00E8413D"/>
    <w:rsid w:val="00E842B9"/>
    <w:rsid w:val="00E845B7"/>
    <w:rsid w:val="00E8481C"/>
    <w:rsid w:val="00E8539B"/>
    <w:rsid w:val="00E85696"/>
    <w:rsid w:val="00E8591F"/>
    <w:rsid w:val="00E85A06"/>
    <w:rsid w:val="00E85A0C"/>
    <w:rsid w:val="00E85A51"/>
    <w:rsid w:val="00E85EE4"/>
    <w:rsid w:val="00E85F13"/>
    <w:rsid w:val="00E8602F"/>
    <w:rsid w:val="00E8603F"/>
    <w:rsid w:val="00E86178"/>
    <w:rsid w:val="00E8670D"/>
    <w:rsid w:val="00E86AC4"/>
    <w:rsid w:val="00E86ECE"/>
    <w:rsid w:val="00E871C0"/>
    <w:rsid w:val="00E87225"/>
    <w:rsid w:val="00E873D1"/>
    <w:rsid w:val="00E87660"/>
    <w:rsid w:val="00E87950"/>
    <w:rsid w:val="00E87CA1"/>
    <w:rsid w:val="00E87EF6"/>
    <w:rsid w:val="00E90666"/>
    <w:rsid w:val="00E90A1E"/>
    <w:rsid w:val="00E90A5F"/>
    <w:rsid w:val="00E90C13"/>
    <w:rsid w:val="00E90D45"/>
    <w:rsid w:val="00E90FA2"/>
    <w:rsid w:val="00E90FB5"/>
    <w:rsid w:val="00E9120F"/>
    <w:rsid w:val="00E91512"/>
    <w:rsid w:val="00E9172A"/>
    <w:rsid w:val="00E917EB"/>
    <w:rsid w:val="00E91B8A"/>
    <w:rsid w:val="00E91DB9"/>
    <w:rsid w:val="00E91E68"/>
    <w:rsid w:val="00E91ECC"/>
    <w:rsid w:val="00E92360"/>
    <w:rsid w:val="00E92573"/>
    <w:rsid w:val="00E92F0C"/>
    <w:rsid w:val="00E9302E"/>
    <w:rsid w:val="00E930D3"/>
    <w:rsid w:val="00E93365"/>
    <w:rsid w:val="00E934E7"/>
    <w:rsid w:val="00E93538"/>
    <w:rsid w:val="00E9419B"/>
    <w:rsid w:val="00E94545"/>
    <w:rsid w:val="00E94565"/>
    <w:rsid w:val="00E94715"/>
    <w:rsid w:val="00E947D5"/>
    <w:rsid w:val="00E94AED"/>
    <w:rsid w:val="00E94B26"/>
    <w:rsid w:val="00E94CB4"/>
    <w:rsid w:val="00E94CFF"/>
    <w:rsid w:val="00E94D4C"/>
    <w:rsid w:val="00E94F67"/>
    <w:rsid w:val="00E95290"/>
    <w:rsid w:val="00E95CBB"/>
    <w:rsid w:val="00E95F56"/>
    <w:rsid w:val="00E96175"/>
    <w:rsid w:val="00E96183"/>
    <w:rsid w:val="00E961D0"/>
    <w:rsid w:val="00E961DB"/>
    <w:rsid w:val="00E96488"/>
    <w:rsid w:val="00E9696B"/>
    <w:rsid w:val="00E96A60"/>
    <w:rsid w:val="00E96B15"/>
    <w:rsid w:val="00E97025"/>
    <w:rsid w:val="00E97249"/>
    <w:rsid w:val="00E9748D"/>
    <w:rsid w:val="00E977BB"/>
    <w:rsid w:val="00E9780F"/>
    <w:rsid w:val="00E9792E"/>
    <w:rsid w:val="00E97E12"/>
    <w:rsid w:val="00E97E6E"/>
    <w:rsid w:val="00EA0221"/>
    <w:rsid w:val="00EA0251"/>
    <w:rsid w:val="00EA0461"/>
    <w:rsid w:val="00EA0688"/>
    <w:rsid w:val="00EA08C1"/>
    <w:rsid w:val="00EA0958"/>
    <w:rsid w:val="00EA0A25"/>
    <w:rsid w:val="00EA105F"/>
    <w:rsid w:val="00EA10B6"/>
    <w:rsid w:val="00EA1128"/>
    <w:rsid w:val="00EA114A"/>
    <w:rsid w:val="00EA11B0"/>
    <w:rsid w:val="00EA1346"/>
    <w:rsid w:val="00EA139C"/>
    <w:rsid w:val="00EA13E8"/>
    <w:rsid w:val="00EA1678"/>
    <w:rsid w:val="00EA1840"/>
    <w:rsid w:val="00EA1895"/>
    <w:rsid w:val="00EA1AC7"/>
    <w:rsid w:val="00EA1E20"/>
    <w:rsid w:val="00EA1F69"/>
    <w:rsid w:val="00EA23EC"/>
    <w:rsid w:val="00EA25B5"/>
    <w:rsid w:val="00EA27E5"/>
    <w:rsid w:val="00EA28F3"/>
    <w:rsid w:val="00EA2B04"/>
    <w:rsid w:val="00EA2D25"/>
    <w:rsid w:val="00EA2EC3"/>
    <w:rsid w:val="00EA3019"/>
    <w:rsid w:val="00EA3214"/>
    <w:rsid w:val="00EA35EA"/>
    <w:rsid w:val="00EA360B"/>
    <w:rsid w:val="00EA363D"/>
    <w:rsid w:val="00EA36BC"/>
    <w:rsid w:val="00EA376C"/>
    <w:rsid w:val="00EA37DA"/>
    <w:rsid w:val="00EA3889"/>
    <w:rsid w:val="00EA39BD"/>
    <w:rsid w:val="00EA3B35"/>
    <w:rsid w:val="00EA3E7A"/>
    <w:rsid w:val="00EA407F"/>
    <w:rsid w:val="00EA41B8"/>
    <w:rsid w:val="00EA4F59"/>
    <w:rsid w:val="00EA50BE"/>
    <w:rsid w:val="00EA537F"/>
    <w:rsid w:val="00EA57A0"/>
    <w:rsid w:val="00EA5899"/>
    <w:rsid w:val="00EA59AA"/>
    <w:rsid w:val="00EA5FF6"/>
    <w:rsid w:val="00EA604D"/>
    <w:rsid w:val="00EA609F"/>
    <w:rsid w:val="00EA6419"/>
    <w:rsid w:val="00EA645C"/>
    <w:rsid w:val="00EA66C7"/>
    <w:rsid w:val="00EA6804"/>
    <w:rsid w:val="00EA68FF"/>
    <w:rsid w:val="00EA6C2E"/>
    <w:rsid w:val="00EA70BD"/>
    <w:rsid w:val="00EA71F5"/>
    <w:rsid w:val="00EA75CC"/>
    <w:rsid w:val="00EA7837"/>
    <w:rsid w:val="00EA7B31"/>
    <w:rsid w:val="00EA7B33"/>
    <w:rsid w:val="00EB0536"/>
    <w:rsid w:val="00EB0CCE"/>
    <w:rsid w:val="00EB0FA5"/>
    <w:rsid w:val="00EB0FB2"/>
    <w:rsid w:val="00EB1263"/>
    <w:rsid w:val="00EB136E"/>
    <w:rsid w:val="00EB1374"/>
    <w:rsid w:val="00EB17F4"/>
    <w:rsid w:val="00EB1965"/>
    <w:rsid w:val="00EB19EE"/>
    <w:rsid w:val="00EB1A0B"/>
    <w:rsid w:val="00EB1B9C"/>
    <w:rsid w:val="00EB1EE6"/>
    <w:rsid w:val="00EB1FA4"/>
    <w:rsid w:val="00EB2215"/>
    <w:rsid w:val="00EB2495"/>
    <w:rsid w:val="00EB24A0"/>
    <w:rsid w:val="00EB260F"/>
    <w:rsid w:val="00EB27AC"/>
    <w:rsid w:val="00EB2BA4"/>
    <w:rsid w:val="00EB2CF7"/>
    <w:rsid w:val="00EB3146"/>
    <w:rsid w:val="00EB3196"/>
    <w:rsid w:val="00EB320A"/>
    <w:rsid w:val="00EB3705"/>
    <w:rsid w:val="00EB3EE2"/>
    <w:rsid w:val="00EB4025"/>
    <w:rsid w:val="00EB4545"/>
    <w:rsid w:val="00EB4772"/>
    <w:rsid w:val="00EB4964"/>
    <w:rsid w:val="00EB4CC6"/>
    <w:rsid w:val="00EB4F2A"/>
    <w:rsid w:val="00EB5221"/>
    <w:rsid w:val="00EB5548"/>
    <w:rsid w:val="00EB5AE2"/>
    <w:rsid w:val="00EB5AE9"/>
    <w:rsid w:val="00EB5B18"/>
    <w:rsid w:val="00EB5D85"/>
    <w:rsid w:val="00EB638E"/>
    <w:rsid w:val="00EB657E"/>
    <w:rsid w:val="00EB65D0"/>
    <w:rsid w:val="00EB668A"/>
    <w:rsid w:val="00EB6862"/>
    <w:rsid w:val="00EB6A6A"/>
    <w:rsid w:val="00EB6FE1"/>
    <w:rsid w:val="00EB7308"/>
    <w:rsid w:val="00EB748D"/>
    <w:rsid w:val="00EB74B3"/>
    <w:rsid w:val="00EB782C"/>
    <w:rsid w:val="00EB7B94"/>
    <w:rsid w:val="00EB7EC4"/>
    <w:rsid w:val="00EB7F47"/>
    <w:rsid w:val="00EC0059"/>
    <w:rsid w:val="00EC03CD"/>
    <w:rsid w:val="00EC0573"/>
    <w:rsid w:val="00EC06FD"/>
    <w:rsid w:val="00EC0752"/>
    <w:rsid w:val="00EC08E1"/>
    <w:rsid w:val="00EC0A09"/>
    <w:rsid w:val="00EC0D49"/>
    <w:rsid w:val="00EC0E8B"/>
    <w:rsid w:val="00EC10FD"/>
    <w:rsid w:val="00EC159F"/>
    <w:rsid w:val="00EC1878"/>
    <w:rsid w:val="00EC1A92"/>
    <w:rsid w:val="00EC2136"/>
    <w:rsid w:val="00EC21F2"/>
    <w:rsid w:val="00EC23B0"/>
    <w:rsid w:val="00EC23B5"/>
    <w:rsid w:val="00EC2486"/>
    <w:rsid w:val="00EC2537"/>
    <w:rsid w:val="00EC2672"/>
    <w:rsid w:val="00EC269F"/>
    <w:rsid w:val="00EC29CB"/>
    <w:rsid w:val="00EC2A1C"/>
    <w:rsid w:val="00EC2C4F"/>
    <w:rsid w:val="00EC2E3E"/>
    <w:rsid w:val="00EC300B"/>
    <w:rsid w:val="00EC34A8"/>
    <w:rsid w:val="00EC3BDC"/>
    <w:rsid w:val="00EC3D9B"/>
    <w:rsid w:val="00EC3EA6"/>
    <w:rsid w:val="00EC4109"/>
    <w:rsid w:val="00EC444A"/>
    <w:rsid w:val="00EC50C4"/>
    <w:rsid w:val="00EC532C"/>
    <w:rsid w:val="00EC59CD"/>
    <w:rsid w:val="00EC5B0D"/>
    <w:rsid w:val="00EC5CB3"/>
    <w:rsid w:val="00EC605F"/>
    <w:rsid w:val="00EC6142"/>
    <w:rsid w:val="00EC618A"/>
    <w:rsid w:val="00EC6C13"/>
    <w:rsid w:val="00EC6F81"/>
    <w:rsid w:val="00EC701E"/>
    <w:rsid w:val="00EC7065"/>
    <w:rsid w:val="00EC7338"/>
    <w:rsid w:val="00EC7485"/>
    <w:rsid w:val="00EC74A1"/>
    <w:rsid w:val="00EC756C"/>
    <w:rsid w:val="00EC7757"/>
    <w:rsid w:val="00EC7811"/>
    <w:rsid w:val="00EC7A63"/>
    <w:rsid w:val="00EC7C70"/>
    <w:rsid w:val="00ED009B"/>
    <w:rsid w:val="00ED036E"/>
    <w:rsid w:val="00ED03A3"/>
    <w:rsid w:val="00ED0766"/>
    <w:rsid w:val="00ED07E0"/>
    <w:rsid w:val="00ED080D"/>
    <w:rsid w:val="00ED087A"/>
    <w:rsid w:val="00ED0A5E"/>
    <w:rsid w:val="00ED0AE9"/>
    <w:rsid w:val="00ED0CB2"/>
    <w:rsid w:val="00ED1481"/>
    <w:rsid w:val="00ED14B7"/>
    <w:rsid w:val="00ED1A36"/>
    <w:rsid w:val="00ED1D53"/>
    <w:rsid w:val="00ED1D9E"/>
    <w:rsid w:val="00ED1DB7"/>
    <w:rsid w:val="00ED1FEC"/>
    <w:rsid w:val="00ED207E"/>
    <w:rsid w:val="00ED22BE"/>
    <w:rsid w:val="00ED2542"/>
    <w:rsid w:val="00ED2823"/>
    <w:rsid w:val="00ED2966"/>
    <w:rsid w:val="00ED2C83"/>
    <w:rsid w:val="00ED306E"/>
    <w:rsid w:val="00ED334F"/>
    <w:rsid w:val="00ED34CF"/>
    <w:rsid w:val="00ED3624"/>
    <w:rsid w:val="00ED36BE"/>
    <w:rsid w:val="00ED37B7"/>
    <w:rsid w:val="00ED37E3"/>
    <w:rsid w:val="00ED394F"/>
    <w:rsid w:val="00ED3979"/>
    <w:rsid w:val="00ED3A2E"/>
    <w:rsid w:val="00ED3A4A"/>
    <w:rsid w:val="00ED416B"/>
    <w:rsid w:val="00ED4378"/>
    <w:rsid w:val="00ED4379"/>
    <w:rsid w:val="00ED44B3"/>
    <w:rsid w:val="00ED476B"/>
    <w:rsid w:val="00ED479E"/>
    <w:rsid w:val="00ED4CB2"/>
    <w:rsid w:val="00ED4D1D"/>
    <w:rsid w:val="00ED4D5D"/>
    <w:rsid w:val="00ED4DA2"/>
    <w:rsid w:val="00ED4E0E"/>
    <w:rsid w:val="00ED4E44"/>
    <w:rsid w:val="00ED500E"/>
    <w:rsid w:val="00ED5277"/>
    <w:rsid w:val="00ED5A4F"/>
    <w:rsid w:val="00ED5C70"/>
    <w:rsid w:val="00ED6BD7"/>
    <w:rsid w:val="00ED6F34"/>
    <w:rsid w:val="00ED76B3"/>
    <w:rsid w:val="00ED77FB"/>
    <w:rsid w:val="00ED7D88"/>
    <w:rsid w:val="00EE0067"/>
    <w:rsid w:val="00EE023A"/>
    <w:rsid w:val="00EE02E8"/>
    <w:rsid w:val="00EE0728"/>
    <w:rsid w:val="00EE08E2"/>
    <w:rsid w:val="00EE0988"/>
    <w:rsid w:val="00EE0C67"/>
    <w:rsid w:val="00EE0D13"/>
    <w:rsid w:val="00EE0F06"/>
    <w:rsid w:val="00EE1298"/>
    <w:rsid w:val="00EE1A24"/>
    <w:rsid w:val="00EE1B56"/>
    <w:rsid w:val="00EE1DD7"/>
    <w:rsid w:val="00EE1E61"/>
    <w:rsid w:val="00EE1F45"/>
    <w:rsid w:val="00EE200E"/>
    <w:rsid w:val="00EE218D"/>
    <w:rsid w:val="00EE24A3"/>
    <w:rsid w:val="00EE252E"/>
    <w:rsid w:val="00EE277B"/>
    <w:rsid w:val="00EE2CD3"/>
    <w:rsid w:val="00EE2E1C"/>
    <w:rsid w:val="00EE2EBF"/>
    <w:rsid w:val="00EE3193"/>
    <w:rsid w:val="00EE354C"/>
    <w:rsid w:val="00EE3679"/>
    <w:rsid w:val="00EE3693"/>
    <w:rsid w:val="00EE3A11"/>
    <w:rsid w:val="00EE3D2E"/>
    <w:rsid w:val="00EE3F20"/>
    <w:rsid w:val="00EE3F78"/>
    <w:rsid w:val="00EE407C"/>
    <w:rsid w:val="00EE4321"/>
    <w:rsid w:val="00EE4389"/>
    <w:rsid w:val="00EE43D6"/>
    <w:rsid w:val="00EE43FE"/>
    <w:rsid w:val="00EE45D8"/>
    <w:rsid w:val="00EE4665"/>
    <w:rsid w:val="00EE47A1"/>
    <w:rsid w:val="00EE4A9B"/>
    <w:rsid w:val="00EE55B3"/>
    <w:rsid w:val="00EE5D2F"/>
    <w:rsid w:val="00EE5E66"/>
    <w:rsid w:val="00EE5F62"/>
    <w:rsid w:val="00EE6151"/>
    <w:rsid w:val="00EE625F"/>
    <w:rsid w:val="00EE6293"/>
    <w:rsid w:val="00EE6718"/>
    <w:rsid w:val="00EE68DB"/>
    <w:rsid w:val="00EE6A61"/>
    <w:rsid w:val="00EE6F14"/>
    <w:rsid w:val="00EE72BB"/>
    <w:rsid w:val="00EE79A1"/>
    <w:rsid w:val="00EE7AAF"/>
    <w:rsid w:val="00EE7E11"/>
    <w:rsid w:val="00EE7E72"/>
    <w:rsid w:val="00EE7EA0"/>
    <w:rsid w:val="00EF02BC"/>
    <w:rsid w:val="00EF041B"/>
    <w:rsid w:val="00EF056E"/>
    <w:rsid w:val="00EF05B9"/>
    <w:rsid w:val="00EF0815"/>
    <w:rsid w:val="00EF0991"/>
    <w:rsid w:val="00EF0A20"/>
    <w:rsid w:val="00EF0A45"/>
    <w:rsid w:val="00EF0BDE"/>
    <w:rsid w:val="00EF10AA"/>
    <w:rsid w:val="00EF125F"/>
    <w:rsid w:val="00EF1614"/>
    <w:rsid w:val="00EF1647"/>
    <w:rsid w:val="00EF1A55"/>
    <w:rsid w:val="00EF1B8C"/>
    <w:rsid w:val="00EF1EF7"/>
    <w:rsid w:val="00EF1F58"/>
    <w:rsid w:val="00EF22F4"/>
    <w:rsid w:val="00EF2587"/>
    <w:rsid w:val="00EF2AB9"/>
    <w:rsid w:val="00EF2C37"/>
    <w:rsid w:val="00EF2C68"/>
    <w:rsid w:val="00EF2D69"/>
    <w:rsid w:val="00EF3235"/>
    <w:rsid w:val="00EF3365"/>
    <w:rsid w:val="00EF359F"/>
    <w:rsid w:val="00EF3741"/>
    <w:rsid w:val="00EF3817"/>
    <w:rsid w:val="00EF3A7E"/>
    <w:rsid w:val="00EF3A86"/>
    <w:rsid w:val="00EF43D9"/>
    <w:rsid w:val="00EF45CD"/>
    <w:rsid w:val="00EF46E6"/>
    <w:rsid w:val="00EF4D78"/>
    <w:rsid w:val="00EF4F60"/>
    <w:rsid w:val="00EF514C"/>
    <w:rsid w:val="00EF5426"/>
    <w:rsid w:val="00EF59A6"/>
    <w:rsid w:val="00EF5A2F"/>
    <w:rsid w:val="00EF5DB8"/>
    <w:rsid w:val="00EF60B3"/>
    <w:rsid w:val="00EF6386"/>
    <w:rsid w:val="00EF6459"/>
    <w:rsid w:val="00EF66AB"/>
    <w:rsid w:val="00EF6966"/>
    <w:rsid w:val="00EF6BAA"/>
    <w:rsid w:val="00EF6D41"/>
    <w:rsid w:val="00EF6D5B"/>
    <w:rsid w:val="00EF6D90"/>
    <w:rsid w:val="00EF73BE"/>
    <w:rsid w:val="00EF74D7"/>
    <w:rsid w:val="00EF7760"/>
    <w:rsid w:val="00F000DC"/>
    <w:rsid w:val="00F00256"/>
    <w:rsid w:val="00F0069C"/>
    <w:rsid w:val="00F007C8"/>
    <w:rsid w:val="00F00910"/>
    <w:rsid w:val="00F00B18"/>
    <w:rsid w:val="00F0102E"/>
    <w:rsid w:val="00F0108A"/>
    <w:rsid w:val="00F0113A"/>
    <w:rsid w:val="00F012E9"/>
    <w:rsid w:val="00F014D2"/>
    <w:rsid w:val="00F017E0"/>
    <w:rsid w:val="00F01965"/>
    <w:rsid w:val="00F01A20"/>
    <w:rsid w:val="00F01F37"/>
    <w:rsid w:val="00F02506"/>
    <w:rsid w:val="00F02D1B"/>
    <w:rsid w:val="00F02DD5"/>
    <w:rsid w:val="00F03442"/>
    <w:rsid w:val="00F03B20"/>
    <w:rsid w:val="00F03D79"/>
    <w:rsid w:val="00F03E5D"/>
    <w:rsid w:val="00F042A6"/>
    <w:rsid w:val="00F043F6"/>
    <w:rsid w:val="00F0442B"/>
    <w:rsid w:val="00F0462A"/>
    <w:rsid w:val="00F049BD"/>
    <w:rsid w:val="00F049CF"/>
    <w:rsid w:val="00F04E06"/>
    <w:rsid w:val="00F050F9"/>
    <w:rsid w:val="00F05593"/>
    <w:rsid w:val="00F057B6"/>
    <w:rsid w:val="00F05803"/>
    <w:rsid w:val="00F0580A"/>
    <w:rsid w:val="00F05C06"/>
    <w:rsid w:val="00F05E1E"/>
    <w:rsid w:val="00F05EB2"/>
    <w:rsid w:val="00F05F10"/>
    <w:rsid w:val="00F06507"/>
    <w:rsid w:val="00F0656E"/>
    <w:rsid w:val="00F065A0"/>
    <w:rsid w:val="00F06701"/>
    <w:rsid w:val="00F06B81"/>
    <w:rsid w:val="00F06FC4"/>
    <w:rsid w:val="00F07185"/>
    <w:rsid w:val="00F071AA"/>
    <w:rsid w:val="00F072E3"/>
    <w:rsid w:val="00F0779A"/>
    <w:rsid w:val="00F0795B"/>
    <w:rsid w:val="00F07D06"/>
    <w:rsid w:val="00F07D29"/>
    <w:rsid w:val="00F07DA9"/>
    <w:rsid w:val="00F07EEB"/>
    <w:rsid w:val="00F10268"/>
    <w:rsid w:val="00F102DE"/>
    <w:rsid w:val="00F110FD"/>
    <w:rsid w:val="00F11539"/>
    <w:rsid w:val="00F11679"/>
    <w:rsid w:val="00F1178A"/>
    <w:rsid w:val="00F1192C"/>
    <w:rsid w:val="00F11994"/>
    <w:rsid w:val="00F11C14"/>
    <w:rsid w:val="00F11DEB"/>
    <w:rsid w:val="00F1212D"/>
    <w:rsid w:val="00F122F9"/>
    <w:rsid w:val="00F123DE"/>
    <w:rsid w:val="00F12623"/>
    <w:rsid w:val="00F12830"/>
    <w:rsid w:val="00F1293B"/>
    <w:rsid w:val="00F129B9"/>
    <w:rsid w:val="00F12D68"/>
    <w:rsid w:val="00F12F8B"/>
    <w:rsid w:val="00F1303A"/>
    <w:rsid w:val="00F132B8"/>
    <w:rsid w:val="00F132E3"/>
    <w:rsid w:val="00F13356"/>
    <w:rsid w:val="00F1350E"/>
    <w:rsid w:val="00F13632"/>
    <w:rsid w:val="00F137D2"/>
    <w:rsid w:val="00F1382E"/>
    <w:rsid w:val="00F13A7C"/>
    <w:rsid w:val="00F13ACB"/>
    <w:rsid w:val="00F13FE4"/>
    <w:rsid w:val="00F141F5"/>
    <w:rsid w:val="00F14326"/>
    <w:rsid w:val="00F145CC"/>
    <w:rsid w:val="00F1499E"/>
    <w:rsid w:val="00F14A58"/>
    <w:rsid w:val="00F14A66"/>
    <w:rsid w:val="00F1541C"/>
    <w:rsid w:val="00F15655"/>
    <w:rsid w:val="00F15C5B"/>
    <w:rsid w:val="00F15DD6"/>
    <w:rsid w:val="00F15E94"/>
    <w:rsid w:val="00F15F7A"/>
    <w:rsid w:val="00F162E2"/>
    <w:rsid w:val="00F164A0"/>
    <w:rsid w:val="00F1663B"/>
    <w:rsid w:val="00F1700E"/>
    <w:rsid w:val="00F171B2"/>
    <w:rsid w:val="00F1766E"/>
    <w:rsid w:val="00F17901"/>
    <w:rsid w:val="00F17A35"/>
    <w:rsid w:val="00F17FD1"/>
    <w:rsid w:val="00F20030"/>
    <w:rsid w:val="00F200C0"/>
    <w:rsid w:val="00F20303"/>
    <w:rsid w:val="00F206BD"/>
    <w:rsid w:val="00F208C3"/>
    <w:rsid w:val="00F2095C"/>
    <w:rsid w:val="00F2096A"/>
    <w:rsid w:val="00F20A11"/>
    <w:rsid w:val="00F20D37"/>
    <w:rsid w:val="00F20E53"/>
    <w:rsid w:val="00F2103C"/>
    <w:rsid w:val="00F21178"/>
    <w:rsid w:val="00F215EC"/>
    <w:rsid w:val="00F21AEF"/>
    <w:rsid w:val="00F21C70"/>
    <w:rsid w:val="00F22174"/>
    <w:rsid w:val="00F22815"/>
    <w:rsid w:val="00F22AD0"/>
    <w:rsid w:val="00F22B12"/>
    <w:rsid w:val="00F22E97"/>
    <w:rsid w:val="00F2306E"/>
    <w:rsid w:val="00F234F8"/>
    <w:rsid w:val="00F23724"/>
    <w:rsid w:val="00F2392F"/>
    <w:rsid w:val="00F23EA8"/>
    <w:rsid w:val="00F23FB8"/>
    <w:rsid w:val="00F24404"/>
    <w:rsid w:val="00F247B2"/>
    <w:rsid w:val="00F2484E"/>
    <w:rsid w:val="00F24987"/>
    <w:rsid w:val="00F24B6E"/>
    <w:rsid w:val="00F24F05"/>
    <w:rsid w:val="00F25061"/>
    <w:rsid w:val="00F2517C"/>
    <w:rsid w:val="00F2519C"/>
    <w:rsid w:val="00F252F4"/>
    <w:rsid w:val="00F256D6"/>
    <w:rsid w:val="00F25E87"/>
    <w:rsid w:val="00F26044"/>
    <w:rsid w:val="00F26158"/>
    <w:rsid w:val="00F26356"/>
    <w:rsid w:val="00F266C8"/>
    <w:rsid w:val="00F267E9"/>
    <w:rsid w:val="00F26930"/>
    <w:rsid w:val="00F26B16"/>
    <w:rsid w:val="00F26FD0"/>
    <w:rsid w:val="00F272C9"/>
    <w:rsid w:val="00F27336"/>
    <w:rsid w:val="00F27352"/>
    <w:rsid w:val="00F27549"/>
    <w:rsid w:val="00F2771B"/>
    <w:rsid w:val="00F27757"/>
    <w:rsid w:val="00F277F0"/>
    <w:rsid w:val="00F27A32"/>
    <w:rsid w:val="00F27CBE"/>
    <w:rsid w:val="00F27DDB"/>
    <w:rsid w:val="00F301C0"/>
    <w:rsid w:val="00F30631"/>
    <w:rsid w:val="00F30CA6"/>
    <w:rsid w:val="00F30FB9"/>
    <w:rsid w:val="00F31003"/>
    <w:rsid w:val="00F31070"/>
    <w:rsid w:val="00F3153B"/>
    <w:rsid w:val="00F31636"/>
    <w:rsid w:val="00F3174B"/>
    <w:rsid w:val="00F3200E"/>
    <w:rsid w:val="00F32297"/>
    <w:rsid w:val="00F3256B"/>
    <w:rsid w:val="00F326AB"/>
    <w:rsid w:val="00F32C57"/>
    <w:rsid w:val="00F32C6D"/>
    <w:rsid w:val="00F32F41"/>
    <w:rsid w:val="00F332AF"/>
    <w:rsid w:val="00F333C1"/>
    <w:rsid w:val="00F333CC"/>
    <w:rsid w:val="00F33445"/>
    <w:rsid w:val="00F33642"/>
    <w:rsid w:val="00F338CD"/>
    <w:rsid w:val="00F33AE8"/>
    <w:rsid w:val="00F33BFD"/>
    <w:rsid w:val="00F33C5B"/>
    <w:rsid w:val="00F33D86"/>
    <w:rsid w:val="00F34357"/>
    <w:rsid w:val="00F348A1"/>
    <w:rsid w:val="00F349A8"/>
    <w:rsid w:val="00F34A42"/>
    <w:rsid w:val="00F35047"/>
    <w:rsid w:val="00F353A2"/>
    <w:rsid w:val="00F354AC"/>
    <w:rsid w:val="00F357AF"/>
    <w:rsid w:val="00F35897"/>
    <w:rsid w:val="00F35948"/>
    <w:rsid w:val="00F35EA6"/>
    <w:rsid w:val="00F36152"/>
    <w:rsid w:val="00F36BD4"/>
    <w:rsid w:val="00F36CE8"/>
    <w:rsid w:val="00F36F2E"/>
    <w:rsid w:val="00F37013"/>
    <w:rsid w:val="00F37083"/>
    <w:rsid w:val="00F37128"/>
    <w:rsid w:val="00F3738C"/>
    <w:rsid w:val="00F37565"/>
    <w:rsid w:val="00F375BB"/>
    <w:rsid w:val="00F376A5"/>
    <w:rsid w:val="00F376DD"/>
    <w:rsid w:val="00F378BC"/>
    <w:rsid w:val="00F37A2F"/>
    <w:rsid w:val="00F37CF7"/>
    <w:rsid w:val="00F40486"/>
    <w:rsid w:val="00F40623"/>
    <w:rsid w:val="00F408B2"/>
    <w:rsid w:val="00F40B5A"/>
    <w:rsid w:val="00F40E08"/>
    <w:rsid w:val="00F40EE7"/>
    <w:rsid w:val="00F4121E"/>
    <w:rsid w:val="00F41798"/>
    <w:rsid w:val="00F41938"/>
    <w:rsid w:val="00F41A79"/>
    <w:rsid w:val="00F41DC6"/>
    <w:rsid w:val="00F41E2E"/>
    <w:rsid w:val="00F42753"/>
    <w:rsid w:val="00F428FE"/>
    <w:rsid w:val="00F42B29"/>
    <w:rsid w:val="00F42BC5"/>
    <w:rsid w:val="00F42D7E"/>
    <w:rsid w:val="00F430E2"/>
    <w:rsid w:val="00F4347F"/>
    <w:rsid w:val="00F436C4"/>
    <w:rsid w:val="00F43CA7"/>
    <w:rsid w:val="00F43D32"/>
    <w:rsid w:val="00F43D87"/>
    <w:rsid w:val="00F4410D"/>
    <w:rsid w:val="00F446D4"/>
    <w:rsid w:val="00F447F7"/>
    <w:rsid w:val="00F44840"/>
    <w:rsid w:val="00F448F8"/>
    <w:rsid w:val="00F44C49"/>
    <w:rsid w:val="00F44D32"/>
    <w:rsid w:val="00F451C8"/>
    <w:rsid w:val="00F4541E"/>
    <w:rsid w:val="00F45442"/>
    <w:rsid w:val="00F4569E"/>
    <w:rsid w:val="00F456FE"/>
    <w:rsid w:val="00F45837"/>
    <w:rsid w:val="00F45855"/>
    <w:rsid w:val="00F45F07"/>
    <w:rsid w:val="00F46422"/>
    <w:rsid w:val="00F46C97"/>
    <w:rsid w:val="00F46CE7"/>
    <w:rsid w:val="00F46D66"/>
    <w:rsid w:val="00F46E4C"/>
    <w:rsid w:val="00F4704F"/>
    <w:rsid w:val="00F47081"/>
    <w:rsid w:val="00F47260"/>
    <w:rsid w:val="00F476A0"/>
    <w:rsid w:val="00F47852"/>
    <w:rsid w:val="00F47853"/>
    <w:rsid w:val="00F47C74"/>
    <w:rsid w:val="00F50009"/>
    <w:rsid w:val="00F502FE"/>
    <w:rsid w:val="00F503E2"/>
    <w:rsid w:val="00F50477"/>
    <w:rsid w:val="00F50564"/>
    <w:rsid w:val="00F5056E"/>
    <w:rsid w:val="00F5093D"/>
    <w:rsid w:val="00F510D1"/>
    <w:rsid w:val="00F5143C"/>
    <w:rsid w:val="00F51D10"/>
    <w:rsid w:val="00F51E5D"/>
    <w:rsid w:val="00F51FCC"/>
    <w:rsid w:val="00F52464"/>
    <w:rsid w:val="00F52C2C"/>
    <w:rsid w:val="00F52C2F"/>
    <w:rsid w:val="00F52DFA"/>
    <w:rsid w:val="00F533AB"/>
    <w:rsid w:val="00F5354B"/>
    <w:rsid w:val="00F5394A"/>
    <w:rsid w:val="00F53CD0"/>
    <w:rsid w:val="00F53D51"/>
    <w:rsid w:val="00F53DF6"/>
    <w:rsid w:val="00F54232"/>
    <w:rsid w:val="00F54779"/>
    <w:rsid w:val="00F54B07"/>
    <w:rsid w:val="00F55033"/>
    <w:rsid w:val="00F5515D"/>
    <w:rsid w:val="00F551BA"/>
    <w:rsid w:val="00F552CD"/>
    <w:rsid w:val="00F5539B"/>
    <w:rsid w:val="00F555E5"/>
    <w:rsid w:val="00F55AC2"/>
    <w:rsid w:val="00F55BC6"/>
    <w:rsid w:val="00F56310"/>
    <w:rsid w:val="00F5658B"/>
    <w:rsid w:val="00F56C45"/>
    <w:rsid w:val="00F56D27"/>
    <w:rsid w:val="00F5773D"/>
    <w:rsid w:val="00F5786B"/>
    <w:rsid w:val="00F57C32"/>
    <w:rsid w:val="00F57C57"/>
    <w:rsid w:val="00F57D7A"/>
    <w:rsid w:val="00F57EC9"/>
    <w:rsid w:val="00F6000E"/>
    <w:rsid w:val="00F603B2"/>
    <w:rsid w:val="00F607CB"/>
    <w:rsid w:val="00F60868"/>
    <w:rsid w:val="00F60886"/>
    <w:rsid w:val="00F60B09"/>
    <w:rsid w:val="00F60B31"/>
    <w:rsid w:val="00F60FCD"/>
    <w:rsid w:val="00F61375"/>
    <w:rsid w:val="00F613DA"/>
    <w:rsid w:val="00F61891"/>
    <w:rsid w:val="00F61AF0"/>
    <w:rsid w:val="00F61AFB"/>
    <w:rsid w:val="00F61BAB"/>
    <w:rsid w:val="00F61D34"/>
    <w:rsid w:val="00F61D4B"/>
    <w:rsid w:val="00F61DC1"/>
    <w:rsid w:val="00F61E3B"/>
    <w:rsid w:val="00F61EB1"/>
    <w:rsid w:val="00F61FD0"/>
    <w:rsid w:val="00F62270"/>
    <w:rsid w:val="00F625EF"/>
    <w:rsid w:val="00F62DB6"/>
    <w:rsid w:val="00F630FE"/>
    <w:rsid w:val="00F63195"/>
    <w:rsid w:val="00F63360"/>
    <w:rsid w:val="00F6337F"/>
    <w:rsid w:val="00F635A2"/>
    <w:rsid w:val="00F63616"/>
    <w:rsid w:val="00F63821"/>
    <w:rsid w:val="00F63942"/>
    <w:rsid w:val="00F63AD5"/>
    <w:rsid w:val="00F63C7D"/>
    <w:rsid w:val="00F63D52"/>
    <w:rsid w:val="00F63F39"/>
    <w:rsid w:val="00F63F81"/>
    <w:rsid w:val="00F64095"/>
    <w:rsid w:val="00F6435E"/>
    <w:rsid w:val="00F64BBC"/>
    <w:rsid w:val="00F64F07"/>
    <w:rsid w:val="00F650FB"/>
    <w:rsid w:val="00F6552B"/>
    <w:rsid w:val="00F657B5"/>
    <w:rsid w:val="00F65B67"/>
    <w:rsid w:val="00F65DF8"/>
    <w:rsid w:val="00F65F4F"/>
    <w:rsid w:val="00F65FBB"/>
    <w:rsid w:val="00F66310"/>
    <w:rsid w:val="00F66544"/>
    <w:rsid w:val="00F66667"/>
    <w:rsid w:val="00F667BF"/>
    <w:rsid w:val="00F668C2"/>
    <w:rsid w:val="00F669B3"/>
    <w:rsid w:val="00F66E1D"/>
    <w:rsid w:val="00F66FE1"/>
    <w:rsid w:val="00F66FEC"/>
    <w:rsid w:val="00F672F0"/>
    <w:rsid w:val="00F673A9"/>
    <w:rsid w:val="00F6770C"/>
    <w:rsid w:val="00F67A49"/>
    <w:rsid w:val="00F67A6A"/>
    <w:rsid w:val="00F67AA2"/>
    <w:rsid w:val="00F67ACB"/>
    <w:rsid w:val="00F67EB9"/>
    <w:rsid w:val="00F67F69"/>
    <w:rsid w:val="00F7083C"/>
    <w:rsid w:val="00F70863"/>
    <w:rsid w:val="00F70A81"/>
    <w:rsid w:val="00F70B82"/>
    <w:rsid w:val="00F71361"/>
    <w:rsid w:val="00F719CC"/>
    <w:rsid w:val="00F71B50"/>
    <w:rsid w:val="00F71E72"/>
    <w:rsid w:val="00F720A1"/>
    <w:rsid w:val="00F72166"/>
    <w:rsid w:val="00F72200"/>
    <w:rsid w:val="00F72281"/>
    <w:rsid w:val="00F722A7"/>
    <w:rsid w:val="00F724B6"/>
    <w:rsid w:val="00F724F1"/>
    <w:rsid w:val="00F72699"/>
    <w:rsid w:val="00F72785"/>
    <w:rsid w:val="00F72A4D"/>
    <w:rsid w:val="00F72C75"/>
    <w:rsid w:val="00F72D61"/>
    <w:rsid w:val="00F72E32"/>
    <w:rsid w:val="00F730A3"/>
    <w:rsid w:val="00F732E7"/>
    <w:rsid w:val="00F7344D"/>
    <w:rsid w:val="00F7347B"/>
    <w:rsid w:val="00F73869"/>
    <w:rsid w:val="00F739F4"/>
    <w:rsid w:val="00F73BF0"/>
    <w:rsid w:val="00F73C5F"/>
    <w:rsid w:val="00F73D05"/>
    <w:rsid w:val="00F74161"/>
    <w:rsid w:val="00F742B8"/>
    <w:rsid w:val="00F7435A"/>
    <w:rsid w:val="00F74650"/>
    <w:rsid w:val="00F7476F"/>
    <w:rsid w:val="00F747EB"/>
    <w:rsid w:val="00F74824"/>
    <w:rsid w:val="00F74CC1"/>
    <w:rsid w:val="00F74DB2"/>
    <w:rsid w:val="00F74F3A"/>
    <w:rsid w:val="00F74FD0"/>
    <w:rsid w:val="00F750A5"/>
    <w:rsid w:val="00F750DB"/>
    <w:rsid w:val="00F7543D"/>
    <w:rsid w:val="00F75755"/>
    <w:rsid w:val="00F75A29"/>
    <w:rsid w:val="00F75A47"/>
    <w:rsid w:val="00F75C9C"/>
    <w:rsid w:val="00F75E5B"/>
    <w:rsid w:val="00F766B2"/>
    <w:rsid w:val="00F766B6"/>
    <w:rsid w:val="00F76732"/>
    <w:rsid w:val="00F7682E"/>
    <w:rsid w:val="00F76C96"/>
    <w:rsid w:val="00F76F41"/>
    <w:rsid w:val="00F770C9"/>
    <w:rsid w:val="00F77334"/>
    <w:rsid w:val="00F776EF"/>
    <w:rsid w:val="00F802C5"/>
    <w:rsid w:val="00F80B42"/>
    <w:rsid w:val="00F80BEA"/>
    <w:rsid w:val="00F80E22"/>
    <w:rsid w:val="00F8116D"/>
    <w:rsid w:val="00F81186"/>
    <w:rsid w:val="00F81276"/>
    <w:rsid w:val="00F81384"/>
    <w:rsid w:val="00F8146C"/>
    <w:rsid w:val="00F816F1"/>
    <w:rsid w:val="00F81964"/>
    <w:rsid w:val="00F81A7A"/>
    <w:rsid w:val="00F81D1F"/>
    <w:rsid w:val="00F81DAE"/>
    <w:rsid w:val="00F8219A"/>
    <w:rsid w:val="00F823BB"/>
    <w:rsid w:val="00F824BB"/>
    <w:rsid w:val="00F8292E"/>
    <w:rsid w:val="00F82CF2"/>
    <w:rsid w:val="00F82D22"/>
    <w:rsid w:val="00F82FDC"/>
    <w:rsid w:val="00F83060"/>
    <w:rsid w:val="00F83629"/>
    <w:rsid w:val="00F83789"/>
    <w:rsid w:val="00F837BA"/>
    <w:rsid w:val="00F83F8A"/>
    <w:rsid w:val="00F8400C"/>
    <w:rsid w:val="00F8405B"/>
    <w:rsid w:val="00F842A7"/>
    <w:rsid w:val="00F843EE"/>
    <w:rsid w:val="00F84467"/>
    <w:rsid w:val="00F84A7D"/>
    <w:rsid w:val="00F84ADC"/>
    <w:rsid w:val="00F84B44"/>
    <w:rsid w:val="00F84C23"/>
    <w:rsid w:val="00F84D1D"/>
    <w:rsid w:val="00F84DED"/>
    <w:rsid w:val="00F84E23"/>
    <w:rsid w:val="00F850B5"/>
    <w:rsid w:val="00F8519A"/>
    <w:rsid w:val="00F853D5"/>
    <w:rsid w:val="00F8554F"/>
    <w:rsid w:val="00F8607C"/>
    <w:rsid w:val="00F86088"/>
    <w:rsid w:val="00F860D6"/>
    <w:rsid w:val="00F861E6"/>
    <w:rsid w:val="00F864EE"/>
    <w:rsid w:val="00F865AC"/>
    <w:rsid w:val="00F866D1"/>
    <w:rsid w:val="00F868BC"/>
    <w:rsid w:val="00F86A01"/>
    <w:rsid w:val="00F86A50"/>
    <w:rsid w:val="00F86C66"/>
    <w:rsid w:val="00F86E3E"/>
    <w:rsid w:val="00F86F3F"/>
    <w:rsid w:val="00F86FAB"/>
    <w:rsid w:val="00F86FF7"/>
    <w:rsid w:val="00F877D5"/>
    <w:rsid w:val="00F87906"/>
    <w:rsid w:val="00F87A7B"/>
    <w:rsid w:val="00F87AD8"/>
    <w:rsid w:val="00F87E1C"/>
    <w:rsid w:val="00F87EA6"/>
    <w:rsid w:val="00F87EFB"/>
    <w:rsid w:val="00F87F62"/>
    <w:rsid w:val="00F87F93"/>
    <w:rsid w:val="00F90049"/>
    <w:rsid w:val="00F903A5"/>
    <w:rsid w:val="00F903CC"/>
    <w:rsid w:val="00F9060D"/>
    <w:rsid w:val="00F90860"/>
    <w:rsid w:val="00F90C3F"/>
    <w:rsid w:val="00F90D6F"/>
    <w:rsid w:val="00F90D72"/>
    <w:rsid w:val="00F90DA8"/>
    <w:rsid w:val="00F91190"/>
    <w:rsid w:val="00F91221"/>
    <w:rsid w:val="00F91487"/>
    <w:rsid w:val="00F9186A"/>
    <w:rsid w:val="00F919E3"/>
    <w:rsid w:val="00F91B74"/>
    <w:rsid w:val="00F91C50"/>
    <w:rsid w:val="00F91F1B"/>
    <w:rsid w:val="00F9200E"/>
    <w:rsid w:val="00F9252A"/>
    <w:rsid w:val="00F9285C"/>
    <w:rsid w:val="00F928EA"/>
    <w:rsid w:val="00F92C55"/>
    <w:rsid w:val="00F92F51"/>
    <w:rsid w:val="00F92F76"/>
    <w:rsid w:val="00F931DE"/>
    <w:rsid w:val="00F93319"/>
    <w:rsid w:val="00F9344F"/>
    <w:rsid w:val="00F93595"/>
    <w:rsid w:val="00F93A63"/>
    <w:rsid w:val="00F93DB8"/>
    <w:rsid w:val="00F93E4D"/>
    <w:rsid w:val="00F941E0"/>
    <w:rsid w:val="00F948CD"/>
    <w:rsid w:val="00F94925"/>
    <w:rsid w:val="00F94C3E"/>
    <w:rsid w:val="00F94CEB"/>
    <w:rsid w:val="00F94D16"/>
    <w:rsid w:val="00F95064"/>
    <w:rsid w:val="00F9548D"/>
    <w:rsid w:val="00F95B23"/>
    <w:rsid w:val="00F95E7B"/>
    <w:rsid w:val="00F962D6"/>
    <w:rsid w:val="00F96303"/>
    <w:rsid w:val="00F9631C"/>
    <w:rsid w:val="00F96327"/>
    <w:rsid w:val="00F96453"/>
    <w:rsid w:val="00F968D4"/>
    <w:rsid w:val="00F96A10"/>
    <w:rsid w:val="00F96C87"/>
    <w:rsid w:val="00F97586"/>
    <w:rsid w:val="00F976BA"/>
    <w:rsid w:val="00F97B4F"/>
    <w:rsid w:val="00FA0051"/>
    <w:rsid w:val="00FA0228"/>
    <w:rsid w:val="00FA0487"/>
    <w:rsid w:val="00FA0578"/>
    <w:rsid w:val="00FA08F8"/>
    <w:rsid w:val="00FA0DF7"/>
    <w:rsid w:val="00FA10CC"/>
    <w:rsid w:val="00FA13D0"/>
    <w:rsid w:val="00FA13D6"/>
    <w:rsid w:val="00FA1712"/>
    <w:rsid w:val="00FA183D"/>
    <w:rsid w:val="00FA18B3"/>
    <w:rsid w:val="00FA1911"/>
    <w:rsid w:val="00FA1C3B"/>
    <w:rsid w:val="00FA2BA7"/>
    <w:rsid w:val="00FA33F7"/>
    <w:rsid w:val="00FA3811"/>
    <w:rsid w:val="00FA3E14"/>
    <w:rsid w:val="00FA40E9"/>
    <w:rsid w:val="00FA42B5"/>
    <w:rsid w:val="00FA47B6"/>
    <w:rsid w:val="00FA48E5"/>
    <w:rsid w:val="00FA49CA"/>
    <w:rsid w:val="00FA4B52"/>
    <w:rsid w:val="00FA4C85"/>
    <w:rsid w:val="00FA4EA0"/>
    <w:rsid w:val="00FA4EAE"/>
    <w:rsid w:val="00FA4FC7"/>
    <w:rsid w:val="00FA50DD"/>
    <w:rsid w:val="00FA50F0"/>
    <w:rsid w:val="00FA5202"/>
    <w:rsid w:val="00FA565A"/>
    <w:rsid w:val="00FA68B1"/>
    <w:rsid w:val="00FA6E6D"/>
    <w:rsid w:val="00FA6F32"/>
    <w:rsid w:val="00FA7020"/>
    <w:rsid w:val="00FA7186"/>
    <w:rsid w:val="00FA7283"/>
    <w:rsid w:val="00FA7368"/>
    <w:rsid w:val="00FA7375"/>
    <w:rsid w:val="00FA7A1E"/>
    <w:rsid w:val="00FA7A88"/>
    <w:rsid w:val="00FA7C09"/>
    <w:rsid w:val="00FA7EB7"/>
    <w:rsid w:val="00FB011D"/>
    <w:rsid w:val="00FB01FE"/>
    <w:rsid w:val="00FB037F"/>
    <w:rsid w:val="00FB057B"/>
    <w:rsid w:val="00FB058A"/>
    <w:rsid w:val="00FB05A8"/>
    <w:rsid w:val="00FB070F"/>
    <w:rsid w:val="00FB0BD7"/>
    <w:rsid w:val="00FB109B"/>
    <w:rsid w:val="00FB10D6"/>
    <w:rsid w:val="00FB111C"/>
    <w:rsid w:val="00FB1121"/>
    <w:rsid w:val="00FB12C4"/>
    <w:rsid w:val="00FB15B7"/>
    <w:rsid w:val="00FB19A7"/>
    <w:rsid w:val="00FB19B4"/>
    <w:rsid w:val="00FB1EC2"/>
    <w:rsid w:val="00FB211F"/>
    <w:rsid w:val="00FB215B"/>
    <w:rsid w:val="00FB2261"/>
    <w:rsid w:val="00FB2330"/>
    <w:rsid w:val="00FB2787"/>
    <w:rsid w:val="00FB27D9"/>
    <w:rsid w:val="00FB2BD6"/>
    <w:rsid w:val="00FB30A0"/>
    <w:rsid w:val="00FB34CD"/>
    <w:rsid w:val="00FB373B"/>
    <w:rsid w:val="00FB376D"/>
    <w:rsid w:val="00FB37B4"/>
    <w:rsid w:val="00FB3A64"/>
    <w:rsid w:val="00FB3BFC"/>
    <w:rsid w:val="00FB3C96"/>
    <w:rsid w:val="00FB3D54"/>
    <w:rsid w:val="00FB3ED5"/>
    <w:rsid w:val="00FB417F"/>
    <w:rsid w:val="00FB44E6"/>
    <w:rsid w:val="00FB4535"/>
    <w:rsid w:val="00FB4C28"/>
    <w:rsid w:val="00FB4CC7"/>
    <w:rsid w:val="00FB4D7F"/>
    <w:rsid w:val="00FB4E26"/>
    <w:rsid w:val="00FB51FE"/>
    <w:rsid w:val="00FB521E"/>
    <w:rsid w:val="00FB561F"/>
    <w:rsid w:val="00FB58B5"/>
    <w:rsid w:val="00FB59A5"/>
    <w:rsid w:val="00FB5BAE"/>
    <w:rsid w:val="00FB6024"/>
    <w:rsid w:val="00FB6534"/>
    <w:rsid w:val="00FB6899"/>
    <w:rsid w:val="00FB695D"/>
    <w:rsid w:val="00FB69D5"/>
    <w:rsid w:val="00FB6BD8"/>
    <w:rsid w:val="00FB6BD9"/>
    <w:rsid w:val="00FB6BDB"/>
    <w:rsid w:val="00FB6D65"/>
    <w:rsid w:val="00FB6EDB"/>
    <w:rsid w:val="00FB7022"/>
    <w:rsid w:val="00FB735C"/>
    <w:rsid w:val="00FB7A20"/>
    <w:rsid w:val="00FB7B62"/>
    <w:rsid w:val="00FB7C5B"/>
    <w:rsid w:val="00FC00DA"/>
    <w:rsid w:val="00FC01ED"/>
    <w:rsid w:val="00FC060C"/>
    <w:rsid w:val="00FC0759"/>
    <w:rsid w:val="00FC08A5"/>
    <w:rsid w:val="00FC08A6"/>
    <w:rsid w:val="00FC0CC2"/>
    <w:rsid w:val="00FC0D28"/>
    <w:rsid w:val="00FC0E46"/>
    <w:rsid w:val="00FC10D0"/>
    <w:rsid w:val="00FC13CF"/>
    <w:rsid w:val="00FC13D3"/>
    <w:rsid w:val="00FC1709"/>
    <w:rsid w:val="00FC1839"/>
    <w:rsid w:val="00FC2068"/>
    <w:rsid w:val="00FC2328"/>
    <w:rsid w:val="00FC23C0"/>
    <w:rsid w:val="00FC25DB"/>
    <w:rsid w:val="00FC266C"/>
    <w:rsid w:val="00FC282A"/>
    <w:rsid w:val="00FC2B11"/>
    <w:rsid w:val="00FC2C1D"/>
    <w:rsid w:val="00FC34AD"/>
    <w:rsid w:val="00FC38D9"/>
    <w:rsid w:val="00FC398A"/>
    <w:rsid w:val="00FC3CA0"/>
    <w:rsid w:val="00FC3FE4"/>
    <w:rsid w:val="00FC4174"/>
    <w:rsid w:val="00FC42FE"/>
    <w:rsid w:val="00FC430A"/>
    <w:rsid w:val="00FC446A"/>
    <w:rsid w:val="00FC480B"/>
    <w:rsid w:val="00FC4908"/>
    <w:rsid w:val="00FC49CC"/>
    <w:rsid w:val="00FC4C62"/>
    <w:rsid w:val="00FC5125"/>
    <w:rsid w:val="00FC51A5"/>
    <w:rsid w:val="00FC5219"/>
    <w:rsid w:val="00FC52F6"/>
    <w:rsid w:val="00FC53EB"/>
    <w:rsid w:val="00FC55CD"/>
    <w:rsid w:val="00FC5756"/>
    <w:rsid w:val="00FC5C26"/>
    <w:rsid w:val="00FC5D03"/>
    <w:rsid w:val="00FC5D78"/>
    <w:rsid w:val="00FC5E59"/>
    <w:rsid w:val="00FC5E98"/>
    <w:rsid w:val="00FC5F56"/>
    <w:rsid w:val="00FC6197"/>
    <w:rsid w:val="00FC6476"/>
    <w:rsid w:val="00FC6531"/>
    <w:rsid w:val="00FC68F9"/>
    <w:rsid w:val="00FC6984"/>
    <w:rsid w:val="00FC6A7E"/>
    <w:rsid w:val="00FC6ABF"/>
    <w:rsid w:val="00FC6BF3"/>
    <w:rsid w:val="00FC6EE8"/>
    <w:rsid w:val="00FC719E"/>
    <w:rsid w:val="00FC7251"/>
    <w:rsid w:val="00FC733A"/>
    <w:rsid w:val="00FC797D"/>
    <w:rsid w:val="00FC7F1E"/>
    <w:rsid w:val="00FD0361"/>
    <w:rsid w:val="00FD03F6"/>
    <w:rsid w:val="00FD0AA1"/>
    <w:rsid w:val="00FD0AC1"/>
    <w:rsid w:val="00FD0C79"/>
    <w:rsid w:val="00FD0DE7"/>
    <w:rsid w:val="00FD1778"/>
    <w:rsid w:val="00FD1830"/>
    <w:rsid w:val="00FD194C"/>
    <w:rsid w:val="00FD2404"/>
    <w:rsid w:val="00FD270A"/>
    <w:rsid w:val="00FD2722"/>
    <w:rsid w:val="00FD2A1D"/>
    <w:rsid w:val="00FD2BA5"/>
    <w:rsid w:val="00FD35ED"/>
    <w:rsid w:val="00FD388B"/>
    <w:rsid w:val="00FD4066"/>
    <w:rsid w:val="00FD438A"/>
    <w:rsid w:val="00FD460C"/>
    <w:rsid w:val="00FD4624"/>
    <w:rsid w:val="00FD4670"/>
    <w:rsid w:val="00FD46A5"/>
    <w:rsid w:val="00FD480F"/>
    <w:rsid w:val="00FD4B07"/>
    <w:rsid w:val="00FD4B1E"/>
    <w:rsid w:val="00FD4EA4"/>
    <w:rsid w:val="00FD4F22"/>
    <w:rsid w:val="00FD5123"/>
    <w:rsid w:val="00FD52FE"/>
    <w:rsid w:val="00FD53FC"/>
    <w:rsid w:val="00FD591E"/>
    <w:rsid w:val="00FD5982"/>
    <w:rsid w:val="00FD5B38"/>
    <w:rsid w:val="00FD5D95"/>
    <w:rsid w:val="00FD61BF"/>
    <w:rsid w:val="00FD61D6"/>
    <w:rsid w:val="00FD62BB"/>
    <w:rsid w:val="00FD6707"/>
    <w:rsid w:val="00FD6798"/>
    <w:rsid w:val="00FD6B5D"/>
    <w:rsid w:val="00FD738B"/>
    <w:rsid w:val="00FD752D"/>
    <w:rsid w:val="00FD791F"/>
    <w:rsid w:val="00FD79CC"/>
    <w:rsid w:val="00FD7A2C"/>
    <w:rsid w:val="00FD7C37"/>
    <w:rsid w:val="00FD7F9C"/>
    <w:rsid w:val="00FE04E4"/>
    <w:rsid w:val="00FE06EF"/>
    <w:rsid w:val="00FE09D3"/>
    <w:rsid w:val="00FE0A15"/>
    <w:rsid w:val="00FE0C0B"/>
    <w:rsid w:val="00FE0D30"/>
    <w:rsid w:val="00FE12FD"/>
    <w:rsid w:val="00FE141D"/>
    <w:rsid w:val="00FE17BF"/>
    <w:rsid w:val="00FE189C"/>
    <w:rsid w:val="00FE198F"/>
    <w:rsid w:val="00FE1A9B"/>
    <w:rsid w:val="00FE1B63"/>
    <w:rsid w:val="00FE1B9D"/>
    <w:rsid w:val="00FE1C37"/>
    <w:rsid w:val="00FE1D6A"/>
    <w:rsid w:val="00FE204B"/>
    <w:rsid w:val="00FE208D"/>
    <w:rsid w:val="00FE2452"/>
    <w:rsid w:val="00FE27A6"/>
    <w:rsid w:val="00FE2AE8"/>
    <w:rsid w:val="00FE2B5D"/>
    <w:rsid w:val="00FE35A1"/>
    <w:rsid w:val="00FE3AFC"/>
    <w:rsid w:val="00FE3B1B"/>
    <w:rsid w:val="00FE3B5C"/>
    <w:rsid w:val="00FE3C9D"/>
    <w:rsid w:val="00FE412F"/>
    <w:rsid w:val="00FE43AC"/>
    <w:rsid w:val="00FE474A"/>
    <w:rsid w:val="00FE4EA6"/>
    <w:rsid w:val="00FE521B"/>
    <w:rsid w:val="00FE538F"/>
    <w:rsid w:val="00FE5533"/>
    <w:rsid w:val="00FE5B1A"/>
    <w:rsid w:val="00FE61BF"/>
    <w:rsid w:val="00FE6276"/>
    <w:rsid w:val="00FE6A0D"/>
    <w:rsid w:val="00FE6C42"/>
    <w:rsid w:val="00FE7253"/>
    <w:rsid w:val="00FE73ED"/>
    <w:rsid w:val="00FE7568"/>
    <w:rsid w:val="00FE778D"/>
    <w:rsid w:val="00FE79F9"/>
    <w:rsid w:val="00FE7B83"/>
    <w:rsid w:val="00FE7D29"/>
    <w:rsid w:val="00FF0467"/>
    <w:rsid w:val="00FF05DF"/>
    <w:rsid w:val="00FF07C8"/>
    <w:rsid w:val="00FF09D6"/>
    <w:rsid w:val="00FF0C6F"/>
    <w:rsid w:val="00FF0F9D"/>
    <w:rsid w:val="00FF12AB"/>
    <w:rsid w:val="00FF12EE"/>
    <w:rsid w:val="00FF1316"/>
    <w:rsid w:val="00FF15B6"/>
    <w:rsid w:val="00FF16D2"/>
    <w:rsid w:val="00FF1906"/>
    <w:rsid w:val="00FF1E48"/>
    <w:rsid w:val="00FF1E94"/>
    <w:rsid w:val="00FF1EFA"/>
    <w:rsid w:val="00FF2409"/>
    <w:rsid w:val="00FF26FF"/>
    <w:rsid w:val="00FF2C45"/>
    <w:rsid w:val="00FF2F1E"/>
    <w:rsid w:val="00FF3465"/>
    <w:rsid w:val="00FF3633"/>
    <w:rsid w:val="00FF3C26"/>
    <w:rsid w:val="00FF402F"/>
    <w:rsid w:val="00FF4107"/>
    <w:rsid w:val="00FF4392"/>
    <w:rsid w:val="00FF46F1"/>
    <w:rsid w:val="00FF4A08"/>
    <w:rsid w:val="00FF4A3E"/>
    <w:rsid w:val="00FF4C27"/>
    <w:rsid w:val="00FF4E2B"/>
    <w:rsid w:val="00FF4F04"/>
    <w:rsid w:val="00FF5149"/>
    <w:rsid w:val="00FF57F1"/>
    <w:rsid w:val="00FF597F"/>
    <w:rsid w:val="00FF6000"/>
    <w:rsid w:val="00FF6161"/>
    <w:rsid w:val="00FF61C7"/>
    <w:rsid w:val="00FF62E0"/>
    <w:rsid w:val="00FF63AF"/>
    <w:rsid w:val="00FF647A"/>
    <w:rsid w:val="00FF65A7"/>
    <w:rsid w:val="00FF6739"/>
    <w:rsid w:val="00FF6B17"/>
    <w:rsid w:val="00FF6B5C"/>
    <w:rsid w:val="00FF6D3F"/>
    <w:rsid w:val="00FF6E7F"/>
    <w:rsid w:val="00FF7016"/>
    <w:rsid w:val="00FF70E7"/>
    <w:rsid w:val="00FF7178"/>
    <w:rsid w:val="00FF71E3"/>
    <w:rsid w:val="00FF7576"/>
    <w:rsid w:val="00FF77A5"/>
    <w:rsid w:val="00FF79A5"/>
    <w:rsid w:val="00FF7D07"/>
    <w:rsid w:val="00FF7D28"/>
    <w:rsid w:val="00FF7EB8"/>
    <w:rsid w:val="0101D611"/>
    <w:rsid w:val="0150F4CD"/>
    <w:rsid w:val="01515BCD"/>
    <w:rsid w:val="01A72767"/>
    <w:rsid w:val="01A8E8AF"/>
    <w:rsid w:val="01ACE764"/>
    <w:rsid w:val="01C2516D"/>
    <w:rsid w:val="01E9E261"/>
    <w:rsid w:val="01FCE044"/>
    <w:rsid w:val="024665E0"/>
    <w:rsid w:val="026F08B7"/>
    <w:rsid w:val="0278E0AF"/>
    <w:rsid w:val="02797DBA"/>
    <w:rsid w:val="02AE1478"/>
    <w:rsid w:val="02B18BD0"/>
    <w:rsid w:val="030338C2"/>
    <w:rsid w:val="030CEE87"/>
    <w:rsid w:val="03172D11"/>
    <w:rsid w:val="03186AD7"/>
    <w:rsid w:val="03421B69"/>
    <w:rsid w:val="037047DB"/>
    <w:rsid w:val="037FB601"/>
    <w:rsid w:val="03C5B072"/>
    <w:rsid w:val="03DAF022"/>
    <w:rsid w:val="04127DE4"/>
    <w:rsid w:val="0414B283"/>
    <w:rsid w:val="041F52BE"/>
    <w:rsid w:val="0420F27E"/>
    <w:rsid w:val="0426CE94"/>
    <w:rsid w:val="043702C8"/>
    <w:rsid w:val="043976D3"/>
    <w:rsid w:val="0441A665"/>
    <w:rsid w:val="0457A15A"/>
    <w:rsid w:val="0472B5EF"/>
    <w:rsid w:val="04A8BEE8"/>
    <w:rsid w:val="04D82A4E"/>
    <w:rsid w:val="050D224C"/>
    <w:rsid w:val="051BD174"/>
    <w:rsid w:val="05254C40"/>
    <w:rsid w:val="0537D19E"/>
    <w:rsid w:val="05499BCD"/>
    <w:rsid w:val="0551D974"/>
    <w:rsid w:val="056CA4DC"/>
    <w:rsid w:val="059601AF"/>
    <w:rsid w:val="05C27782"/>
    <w:rsid w:val="05D11745"/>
    <w:rsid w:val="06366450"/>
    <w:rsid w:val="0646965F"/>
    <w:rsid w:val="0666EBD5"/>
    <w:rsid w:val="06A0D76D"/>
    <w:rsid w:val="06A3BF5D"/>
    <w:rsid w:val="06AD427C"/>
    <w:rsid w:val="06CB7FD3"/>
    <w:rsid w:val="06ECBAAC"/>
    <w:rsid w:val="06F3DF1E"/>
    <w:rsid w:val="073A93B4"/>
    <w:rsid w:val="073BD5E8"/>
    <w:rsid w:val="07493870"/>
    <w:rsid w:val="075F2698"/>
    <w:rsid w:val="076A4049"/>
    <w:rsid w:val="0795F70A"/>
    <w:rsid w:val="079A9C4E"/>
    <w:rsid w:val="07A44C23"/>
    <w:rsid w:val="07AE6995"/>
    <w:rsid w:val="07E8185C"/>
    <w:rsid w:val="07FD0724"/>
    <w:rsid w:val="080D10FD"/>
    <w:rsid w:val="080EDC72"/>
    <w:rsid w:val="083E7DCC"/>
    <w:rsid w:val="08734F73"/>
    <w:rsid w:val="08A35F88"/>
    <w:rsid w:val="08B27DF9"/>
    <w:rsid w:val="08D9A05F"/>
    <w:rsid w:val="08DC25B3"/>
    <w:rsid w:val="08E7BA83"/>
    <w:rsid w:val="08EAC561"/>
    <w:rsid w:val="08F9A5CB"/>
    <w:rsid w:val="08FFF23D"/>
    <w:rsid w:val="090A95FD"/>
    <w:rsid w:val="090CE7F6"/>
    <w:rsid w:val="09230657"/>
    <w:rsid w:val="09259377"/>
    <w:rsid w:val="094A537E"/>
    <w:rsid w:val="094F0FBC"/>
    <w:rsid w:val="0955D9CF"/>
    <w:rsid w:val="098B07D6"/>
    <w:rsid w:val="0A23C2A7"/>
    <w:rsid w:val="0A514949"/>
    <w:rsid w:val="0A88F88E"/>
    <w:rsid w:val="0A8951D7"/>
    <w:rsid w:val="0A8F8FFA"/>
    <w:rsid w:val="0AAF0A92"/>
    <w:rsid w:val="0ACA42FC"/>
    <w:rsid w:val="0ACD97CC"/>
    <w:rsid w:val="0AF970F6"/>
    <w:rsid w:val="0B581CDA"/>
    <w:rsid w:val="0B6461AF"/>
    <w:rsid w:val="0B69332D"/>
    <w:rsid w:val="0B90C07A"/>
    <w:rsid w:val="0BC944A9"/>
    <w:rsid w:val="0BD20AD1"/>
    <w:rsid w:val="0BF7711B"/>
    <w:rsid w:val="0BF77978"/>
    <w:rsid w:val="0BFDB536"/>
    <w:rsid w:val="0C0FCEAD"/>
    <w:rsid w:val="0C12FAED"/>
    <w:rsid w:val="0C1A329F"/>
    <w:rsid w:val="0C4217CF"/>
    <w:rsid w:val="0C69635B"/>
    <w:rsid w:val="0C75D0C5"/>
    <w:rsid w:val="0C8805E6"/>
    <w:rsid w:val="0CB5C28C"/>
    <w:rsid w:val="0CCB6888"/>
    <w:rsid w:val="0CE673AC"/>
    <w:rsid w:val="0CF20FA1"/>
    <w:rsid w:val="0CFCB33E"/>
    <w:rsid w:val="0D018E94"/>
    <w:rsid w:val="0D55EDAD"/>
    <w:rsid w:val="0D6BC850"/>
    <w:rsid w:val="0D83D302"/>
    <w:rsid w:val="0D8B25BA"/>
    <w:rsid w:val="0D9AC72F"/>
    <w:rsid w:val="0DA8A56D"/>
    <w:rsid w:val="0DC6777D"/>
    <w:rsid w:val="0DC79B01"/>
    <w:rsid w:val="0E071E41"/>
    <w:rsid w:val="0E226BAF"/>
    <w:rsid w:val="0E2413B8"/>
    <w:rsid w:val="0E27D256"/>
    <w:rsid w:val="0E38F0B6"/>
    <w:rsid w:val="0E6949A0"/>
    <w:rsid w:val="0E7B99D0"/>
    <w:rsid w:val="0E91150C"/>
    <w:rsid w:val="0EB30629"/>
    <w:rsid w:val="0EB931ED"/>
    <w:rsid w:val="0F0B7D19"/>
    <w:rsid w:val="0F2A4482"/>
    <w:rsid w:val="0F3194EA"/>
    <w:rsid w:val="0F32F3C5"/>
    <w:rsid w:val="0F3555F8"/>
    <w:rsid w:val="0F4F88B9"/>
    <w:rsid w:val="0F76E67B"/>
    <w:rsid w:val="0F82C655"/>
    <w:rsid w:val="0FADAE1A"/>
    <w:rsid w:val="0FB36C1B"/>
    <w:rsid w:val="0FB47018"/>
    <w:rsid w:val="0FC4B1DC"/>
    <w:rsid w:val="0FF487DE"/>
    <w:rsid w:val="100942AA"/>
    <w:rsid w:val="1043462A"/>
    <w:rsid w:val="108E16F4"/>
    <w:rsid w:val="108F213F"/>
    <w:rsid w:val="10A23DC4"/>
    <w:rsid w:val="10AF137A"/>
    <w:rsid w:val="10B2DE7C"/>
    <w:rsid w:val="1139FE40"/>
    <w:rsid w:val="115EF49D"/>
    <w:rsid w:val="117E9B20"/>
    <w:rsid w:val="11985916"/>
    <w:rsid w:val="11C6F8D5"/>
    <w:rsid w:val="11CB19F3"/>
    <w:rsid w:val="11D02461"/>
    <w:rsid w:val="11F1BE81"/>
    <w:rsid w:val="12071D26"/>
    <w:rsid w:val="122BF033"/>
    <w:rsid w:val="122C3834"/>
    <w:rsid w:val="1242E863"/>
    <w:rsid w:val="125639A7"/>
    <w:rsid w:val="126DFD5D"/>
    <w:rsid w:val="126E1F11"/>
    <w:rsid w:val="1271BCCF"/>
    <w:rsid w:val="128EC680"/>
    <w:rsid w:val="129C1AEA"/>
    <w:rsid w:val="12B39172"/>
    <w:rsid w:val="12B99691"/>
    <w:rsid w:val="12C19F6D"/>
    <w:rsid w:val="12CDCEA4"/>
    <w:rsid w:val="12D041ED"/>
    <w:rsid w:val="12F397DE"/>
    <w:rsid w:val="130DC3EE"/>
    <w:rsid w:val="131F6CCE"/>
    <w:rsid w:val="134EC6A6"/>
    <w:rsid w:val="1379D4E1"/>
    <w:rsid w:val="137AE6EC"/>
    <w:rsid w:val="138E22A2"/>
    <w:rsid w:val="13959473"/>
    <w:rsid w:val="13AC3B3C"/>
    <w:rsid w:val="13B21557"/>
    <w:rsid w:val="141F65A1"/>
    <w:rsid w:val="143E5C43"/>
    <w:rsid w:val="147AD18D"/>
    <w:rsid w:val="14872346"/>
    <w:rsid w:val="14C760C3"/>
    <w:rsid w:val="14C8878A"/>
    <w:rsid w:val="14D1860B"/>
    <w:rsid w:val="14DF3E50"/>
    <w:rsid w:val="14EAD353"/>
    <w:rsid w:val="154B8D22"/>
    <w:rsid w:val="15733835"/>
    <w:rsid w:val="15A506A7"/>
    <w:rsid w:val="16264FA9"/>
    <w:rsid w:val="164120E3"/>
    <w:rsid w:val="16450BB0"/>
    <w:rsid w:val="165C1511"/>
    <w:rsid w:val="16B162D1"/>
    <w:rsid w:val="16C41D5A"/>
    <w:rsid w:val="16D87548"/>
    <w:rsid w:val="16DA405B"/>
    <w:rsid w:val="16E35AB1"/>
    <w:rsid w:val="16E75D83"/>
    <w:rsid w:val="16FBDAAD"/>
    <w:rsid w:val="17001E45"/>
    <w:rsid w:val="1722A88D"/>
    <w:rsid w:val="1724C9EF"/>
    <w:rsid w:val="1781D339"/>
    <w:rsid w:val="1787EBF7"/>
    <w:rsid w:val="178CB4DA"/>
    <w:rsid w:val="17AD96F1"/>
    <w:rsid w:val="17B2CC7B"/>
    <w:rsid w:val="17BA659D"/>
    <w:rsid w:val="17E24E03"/>
    <w:rsid w:val="18295D5C"/>
    <w:rsid w:val="1836B11F"/>
    <w:rsid w:val="18618CF9"/>
    <w:rsid w:val="1880007C"/>
    <w:rsid w:val="1889DB96"/>
    <w:rsid w:val="188A6559"/>
    <w:rsid w:val="18A6147C"/>
    <w:rsid w:val="18A814F4"/>
    <w:rsid w:val="18D61ACB"/>
    <w:rsid w:val="191BDCAD"/>
    <w:rsid w:val="19227436"/>
    <w:rsid w:val="1922C1B5"/>
    <w:rsid w:val="1934EE49"/>
    <w:rsid w:val="194DAB62"/>
    <w:rsid w:val="196BA12C"/>
    <w:rsid w:val="197E5CF2"/>
    <w:rsid w:val="197FA23C"/>
    <w:rsid w:val="19832014"/>
    <w:rsid w:val="19851A79"/>
    <w:rsid w:val="19D128DB"/>
    <w:rsid w:val="19E638BA"/>
    <w:rsid w:val="1A0B4D66"/>
    <w:rsid w:val="1A1AE2B4"/>
    <w:rsid w:val="1A5DFA9F"/>
    <w:rsid w:val="1A84916C"/>
    <w:rsid w:val="1A88D964"/>
    <w:rsid w:val="1AA28863"/>
    <w:rsid w:val="1AD4B86A"/>
    <w:rsid w:val="1AD7B21B"/>
    <w:rsid w:val="1AF4439C"/>
    <w:rsid w:val="1AFD94B8"/>
    <w:rsid w:val="1B1B5EB2"/>
    <w:rsid w:val="1B2A5A8C"/>
    <w:rsid w:val="1B5B7B2B"/>
    <w:rsid w:val="1B60643C"/>
    <w:rsid w:val="1BA94D45"/>
    <w:rsid w:val="1BC0B813"/>
    <w:rsid w:val="1BC57A37"/>
    <w:rsid w:val="1BF32E36"/>
    <w:rsid w:val="1C020C8D"/>
    <w:rsid w:val="1C480443"/>
    <w:rsid w:val="1C50EBEF"/>
    <w:rsid w:val="1C64D08E"/>
    <w:rsid w:val="1C9BD829"/>
    <w:rsid w:val="1C9BE314"/>
    <w:rsid w:val="1CAA549B"/>
    <w:rsid w:val="1CC9087C"/>
    <w:rsid w:val="1CE7BF84"/>
    <w:rsid w:val="1D08810A"/>
    <w:rsid w:val="1D2D975A"/>
    <w:rsid w:val="1D3A3A4C"/>
    <w:rsid w:val="1D596BF4"/>
    <w:rsid w:val="1D66328E"/>
    <w:rsid w:val="1D6B3504"/>
    <w:rsid w:val="1D7A0E3A"/>
    <w:rsid w:val="1D894F1E"/>
    <w:rsid w:val="1DA1E452"/>
    <w:rsid w:val="1DA44C82"/>
    <w:rsid w:val="1E0947A9"/>
    <w:rsid w:val="1E107EC4"/>
    <w:rsid w:val="1E2E6308"/>
    <w:rsid w:val="1E345A91"/>
    <w:rsid w:val="1E73644D"/>
    <w:rsid w:val="1EA2F59F"/>
    <w:rsid w:val="1ED11779"/>
    <w:rsid w:val="1F19DE24"/>
    <w:rsid w:val="1F1C68AB"/>
    <w:rsid w:val="1F3DB4B3"/>
    <w:rsid w:val="1F980319"/>
    <w:rsid w:val="1FA4C2F2"/>
    <w:rsid w:val="1FAF15D8"/>
    <w:rsid w:val="1FC9C0E9"/>
    <w:rsid w:val="1FD35FEB"/>
    <w:rsid w:val="1FD951A1"/>
    <w:rsid w:val="2016DC43"/>
    <w:rsid w:val="2018E4EA"/>
    <w:rsid w:val="2027403D"/>
    <w:rsid w:val="204B38F2"/>
    <w:rsid w:val="20648AED"/>
    <w:rsid w:val="2071DB0E"/>
    <w:rsid w:val="20730256"/>
    <w:rsid w:val="208170DA"/>
    <w:rsid w:val="20C77802"/>
    <w:rsid w:val="20FFD169"/>
    <w:rsid w:val="2107D362"/>
    <w:rsid w:val="2131A669"/>
    <w:rsid w:val="2136FF89"/>
    <w:rsid w:val="213B50DA"/>
    <w:rsid w:val="216861FF"/>
    <w:rsid w:val="216E9CA4"/>
    <w:rsid w:val="21748819"/>
    <w:rsid w:val="21784FC7"/>
    <w:rsid w:val="21994E56"/>
    <w:rsid w:val="21A37860"/>
    <w:rsid w:val="21E406FC"/>
    <w:rsid w:val="21F93948"/>
    <w:rsid w:val="2204B396"/>
    <w:rsid w:val="220D5BC6"/>
    <w:rsid w:val="220EA746"/>
    <w:rsid w:val="222DD8B7"/>
    <w:rsid w:val="224F86BF"/>
    <w:rsid w:val="225B3D4B"/>
    <w:rsid w:val="2264D8A2"/>
    <w:rsid w:val="228BCC32"/>
    <w:rsid w:val="228FA131"/>
    <w:rsid w:val="22A36EBE"/>
    <w:rsid w:val="22D46938"/>
    <w:rsid w:val="22E877DB"/>
    <w:rsid w:val="22FE7642"/>
    <w:rsid w:val="231558BA"/>
    <w:rsid w:val="231E39A7"/>
    <w:rsid w:val="232C8FEA"/>
    <w:rsid w:val="233A9AD1"/>
    <w:rsid w:val="236FA927"/>
    <w:rsid w:val="23763019"/>
    <w:rsid w:val="2378ED49"/>
    <w:rsid w:val="23798DFF"/>
    <w:rsid w:val="23A6E08C"/>
    <w:rsid w:val="23C16615"/>
    <w:rsid w:val="23C84ED4"/>
    <w:rsid w:val="23E32CF3"/>
    <w:rsid w:val="23F890A2"/>
    <w:rsid w:val="2437FC3A"/>
    <w:rsid w:val="2453097D"/>
    <w:rsid w:val="245CBD88"/>
    <w:rsid w:val="246F2EB8"/>
    <w:rsid w:val="2476124F"/>
    <w:rsid w:val="247BC4EC"/>
    <w:rsid w:val="258CEF04"/>
    <w:rsid w:val="25AA83A1"/>
    <w:rsid w:val="26168E4F"/>
    <w:rsid w:val="261B90A9"/>
    <w:rsid w:val="263C5DB7"/>
    <w:rsid w:val="264071CA"/>
    <w:rsid w:val="266B19D2"/>
    <w:rsid w:val="2676DB2E"/>
    <w:rsid w:val="26B0F6E7"/>
    <w:rsid w:val="26CB06EA"/>
    <w:rsid w:val="26D50399"/>
    <w:rsid w:val="26ED294B"/>
    <w:rsid w:val="270D716B"/>
    <w:rsid w:val="271F4E3E"/>
    <w:rsid w:val="27305783"/>
    <w:rsid w:val="278736BC"/>
    <w:rsid w:val="279AF5A2"/>
    <w:rsid w:val="27A7A885"/>
    <w:rsid w:val="27C5B0F7"/>
    <w:rsid w:val="27E5AE0D"/>
    <w:rsid w:val="27EA4D3B"/>
    <w:rsid w:val="27EAA63B"/>
    <w:rsid w:val="28092C7C"/>
    <w:rsid w:val="283B0E55"/>
    <w:rsid w:val="2846CC4E"/>
    <w:rsid w:val="284AD404"/>
    <w:rsid w:val="284C9FAE"/>
    <w:rsid w:val="28CEBDFB"/>
    <w:rsid w:val="2907E952"/>
    <w:rsid w:val="290C2E85"/>
    <w:rsid w:val="293E73A9"/>
    <w:rsid w:val="2953E408"/>
    <w:rsid w:val="295E5C02"/>
    <w:rsid w:val="297345E5"/>
    <w:rsid w:val="297644DA"/>
    <w:rsid w:val="297CCA56"/>
    <w:rsid w:val="2991FDB3"/>
    <w:rsid w:val="29C4546D"/>
    <w:rsid w:val="29CD0AB4"/>
    <w:rsid w:val="29CE69BB"/>
    <w:rsid w:val="29FD8E37"/>
    <w:rsid w:val="2A8DC24B"/>
    <w:rsid w:val="2AA15925"/>
    <w:rsid w:val="2ABAE10D"/>
    <w:rsid w:val="2AC7E6C7"/>
    <w:rsid w:val="2AC836B3"/>
    <w:rsid w:val="2AC9E8C1"/>
    <w:rsid w:val="2AD3F1BE"/>
    <w:rsid w:val="2AE7B022"/>
    <w:rsid w:val="2B3E082F"/>
    <w:rsid w:val="2B610C20"/>
    <w:rsid w:val="2B7DD598"/>
    <w:rsid w:val="2B802AEE"/>
    <w:rsid w:val="2BC8C398"/>
    <w:rsid w:val="2C029C26"/>
    <w:rsid w:val="2C1B56C1"/>
    <w:rsid w:val="2C64B3D2"/>
    <w:rsid w:val="2C946E9A"/>
    <w:rsid w:val="2CD012CE"/>
    <w:rsid w:val="2CD497EC"/>
    <w:rsid w:val="2CE00033"/>
    <w:rsid w:val="2D124CB3"/>
    <w:rsid w:val="2D183A12"/>
    <w:rsid w:val="2D47123C"/>
    <w:rsid w:val="2D49A845"/>
    <w:rsid w:val="2D717908"/>
    <w:rsid w:val="2D7EE882"/>
    <w:rsid w:val="2D7F1352"/>
    <w:rsid w:val="2D895937"/>
    <w:rsid w:val="2DA085C3"/>
    <w:rsid w:val="2DADE761"/>
    <w:rsid w:val="2DEF8D72"/>
    <w:rsid w:val="2E5BDA91"/>
    <w:rsid w:val="2E66FDD0"/>
    <w:rsid w:val="2E755FF2"/>
    <w:rsid w:val="2E7E6BAB"/>
    <w:rsid w:val="2E8CC2D6"/>
    <w:rsid w:val="2E978383"/>
    <w:rsid w:val="2ED7501F"/>
    <w:rsid w:val="2EDE4F16"/>
    <w:rsid w:val="2EE788B0"/>
    <w:rsid w:val="2F3C2ACE"/>
    <w:rsid w:val="2F84E9C1"/>
    <w:rsid w:val="2FA039FD"/>
    <w:rsid w:val="2FA5A2E0"/>
    <w:rsid w:val="2FB7EDF6"/>
    <w:rsid w:val="2FC68F8F"/>
    <w:rsid w:val="3050D848"/>
    <w:rsid w:val="30B825FA"/>
    <w:rsid w:val="30DA43D6"/>
    <w:rsid w:val="310EE29F"/>
    <w:rsid w:val="3114193C"/>
    <w:rsid w:val="312DF5F3"/>
    <w:rsid w:val="313C82AD"/>
    <w:rsid w:val="314B4D72"/>
    <w:rsid w:val="31507798"/>
    <w:rsid w:val="316D53CB"/>
    <w:rsid w:val="3180CEF7"/>
    <w:rsid w:val="3182E982"/>
    <w:rsid w:val="31B0779F"/>
    <w:rsid w:val="31CB3B01"/>
    <w:rsid w:val="31DD77C0"/>
    <w:rsid w:val="32084817"/>
    <w:rsid w:val="32315995"/>
    <w:rsid w:val="3236F635"/>
    <w:rsid w:val="3246AD41"/>
    <w:rsid w:val="32593619"/>
    <w:rsid w:val="3269042A"/>
    <w:rsid w:val="326F4A45"/>
    <w:rsid w:val="32969763"/>
    <w:rsid w:val="32990B53"/>
    <w:rsid w:val="32C5DB46"/>
    <w:rsid w:val="32CE0109"/>
    <w:rsid w:val="32D8F6A3"/>
    <w:rsid w:val="32E0F7A0"/>
    <w:rsid w:val="32F6C852"/>
    <w:rsid w:val="33361082"/>
    <w:rsid w:val="33750549"/>
    <w:rsid w:val="33961C5C"/>
    <w:rsid w:val="33A22C6A"/>
    <w:rsid w:val="33A9A99D"/>
    <w:rsid w:val="33DFE49B"/>
    <w:rsid w:val="33F868DE"/>
    <w:rsid w:val="3403407B"/>
    <w:rsid w:val="3403EDB6"/>
    <w:rsid w:val="34241558"/>
    <w:rsid w:val="34326A63"/>
    <w:rsid w:val="3455AEA5"/>
    <w:rsid w:val="345734D2"/>
    <w:rsid w:val="345BCCEF"/>
    <w:rsid w:val="3469A76B"/>
    <w:rsid w:val="3474E13C"/>
    <w:rsid w:val="34750103"/>
    <w:rsid w:val="3481499E"/>
    <w:rsid w:val="3488AE5B"/>
    <w:rsid w:val="34CDDCF3"/>
    <w:rsid w:val="34FF3CEB"/>
    <w:rsid w:val="35401469"/>
    <w:rsid w:val="3581F7B1"/>
    <w:rsid w:val="3599C977"/>
    <w:rsid w:val="359E7207"/>
    <w:rsid w:val="35F33E69"/>
    <w:rsid w:val="36135B22"/>
    <w:rsid w:val="3627C9BB"/>
    <w:rsid w:val="369D46CF"/>
    <w:rsid w:val="36AC13A1"/>
    <w:rsid w:val="36AF8CC2"/>
    <w:rsid w:val="36DF508F"/>
    <w:rsid w:val="37132E30"/>
    <w:rsid w:val="3723BB5D"/>
    <w:rsid w:val="372AEBBF"/>
    <w:rsid w:val="374130C3"/>
    <w:rsid w:val="375017BB"/>
    <w:rsid w:val="376451CF"/>
    <w:rsid w:val="37862A3D"/>
    <w:rsid w:val="378F0ECA"/>
    <w:rsid w:val="37CBC461"/>
    <w:rsid w:val="37D9D310"/>
    <w:rsid w:val="37F1C733"/>
    <w:rsid w:val="37F81883"/>
    <w:rsid w:val="382211BE"/>
    <w:rsid w:val="384777A9"/>
    <w:rsid w:val="384B33C2"/>
    <w:rsid w:val="387AABF4"/>
    <w:rsid w:val="38A02B0A"/>
    <w:rsid w:val="38A581E0"/>
    <w:rsid w:val="38A7242B"/>
    <w:rsid w:val="38A81F6A"/>
    <w:rsid w:val="38AA306A"/>
    <w:rsid w:val="38B4FBFD"/>
    <w:rsid w:val="38C7531C"/>
    <w:rsid w:val="38FC8CA3"/>
    <w:rsid w:val="394153CF"/>
    <w:rsid w:val="394A76BD"/>
    <w:rsid w:val="39A1F84A"/>
    <w:rsid w:val="39B19579"/>
    <w:rsid w:val="39B1BA5B"/>
    <w:rsid w:val="39B1FEB2"/>
    <w:rsid w:val="39CCC835"/>
    <w:rsid w:val="39E3D39E"/>
    <w:rsid w:val="39EC0CD0"/>
    <w:rsid w:val="3A2575FA"/>
    <w:rsid w:val="3A43EFCB"/>
    <w:rsid w:val="3A663615"/>
    <w:rsid w:val="3A7CF83F"/>
    <w:rsid w:val="3A82940F"/>
    <w:rsid w:val="3A99FF5D"/>
    <w:rsid w:val="3AB7FE06"/>
    <w:rsid w:val="3ADA01FE"/>
    <w:rsid w:val="3AF2EF80"/>
    <w:rsid w:val="3B9F02AD"/>
    <w:rsid w:val="3BB24CBE"/>
    <w:rsid w:val="3BB2C8F3"/>
    <w:rsid w:val="3BB4F373"/>
    <w:rsid w:val="3BC29223"/>
    <w:rsid w:val="3BEDC39F"/>
    <w:rsid w:val="3BEF88F8"/>
    <w:rsid w:val="3C3D95FD"/>
    <w:rsid w:val="3C8F6A9E"/>
    <w:rsid w:val="3CC2FED8"/>
    <w:rsid w:val="3CF1916A"/>
    <w:rsid w:val="3D108EFA"/>
    <w:rsid w:val="3D250A24"/>
    <w:rsid w:val="3D8ACAE7"/>
    <w:rsid w:val="3DD95C86"/>
    <w:rsid w:val="3DFDBA3E"/>
    <w:rsid w:val="3E10CF31"/>
    <w:rsid w:val="3E152255"/>
    <w:rsid w:val="3E1EBCD5"/>
    <w:rsid w:val="3E435D7E"/>
    <w:rsid w:val="3EA43415"/>
    <w:rsid w:val="3EB03FDA"/>
    <w:rsid w:val="3EBFF006"/>
    <w:rsid w:val="3ED84033"/>
    <w:rsid w:val="3F27BC7B"/>
    <w:rsid w:val="3F2FFD8E"/>
    <w:rsid w:val="3F42034E"/>
    <w:rsid w:val="3F57E5E2"/>
    <w:rsid w:val="3F669103"/>
    <w:rsid w:val="3F7C578C"/>
    <w:rsid w:val="3F9A1CF6"/>
    <w:rsid w:val="3FDE2567"/>
    <w:rsid w:val="3FF5F85C"/>
    <w:rsid w:val="402C01A9"/>
    <w:rsid w:val="4038EC83"/>
    <w:rsid w:val="40531522"/>
    <w:rsid w:val="40780819"/>
    <w:rsid w:val="40AEC628"/>
    <w:rsid w:val="40B3314F"/>
    <w:rsid w:val="40E3778B"/>
    <w:rsid w:val="40F2A1CE"/>
    <w:rsid w:val="410D3AD8"/>
    <w:rsid w:val="41242621"/>
    <w:rsid w:val="413B04AB"/>
    <w:rsid w:val="414A12CF"/>
    <w:rsid w:val="41710E11"/>
    <w:rsid w:val="41798950"/>
    <w:rsid w:val="41879382"/>
    <w:rsid w:val="4193BAF3"/>
    <w:rsid w:val="41977FD3"/>
    <w:rsid w:val="41A9CD41"/>
    <w:rsid w:val="41CE5B2E"/>
    <w:rsid w:val="41ED4117"/>
    <w:rsid w:val="41EEE583"/>
    <w:rsid w:val="4212B050"/>
    <w:rsid w:val="42202CC2"/>
    <w:rsid w:val="4227170A"/>
    <w:rsid w:val="426B6DFC"/>
    <w:rsid w:val="4281F323"/>
    <w:rsid w:val="42B35F06"/>
    <w:rsid w:val="42C19293"/>
    <w:rsid w:val="42CABFAF"/>
    <w:rsid w:val="42E26884"/>
    <w:rsid w:val="4305A2BE"/>
    <w:rsid w:val="432041B1"/>
    <w:rsid w:val="435493B0"/>
    <w:rsid w:val="437B56A5"/>
    <w:rsid w:val="437EEFCF"/>
    <w:rsid w:val="438191F1"/>
    <w:rsid w:val="438FF914"/>
    <w:rsid w:val="43AAA17F"/>
    <w:rsid w:val="43CBD6F3"/>
    <w:rsid w:val="44040AA8"/>
    <w:rsid w:val="44100D58"/>
    <w:rsid w:val="4414E764"/>
    <w:rsid w:val="44318240"/>
    <w:rsid w:val="4449B3FE"/>
    <w:rsid w:val="446276B9"/>
    <w:rsid w:val="44717625"/>
    <w:rsid w:val="4489297A"/>
    <w:rsid w:val="448FB02B"/>
    <w:rsid w:val="449C69D0"/>
    <w:rsid w:val="44EDAB5C"/>
    <w:rsid w:val="451B03F0"/>
    <w:rsid w:val="452F95BC"/>
    <w:rsid w:val="454A43A0"/>
    <w:rsid w:val="456B9264"/>
    <w:rsid w:val="457379C3"/>
    <w:rsid w:val="4593EE21"/>
    <w:rsid w:val="45985CD4"/>
    <w:rsid w:val="45AA8559"/>
    <w:rsid w:val="45B0B481"/>
    <w:rsid w:val="46374518"/>
    <w:rsid w:val="46375003"/>
    <w:rsid w:val="463EE672"/>
    <w:rsid w:val="464010EE"/>
    <w:rsid w:val="464D66EB"/>
    <w:rsid w:val="465A0886"/>
    <w:rsid w:val="465B2CA4"/>
    <w:rsid w:val="4679926D"/>
    <w:rsid w:val="469D04B1"/>
    <w:rsid w:val="46AAC1A2"/>
    <w:rsid w:val="46B57690"/>
    <w:rsid w:val="46C962A9"/>
    <w:rsid w:val="46CB1D7E"/>
    <w:rsid w:val="46CFF348"/>
    <w:rsid w:val="46FC5169"/>
    <w:rsid w:val="474D1328"/>
    <w:rsid w:val="47731A4C"/>
    <w:rsid w:val="47AAB677"/>
    <w:rsid w:val="47BBBADF"/>
    <w:rsid w:val="47FB3D64"/>
    <w:rsid w:val="48250F16"/>
    <w:rsid w:val="485DC4CF"/>
    <w:rsid w:val="486D8100"/>
    <w:rsid w:val="486E1D59"/>
    <w:rsid w:val="487BB7E1"/>
    <w:rsid w:val="488E18E6"/>
    <w:rsid w:val="48928FC7"/>
    <w:rsid w:val="48AF47E9"/>
    <w:rsid w:val="48BDA61E"/>
    <w:rsid w:val="49215BF9"/>
    <w:rsid w:val="4940CACD"/>
    <w:rsid w:val="497A27A2"/>
    <w:rsid w:val="498E12DB"/>
    <w:rsid w:val="49A529D2"/>
    <w:rsid w:val="49B8B22C"/>
    <w:rsid w:val="49BF3476"/>
    <w:rsid w:val="49D349F6"/>
    <w:rsid w:val="49DE8F2A"/>
    <w:rsid w:val="49E2B80B"/>
    <w:rsid w:val="4A0226C8"/>
    <w:rsid w:val="4A1BFBCD"/>
    <w:rsid w:val="4A626A8D"/>
    <w:rsid w:val="4AC681B0"/>
    <w:rsid w:val="4ADF3C16"/>
    <w:rsid w:val="4AF5F38D"/>
    <w:rsid w:val="4B564B30"/>
    <w:rsid w:val="4B6A6F34"/>
    <w:rsid w:val="4BB9C567"/>
    <w:rsid w:val="4BBC498A"/>
    <w:rsid w:val="4C2D045B"/>
    <w:rsid w:val="4C2D7026"/>
    <w:rsid w:val="4C4452E1"/>
    <w:rsid w:val="4C4B7E44"/>
    <w:rsid w:val="4C6997DF"/>
    <w:rsid w:val="4C718334"/>
    <w:rsid w:val="4C8F0328"/>
    <w:rsid w:val="4C99A5E1"/>
    <w:rsid w:val="4CA27E71"/>
    <w:rsid w:val="4CA38012"/>
    <w:rsid w:val="4CB10981"/>
    <w:rsid w:val="4CBBEA7F"/>
    <w:rsid w:val="4CC94A0A"/>
    <w:rsid w:val="4CCD2908"/>
    <w:rsid w:val="4CE5AB8D"/>
    <w:rsid w:val="4CF3FA77"/>
    <w:rsid w:val="4CF7AA5C"/>
    <w:rsid w:val="4CF85D6B"/>
    <w:rsid w:val="4D127237"/>
    <w:rsid w:val="4D6247B0"/>
    <w:rsid w:val="4D6FECC4"/>
    <w:rsid w:val="4D7678A4"/>
    <w:rsid w:val="4DBD2827"/>
    <w:rsid w:val="4DFD7065"/>
    <w:rsid w:val="4E165C54"/>
    <w:rsid w:val="4E16DCD8"/>
    <w:rsid w:val="4E4ECA13"/>
    <w:rsid w:val="4E64C2BA"/>
    <w:rsid w:val="4E778541"/>
    <w:rsid w:val="4E8FF333"/>
    <w:rsid w:val="4EA7DD62"/>
    <w:rsid w:val="4EBA4D94"/>
    <w:rsid w:val="4EBCD84F"/>
    <w:rsid w:val="4ED66C06"/>
    <w:rsid w:val="4F44A7FD"/>
    <w:rsid w:val="4F6F5FE3"/>
    <w:rsid w:val="4F79D16D"/>
    <w:rsid w:val="4FA70CC4"/>
    <w:rsid w:val="4FB25501"/>
    <w:rsid w:val="50159FF3"/>
    <w:rsid w:val="501A7426"/>
    <w:rsid w:val="502F33E4"/>
    <w:rsid w:val="503C72DE"/>
    <w:rsid w:val="50596B8A"/>
    <w:rsid w:val="509969CE"/>
    <w:rsid w:val="50CE6ABC"/>
    <w:rsid w:val="50E03B5F"/>
    <w:rsid w:val="50EF82C0"/>
    <w:rsid w:val="510C0FB4"/>
    <w:rsid w:val="5126A46E"/>
    <w:rsid w:val="51523DB7"/>
    <w:rsid w:val="515C99A7"/>
    <w:rsid w:val="518093DB"/>
    <w:rsid w:val="51B27285"/>
    <w:rsid w:val="51B44FF3"/>
    <w:rsid w:val="51B49D4A"/>
    <w:rsid w:val="51E1B1A7"/>
    <w:rsid w:val="51E956A6"/>
    <w:rsid w:val="52015013"/>
    <w:rsid w:val="520E578C"/>
    <w:rsid w:val="5219805D"/>
    <w:rsid w:val="5224D492"/>
    <w:rsid w:val="52289CCA"/>
    <w:rsid w:val="525727B4"/>
    <w:rsid w:val="5258193B"/>
    <w:rsid w:val="526920EA"/>
    <w:rsid w:val="52733D0A"/>
    <w:rsid w:val="5281AAEA"/>
    <w:rsid w:val="529AAF8E"/>
    <w:rsid w:val="529DD1D3"/>
    <w:rsid w:val="52A132C7"/>
    <w:rsid w:val="52B04A3E"/>
    <w:rsid w:val="52B8906A"/>
    <w:rsid w:val="52D6D45C"/>
    <w:rsid w:val="52EBEC2A"/>
    <w:rsid w:val="533BC4B4"/>
    <w:rsid w:val="534982C6"/>
    <w:rsid w:val="5351811A"/>
    <w:rsid w:val="535242D6"/>
    <w:rsid w:val="536F3C03"/>
    <w:rsid w:val="5381B3BB"/>
    <w:rsid w:val="53AC4667"/>
    <w:rsid w:val="53BCE9C6"/>
    <w:rsid w:val="53C1C243"/>
    <w:rsid w:val="53C8FE56"/>
    <w:rsid w:val="53E853B1"/>
    <w:rsid w:val="53F5E80E"/>
    <w:rsid w:val="540807D3"/>
    <w:rsid w:val="546D6FD9"/>
    <w:rsid w:val="546FA769"/>
    <w:rsid w:val="5479E619"/>
    <w:rsid w:val="547B7444"/>
    <w:rsid w:val="548745A4"/>
    <w:rsid w:val="54C5F756"/>
    <w:rsid w:val="54C6217B"/>
    <w:rsid w:val="54E5FAA4"/>
    <w:rsid w:val="54F14236"/>
    <w:rsid w:val="55045BBF"/>
    <w:rsid w:val="5518A483"/>
    <w:rsid w:val="552CE002"/>
    <w:rsid w:val="552FD55A"/>
    <w:rsid w:val="55594973"/>
    <w:rsid w:val="55703313"/>
    <w:rsid w:val="55838F6A"/>
    <w:rsid w:val="558B8B65"/>
    <w:rsid w:val="5595A571"/>
    <w:rsid w:val="55B24D12"/>
    <w:rsid w:val="55EECF12"/>
    <w:rsid w:val="561FECA1"/>
    <w:rsid w:val="56639FD6"/>
    <w:rsid w:val="567947CB"/>
    <w:rsid w:val="56A2537A"/>
    <w:rsid w:val="56AD7BAA"/>
    <w:rsid w:val="56B5233F"/>
    <w:rsid w:val="56B5DD12"/>
    <w:rsid w:val="56D9CA66"/>
    <w:rsid w:val="56E8ED1C"/>
    <w:rsid w:val="570C6364"/>
    <w:rsid w:val="57225784"/>
    <w:rsid w:val="57295FDC"/>
    <w:rsid w:val="5759CDA9"/>
    <w:rsid w:val="57737054"/>
    <w:rsid w:val="5781F0E0"/>
    <w:rsid w:val="579F0660"/>
    <w:rsid w:val="57E3F336"/>
    <w:rsid w:val="580FD5FB"/>
    <w:rsid w:val="5831FC6D"/>
    <w:rsid w:val="58771ED5"/>
    <w:rsid w:val="58796837"/>
    <w:rsid w:val="58968544"/>
    <w:rsid w:val="58AD8779"/>
    <w:rsid w:val="58CC365D"/>
    <w:rsid w:val="58D3C9E8"/>
    <w:rsid w:val="590BF795"/>
    <w:rsid w:val="5936CA12"/>
    <w:rsid w:val="5941464F"/>
    <w:rsid w:val="596882E9"/>
    <w:rsid w:val="596A48D7"/>
    <w:rsid w:val="596A97A0"/>
    <w:rsid w:val="599FD151"/>
    <w:rsid w:val="59A3135C"/>
    <w:rsid w:val="59A525B5"/>
    <w:rsid w:val="59AE43A7"/>
    <w:rsid w:val="59E1F307"/>
    <w:rsid w:val="59EC2C89"/>
    <w:rsid w:val="5A1F634E"/>
    <w:rsid w:val="5A2FDE20"/>
    <w:rsid w:val="5A42FF8B"/>
    <w:rsid w:val="5A617AF9"/>
    <w:rsid w:val="5A838CCC"/>
    <w:rsid w:val="5AC5A664"/>
    <w:rsid w:val="5AE086F4"/>
    <w:rsid w:val="5B0169DE"/>
    <w:rsid w:val="5B1E1AB2"/>
    <w:rsid w:val="5B23FAC6"/>
    <w:rsid w:val="5B2406DC"/>
    <w:rsid w:val="5B730ACD"/>
    <w:rsid w:val="5B889734"/>
    <w:rsid w:val="5BACBCDC"/>
    <w:rsid w:val="5BAFA20E"/>
    <w:rsid w:val="5BB376E1"/>
    <w:rsid w:val="5BB500DB"/>
    <w:rsid w:val="5BC3C4A5"/>
    <w:rsid w:val="5BCE60EE"/>
    <w:rsid w:val="5BF1829B"/>
    <w:rsid w:val="5C3B89BB"/>
    <w:rsid w:val="5C4FF14B"/>
    <w:rsid w:val="5C51DD30"/>
    <w:rsid w:val="5C966EC2"/>
    <w:rsid w:val="5CA59F50"/>
    <w:rsid w:val="5CC572CE"/>
    <w:rsid w:val="5CDBFC92"/>
    <w:rsid w:val="5CE4BDAF"/>
    <w:rsid w:val="5CE54CF1"/>
    <w:rsid w:val="5D0D7647"/>
    <w:rsid w:val="5D537D38"/>
    <w:rsid w:val="5D7F2119"/>
    <w:rsid w:val="5D877C3D"/>
    <w:rsid w:val="5DA70674"/>
    <w:rsid w:val="5DC961B8"/>
    <w:rsid w:val="5DCA17CB"/>
    <w:rsid w:val="5DD3F3D7"/>
    <w:rsid w:val="5DDC157E"/>
    <w:rsid w:val="5DE664A8"/>
    <w:rsid w:val="5DF522CB"/>
    <w:rsid w:val="5DFFC9A2"/>
    <w:rsid w:val="5E7AB805"/>
    <w:rsid w:val="5E7B2905"/>
    <w:rsid w:val="5EEAA99D"/>
    <w:rsid w:val="5F3FB6A6"/>
    <w:rsid w:val="5F49F031"/>
    <w:rsid w:val="5F85CD9A"/>
    <w:rsid w:val="5F8626C3"/>
    <w:rsid w:val="5F877355"/>
    <w:rsid w:val="5F93647C"/>
    <w:rsid w:val="5FA10918"/>
    <w:rsid w:val="5FA6DEFA"/>
    <w:rsid w:val="5FB58217"/>
    <w:rsid w:val="5FD82295"/>
    <w:rsid w:val="5FD9DE03"/>
    <w:rsid w:val="5FFA7BEA"/>
    <w:rsid w:val="60401104"/>
    <w:rsid w:val="60666D1F"/>
    <w:rsid w:val="6076A25F"/>
    <w:rsid w:val="6081DC56"/>
    <w:rsid w:val="60AE954B"/>
    <w:rsid w:val="60BB6F42"/>
    <w:rsid w:val="60C4E578"/>
    <w:rsid w:val="60E449A1"/>
    <w:rsid w:val="610BEAEE"/>
    <w:rsid w:val="6112FB3A"/>
    <w:rsid w:val="612B81F7"/>
    <w:rsid w:val="6134CCBF"/>
    <w:rsid w:val="6135AB37"/>
    <w:rsid w:val="613938F0"/>
    <w:rsid w:val="615A9D4C"/>
    <w:rsid w:val="6188E45B"/>
    <w:rsid w:val="619601C2"/>
    <w:rsid w:val="619C3C9D"/>
    <w:rsid w:val="61C923F4"/>
    <w:rsid w:val="61D17621"/>
    <w:rsid w:val="61D1E365"/>
    <w:rsid w:val="61DF062B"/>
    <w:rsid w:val="61E059A9"/>
    <w:rsid w:val="626ACF95"/>
    <w:rsid w:val="6298F2E8"/>
    <w:rsid w:val="62C61189"/>
    <w:rsid w:val="62EE80D0"/>
    <w:rsid w:val="62F379F8"/>
    <w:rsid w:val="6326269B"/>
    <w:rsid w:val="6330D2E6"/>
    <w:rsid w:val="634A2C00"/>
    <w:rsid w:val="637D5432"/>
    <w:rsid w:val="638F2115"/>
    <w:rsid w:val="639F3C5F"/>
    <w:rsid w:val="63A6AC10"/>
    <w:rsid w:val="63B0CF51"/>
    <w:rsid w:val="63D55FDD"/>
    <w:rsid w:val="640EBC9F"/>
    <w:rsid w:val="6442724B"/>
    <w:rsid w:val="645CFB06"/>
    <w:rsid w:val="64F02BBC"/>
    <w:rsid w:val="64F0EA03"/>
    <w:rsid w:val="6526B942"/>
    <w:rsid w:val="65384605"/>
    <w:rsid w:val="655051B5"/>
    <w:rsid w:val="656D96F3"/>
    <w:rsid w:val="657219A5"/>
    <w:rsid w:val="6573A45D"/>
    <w:rsid w:val="659D5E5B"/>
    <w:rsid w:val="65A2D72F"/>
    <w:rsid w:val="65ACE2F5"/>
    <w:rsid w:val="65B0490B"/>
    <w:rsid w:val="65B7C833"/>
    <w:rsid w:val="65CA9D93"/>
    <w:rsid w:val="65D1FD8F"/>
    <w:rsid w:val="65EC402A"/>
    <w:rsid w:val="661647D3"/>
    <w:rsid w:val="66292DE8"/>
    <w:rsid w:val="662A13DC"/>
    <w:rsid w:val="6631C41E"/>
    <w:rsid w:val="6638F1CE"/>
    <w:rsid w:val="665879F9"/>
    <w:rsid w:val="66762E08"/>
    <w:rsid w:val="669EBD2C"/>
    <w:rsid w:val="66C3F9C3"/>
    <w:rsid w:val="66D93AD4"/>
    <w:rsid w:val="66EC8A84"/>
    <w:rsid w:val="66FD95B8"/>
    <w:rsid w:val="670F74BE"/>
    <w:rsid w:val="671EAA34"/>
    <w:rsid w:val="675D5AD5"/>
    <w:rsid w:val="676F4FBB"/>
    <w:rsid w:val="67806C01"/>
    <w:rsid w:val="67BE06C3"/>
    <w:rsid w:val="67CE4EE8"/>
    <w:rsid w:val="6814283C"/>
    <w:rsid w:val="682DEC9B"/>
    <w:rsid w:val="6860139D"/>
    <w:rsid w:val="68750B35"/>
    <w:rsid w:val="687D33D9"/>
    <w:rsid w:val="6885B33A"/>
    <w:rsid w:val="689A9778"/>
    <w:rsid w:val="68A23AD5"/>
    <w:rsid w:val="68AC4CA7"/>
    <w:rsid w:val="68B187D4"/>
    <w:rsid w:val="68C1FB41"/>
    <w:rsid w:val="691BEE03"/>
    <w:rsid w:val="696CF57D"/>
    <w:rsid w:val="696E9DB2"/>
    <w:rsid w:val="6977D625"/>
    <w:rsid w:val="698273EB"/>
    <w:rsid w:val="69929010"/>
    <w:rsid w:val="69B711CA"/>
    <w:rsid w:val="69CCCECE"/>
    <w:rsid w:val="69D4BB59"/>
    <w:rsid w:val="69F31696"/>
    <w:rsid w:val="6A071474"/>
    <w:rsid w:val="6A108991"/>
    <w:rsid w:val="6A13D775"/>
    <w:rsid w:val="6A14A1ED"/>
    <w:rsid w:val="6A1E0E39"/>
    <w:rsid w:val="6A44E268"/>
    <w:rsid w:val="6A625188"/>
    <w:rsid w:val="6A6E53FD"/>
    <w:rsid w:val="6A9E0371"/>
    <w:rsid w:val="6AA846F0"/>
    <w:rsid w:val="6AD3259F"/>
    <w:rsid w:val="6ADCFC47"/>
    <w:rsid w:val="6AFCCB75"/>
    <w:rsid w:val="6B5FD230"/>
    <w:rsid w:val="6BA8B28D"/>
    <w:rsid w:val="6BB96711"/>
    <w:rsid w:val="6BCCF5E3"/>
    <w:rsid w:val="6C2E7E24"/>
    <w:rsid w:val="6C51DC67"/>
    <w:rsid w:val="6CAF0718"/>
    <w:rsid w:val="6CBD5FD2"/>
    <w:rsid w:val="6CE9A398"/>
    <w:rsid w:val="6D0A96AE"/>
    <w:rsid w:val="6D7E78D9"/>
    <w:rsid w:val="6D99F24A"/>
    <w:rsid w:val="6DA7DFEE"/>
    <w:rsid w:val="6DE8093E"/>
    <w:rsid w:val="6DEB1AF9"/>
    <w:rsid w:val="6DFAB872"/>
    <w:rsid w:val="6E0286C8"/>
    <w:rsid w:val="6E04D04A"/>
    <w:rsid w:val="6E430365"/>
    <w:rsid w:val="6E6432A7"/>
    <w:rsid w:val="6E6C6348"/>
    <w:rsid w:val="6EAC58E8"/>
    <w:rsid w:val="6EB21B5F"/>
    <w:rsid w:val="6EDA222C"/>
    <w:rsid w:val="6F02B56F"/>
    <w:rsid w:val="6F09F8D3"/>
    <w:rsid w:val="6F0A2C40"/>
    <w:rsid w:val="6F0DC864"/>
    <w:rsid w:val="6F3A93AF"/>
    <w:rsid w:val="6F460EDF"/>
    <w:rsid w:val="6F56FAE3"/>
    <w:rsid w:val="6F5EBD8A"/>
    <w:rsid w:val="6F8DB2BB"/>
    <w:rsid w:val="6FD2A1D8"/>
    <w:rsid w:val="6FDBD603"/>
    <w:rsid w:val="7021445A"/>
    <w:rsid w:val="7039F590"/>
    <w:rsid w:val="706EBA20"/>
    <w:rsid w:val="708579EF"/>
    <w:rsid w:val="70885040"/>
    <w:rsid w:val="708C70D8"/>
    <w:rsid w:val="708E0D06"/>
    <w:rsid w:val="70A5FCA1"/>
    <w:rsid w:val="70D4DFEF"/>
    <w:rsid w:val="70E8FFC3"/>
    <w:rsid w:val="71392C70"/>
    <w:rsid w:val="7178A9B1"/>
    <w:rsid w:val="718265BA"/>
    <w:rsid w:val="718805B5"/>
    <w:rsid w:val="71897BC7"/>
    <w:rsid w:val="71A7FA7B"/>
    <w:rsid w:val="71AE13B4"/>
    <w:rsid w:val="71C09891"/>
    <w:rsid w:val="71D930EC"/>
    <w:rsid w:val="71F2B5CB"/>
    <w:rsid w:val="72161597"/>
    <w:rsid w:val="723EF90D"/>
    <w:rsid w:val="72512B5F"/>
    <w:rsid w:val="7251C083"/>
    <w:rsid w:val="725F4F28"/>
    <w:rsid w:val="7260CA6A"/>
    <w:rsid w:val="72697462"/>
    <w:rsid w:val="726EB478"/>
    <w:rsid w:val="7274407C"/>
    <w:rsid w:val="72881FBD"/>
    <w:rsid w:val="7299A263"/>
    <w:rsid w:val="72DF3004"/>
    <w:rsid w:val="72F19489"/>
    <w:rsid w:val="7317100A"/>
    <w:rsid w:val="733034C3"/>
    <w:rsid w:val="739E96A3"/>
    <w:rsid w:val="74219146"/>
    <w:rsid w:val="74868FB6"/>
    <w:rsid w:val="74B5CF3E"/>
    <w:rsid w:val="74E02531"/>
    <w:rsid w:val="74E3CE64"/>
    <w:rsid w:val="75133488"/>
    <w:rsid w:val="7573A204"/>
    <w:rsid w:val="759A1302"/>
    <w:rsid w:val="75C5F228"/>
    <w:rsid w:val="75F9DFF1"/>
    <w:rsid w:val="76106E17"/>
    <w:rsid w:val="76325162"/>
    <w:rsid w:val="766C7781"/>
    <w:rsid w:val="76CF8DD1"/>
    <w:rsid w:val="76D7830B"/>
    <w:rsid w:val="76ED1C70"/>
    <w:rsid w:val="77513FF5"/>
    <w:rsid w:val="778ACE6F"/>
    <w:rsid w:val="77914536"/>
    <w:rsid w:val="77A0EC16"/>
    <w:rsid w:val="77AA8291"/>
    <w:rsid w:val="77B5D939"/>
    <w:rsid w:val="77B60ECC"/>
    <w:rsid w:val="77BFA37E"/>
    <w:rsid w:val="77C48A67"/>
    <w:rsid w:val="77CAFAC6"/>
    <w:rsid w:val="77D1441C"/>
    <w:rsid w:val="77D55388"/>
    <w:rsid w:val="781EDD03"/>
    <w:rsid w:val="781EFDC9"/>
    <w:rsid w:val="782A0653"/>
    <w:rsid w:val="78414218"/>
    <w:rsid w:val="78438BA4"/>
    <w:rsid w:val="785C1CAC"/>
    <w:rsid w:val="7892E706"/>
    <w:rsid w:val="78A6597F"/>
    <w:rsid w:val="78B3B9D3"/>
    <w:rsid w:val="79137653"/>
    <w:rsid w:val="7916F614"/>
    <w:rsid w:val="791B1077"/>
    <w:rsid w:val="7939CABD"/>
    <w:rsid w:val="793F77B6"/>
    <w:rsid w:val="794412AB"/>
    <w:rsid w:val="79661F89"/>
    <w:rsid w:val="798335E9"/>
    <w:rsid w:val="798499D0"/>
    <w:rsid w:val="7992D431"/>
    <w:rsid w:val="799A26D8"/>
    <w:rsid w:val="799CDC62"/>
    <w:rsid w:val="79C687F3"/>
    <w:rsid w:val="79FFC2A7"/>
    <w:rsid w:val="7A00F9FB"/>
    <w:rsid w:val="7A1D6638"/>
    <w:rsid w:val="7A7215F7"/>
    <w:rsid w:val="7A7D71AF"/>
    <w:rsid w:val="7ACC8C6D"/>
    <w:rsid w:val="7B05D398"/>
    <w:rsid w:val="7B22770B"/>
    <w:rsid w:val="7B25E9D6"/>
    <w:rsid w:val="7B58CCDF"/>
    <w:rsid w:val="7B60E8CC"/>
    <w:rsid w:val="7B7C81BF"/>
    <w:rsid w:val="7B9B29A9"/>
    <w:rsid w:val="7BB9D424"/>
    <w:rsid w:val="7BED3BA4"/>
    <w:rsid w:val="7BFB1D56"/>
    <w:rsid w:val="7BFF034C"/>
    <w:rsid w:val="7C077DC7"/>
    <w:rsid w:val="7C0DE658"/>
    <w:rsid w:val="7C43D433"/>
    <w:rsid w:val="7C466856"/>
    <w:rsid w:val="7C6D9F03"/>
    <w:rsid w:val="7C6EFFC9"/>
    <w:rsid w:val="7C812689"/>
    <w:rsid w:val="7C9845E9"/>
    <w:rsid w:val="7CAB21A3"/>
    <w:rsid w:val="7CC29B2C"/>
    <w:rsid w:val="7CEE2D50"/>
    <w:rsid w:val="7CF9F461"/>
    <w:rsid w:val="7CFCD871"/>
    <w:rsid w:val="7D48FCF2"/>
    <w:rsid w:val="7D537A85"/>
    <w:rsid w:val="7D6E8EB3"/>
    <w:rsid w:val="7D7DEF39"/>
    <w:rsid w:val="7DD78FAD"/>
    <w:rsid w:val="7E02615A"/>
    <w:rsid w:val="7E4817AF"/>
    <w:rsid w:val="7E5F7ACC"/>
    <w:rsid w:val="7E672261"/>
    <w:rsid w:val="7E6D5526"/>
    <w:rsid w:val="7E764ECF"/>
    <w:rsid w:val="7E7A724E"/>
    <w:rsid w:val="7E8A881A"/>
    <w:rsid w:val="7EBAFDEF"/>
    <w:rsid w:val="7ED59726"/>
    <w:rsid w:val="7EDC293F"/>
    <w:rsid w:val="7EED8450"/>
    <w:rsid w:val="7EEFCB24"/>
    <w:rsid w:val="7EFA0F70"/>
    <w:rsid w:val="7F11C080"/>
    <w:rsid w:val="7F428439"/>
    <w:rsid w:val="7F5A75C4"/>
    <w:rsid w:val="7F84B110"/>
    <w:rsid w:val="7FA05D0D"/>
    <w:rsid w:val="7FA45728"/>
    <w:rsid w:val="7FA5C3C7"/>
    <w:rsid w:val="7FB9FE4B"/>
    <w:rsid w:val="7FC2AB3A"/>
    <w:rsid w:val="7FC8B041"/>
    <w:rsid w:val="7FC9D46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A6F74"/>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FEF"/>
    <w:pPr>
      <w:spacing w:after="160" w:line="259" w:lineRule="auto"/>
    </w:pPr>
    <w:rPr>
      <w:color w:val="auto"/>
      <w:sz w:val="22"/>
      <w:szCs w:val="22"/>
    </w:rPr>
  </w:style>
  <w:style w:type="paragraph" w:styleId="Heading1">
    <w:name w:val="heading 1"/>
    <w:aliases w:val="1.Heading 1"/>
    <w:basedOn w:val="Normal"/>
    <w:next w:val="BodyText"/>
    <w:link w:val="Heading1Char"/>
    <w:uiPriority w:val="1"/>
    <w:qFormat/>
    <w:rsid w:val="00E0510C"/>
    <w:pPr>
      <w:keepNext/>
      <w:keepLines/>
      <w:numPr>
        <w:numId w:val="13"/>
      </w:numPr>
      <w:spacing w:after="460" w:line="264" w:lineRule="auto"/>
      <w:ind w:left="851" w:hanging="851"/>
      <w:outlineLvl w:val="0"/>
    </w:pPr>
    <w:rPr>
      <w:rFonts w:asciiTheme="majorHAnsi" w:hAnsiTheme="majorHAnsi"/>
      <w:b/>
      <w:color w:val="014463" w:themeColor="text2"/>
      <w:sz w:val="60"/>
      <w:szCs w:val="60"/>
    </w:rPr>
  </w:style>
  <w:style w:type="paragraph" w:styleId="Heading2">
    <w:name w:val="heading 2"/>
    <w:basedOn w:val="Normal"/>
    <w:next w:val="BodyText"/>
    <w:link w:val="Heading2Char"/>
    <w:uiPriority w:val="1"/>
    <w:unhideWhenUsed/>
    <w:qFormat/>
    <w:rsid w:val="003A3B2B"/>
    <w:pPr>
      <w:keepNext/>
      <w:keepLines/>
      <w:numPr>
        <w:ilvl w:val="1"/>
        <w:numId w:val="13"/>
      </w:numPr>
      <w:spacing w:before="480" w:after="240" w:line="264" w:lineRule="auto"/>
      <w:ind w:left="851" w:hanging="851"/>
      <w:outlineLvl w:val="1"/>
    </w:pPr>
    <w:rPr>
      <w:rFonts w:asciiTheme="majorHAnsi" w:eastAsiaTheme="majorEastAsia" w:hAnsiTheme="majorHAnsi" w:cstheme="majorBidi"/>
      <w:b/>
      <w:color w:val="014463" w:themeColor="text2"/>
      <w:sz w:val="40"/>
      <w:szCs w:val="40"/>
    </w:rPr>
  </w:style>
  <w:style w:type="paragraph" w:styleId="Heading3">
    <w:name w:val="heading 3"/>
    <w:basedOn w:val="Normal"/>
    <w:next w:val="BodyText"/>
    <w:link w:val="Heading3Char"/>
    <w:uiPriority w:val="1"/>
    <w:unhideWhenUsed/>
    <w:qFormat/>
    <w:rsid w:val="00234FEF"/>
    <w:pPr>
      <w:keepNext/>
      <w:keepLines/>
      <w:numPr>
        <w:ilvl w:val="2"/>
        <w:numId w:val="13"/>
      </w:numPr>
      <w:spacing w:before="240" w:line="240" w:lineRule="auto"/>
      <w:outlineLvl w:val="2"/>
    </w:pPr>
    <w:rPr>
      <w:rFonts w:asciiTheme="majorHAnsi" w:eastAsiaTheme="majorEastAsia" w:hAnsiTheme="majorHAnsi" w:cstheme="majorBidi"/>
      <w:color w:val="014463" w:themeColor="text2"/>
      <w:sz w:val="24"/>
      <w:szCs w:val="30"/>
    </w:rPr>
  </w:style>
  <w:style w:type="paragraph" w:styleId="Heading4">
    <w:name w:val="heading 4"/>
    <w:basedOn w:val="BodyText"/>
    <w:next w:val="BodyText"/>
    <w:link w:val="Heading4Char"/>
    <w:uiPriority w:val="1"/>
    <w:qFormat/>
    <w:rsid w:val="00CE0108"/>
    <w:pPr>
      <w:keepNext/>
      <w:numPr>
        <w:ilvl w:val="3"/>
        <w:numId w:val="13"/>
      </w:numPr>
      <w:spacing w:before="240"/>
      <w:outlineLvl w:val="3"/>
    </w:pPr>
    <w:rPr>
      <w:rFonts w:asciiTheme="majorHAnsi" w:hAnsiTheme="majorHAnsi"/>
      <w:color w:val="015E8A" w:themeColor="text2" w:themeTint="E6"/>
      <w:szCs w:val="24"/>
    </w:rPr>
  </w:style>
  <w:style w:type="paragraph" w:styleId="Heading5">
    <w:name w:val="heading 5"/>
    <w:basedOn w:val="Heading4"/>
    <w:next w:val="Normal"/>
    <w:link w:val="Heading5Char"/>
    <w:uiPriority w:val="1"/>
    <w:qFormat/>
    <w:rsid w:val="00DB28F5"/>
    <w:pPr>
      <w:numPr>
        <w:ilvl w:val="0"/>
        <w:numId w:val="0"/>
      </w:numPr>
      <w:ind w:left="864" w:hanging="864"/>
      <w:outlineLvl w:val="4"/>
    </w:pPr>
  </w:style>
  <w:style w:type="paragraph" w:styleId="Heading6">
    <w:name w:val="heading 6"/>
    <w:basedOn w:val="Normal"/>
    <w:next w:val="Normal"/>
    <w:link w:val="Heading6Char"/>
    <w:uiPriority w:val="1"/>
    <w:semiHidden/>
    <w:qFormat/>
    <w:rsid w:val="00234FEF"/>
    <w:pPr>
      <w:keepNext/>
      <w:keepLines/>
      <w:numPr>
        <w:ilvl w:val="5"/>
        <w:numId w:val="13"/>
      </w:numPr>
      <w:spacing w:after="0" w:line="240" w:lineRule="atLeast"/>
      <w:outlineLvl w:val="5"/>
    </w:pPr>
    <w:rPr>
      <w:rFonts w:ascii="Verdana" w:eastAsiaTheme="majorEastAsia" w:hAnsi="Verdana" w:cstheme="majorBidi"/>
      <w:b/>
      <w:iCs/>
      <w:sz w:val="18"/>
      <w:szCs w:val="18"/>
    </w:rPr>
  </w:style>
  <w:style w:type="paragraph" w:styleId="Heading7">
    <w:name w:val="heading 7"/>
    <w:basedOn w:val="Normal"/>
    <w:next w:val="Normal"/>
    <w:link w:val="Heading7Char"/>
    <w:uiPriority w:val="9"/>
    <w:semiHidden/>
    <w:unhideWhenUsed/>
    <w:qFormat/>
    <w:rsid w:val="0030750F"/>
    <w:pPr>
      <w:keepNext/>
      <w:keepLines/>
      <w:numPr>
        <w:ilvl w:val="6"/>
        <w:numId w:val="14"/>
      </w:numPr>
      <w:spacing w:before="40" w:after="0"/>
      <w:outlineLvl w:val="6"/>
    </w:pPr>
    <w:rPr>
      <w:rFonts w:asciiTheme="majorHAnsi" w:eastAsiaTheme="majorEastAsia" w:hAnsiTheme="majorHAnsi" w:cstheme="majorBidi"/>
      <w:i/>
      <w:iCs/>
      <w:color w:val="12171D" w:themeColor="accent1" w:themeShade="7F"/>
    </w:rPr>
  </w:style>
  <w:style w:type="paragraph" w:styleId="Heading8">
    <w:name w:val="heading 8"/>
    <w:basedOn w:val="Normal"/>
    <w:next w:val="Normal"/>
    <w:link w:val="Heading8Char"/>
    <w:uiPriority w:val="9"/>
    <w:semiHidden/>
    <w:unhideWhenUsed/>
    <w:qFormat/>
    <w:rsid w:val="0030750F"/>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0750F"/>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095BF3"/>
    <w:pPr>
      <w:tabs>
        <w:tab w:val="center" w:pos="4513"/>
        <w:tab w:val="right" w:pos="9026"/>
      </w:tabs>
      <w:spacing w:after="0" w:line="240" w:lineRule="auto"/>
      <w:jc w:val="right"/>
    </w:pPr>
    <w:rPr>
      <w:rFonts w:asciiTheme="majorHAnsi" w:hAnsiTheme="majorHAnsi"/>
      <w:b/>
      <w:caps/>
      <w:color w:val="014463" w:themeColor="text2"/>
    </w:rPr>
  </w:style>
  <w:style w:type="character" w:customStyle="1" w:styleId="FooterChar">
    <w:name w:val="Footer Char"/>
    <w:basedOn w:val="DefaultParagraphFont"/>
    <w:link w:val="Footer"/>
    <w:uiPriority w:val="99"/>
    <w:rsid w:val="006C7FC3"/>
    <w:rPr>
      <w:rFonts w:asciiTheme="majorHAnsi" w:hAnsiTheme="majorHAnsi"/>
      <w:b/>
      <w:caps/>
      <w:color w:val="014463" w:themeColor="text2"/>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5BF3"/>
    <w:rPr>
      <w:color w:val="808080"/>
    </w:rPr>
  </w:style>
  <w:style w:type="character" w:customStyle="1" w:styleId="Heading1Char">
    <w:name w:val="Heading 1 Char"/>
    <w:aliases w:val="1.Heading 1 Char"/>
    <w:basedOn w:val="DefaultParagraphFont"/>
    <w:link w:val="Heading1"/>
    <w:uiPriority w:val="1"/>
    <w:rsid w:val="00E0510C"/>
    <w:rPr>
      <w:rFonts w:asciiTheme="majorHAnsi" w:hAnsiTheme="majorHAnsi"/>
      <w:b/>
      <w:color w:val="014463" w:themeColor="text2"/>
      <w:sz w:val="60"/>
      <w:szCs w:val="60"/>
    </w:rPr>
  </w:style>
  <w:style w:type="table" w:customStyle="1" w:styleId="PMCDefaultTableStyle">
    <w:name w:val="PMC Default Table Style"/>
    <w:basedOn w:val="TableNormal"/>
    <w:uiPriority w:val="99"/>
    <w:rsid w:val="00FC6197"/>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aliases w:val="Bullet,SWA List Paragraph,Indent,Recommendation,List Paragraph1,standard lewis,List Paragraph11,List Paragraph2,Bulit List -  Paragraph,Main numbered paragraph,Numbered List Paragraph,Heading2,Bullet Point,NFP GP Bulleted List,L,Dot pt,列"/>
    <w:basedOn w:val="Normal"/>
    <w:link w:val="ListParagraphChar"/>
    <w:uiPriority w:val="34"/>
    <w:qFormat/>
    <w:rsid w:val="00820E0F"/>
    <w:pPr>
      <w:ind w:left="720"/>
      <w:contextualSpacing/>
    </w:pPr>
  </w:style>
  <w:style w:type="paragraph" w:customStyle="1" w:styleId="TableBullet">
    <w:name w:val="Table Bullet"/>
    <w:basedOn w:val="ListParagraph"/>
    <w:uiPriority w:val="11"/>
    <w:qFormat/>
    <w:rsid w:val="00840865"/>
    <w:pPr>
      <w:numPr>
        <w:numId w:val="1"/>
      </w:numPr>
      <w:spacing w:before="40" w:after="40" w:line="240" w:lineRule="auto"/>
      <w:contextualSpacing w:val="0"/>
    </w:pPr>
    <w:rPr>
      <w:sz w:val="18"/>
    </w:rPr>
  </w:style>
  <w:style w:type="character" w:customStyle="1" w:styleId="Heading2Char">
    <w:name w:val="Heading 2 Char"/>
    <w:basedOn w:val="DefaultParagraphFont"/>
    <w:link w:val="Heading2"/>
    <w:uiPriority w:val="1"/>
    <w:rsid w:val="003A3B2B"/>
    <w:rPr>
      <w:rFonts w:asciiTheme="majorHAnsi" w:eastAsiaTheme="majorEastAsia" w:hAnsiTheme="majorHAnsi" w:cstheme="majorBidi"/>
      <w:b/>
      <w:color w:val="014463" w:themeColor="text2"/>
      <w:sz w:val="40"/>
      <w:szCs w:val="40"/>
    </w:rPr>
  </w:style>
  <w:style w:type="paragraph" w:customStyle="1" w:styleId="NumberedListlvl1">
    <w:name w:val="Numbered List lvl1"/>
    <w:basedOn w:val="ListParagraph"/>
    <w:uiPriority w:val="9"/>
    <w:qFormat/>
    <w:rsid w:val="00FE7253"/>
    <w:pPr>
      <w:numPr>
        <w:numId w:val="7"/>
      </w:numPr>
      <w:spacing w:after="0"/>
      <w:contextualSpacing w:val="0"/>
    </w:pPr>
  </w:style>
  <w:style w:type="paragraph" w:customStyle="1" w:styleId="BulletedListlvl1">
    <w:name w:val="Bulleted List lvl1"/>
    <w:uiPriority w:val="10"/>
    <w:qFormat/>
    <w:rsid w:val="0086151D"/>
    <w:pPr>
      <w:numPr>
        <w:numId w:val="2"/>
      </w:numPr>
      <w:spacing w:after="0"/>
    </w:pPr>
  </w:style>
  <w:style w:type="paragraph" w:customStyle="1" w:styleId="NumberedListlvl2">
    <w:name w:val="Numbered List lvl2"/>
    <w:basedOn w:val="NumberedListlvl1"/>
    <w:uiPriority w:val="9"/>
    <w:rsid w:val="00E7329A"/>
    <w:pPr>
      <w:numPr>
        <w:ilvl w:val="1"/>
      </w:numPr>
      <w:tabs>
        <w:tab w:val="num" w:pos="360"/>
      </w:tabs>
      <w:ind w:left="567"/>
    </w:pPr>
  </w:style>
  <w:style w:type="paragraph" w:styleId="BodyText">
    <w:name w:val="Body Text"/>
    <w:aliases w:val="IA Body Text"/>
    <w:basedOn w:val="Normal"/>
    <w:link w:val="BodyTextChar"/>
    <w:qFormat/>
    <w:rsid w:val="00234FEF"/>
    <w:pPr>
      <w:spacing w:after="120" w:line="264" w:lineRule="auto"/>
    </w:pPr>
    <w:rPr>
      <w:color w:val="262626" w:themeColor="text1" w:themeTint="D9"/>
    </w:rPr>
  </w:style>
  <w:style w:type="character" w:customStyle="1" w:styleId="BodyTextChar">
    <w:name w:val="Body Text Char"/>
    <w:aliases w:val="IA Body Text Char"/>
    <w:basedOn w:val="DefaultParagraphFont"/>
    <w:link w:val="BodyText"/>
    <w:rsid w:val="00234FEF"/>
    <w:rPr>
      <w:sz w:val="22"/>
      <w:szCs w:val="22"/>
    </w:rPr>
  </w:style>
  <w:style w:type="paragraph" w:customStyle="1" w:styleId="BulletedListlvl2">
    <w:name w:val="Bulleted List lvl2"/>
    <w:basedOn w:val="BulletedListlvl1"/>
    <w:uiPriority w:val="10"/>
    <w:rsid w:val="00E7329A"/>
    <w:pPr>
      <w:numPr>
        <w:ilvl w:val="1"/>
        <w:numId w:val="3"/>
      </w:numPr>
    </w:pPr>
  </w:style>
  <w:style w:type="paragraph" w:customStyle="1" w:styleId="TableBody">
    <w:name w:val="Table Body"/>
    <w:basedOn w:val="Normal"/>
    <w:uiPriority w:val="11"/>
    <w:qFormat/>
    <w:rsid w:val="00840865"/>
    <w:pPr>
      <w:spacing w:before="40" w:after="40"/>
    </w:pPr>
    <w:rPr>
      <w:color w:val="000000" w:themeColor="text1"/>
      <w:sz w:val="18"/>
    </w:rPr>
  </w:style>
  <w:style w:type="character" w:customStyle="1" w:styleId="Heading3Char">
    <w:name w:val="Heading 3 Char"/>
    <w:basedOn w:val="DefaultParagraphFont"/>
    <w:link w:val="Heading3"/>
    <w:uiPriority w:val="1"/>
    <w:rsid w:val="00234FEF"/>
    <w:rPr>
      <w:rFonts w:asciiTheme="majorHAnsi" w:eastAsiaTheme="majorEastAsia" w:hAnsiTheme="majorHAnsi" w:cstheme="majorBidi"/>
      <w:color w:val="014463" w:themeColor="text2"/>
      <w:sz w:val="24"/>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1"/>
    <w:rsid w:val="00CE0108"/>
    <w:rPr>
      <w:rFonts w:asciiTheme="majorHAnsi" w:hAnsiTheme="majorHAnsi"/>
      <w:color w:val="015E8A" w:themeColor="text2" w:themeTint="E6"/>
      <w:sz w:val="22"/>
      <w:szCs w:val="24"/>
    </w:rPr>
  </w:style>
  <w:style w:type="paragraph" w:customStyle="1" w:styleId="TableHeading">
    <w:name w:val="Table Heading"/>
    <w:basedOn w:val="Normal"/>
    <w:uiPriority w:val="11"/>
    <w:qFormat/>
    <w:rsid w:val="000C215A"/>
    <w:pPr>
      <w:spacing w:before="60"/>
    </w:pPr>
    <w:rPr>
      <w:rFonts w:asciiTheme="majorHAnsi" w:hAnsiTheme="majorHAnsi"/>
      <w:b/>
      <w:sz w:val="20"/>
      <w:szCs w:val="20"/>
      <w:lang w:val="en-US"/>
    </w:rPr>
  </w:style>
  <w:style w:type="paragraph" w:customStyle="1" w:styleId="ProtectiveMarking">
    <w:name w:val="Protective Marking"/>
    <w:basedOn w:val="Normal"/>
    <w:uiPriority w:val="13"/>
    <w:qFormat/>
    <w:rsid w:val="00825B23"/>
    <w:pPr>
      <w:spacing w:after="0" w:line="240" w:lineRule="auto"/>
      <w:jc w:val="center"/>
    </w:pPr>
    <w:rPr>
      <w:rFonts w:asciiTheme="majorHAnsi" w:hAnsiTheme="majorHAnsi"/>
      <w:caps/>
      <w:noProof/>
      <w:color w:val="CD1719"/>
      <w:sz w:val="16"/>
    </w:rPr>
  </w:style>
  <w:style w:type="table" w:customStyle="1" w:styleId="PMCTableStyle2">
    <w:name w:val="PMC Table Style 2"/>
    <w:basedOn w:val="TableNormal"/>
    <w:uiPriority w:val="99"/>
    <w:rsid w:val="00FC6197"/>
    <w:pPr>
      <w:spacing w:before="60" w:after="60"/>
    </w:pPr>
    <w:tblPr>
      <w:tblStyleRowBandSize w:val="1"/>
      <w:tblBorders>
        <w:top w:val="single" w:sz="4" w:space="0" w:color="E4E9EE" w:themeColor="accent1" w:themeTint="1A"/>
        <w:left w:val="single" w:sz="4" w:space="0" w:color="E4E9EE" w:themeColor="accent1" w:themeTint="1A"/>
        <w:bottom w:val="single" w:sz="12" w:space="0" w:color="014463" w:themeColor="text2"/>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FFFFFF" w:themeColor="background1"/>
        <w:sz w:val="18"/>
      </w:rPr>
      <w:tblPr/>
      <w:tcPr>
        <w:shd w:val="clear" w:color="auto" w:fill="014463" w:themeFill="text2"/>
      </w:tcPr>
    </w:tblStylePr>
    <w:tblStylePr w:type="lastRow">
      <w:tblPr/>
      <w:tcPr>
        <w:shd w:val="clear" w:color="auto" w:fill="E6E6E6"/>
      </w:tc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311022"/>
    <w:pPr>
      <w:ind w:left="567" w:right="567"/>
    </w:pPr>
    <w:rPr>
      <w:rFonts w:asciiTheme="majorHAnsi" w:hAnsiTheme="majorHAnsi"/>
      <w:color w:val="014463" w:themeColor="text2"/>
      <w:sz w:val="24"/>
      <w:szCs w:val="24"/>
    </w:rPr>
  </w:style>
  <w:style w:type="paragraph" w:styleId="NoSpacing">
    <w:name w:val="No Spacing"/>
    <w:basedOn w:val="BodyText"/>
    <w:link w:val="NoSpacingChar"/>
    <w:uiPriority w:val="1"/>
    <w:qFormat/>
    <w:rsid w:val="002A0289"/>
    <w:pPr>
      <w:contextualSpacing/>
    </w:pPr>
  </w:style>
  <w:style w:type="character" w:customStyle="1" w:styleId="NoSpacingChar">
    <w:name w:val="No Spacing Char"/>
    <w:basedOn w:val="DefaultParagraphFont"/>
    <w:link w:val="NoSpacing"/>
    <w:uiPriority w:val="1"/>
    <w:rsid w:val="00FE09D3"/>
  </w:style>
  <w:style w:type="paragraph" w:customStyle="1" w:styleId="CoverTitle">
    <w:name w:val="Cover Title"/>
    <w:basedOn w:val="NoSpacing"/>
    <w:uiPriority w:val="11"/>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qFormat/>
    <w:rsid w:val="008436AB"/>
    <w:pPr>
      <w:spacing w:after="240"/>
    </w:pPr>
    <w:rPr>
      <w:color w:val="FFFFFF" w:themeColor="background1"/>
      <w:sz w:val="24"/>
      <w:szCs w:val="28"/>
    </w:rPr>
  </w:style>
  <w:style w:type="paragraph" w:customStyle="1" w:styleId="Footerline">
    <w:name w:val="Footer line"/>
    <w:uiPriority w:val="11"/>
    <w:qFormat/>
    <w:rsid w:val="00753174"/>
    <w:pPr>
      <w:spacing w:before="20" w:after="240"/>
    </w:pPr>
    <w:rPr>
      <w:caps/>
      <w:noProof/>
      <w:color w:val="25303B" w:themeColor="accent1"/>
    </w:rPr>
  </w:style>
  <w:style w:type="paragraph" w:customStyle="1" w:styleId="TableNumbering">
    <w:name w:val="Table Numbering"/>
    <w:uiPriority w:val="11"/>
    <w:qFormat/>
    <w:rsid w:val="004409A8"/>
    <w:pPr>
      <w:numPr>
        <w:numId w:val="4"/>
      </w:numPr>
      <w:spacing w:before="40" w:after="40"/>
    </w:pPr>
    <w:rPr>
      <w:color w:val="000000" w:themeColor="text1"/>
      <w:sz w:val="18"/>
    </w:rPr>
  </w:style>
  <w:style w:type="paragraph" w:styleId="Caption">
    <w:name w:val="caption"/>
    <w:basedOn w:val="Normal"/>
    <w:next w:val="Normal"/>
    <w:uiPriority w:val="35"/>
    <w:unhideWhenUsed/>
    <w:qFormat/>
    <w:rsid w:val="00BC1972"/>
    <w:pPr>
      <w:keepNext/>
      <w:tabs>
        <w:tab w:val="left" w:pos="851"/>
        <w:tab w:val="left" w:pos="1017"/>
      </w:tabs>
      <w:spacing w:before="120"/>
      <w:ind w:left="851" w:hanging="851"/>
    </w:pPr>
    <w:rPr>
      <w:rFonts w:asciiTheme="majorHAnsi" w:hAnsiTheme="majorHAnsi"/>
      <w:b/>
      <w:iCs/>
      <w:color w:val="014463" w:themeColor="text2"/>
      <w:szCs w:val="18"/>
    </w:rPr>
  </w:style>
  <w:style w:type="paragraph" w:styleId="List">
    <w:name w:val="List"/>
    <w:uiPriority w:val="4"/>
    <w:semiHidden/>
    <w:rsid w:val="00880786"/>
    <w:pPr>
      <w:numPr>
        <w:numId w:val="5"/>
      </w:numPr>
      <w:spacing w:line="324" w:lineRule="auto"/>
    </w:pPr>
    <w:rPr>
      <w:color w:val="464E52"/>
      <w:sz w:val="18"/>
      <w:szCs w:val="18"/>
    </w:rPr>
  </w:style>
  <w:style w:type="paragraph" w:customStyle="1" w:styleId="EmphasisPanelHeading">
    <w:name w:val="Emphasis Panel Heading"/>
    <w:basedOn w:val="Normal"/>
    <w:uiPriority w:val="11"/>
    <w:qFormat/>
    <w:rsid w:val="00993B67"/>
    <w:pPr>
      <w:keepLines/>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60" w:after="60" w:line="240" w:lineRule="atLeast"/>
      <w:ind w:left="198" w:right="215"/>
    </w:pPr>
    <w:rPr>
      <w:rFonts w:asciiTheme="majorHAnsi" w:eastAsia="Times New Roman" w:hAnsiTheme="majorHAnsi" w:cs="Times New Roman"/>
      <w:b/>
      <w:color w:val="014463" w:themeColor="text2"/>
      <w:sz w:val="24"/>
      <w:szCs w:val="24"/>
      <w:lang w:val="en-US"/>
    </w:rPr>
  </w:style>
  <w:style w:type="paragraph" w:customStyle="1" w:styleId="EmphasisPanelBody">
    <w:name w:val="Emphasis Panel Body"/>
    <w:basedOn w:val="Normal"/>
    <w:uiPriority w:val="11"/>
    <w:qFormat/>
    <w:rsid w:val="00BF3BE8"/>
    <w:pPr>
      <w:keepLines/>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120"/>
      <w:ind w:left="198" w:right="215"/>
    </w:pPr>
    <w:rPr>
      <w:rFonts w:eastAsia="Times New Roman" w:cstheme="minorHAnsi"/>
      <w:lang w:val="en-US"/>
    </w:rPr>
  </w:style>
  <w:style w:type="paragraph" w:customStyle="1" w:styleId="EmphasisPanelBullet">
    <w:name w:val="Emphasis Panel Bullet"/>
    <w:uiPriority w:val="11"/>
    <w:qFormat/>
    <w:rsid w:val="00993B67"/>
    <w:pPr>
      <w:keepLines/>
      <w:numPr>
        <w:numId w:val="6"/>
      </w:numPr>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311022"/>
    <w:rPr>
      <w:rFonts w:asciiTheme="majorHAnsi" w:hAnsiTheme="majorHAnsi"/>
      <w:color w:val="014463" w:themeColor="text2"/>
      <w:sz w:val="24"/>
      <w:szCs w:val="24"/>
    </w:rPr>
  </w:style>
  <w:style w:type="paragraph" w:customStyle="1" w:styleId="BulletedListlvl3">
    <w:name w:val="Bulleted List lvl3"/>
    <w:basedOn w:val="BulletedListlvl2"/>
    <w:uiPriority w:val="10"/>
    <w:rsid w:val="006C7FC3"/>
    <w:pPr>
      <w:numPr>
        <w:ilvl w:val="2"/>
      </w:numPr>
    </w:pPr>
    <w:rPr>
      <w:sz w:val="19"/>
      <w:szCs w:val="19"/>
    </w:rPr>
  </w:style>
  <w:style w:type="table" w:customStyle="1" w:styleId="Clear">
    <w:name w:val="Clear"/>
    <w:basedOn w:val="TableNormal"/>
    <w:uiPriority w:val="99"/>
    <w:rsid w:val="00773AC7"/>
    <w:pPr>
      <w:spacing w:after="0" w:line="240" w:lineRule="auto"/>
    </w:pPr>
    <w:rPr>
      <w:color w:val="014463" w:themeColor="text2"/>
      <w:szCs w:val="18"/>
    </w:rPr>
    <w:tblPr>
      <w:tblCellMar>
        <w:left w:w="0" w:type="dxa"/>
        <w:right w:w="0" w:type="dxa"/>
      </w:tblCellMar>
    </w:tblPr>
  </w:style>
  <w:style w:type="paragraph" w:styleId="FootnoteText">
    <w:name w:val="footnote text"/>
    <w:aliases w:val="Footnote Text Char1 Char,Footnote Text Char Char1 Char,Footnote Text Char Char Char Char Char1,Char Char,Footnote Text Char Char Char,Footnote Text Char Char Char Char,fn,FT,ft,SD Footnote Text,Footnote Text AG,(NECG) Footnote Text"/>
    <w:basedOn w:val="Normal"/>
    <w:link w:val="FootnoteTextChar"/>
    <w:uiPriority w:val="99"/>
    <w:qFormat/>
    <w:rsid w:val="003A7E73"/>
    <w:pPr>
      <w:spacing w:after="0" w:line="240" w:lineRule="auto"/>
    </w:pPr>
  </w:style>
  <w:style w:type="character" w:customStyle="1" w:styleId="FootnoteTextChar">
    <w:name w:val="Footnote Text Char"/>
    <w:aliases w:val="Footnote Text Char1 Char Char,Footnote Text Char Char1 Char Char,Footnote Text Char Char Char Char Char1 Char,Char Char Char,Footnote Text Char Char Char Char1,Footnote Text Char Char Char Char Char,fn Char,FT Char,ft Char"/>
    <w:basedOn w:val="DefaultParagraphFont"/>
    <w:link w:val="FootnoteText"/>
    <w:uiPriority w:val="99"/>
    <w:rsid w:val="003A7E73"/>
  </w:style>
  <w:style w:type="character" w:styleId="FootnoteReference">
    <w:name w:val="footnote reference"/>
    <w:aliases w:val="fr,(NECG) Footnote Reference,Ref,de nota al pie"/>
    <w:basedOn w:val="DefaultParagraphFont"/>
    <w:uiPriority w:val="99"/>
    <w:rsid w:val="003A7E73"/>
    <w:rPr>
      <w:vertAlign w:val="superscript"/>
    </w:rPr>
  </w:style>
  <w:style w:type="paragraph" w:styleId="Title">
    <w:name w:val="Title"/>
    <w:basedOn w:val="Heading1"/>
    <w:next w:val="Normal"/>
    <w:link w:val="TitleChar"/>
    <w:uiPriority w:val="99"/>
    <w:qFormat/>
    <w:rsid w:val="00FE09D3"/>
    <w:pPr>
      <w:spacing w:after="120"/>
    </w:pPr>
  </w:style>
  <w:style w:type="character" w:customStyle="1" w:styleId="TitleChar">
    <w:name w:val="Title Char"/>
    <w:basedOn w:val="DefaultParagraphFont"/>
    <w:link w:val="Title"/>
    <w:uiPriority w:val="99"/>
    <w:rsid w:val="00FE09D3"/>
    <w:rPr>
      <w:rFonts w:asciiTheme="majorHAnsi" w:hAnsiTheme="majorHAnsi"/>
      <w:b/>
      <w:color w:val="014463" w:themeColor="text2"/>
      <w:sz w:val="60"/>
      <w:szCs w:val="60"/>
    </w:rPr>
  </w:style>
  <w:style w:type="paragraph" w:styleId="Subtitle">
    <w:name w:val="Subtitle"/>
    <w:basedOn w:val="Heading4"/>
    <w:next w:val="Normal"/>
    <w:link w:val="SubtitleChar"/>
    <w:uiPriority w:val="1"/>
    <w:qFormat/>
    <w:rsid w:val="00FE09D3"/>
    <w:pPr>
      <w:spacing w:before="120" w:after="360"/>
    </w:pPr>
  </w:style>
  <w:style w:type="character" w:customStyle="1" w:styleId="SubtitleChar">
    <w:name w:val="Subtitle Char"/>
    <w:basedOn w:val="DefaultParagraphFont"/>
    <w:link w:val="Subtitle"/>
    <w:uiPriority w:val="1"/>
    <w:rsid w:val="00FE09D3"/>
    <w:rPr>
      <w:rFonts w:asciiTheme="majorHAnsi" w:hAnsiTheme="majorHAnsi"/>
      <w:color w:val="015E8A" w:themeColor="text2" w:themeTint="E6"/>
      <w:sz w:val="22"/>
      <w:szCs w:val="24"/>
    </w:rPr>
  </w:style>
  <w:style w:type="character" w:styleId="Hyperlink">
    <w:name w:val="Hyperlink"/>
    <w:basedOn w:val="DefaultParagraphFont"/>
    <w:uiPriority w:val="99"/>
    <w:unhideWhenUsed/>
    <w:rsid w:val="00825394"/>
    <w:rPr>
      <w:rFonts w:ascii="Calibri" w:hAnsi="Calibri"/>
      <w:color w:val="015F8B" w:themeColor="hyperlink"/>
      <w:sz w:val="22"/>
      <w:u w:val="single"/>
    </w:rPr>
  </w:style>
  <w:style w:type="character" w:customStyle="1" w:styleId="UnresolvedMention1">
    <w:name w:val="Unresolved Mention1"/>
    <w:basedOn w:val="DefaultParagraphFont"/>
    <w:uiPriority w:val="99"/>
    <w:semiHidden/>
    <w:unhideWhenUsed/>
    <w:rsid w:val="004E3D50"/>
    <w:rPr>
      <w:color w:val="605E5C"/>
      <w:shd w:val="clear" w:color="auto" w:fill="E1DFDD"/>
    </w:rPr>
  </w:style>
  <w:style w:type="table" w:customStyle="1" w:styleId="TableGrid1">
    <w:name w:val="Table Grid1"/>
    <w:basedOn w:val="TableNormal"/>
    <w:next w:val="TableGrid"/>
    <w:uiPriority w:val="39"/>
    <w:rsid w:val="00F672F0"/>
    <w:pPr>
      <w:spacing w:before="60" w:after="60" w:line="240" w:lineRule="auto"/>
    </w:pPr>
    <w:rPr>
      <w:rFonts w:ascii="Arial" w:hAnsi="Arial"/>
      <w:color w:val="auto"/>
      <w:szCs w:val="22"/>
    </w:rPr>
    <w:tblPr>
      <w:tblBorders>
        <w:top w:val="single" w:sz="2" w:space="0" w:color="BFBFBF"/>
        <w:bottom w:val="single" w:sz="2" w:space="0" w:color="BFBFBF"/>
        <w:insideH w:val="single" w:sz="2" w:space="0" w:color="BFBFBF"/>
      </w:tblBorders>
    </w:tblPr>
    <w:tcPr>
      <w:tcMar>
        <w:top w:w="108" w:type="dxa"/>
        <w:bottom w:w="108" w:type="dxa"/>
      </w:tcMar>
    </w:tcPr>
    <w:tblStylePr w:type="firstRow">
      <w:rPr>
        <w:rFonts w:ascii="Arial" w:hAnsi="Arial"/>
        <w:b/>
      </w:rPr>
    </w:tblStylePr>
  </w:style>
  <w:style w:type="character" w:styleId="CommentReference">
    <w:name w:val="annotation reference"/>
    <w:basedOn w:val="DefaultParagraphFont"/>
    <w:uiPriority w:val="99"/>
    <w:semiHidden/>
    <w:unhideWhenUsed/>
    <w:rsid w:val="00D41D3E"/>
    <w:rPr>
      <w:sz w:val="16"/>
      <w:szCs w:val="16"/>
    </w:rPr>
  </w:style>
  <w:style w:type="paragraph" w:styleId="CommentText">
    <w:name w:val="annotation text"/>
    <w:basedOn w:val="Normal"/>
    <w:link w:val="CommentTextChar"/>
    <w:uiPriority w:val="99"/>
    <w:unhideWhenUsed/>
    <w:rsid w:val="00D41D3E"/>
    <w:pPr>
      <w:spacing w:line="240" w:lineRule="auto"/>
    </w:pPr>
  </w:style>
  <w:style w:type="character" w:customStyle="1" w:styleId="CommentTextChar">
    <w:name w:val="Comment Text Char"/>
    <w:basedOn w:val="DefaultParagraphFont"/>
    <w:link w:val="CommentText"/>
    <w:uiPriority w:val="99"/>
    <w:rsid w:val="00D41D3E"/>
  </w:style>
  <w:style w:type="paragraph" w:styleId="CommentSubject">
    <w:name w:val="annotation subject"/>
    <w:basedOn w:val="CommentText"/>
    <w:next w:val="CommentText"/>
    <w:link w:val="CommentSubjectChar"/>
    <w:uiPriority w:val="99"/>
    <w:semiHidden/>
    <w:unhideWhenUsed/>
    <w:rsid w:val="00D41D3E"/>
    <w:rPr>
      <w:b/>
      <w:bCs/>
    </w:rPr>
  </w:style>
  <w:style w:type="character" w:customStyle="1" w:styleId="CommentSubjectChar">
    <w:name w:val="Comment Subject Char"/>
    <w:basedOn w:val="CommentTextChar"/>
    <w:link w:val="CommentSubject"/>
    <w:uiPriority w:val="99"/>
    <w:semiHidden/>
    <w:rsid w:val="00D41D3E"/>
    <w:rPr>
      <w:b/>
      <w:bCs/>
    </w:rPr>
  </w:style>
  <w:style w:type="paragraph" w:customStyle="1" w:styleId="BodyText1">
    <w:name w:val="Body Text1"/>
    <w:basedOn w:val="Normal"/>
    <w:uiPriority w:val="99"/>
    <w:qFormat/>
    <w:rsid w:val="00D51485"/>
    <w:pPr>
      <w:spacing w:after="200" w:line="260" w:lineRule="exact"/>
    </w:pPr>
    <w:rPr>
      <w:rFonts w:ascii="Arial" w:eastAsia="Times New Roman" w:hAnsi="Arial" w:cs="Times New Roman"/>
      <w:szCs w:val="24"/>
    </w:rPr>
  </w:style>
  <w:style w:type="paragraph" w:styleId="Revision">
    <w:name w:val="Revision"/>
    <w:hidden/>
    <w:uiPriority w:val="99"/>
    <w:semiHidden/>
    <w:rsid w:val="00E070F2"/>
    <w:pPr>
      <w:spacing w:after="0" w:line="240" w:lineRule="auto"/>
    </w:pPr>
  </w:style>
  <w:style w:type="character" w:styleId="FollowedHyperlink">
    <w:name w:val="FollowedHyperlink"/>
    <w:basedOn w:val="DefaultParagraphFont"/>
    <w:uiPriority w:val="99"/>
    <w:semiHidden/>
    <w:unhideWhenUsed/>
    <w:rsid w:val="005F0394"/>
    <w:rPr>
      <w:color w:val="015F8B" w:themeColor="followedHyperlink"/>
      <w:u w:val="single"/>
    </w:rPr>
  </w:style>
  <w:style w:type="paragraph" w:styleId="TOCHeading">
    <w:name w:val="TOC Heading"/>
    <w:basedOn w:val="Heading1"/>
    <w:next w:val="Normal"/>
    <w:uiPriority w:val="39"/>
    <w:unhideWhenUsed/>
    <w:qFormat/>
    <w:rsid w:val="005F0394"/>
    <w:pPr>
      <w:spacing w:before="240" w:after="0" w:line="259" w:lineRule="auto"/>
      <w:outlineLvl w:val="9"/>
    </w:pPr>
    <w:rPr>
      <w:rFonts w:eastAsiaTheme="majorEastAsia" w:cstheme="majorBidi"/>
      <w:b w:val="0"/>
      <w:color w:val="1B232C" w:themeColor="accent1" w:themeShade="BF"/>
      <w:sz w:val="32"/>
      <w:szCs w:val="32"/>
      <w:lang w:val="en-US"/>
    </w:rPr>
  </w:style>
  <w:style w:type="paragraph" w:styleId="TOC1">
    <w:name w:val="toc 1"/>
    <w:basedOn w:val="Normal"/>
    <w:next w:val="Normal"/>
    <w:autoRedefine/>
    <w:uiPriority w:val="39"/>
    <w:unhideWhenUsed/>
    <w:rsid w:val="006B4A7D"/>
    <w:pPr>
      <w:tabs>
        <w:tab w:val="right" w:leader="dot" w:pos="9016"/>
      </w:tabs>
      <w:spacing w:after="100"/>
    </w:pPr>
  </w:style>
  <w:style w:type="paragraph" w:styleId="TOC3">
    <w:name w:val="toc 3"/>
    <w:basedOn w:val="Normal"/>
    <w:next w:val="Normal"/>
    <w:autoRedefine/>
    <w:uiPriority w:val="39"/>
    <w:unhideWhenUsed/>
    <w:rsid w:val="005F0394"/>
    <w:pPr>
      <w:spacing w:after="100"/>
      <w:ind w:left="400"/>
    </w:pPr>
  </w:style>
  <w:style w:type="paragraph" w:styleId="TOC2">
    <w:name w:val="toc 2"/>
    <w:basedOn w:val="Normal"/>
    <w:next w:val="Normal"/>
    <w:autoRedefine/>
    <w:uiPriority w:val="39"/>
    <w:unhideWhenUsed/>
    <w:rsid w:val="00E6310F"/>
    <w:pPr>
      <w:tabs>
        <w:tab w:val="left" w:pos="880"/>
        <w:tab w:val="right" w:leader="dot" w:pos="10194"/>
      </w:tabs>
      <w:spacing w:after="100"/>
      <w:ind w:left="200"/>
    </w:pPr>
  </w:style>
  <w:style w:type="character" w:customStyle="1" w:styleId="Heading5Char">
    <w:name w:val="Heading 5 Char"/>
    <w:basedOn w:val="DefaultParagraphFont"/>
    <w:link w:val="Heading5"/>
    <w:uiPriority w:val="1"/>
    <w:rsid w:val="00DB28F5"/>
    <w:rPr>
      <w:rFonts w:asciiTheme="majorHAnsi" w:hAnsiTheme="majorHAnsi"/>
      <w:color w:val="015E8A" w:themeColor="text2" w:themeTint="E6"/>
      <w:sz w:val="22"/>
      <w:szCs w:val="24"/>
    </w:rPr>
  </w:style>
  <w:style w:type="character" w:customStyle="1" w:styleId="Heading6Char">
    <w:name w:val="Heading 6 Char"/>
    <w:basedOn w:val="DefaultParagraphFont"/>
    <w:link w:val="Heading6"/>
    <w:uiPriority w:val="1"/>
    <w:semiHidden/>
    <w:rsid w:val="00234FEF"/>
    <w:rPr>
      <w:rFonts w:ascii="Verdana" w:eastAsiaTheme="majorEastAsia" w:hAnsi="Verdana" w:cstheme="majorBidi"/>
      <w:b/>
      <w:iCs/>
      <w:color w:val="auto"/>
      <w:sz w:val="18"/>
      <w:szCs w:val="18"/>
    </w:rPr>
  </w:style>
  <w:style w:type="paragraph" w:styleId="ListBullet">
    <w:name w:val="List Bullet"/>
    <w:aliases w:val="IA List Bullet"/>
    <w:basedOn w:val="Normal"/>
    <w:link w:val="ListBulletChar"/>
    <w:autoRedefine/>
    <w:uiPriority w:val="3"/>
    <w:qFormat/>
    <w:rsid w:val="00C4572E"/>
    <w:pPr>
      <w:numPr>
        <w:numId w:val="20"/>
      </w:numPr>
      <w:spacing w:after="200" w:line="260" w:lineRule="exact"/>
      <w:ind w:left="714" w:hanging="357"/>
    </w:pPr>
    <w:rPr>
      <w:szCs w:val="17"/>
    </w:rPr>
  </w:style>
  <w:style w:type="paragraph" w:customStyle="1" w:styleId="CaptionTable">
    <w:name w:val="Caption_Table"/>
    <w:basedOn w:val="Normal"/>
    <w:next w:val="Normal"/>
    <w:uiPriority w:val="4"/>
    <w:rsid w:val="005F7870"/>
    <w:pPr>
      <w:keepNext/>
      <w:keepLines/>
      <w:spacing w:before="240" w:after="240" w:line="240" w:lineRule="atLeast"/>
    </w:pPr>
    <w:rPr>
      <w:rFonts w:ascii="Verdana" w:eastAsia="Times New Roman" w:hAnsi="Verdana" w:cs="Times New Roman"/>
      <w:color w:val="A91117" w:themeColor="accent6"/>
      <w:sz w:val="17"/>
    </w:rPr>
  </w:style>
  <w:style w:type="paragraph" w:customStyle="1" w:styleId="CaptionFigure">
    <w:name w:val="Caption_Figure"/>
    <w:basedOn w:val="Normal"/>
    <w:next w:val="Normal"/>
    <w:uiPriority w:val="4"/>
    <w:rsid w:val="005F7870"/>
    <w:pPr>
      <w:keepNext/>
      <w:keepLines/>
      <w:spacing w:after="170" w:line="240" w:lineRule="atLeast"/>
    </w:pPr>
    <w:rPr>
      <w:rFonts w:ascii="Verdana" w:hAnsi="Verdana"/>
      <w:bCs/>
      <w:color w:val="A91117" w:themeColor="accent6"/>
      <w:sz w:val="17"/>
    </w:rPr>
  </w:style>
  <w:style w:type="paragraph" w:customStyle="1" w:styleId="CaptionChart">
    <w:name w:val="Caption_Chart"/>
    <w:basedOn w:val="Normal"/>
    <w:next w:val="Normal"/>
    <w:uiPriority w:val="4"/>
    <w:rsid w:val="005F7870"/>
    <w:pPr>
      <w:keepNext/>
      <w:keepLines/>
      <w:spacing w:after="170" w:line="240" w:lineRule="atLeast"/>
    </w:pPr>
    <w:rPr>
      <w:rFonts w:ascii="Verdana" w:hAnsi="Verdana"/>
      <w:color w:val="A91117" w:themeColor="accent6"/>
      <w:sz w:val="17"/>
      <w:szCs w:val="18"/>
    </w:rPr>
  </w:style>
  <w:style w:type="character" w:customStyle="1" w:styleId="ListParagraphChar">
    <w:name w:val="List Paragraph Char"/>
    <w:aliases w:val="Bullet Char,SWA List Paragraph Char,Indent Char,Recommendation Char,List Paragraph1 Char,standard lewis Char,List Paragraph11 Char,List Paragraph2 Char,Bulit List -  Paragraph Char,Main numbered paragraph Char,Heading2 Char,L Char"/>
    <w:basedOn w:val="DefaultParagraphFont"/>
    <w:link w:val="ListParagraph"/>
    <w:uiPriority w:val="34"/>
    <w:qFormat/>
    <w:rsid w:val="008E2F56"/>
  </w:style>
  <w:style w:type="paragraph" w:styleId="ListBullet2">
    <w:name w:val="List Bullet 2"/>
    <w:basedOn w:val="Normal"/>
    <w:uiPriority w:val="99"/>
    <w:unhideWhenUsed/>
    <w:rsid w:val="00234FEF"/>
    <w:pPr>
      <w:numPr>
        <w:numId w:val="21"/>
      </w:numPr>
      <w:spacing w:after="120" w:line="264" w:lineRule="auto"/>
      <w:contextualSpacing/>
    </w:pPr>
    <w:rPr>
      <w:color w:val="262626" w:themeColor="text1" w:themeTint="D9"/>
      <w:sz w:val="20"/>
      <w:szCs w:val="20"/>
    </w:rPr>
  </w:style>
  <w:style w:type="paragraph" w:styleId="NormalWeb">
    <w:name w:val="Normal (Web)"/>
    <w:basedOn w:val="Normal"/>
    <w:uiPriority w:val="99"/>
    <w:semiHidden/>
    <w:unhideWhenUsed/>
    <w:rsid w:val="00831D8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842AF4"/>
  </w:style>
  <w:style w:type="character" w:customStyle="1" w:styleId="eop">
    <w:name w:val="eop"/>
    <w:basedOn w:val="DefaultParagraphFont"/>
    <w:rsid w:val="00842AF4"/>
  </w:style>
  <w:style w:type="character" w:customStyle="1" w:styleId="SWADisclaimerheadingChar">
    <w:name w:val="SWA Disclaimer heading Char"/>
    <w:basedOn w:val="DefaultParagraphFont"/>
    <w:link w:val="SWADisclaimerheading"/>
    <w:locked/>
    <w:rsid w:val="00E94F67"/>
    <w:rPr>
      <w:rFonts w:ascii="Arial" w:eastAsiaTheme="majorEastAsia" w:hAnsi="Arial" w:cstheme="majorBidi"/>
      <w:b/>
      <w:color w:val="AF1E2D"/>
      <w:spacing w:val="-3"/>
      <w:sz w:val="14"/>
      <w:szCs w:val="14"/>
    </w:rPr>
  </w:style>
  <w:style w:type="paragraph" w:customStyle="1" w:styleId="SWADisclaimerheading">
    <w:name w:val="SWA Disclaimer heading"/>
    <w:basedOn w:val="Normal"/>
    <w:link w:val="SWADisclaimerheadingChar"/>
    <w:qFormat/>
    <w:rsid w:val="00E94F67"/>
    <w:pPr>
      <w:spacing w:line="276" w:lineRule="auto"/>
    </w:pPr>
    <w:rPr>
      <w:rFonts w:ascii="Arial" w:eastAsiaTheme="majorEastAsia" w:hAnsi="Arial" w:cstheme="majorBidi"/>
      <w:b/>
      <w:color w:val="AF1E2D"/>
      <w:spacing w:val="-3"/>
      <w:sz w:val="14"/>
      <w:szCs w:val="14"/>
    </w:rPr>
  </w:style>
  <w:style w:type="character" w:customStyle="1" w:styleId="SWADisclaimerbodytextChar">
    <w:name w:val="SWA Disclaimer body text Char"/>
    <w:basedOn w:val="DefaultParagraphFont"/>
    <w:link w:val="SWADisclaimerbodytext"/>
    <w:locked/>
    <w:rsid w:val="00E94F67"/>
    <w:rPr>
      <w:rFonts w:ascii="Arial" w:eastAsia="Times New Roman" w:hAnsi="Arial" w:cs="Times New Roman"/>
      <w:sz w:val="14"/>
      <w:szCs w:val="14"/>
      <w:lang w:eastAsia="en-AU"/>
    </w:rPr>
  </w:style>
  <w:style w:type="paragraph" w:customStyle="1" w:styleId="SWADisclaimerbodytext">
    <w:name w:val="SWA Disclaimer body text"/>
    <w:basedOn w:val="Normal"/>
    <w:link w:val="SWADisclaimerbodytextChar"/>
    <w:qFormat/>
    <w:rsid w:val="00E94F67"/>
    <w:pPr>
      <w:spacing w:line="276" w:lineRule="auto"/>
    </w:pPr>
    <w:rPr>
      <w:rFonts w:ascii="Arial" w:eastAsia="Times New Roman" w:hAnsi="Arial" w:cs="Times New Roman"/>
      <w:sz w:val="14"/>
      <w:szCs w:val="14"/>
      <w:lang w:eastAsia="en-AU"/>
    </w:rPr>
  </w:style>
  <w:style w:type="character" w:customStyle="1" w:styleId="Mention1">
    <w:name w:val="Mention1"/>
    <w:basedOn w:val="DefaultParagraphFont"/>
    <w:uiPriority w:val="99"/>
    <w:unhideWhenUsed/>
    <w:rPr>
      <w:color w:val="2B579A"/>
      <w:shd w:val="clear" w:color="auto" w:fill="E6E6E6"/>
    </w:rPr>
  </w:style>
  <w:style w:type="paragraph" w:customStyle="1" w:styleId="Default">
    <w:name w:val="Default"/>
    <w:rsid w:val="000F5C1E"/>
    <w:pPr>
      <w:autoSpaceDE w:val="0"/>
      <w:autoSpaceDN w:val="0"/>
      <w:adjustRightInd w:val="0"/>
      <w:spacing w:after="0" w:line="240" w:lineRule="auto"/>
    </w:pPr>
    <w:rPr>
      <w:rFonts w:ascii="Calibri" w:hAnsi="Calibri" w:cs="Calibri"/>
      <w:color w:val="000000"/>
      <w:sz w:val="24"/>
      <w:szCs w:val="24"/>
    </w:rPr>
  </w:style>
  <w:style w:type="character" w:customStyle="1" w:styleId="author">
    <w:name w:val="author"/>
    <w:basedOn w:val="DefaultParagraphFont"/>
    <w:rsid w:val="00011AA3"/>
  </w:style>
  <w:style w:type="character" w:customStyle="1" w:styleId="pubyear">
    <w:name w:val="pubyear"/>
    <w:basedOn w:val="DefaultParagraphFont"/>
    <w:rsid w:val="00011AA3"/>
  </w:style>
  <w:style w:type="character" w:customStyle="1" w:styleId="articletitle">
    <w:name w:val="articletitle"/>
    <w:basedOn w:val="DefaultParagraphFont"/>
    <w:rsid w:val="00011AA3"/>
  </w:style>
  <w:style w:type="character" w:customStyle="1" w:styleId="vol">
    <w:name w:val="vol"/>
    <w:basedOn w:val="DefaultParagraphFont"/>
    <w:rsid w:val="00011AA3"/>
  </w:style>
  <w:style w:type="character" w:customStyle="1" w:styleId="citedissue">
    <w:name w:val="citedissue"/>
    <w:basedOn w:val="DefaultParagraphFont"/>
    <w:rsid w:val="00011AA3"/>
  </w:style>
  <w:style w:type="character" w:customStyle="1" w:styleId="highwire-cite-metadata-journal">
    <w:name w:val="highwire-cite-metadata-journal"/>
    <w:basedOn w:val="DefaultParagraphFont"/>
    <w:rsid w:val="00AA35FF"/>
  </w:style>
  <w:style w:type="character" w:customStyle="1" w:styleId="highwire-cite-metadata-date">
    <w:name w:val="highwire-cite-metadata-date"/>
    <w:basedOn w:val="DefaultParagraphFont"/>
    <w:rsid w:val="00AA35FF"/>
  </w:style>
  <w:style w:type="character" w:customStyle="1" w:styleId="highwire-cite-metadata-volume">
    <w:name w:val="highwire-cite-metadata-volume"/>
    <w:basedOn w:val="DefaultParagraphFont"/>
    <w:rsid w:val="00AA35FF"/>
  </w:style>
  <w:style w:type="character" w:customStyle="1" w:styleId="UnresolvedMention">
    <w:name w:val="Unresolved Mention"/>
    <w:basedOn w:val="DefaultParagraphFont"/>
    <w:uiPriority w:val="99"/>
    <w:unhideWhenUsed/>
    <w:rsid w:val="008C65B4"/>
    <w:rPr>
      <w:color w:val="605E5C"/>
      <w:shd w:val="clear" w:color="auto" w:fill="E1DFDD"/>
    </w:rPr>
  </w:style>
  <w:style w:type="paragraph" w:customStyle="1" w:styleId="EYBodytextwithparaspace">
    <w:name w:val="EY Body text (with para space)"/>
    <w:basedOn w:val="Normal"/>
    <w:link w:val="EYBodytextwithparaspaceChar"/>
    <w:uiPriority w:val="99"/>
    <w:qFormat/>
    <w:rsid w:val="00C43655"/>
    <w:pPr>
      <w:autoSpaceDE w:val="0"/>
      <w:autoSpaceDN w:val="0"/>
      <w:adjustRightInd w:val="0"/>
      <w:spacing w:after="240" w:line="240" w:lineRule="auto"/>
    </w:pPr>
    <w:rPr>
      <w:rFonts w:ascii="EYInterstate Light" w:eastAsia="Times New Roman" w:hAnsi="EYInterstate Light" w:cs="Times New Roman"/>
    </w:rPr>
  </w:style>
  <w:style w:type="paragraph" w:customStyle="1" w:styleId="EYBulletnoparaspace">
    <w:name w:val="EY Bullet (no para space)"/>
    <w:basedOn w:val="Normal"/>
    <w:uiPriority w:val="99"/>
    <w:qFormat/>
    <w:rsid w:val="00C43655"/>
    <w:pPr>
      <w:numPr>
        <w:numId w:val="11"/>
      </w:numPr>
      <w:spacing w:after="240" w:line="240" w:lineRule="auto"/>
      <w:contextualSpacing/>
    </w:pPr>
    <w:rPr>
      <w:rFonts w:ascii="EYInterstate Light" w:eastAsia="Times New Roman" w:hAnsi="EYInterstate Light" w:cs="Times New Roman"/>
      <w:szCs w:val="24"/>
    </w:rPr>
  </w:style>
  <w:style w:type="numbering" w:customStyle="1" w:styleId="EYPlainBulletList">
    <w:name w:val="EYPlainBulletList"/>
    <w:uiPriority w:val="99"/>
    <w:rsid w:val="00C43655"/>
    <w:pPr>
      <w:numPr>
        <w:numId w:val="9"/>
      </w:numPr>
    </w:pPr>
  </w:style>
  <w:style w:type="character" w:customStyle="1" w:styleId="Mention">
    <w:name w:val="Mention"/>
    <w:basedOn w:val="DefaultParagraphFont"/>
    <w:uiPriority w:val="99"/>
    <w:unhideWhenUsed/>
    <w:rsid w:val="006F1AF7"/>
    <w:rPr>
      <w:color w:val="2B579A"/>
      <w:shd w:val="clear" w:color="auto" w:fill="E6E6E6"/>
    </w:rPr>
  </w:style>
  <w:style w:type="character" w:styleId="Strong">
    <w:name w:val="Strong"/>
    <w:basedOn w:val="DefaultParagraphFont"/>
    <w:uiPriority w:val="22"/>
    <w:qFormat/>
    <w:rsid w:val="006F1AF7"/>
    <w:rPr>
      <w:b/>
      <w:bCs/>
    </w:rPr>
  </w:style>
  <w:style w:type="character" w:styleId="SubtleEmphasis">
    <w:name w:val="Subtle Emphasis"/>
    <w:basedOn w:val="DefaultParagraphFont"/>
    <w:uiPriority w:val="19"/>
    <w:qFormat/>
    <w:rsid w:val="006F1AF7"/>
    <w:rPr>
      <w:i/>
      <w:iCs/>
      <w:color w:val="404040" w:themeColor="text1" w:themeTint="BF"/>
    </w:rPr>
  </w:style>
  <w:style w:type="paragraph" w:customStyle="1" w:styleId="VHBAbody">
    <w:name w:val="VHBA body"/>
    <w:link w:val="VHBAbodyChar"/>
    <w:qFormat/>
    <w:rsid w:val="006F1AF7"/>
    <w:pPr>
      <w:spacing w:line="270" w:lineRule="atLeast"/>
    </w:pPr>
    <w:rPr>
      <w:rFonts w:ascii="Arial" w:eastAsia="Times" w:hAnsi="Arial" w:cs="Times New Roman"/>
      <w:color w:val="auto"/>
    </w:rPr>
  </w:style>
  <w:style w:type="paragraph" w:customStyle="1" w:styleId="VHBAtablecaption">
    <w:name w:val="VHBA table caption"/>
    <w:next w:val="VHBAbody"/>
    <w:uiPriority w:val="3"/>
    <w:qFormat/>
    <w:rsid w:val="006F1AF7"/>
    <w:pPr>
      <w:keepNext/>
      <w:keepLines/>
      <w:spacing w:before="240" w:line="240" w:lineRule="atLeast"/>
    </w:pPr>
    <w:rPr>
      <w:rFonts w:ascii="Arial" w:eastAsia="Times New Roman" w:hAnsi="Arial" w:cs="Times New Roman"/>
      <w:b/>
      <w:color w:val="auto"/>
    </w:rPr>
  </w:style>
  <w:style w:type="paragraph" w:customStyle="1" w:styleId="VHBAquotebullet1">
    <w:name w:val="VHBA quote bullet 1"/>
    <w:basedOn w:val="Normal"/>
    <w:uiPriority w:val="4"/>
    <w:rsid w:val="006F1AF7"/>
    <w:pPr>
      <w:spacing w:line="270" w:lineRule="atLeast"/>
      <w:ind w:left="1134" w:hanging="1134"/>
    </w:pPr>
    <w:rPr>
      <w:rFonts w:ascii="Arial" w:eastAsia="Times" w:hAnsi="Arial" w:cs="Times New Roman"/>
      <w:szCs w:val="18"/>
    </w:rPr>
  </w:style>
  <w:style w:type="paragraph" w:customStyle="1" w:styleId="VHBAquotebullet2">
    <w:name w:val="VHBA quote bullet 2"/>
    <w:basedOn w:val="Normal"/>
    <w:uiPriority w:val="4"/>
    <w:qFormat/>
    <w:rsid w:val="006F1AF7"/>
    <w:pPr>
      <w:spacing w:line="270" w:lineRule="atLeast"/>
      <w:ind w:left="1134" w:hanging="1134"/>
    </w:pPr>
    <w:rPr>
      <w:rFonts w:ascii="Arial" w:eastAsia="Times" w:hAnsi="Arial" w:cs="Times New Roman"/>
      <w:szCs w:val="18"/>
    </w:rPr>
  </w:style>
  <w:style w:type="character" w:customStyle="1" w:styleId="VHBAbodyChar">
    <w:name w:val="VHBA body Char"/>
    <w:basedOn w:val="DefaultParagraphFont"/>
    <w:link w:val="VHBAbody"/>
    <w:rsid w:val="006F1AF7"/>
    <w:rPr>
      <w:rFonts w:ascii="Arial" w:eastAsia="Times" w:hAnsi="Arial" w:cs="Times New Roman"/>
      <w:color w:val="auto"/>
    </w:rPr>
  </w:style>
  <w:style w:type="numbering" w:customStyle="1" w:styleId="ListHeadings">
    <w:name w:val="List Headings"/>
    <w:uiPriority w:val="99"/>
    <w:rsid w:val="006F1AF7"/>
    <w:pPr>
      <w:numPr>
        <w:numId w:val="10"/>
      </w:numPr>
    </w:pPr>
  </w:style>
  <w:style w:type="paragraph" w:customStyle="1" w:styleId="NumberedHeading1">
    <w:name w:val="Numbered Heading 1"/>
    <w:basedOn w:val="Heading1"/>
    <w:next w:val="VHBAbody"/>
    <w:uiPriority w:val="9"/>
    <w:qFormat/>
    <w:rsid w:val="006F1AF7"/>
    <w:pPr>
      <w:tabs>
        <w:tab w:val="left" w:pos="851"/>
      </w:tabs>
      <w:spacing w:before="360" w:after="240" w:line="240" w:lineRule="auto"/>
    </w:pPr>
    <w:rPr>
      <w:rFonts w:eastAsiaTheme="majorEastAsia" w:cstheme="majorBidi"/>
      <w:b w:val="0"/>
      <w:bCs/>
      <w:sz w:val="36"/>
      <w:szCs w:val="32"/>
    </w:rPr>
  </w:style>
  <w:style w:type="paragraph" w:customStyle="1" w:styleId="NumberedHeading2">
    <w:name w:val="Numbered Heading 2"/>
    <w:basedOn w:val="Heading2"/>
    <w:next w:val="VHBAbody"/>
    <w:uiPriority w:val="9"/>
    <w:qFormat/>
    <w:rsid w:val="006F1AF7"/>
    <w:pPr>
      <w:tabs>
        <w:tab w:val="left" w:pos="851"/>
      </w:tabs>
      <w:spacing w:before="240" w:after="90" w:line="240" w:lineRule="auto"/>
    </w:pPr>
    <w:rPr>
      <w:color w:val="5C7281"/>
      <w:sz w:val="28"/>
      <w:szCs w:val="26"/>
    </w:rPr>
  </w:style>
  <w:style w:type="paragraph" w:customStyle="1" w:styleId="NumberedHeading3">
    <w:name w:val="Numbered Heading 3"/>
    <w:basedOn w:val="Heading3"/>
    <w:next w:val="VHBAbody"/>
    <w:uiPriority w:val="9"/>
    <w:qFormat/>
    <w:rsid w:val="006F1AF7"/>
    <w:pPr>
      <w:tabs>
        <w:tab w:val="left" w:pos="851"/>
      </w:tabs>
      <w:spacing w:before="280" w:after="120" w:line="280" w:lineRule="atLeast"/>
      <w:ind w:left="851" w:hanging="851"/>
    </w:pPr>
    <w:rPr>
      <w:rFonts w:eastAsia="MS Gothic" w:cs="Times New Roman"/>
      <w:b/>
      <w:bCs/>
      <w:color w:val="auto"/>
      <w:szCs w:val="26"/>
    </w:rPr>
  </w:style>
  <w:style w:type="paragraph" w:customStyle="1" w:styleId="NumberedHeading4">
    <w:name w:val="Numbered Heading 4"/>
    <w:basedOn w:val="Heading4"/>
    <w:next w:val="VHBAbody"/>
    <w:link w:val="NumberedHeading4Char"/>
    <w:uiPriority w:val="9"/>
    <w:qFormat/>
    <w:rsid w:val="006F1AF7"/>
    <w:pPr>
      <w:keepLines/>
      <w:spacing w:line="240" w:lineRule="atLeast"/>
      <w:ind w:left="851" w:hanging="851"/>
    </w:pPr>
    <w:rPr>
      <w:rFonts w:eastAsia="MS Mincho" w:cs="Times New Roman"/>
      <w:b/>
      <w:bCs/>
    </w:rPr>
  </w:style>
  <w:style w:type="character" w:customStyle="1" w:styleId="NumberedHeading4Char">
    <w:name w:val="Numbered Heading 4 Char"/>
    <w:basedOn w:val="Heading4Char"/>
    <w:link w:val="NumberedHeading4"/>
    <w:uiPriority w:val="9"/>
    <w:rsid w:val="006F1AF7"/>
    <w:rPr>
      <w:rFonts w:asciiTheme="majorHAnsi" w:eastAsia="MS Mincho" w:hAnsiTheme="majorHAnsi" w:cs="Times New Roman"/>
      <w:b/>
      <w:bCs/>
      <w:color w:val="015E8A" w:themeColor="text2" w:themeTint="E6"/>
      <w:sz w:val="22"/>
      <w:szCs w:val="24"/>
    </w:rPr>
  </w:style>
  <w:style w:type="table" w:customStyle="1" w:styleId="VHBATable1">
    <w:name w:val="VHBA Table 1"/>
    <w:basedOn w:val="TableNormal"/>
    <w:uiPriority w:val="99"/>
    <w:rsid w:val="006F1AF7"/>
    <w:pPr>
      <w:spacing w:after="0" w:line="240" w:lineRule="auto"/>
    </w:pPr>
    <w:rPr>
      <w:rFonts w:ascii="Arial" w:eastAsia="Times New Roman" w:hAnsi="Arial" w:cs="Times New Roman"/>
      <w:color w:val="auto"/>
      <w:sz w:val="16"/>
      <w:lang w:eastAsia="en-AU"/>
    </w:rPr>
    <w:tblPr/>
    <w:tblStylePr w:type="firstRow">
      <w:rPr>
        <w:rFonts w:ascii="Arial" w:hAnsi="Arial"/>
        <w:b/>
        <w:i w:val="0"/>
        <w:color w:val="FFFFFF" w:themeColor="background1"/>
        <w:sz w:val="20"/>
      </w:rPr>
      <w:tblPr/>
      <w:tcPr>
        <w:shd w:val="clear" w:color="auto" w:fill="A00024"/>
      </w:tcPr>
    </w:tblStylePr>
    <w:tblStylePr w:type="lastRow">
      <w:rPr>
        <w:rFonts w:ascii="Arial" w:hAnsi="Arial"/>
        <w:sz w:val="20"/>
      </w:rPr>
    </w:tblStylePr>
    <w:tblStylePr w:type="firstCol">
      <w:rPr>
        <w:rFonts w:ascii="Arial" w:hAnsi="Arial"/>
        <w:sz w:val="20"/>
      </w:rPr>
      <w:tblPr/>
      <w:tcPr>
        <w:shd w:val="clear" w:color="auto" w:fill="F3BA97" w:themeFill="accent4" w:themeFillTint="66"/>
      </w:tcPr>
    </w:tblStylePr>
    <w:tblStylePr w:type="lastCol">
      <w:rPr>
        <w:rFonts w:ascii="Arial" w:hAnsi="Arial"/>
        <w:sz w:val="20"/>
      </w:rPr>
    </w:tblStylePr>
  </w:style>
  <w:style w:type="paragraph" w:customStyle="1" w:styleId="VHHSBAtablecolhead">
    <w:name w:val="VHHSBA table col head"/>
    <w:uiPriority w:val="99"/>
    <w:qFormat/>
    <w:rsid w:val="006F1AF7"/>
    <w:pPr>
      <w:keepNext/>
      <w:keepLines/>
      <w:spacing w:before="80" w:after="60" w:line="240" w:lineRule="auto"/>
    </w:pPr>
    <w:rPr>
      <w:rFonts w:ascii="Arial" w:eastAsia="Arial" w:hAnsi="Arial" w:cs="Times New Roman"/>
      <w:b/>
      <w:iCs/>
      <w:color w:val="FFFFFF"/>
      <w:szCs w:val="24"/>
    </w:rPr>
  </w:style>
  <w:style w:type="paragraph" w:customStyle="1" w:styleId="VHHSBAbodyaftertablefigure">
    <w:name w:val="VHHSBA body after table/figure"/>
    <w:basedOn w:val="Normal"/>
    <w:next w:val="Normal"/>
    <w:uiPriority w:val="99"/>
    <w:qFormat/>
    <w:rsid w:val="006F1AF7"/>
    <w:pPr>
      <w:spacing w:before="240" w:line="270" w:lineRule="atLeast"/>
    </w:pPr>
    <w:rPr>
      <w:rFonts w:ascii="Arial" w:eastAsia="Times" w:hAnsi="Arial" w:cs="Times New Roman"/>
    </w:rPr>
  </w:style>
  <w:style w:type="paragraph" w:customStyle="1" w:styleId="VHHSBAbody">
    <w:name w:val="VHHSBA body"/>
    <w:uiPriority w:val="99"/>
    <w:qFormat/>
    <w:rsid w:val="006F1AF7"/>
    <w:pPr>
      <w:spacing w:line="270" w:lineRule="atLeast"/>
    </w:pPr>
    <w:rPr>
      <w:rFonts w:ascii="Arial" w:eastAsia="Times" w:hAnsi="Arial" w:cs="Times New Roman"/>
      <w:color w:val="auto"/>
    </w:rPr>
  </w:style>
  <w:style w:type="paragraph" w:customStyle="1" w:styleId="UpdatedBody">
    <w:name w:val="Updated_Body"/>
    <w:basedOn w:val="Normal"/>
    <w:uiPriority w:val="99"/>
    <w:qFormat/>
    <w:rsid w:val="006F1AF7"/>
    <w:pPr>
      <w:spacing w:before="120"/>
    </w:pPr>
    <w:rPr>
      <w:rFonts w:ascii="Source Sans Pro" w:hAnsi="Source Sans Pro"/>
      <w:color w:val="000000" w:themeColor="text1"/>
      <w:lang w:val="en-GB"/>
    </w:rPr>
  </w:style>
  <w:style w:type="table" w:customStyle="1" w:styleId="TableGridDHHSblue1">
    <w:name w:val="Table Grid DHHS blue1"/>
    <w:basedOn w:val="TableNormal"/>
    <w:uiPriority w:val="59"/>
    <w:rsid w:val="006F1AF7"/>
    <w:pPr>
      <w:spacing w:after="0" w:line="240" w:lineRule="auto"/>
    </w:pPr>
    <w:rPr>
      <w:rFonts w:ascii="Arial" w:eastAsia="Times New Roman" w:hAnsi="Arial" w:cs="Times New Roman"/>
      <w:color w:val="auto"/>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0074BC"/>
      </w:tcPr>
    </w:tblStylePr>
  </w:style>
  <w:style w:type="paragraph" w:customStyle="1" w:styleId="Documentsubtitle">
    <w:name w:val="Document subtitle"/>
    <w:basedOn w:val="Normal"/>
    <w:uiPriority w:val="7"/>
    <w:rsid w:val="006F1AF7"/>
    <w:pPr>
      <w:spacing w:line="440" w:lineRule="atLeast"/>
    </w:pPr>
    <w:rPr>
      <w:rFonts w:ascii="Verdana" w:hAnsi="Verdana"/>
      <w:color w:val="000000"/>
      <w:sz w:val="28"/>
      <w:szCs w:val="18"/>
    </w:rPr>
  </w:style>
  <w:style w:type="character" w:customStyle="1" w:styleId="Heading1Char1">
    <w:name w:val="Heading 1 Char1"/>
    <w:aliases w:val="1.Heading 1 Char1"/>
    <w:basedOn w:val="DefaultParagraphFont"/>
    <w:uiPriority w:val="1"/>
    <w:rsid w:val="006F1AF7"/>
    <w:rPr>
      <w:rFonts w:asciiTheme="majorHAnsi" w:eastAsiaTheme="majorEastAsia" w:hAnsiTheme="majorHAnsi" w:cstheme="majorBidi"/>
      <w:color w:val="1B232C" w:themeColor="accent1" w:themeShade="BF"/>
      <w:sz w:val="32"/>
      <w:szCs w:val="32"/>
    </w:rPr>
  </w:style>
  <w:style w:type="paragraph" w:customStyle="1" w:styleId="msonormal0">
    <w:name w:val="msonormal"/>
    <w:basedOn w:val="Normal"/>
    <w:uiPriority w:val="99"/>
    <w:semiHidden/>
    <w:rsid w:val="006F1AF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otnoteTextChar1">
    <w:name w:val="Footnote Text Char1"/>
    <w:aliases w:val="Footnote Text Char1 Char Char1,Footnote Text Char Char1 Char Char1,Footnote Text Char Char Char Char Char1 Char1,Char Char Char1,Footnote Text Char Char Char Char2,Footnote Text Char Char Char Char Char2,fn Char1,FT Char1,ft Char1"/>
    <w:basedOn w:val="DefaultParagraphFont"/>
    <w:uiPriority w:val="99"/>
    <w:semiHidden/>
    <w:rsid w:val="006F1AF7"/>
    <w:rPr>
      <w:color w:val="262626" w:themeColor="text1" w:themeTint="D9"/>
      <w:sz w:val="20"/>
      <w:szCs w:val="20"/>
    </w:rPr>
  </w:style>
  <w:style w:type="table" w:customStyle="1" w:styleId="TableGrid2">
    <w:name w:val="Table Grid2"/>
    <w:basedOn w:val="TableNormal"/>
    <w:next w:val="TableGrid"/>
    <w:uiPriority w:val="39"/>
    <w:rsid w:val="00D61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mall">
    <w:name w:val="Normal small"/>
    <w:qFormat/>
    <w:rsid w:val="007412A4"/>
    <w:pPr>
      <w:spacing w:line="276" w:lineRule="auto"/>
    </w:pPr>
    <w:rPr>
      <w:rFonts w:ascii="Cambria" w:hAnsi="Cambria"/>
      <w:color w:val="auto"/>
      <w:sz w:val="18"/>
      <w:szCs w:val="18"/>
    </w:rPr>
  </w:style>
  <w:style w:type="character" w:customStyle="1" w:styleId="Heading7Char">
    <w:name w:val="Heading 7 Char"/>
    <w:basedOn w:val="DefaultParagraphFont"/>
    <w:link w:val="Heading7"/>
    <w:uiPriority w:val="9"/>
    <w:semiHidden/>
    <w:rsid w:val="0030750F"/>
    <w:rPr>
      <w:rFonts w:asciiTheme="majorHAnsi" w:eastAsiaTheme="majorEastAsia" w:hAnsiTheme="majorHAnsi" w:cstheme="majorBidi"/>
      <w:i/>
      <w:iCs/>
      <w:color w:val="12171D" w:themeColor="accent1" w:themeShade="7F"/>
      <w:sz w:val="22"/>
      <w:szCs w:val="22"/>
    </w:rPr>
  </w:style>
  <w:style w:type="character" w:customStyle="1" w:styleId="Heading8Char">
    <w:name w:val="Heading 8 Char"/>
    <w:basedOn w:val="DefaultParagraphFont"/>
    <w:link w:val="Heading8"/>
    <w:uiPriority w:val="9"/>
    <w:semiHidden/>
    <w:rsid w:val="0030750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0750F"/>
    <w:rPr>
      <w:rFonts w:asciiTheme="majorHAnsi" w:eastAsiaTheme="majorEastAsia" w:hAnsiTheme="majorHAnsi" w:cstheme="majorBidi"/>
      <w:i/>
      <w:iCs/>
      <w:color w:val="272727" w:themeColor="text1" w:themeTint="D8"/>
      <w:sz w:val="21"/>
      <w:szCs w:val="21"/>
    </w:rPr>
  </w:style>
  <w:style w:type="paragraph" w:customStyle="1" w:styleId="paragraph">
    <w:name w:val="paragraph"/>
    <w:basedOn w:val="Normal"/>
    <w:rsid w:val="00024689"/>
    <w:pPr>
      <w:spacing w:before="100" w:beforeAutospacing="1" w:after="100" w:afterAutospacing="1" w:line="240" w:lineRule="auto"/>
    </w:pPr>
    <w:rPr>
      <w:rFonts w:ascii="Times New Roman" w:hAnsi="Times New Roman" w:cs="Times New Roman"/>
      <w:sz w:val="24"/>
      <w:szCs w:val="24"/>
      <w:lang w:eastAsia="en-AU"/>
    </w:rPr>
  </w:style>
  <w:style w:type="paragraph" w:customStyle="1" w:styleId="SWABullets">
    <w:name w:val="SWA Bullets"/>
    <w:basedOn w:val="Normal"/>
    <w:qFormat/>
    <w:locked/>
    <w:rsid w:val="00FC2B11"/>
    <w:pPr>
      <w:numPr>
        <w:numId w:val="15"/>
      </w:numPr>
      <w:overflowPunct w:val="0"/>
      <w:autoSpaceDE w:val="0"/>
      <w:autoSpaceDN w:val="0"/>
      <w:adjustRightInd w:val="0"/>
      <w:spacing w:after="0" w:line="240" w:lineRule="auto"/>
      <w:textAlignment w:val="baseline"/>
    </w:pPr>
    <w:rPr>
      <w:rFonts w:ascii="Arial" w:eastAsia="Times New Roman" w:hAnsi="Arial" w:cs="Times New Roman"/>
      <w:lang w:eastAsia="en-AU"/>
    </w:rPr>
  </w:style>
  <w:style w:type="paragraph" w:customStyle="1" w:styleId="Normalbeforebullets">
    <w:name w:val="Normal before bullets"/>
    <w:basedOn w:val="Normal"/>
    <w:uiPriority w:val="99"/>
    <w:qFormat/>
    <w:rsid w:val="00BE2E18"/>
    <w:pPr>
      <w:spacing w:before="120" w:line="240" w:lineRule="auto"/>
    </w:pPr>
    <w:rPr>
      <w:rFonts w:ascii="Arial" w:eastAsia="Times New Roman" w:hAnsi="Arial" w:cs="Times New Roman"/>
      <w:szCs w:val="24"/>
      <w:lang w:eastAsia="en-AU"/>
    </w:rPr>
  </w:style>
  <w:style w:type="paragraph" w:styleId="Bibliography">
    <w:name w:val="Bibliography"/>
    <w:basedOn w:val="Normal"/>
    <w:next w:val="Normal"/>
    <w:uiPriority w:val="37"/>
    <w:unhideWhenUsed/>
    <w:rsid w:val="006B4A7D"/>
    <w:pPr>
      <w:spacing w:after="240" w:line="240" w:lineRule="auto"/>
    </w:pPr>
  </w:style>
  <w:style w:type="table" w:styleId="PlainTable4">
    <w:name w:val="Plain Table 4"/>
    <w:basedOn w:val="TableNormal"/>
    <w:uiPriority w:val="44"/>
    <w:rsid w:val="00865859"/>
    <w:pPr>
      <w:spacing w:after="0" w:line="240" w:lineRule="auto"/>
    </w:pPr>
    <w:rPr>
      <w:color w:val="auto"/>
      <w:sz w:val="22"/>
      <w:szCs w:val="22"/>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Number">
    <w:name w:val="List Number"/>
    <w:basedOn w:val="Normal"/>
    <w:uiPriority w:val="99"/>
    <w:semiHidden/>
    <w:unhideWhenUsed/>
    <w:rsid w:val="00272CD9"/>
    <w:pPr>
      <w:numPr>
        <w:numId w:val="19"/>
      </w:numPr>
      <w:contextualSpacing/>
    </w:pPr>
  </w:style>
  <w:style w:type="paragraph" w:styleId="EndnoteText">
    <w:name w:val="endnote text"/>
    <w:basedOn w:val="Normal"/>
    <w:link w:val="EndnoteTextChar"/>
    <w:uiPriority w:val="99"/>
    <w:semiHidden/>
    <w:unhideWhenUsed/>
    <w:rsid w:val="009919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19E3"/>
    <w:rPr>
      <w:color w:val="auto"/>
    </w:rPr>
  </w:style>
  <w:style w:type="character" w:styleId="EndnoteReference">
    <w:name w:val="endnote reference"/>
    <w:basedOn w:val="DefaultParagraphFont"/>
    <w:uiPriority w:val="99"/>
    <w:semiHidden/>
    <w:unhideWhenUsed/>
    <w:rsid w:val="009919E3"/>
    <w:rPr>
      <w:vertAlign w:val="superscript"/>
    </w:rPr>
  </w:style>
  <w:style w:type="paragraph" w:customStyle="1" w:styleId="IAListbullet2">
    <w:name w:val="IA List bullet 2"/>
    <w:basedOn w:val="ListBullet"/>
    <w:link w:val="IAListbullet2Char"/>
    <w:qFormat/>
    <w:rsid w:val="00F45837"/>
    <w:pPr>
      <w:numPr>
        <w:ilvl w:val="1"/>
        <w:numId w:val="8"/>
      </w:numPr>
    </w:pPr>
    <w:rPr>
      <w:szCs w:val="22"/>
    </w:rPr>
  </w:style>
  <w:style w:type="character" w:customStyle="1" w:styleId="ListBulletChar">
    <w:name w:val="List Bullet Char"/>
    <w:aliases w:val="IA List Bullet Char"/>
    <w:basedOn w:val="DefaultParagraphFont"/>
    <w:link w:val="ListBullet"/>
    <w:uiPriority w:val="3"/>
    <w:rsid w:val="00C4572E"/>
    <w:rPr>
      <w:color w:val="auto"/>
      <w:sz w:val="22"/>
      <w:szCs w:val="17"/>
    </w:rPr>
  </w:style>
  <w:style w:type="character" w:customStyle="1" w:styleId="IAListbullet2Char">
    <w:name w:val="IA List bullet 2 Char"/>
    <w:basedOn w:val="ListBulletChar"/>
    <w:link w:val="IAListbullet2"/>
    <w:rsid w:val="000446A5"/>
    <w:rPr>
      <w:color w:val="auto"/>
      <w:sz w:val="22"/>
      <w:szCs w:val="22"/>
    </w:rPr>
  </w:style>
  <w:style w:type="paragraph" w:customStyle="1" w:styleId="Heading1numbered">
    <w:name w:val="Heading 1 numbered"/>
    <w:basedOn w:val="Heading1"/>
    <w:next w:val="NormalIndent"/>
    <w:uiPriority w:val="8"/>
    <w:qFormat/>
    <w:rsid w:val="002E5A3A"/>
    <w:pPr>
      <w:numPr>
        <w:ilvl w:val="2"/>
        <w:numId w:val="23"/>
      </w:numPr>
      <w:spacing w:before="360" w:after="120" w:line="276" w:lineRule="auto"/>
    </w:pPr>
    <w:rPr>
      <w:rFonts w:eastAsiaTheme="majorEastAsia" w:cstheme="majorBidi"/>
      <w:bCs/>
      <w:sz w:val="36"/>
      <w:szCs w:val="28"/>
      <w:lang w:eastAsia="en-AU"/>
    </w:rPr>
  </w:style>
  <w:style w:type="paragraph" w:customStyle="1" w:styleId="Heading2numbered">
    <w:name w:val="Heading 2 numbered"/>
    <w:basedOn w:val="Heading2"/>
    <w:next w:val="NormalIndent"/>
    <w:uiPriority w:val="8"/>
    <w:qFormat/>
    <w:rsid w:val="002E5A3A"/>
    <w:pPr>
      <w:numPr>
        <w:ilvl w:val="3"/>
        <w:numId w:val="23"/>
      </w:numPr>
      <w:spacing w:before="280" w:after="120"/>
    </w:pPr>
    <w:rPr>
      <w:bCs/>
      <w:sz w:val="28"/>
      <w:szCs w:val="26"/>
      <w:lang w:eastAsia="en-AU"/>
    </w:rPr>
  </w:style>
  <w:style w:type="paragraph" w:customStyle="1" w:styleId="Heading3numbered">
    <w:name w:val="Heading 3 numbered"/>
    <w:basedOn w:val="Heading3"/>
    <w:next w:val="NormalIndent"/>
    <w:uiPriority w:val="8"/>
    <w:qFormat/>
    <w:rsid w:val="002E5A3A"/>
    <w:pPr>
      <w:numPr>
        <w:ilvl w:val="4"/>
        <w:numId w:val="23"/>
      </w:numPr>
      <w:tabs>
        <w:tab w:val="clear" w:pos="792"/>
        <w:tab w:val="num" w:pos="360"/>
      </w:tabs>
      <w:spacing w:after="120" w:line="264" w:lineRule="auto"/>
      <w:ind w:left="0" w:firstLine="0"/>
    </w:pPr>
    <w:rPr>
      <w:b/>
      <w:bCs/>
      <w:szCs w:val="24"/>
      <w:lang w:eastAsia="en-AU"/>
    </w:rPr>
  </w:style>
  <w:style w:type="paragraph" w:customStyle="1" w:styleId="Heading4numbered">
    <w:name w:val="Heading 4 numbered"/>
    <w:basedOn w:val="Heading4"/>
    <w:next w:val="NormalIndent"/>
    <w:uiPriority w:val="8"/>
    <w:qFormat/>
    <w:rsid w:val="002E5A3A"/>
    <w:pPr>
      <w:keepLines/>
      <w:numPr>
        <w:ilvl w:val="5"/>
        <w:numId w:val="23"/>
      </w:numPr>
      <w:tabs>
        <w:tab w:val="clear" w:pos="792"/>
        <w:tab w:val="num" w:pos="360"/>
      </w:tabs>
      <w:spacing w:before="200"/>
      <w:ind w:left="0" w:firstLine="0"/>
    </w:pPr>
    <w:rPr>
      <w:rFonts w:eastAsiaTheme="majorEastAsia" w:cstheme="majorBidi"/>
      <w:b/>
      <w:bCs/>
      <w:iCs/>
      <w:color w:val="014463" w:themeColor="text2"/>
      <w:sz w:val="21"/>
      <w:szCs w:val="21"/>
      <w:lang w:eastAsia="en-AU"/>
    </w:rPr>
  </w:style>
  <w:style w:type="paragraph" w:customStyle="1" w:styleId="Listnumindent2">
    <w:name w:val="List num indent 2"/>
    <w:basedOn w:val="Normal"/>
    <w:uiPriority w:val="9"/>
    <w:qFormat/>
    <w:rsid w:val="002E5A3A"/>
    <w:pPr>
      <w:numPr>
        <w:ilvl w:val="7"/>
        <w:numId w:val="23"/>
      </w:numPr>
      <w:spacing w:before="100" w:after="120" w:line="264" w:lineRule="auto"/>
      <w:contextualSpacing/>
    </w:pPr>
    <w:rPr>
      <w:rFonts w:eastAsiaTheme="minorEastAsia"/>
      <w:color w:val="000000" w:themeColor="text1"/>
      <w:sz w:val="20"/>
      <w:szCs w:val="20"/>
      <w:lang w:eastAsia="en-AU"/>
    </w:rPr>
  </w:style>
  <w:style w:type="paragraph" w:customStyle="1" w:styleId="Listnumindent">
    <w:name w:val="List num indent"/>
    <w:basedOn w:val="Normal"/>
    <w:uiPriority w:val="9"/>
    <w:qFormat/>
    <w:rsid w:val="002E5A3A"/>
    <w:pPr>
      <w:numPr>
        <w:ilvl w:val="6"/>
        <w:numId w:val="23"/>
      </w:numPr>
      <w:spacing w:before="100" w:after="120" w:line="264" w:lineRule="auto"/>
    </w:pPr>
    <w:rPr>
      <w:rFonts w:eastAsiaTheme="minorEastAsia"/>
      <w:color w:val="000000" w:themeColor="text1"/>
      <w:sz w:val="20"/>
      <w:szCs w:val="20"/>
      <w:lang w:eastAsia="en-AU"/>
    </w:rPr>
  </w:style>
  <w:style w:type="paragraph" w:customStyle="1" w:styleId="Listnum">
    <w:name w:val="List num"/>
    <w:basedOn w:val="Normal"/>
    <w:uiPriority w:val="1"/>
    <w:qFormat/>
    <w:rsid w:val="002E5A3A"/>
    <w:pPr>
      <w:numPr>
        <w:numId w:val="23"/>
      </w:numPr>
      <w:spacing w:before="120" w:after="120" w:line="264" w:lineRule="auto"/>
    </w:pPr>
    <w:rPr>
      <w:rFonts w:eastAsiaTheme="minorEastAsia"/>
      <w:color w:val="000000" w:themeColor="text1"/>
      <w:sz w:val="20"/>
      <w:szCs w:val="20"/>
      <w:lang w:eastAsia="en-AU"/>
    </w:rPr>
  </w:style>
  <w:style w:type="paragraph" w:customStyle="1" w:styleId="Listnum2">
    <w:name w:val="List num 2"/>
    <w:basedOn w:val="Normal"/>
    <w:uiPriority w:val="1"/>
    <w:qFormat/>
    <w:rsid w:val="002E5A3A"/>
    <w:pPr>
      <w:numPr>
        <w:ilvl w:val="1"/>
        <w:numId w:val="23"/>
      </w:numPr>
      <w:spacing w:before="120" w:after="120" w:line="264" w:lineRule="auto"/>
    </w:pPr>
    <w:rPr>
      <w:rFonts w:eastAsiaTheme="minorEastAsia"/>
      <w:color w:val="000000" w:themeColor="text1"/>
      <w:sz w:val="20"/>
      <w:szCs w:val="20"/>
      <w:lang w:eastAsia="en-AU"/>
    </w:rPr>
  </w:style>
  <w:style w:type="paragraph" w:customStyle="1" w:styleId="Numparaindent">
    <w:name w:val="Num para indent"/>
    <w:basedOn w:val="Normal"/>
    <w:uiPriority w:val="9"/>
    <w:qFormat/>
    <w:rsid w:val="002E5A3A"/>
    <w:pPr>
      <w:numPr>
        <w:ilvl w:val="8"/>
        <w:numId w:val="23"/>
      </w:numPr>
      <w:spacing w:before="120" w:after="120" w:line="264" w:lineRule="auto"/>
      <w:contextualSpacing/>
    </w:pPr>
    <w:rPr>
      <w:rFonts w:eastAsiaTheme="minorEastAsia"/>
      <w:color w:val="000000" w:themeColor="text1"/>
      <w:sz w:val="20"/>
      <w:szCs w:val="20"/>
      <w:lang w:eastAsia="en-AU"/>
    </w:rPr>
  </w:style>
  <w:style w:type="paragraph" w:styleId="NormalIndent">
    <w:name w:val="Normal Indent"/>
    <w:basedOn w:val="Normal"/>
    <w:uiPriority w:val="99"/>
    <w:unhideWhenUsed/>
    <w:rsid w:val="002E5A3A"/>
    <w:pPr>
      <w:ind w:left="720"/>
    </w:pPr>
  </w:style>
  <w:style w:type="character" w:customStyle="1" w:styleId="EYBodytextwithparaspaceChar">
    <w:name w:val="EY Body text (with para space) Char"/>
    <w:basedOn w:val="DefaultParagraphFont"/>
    <w:link w:val="EYBodytextwithparaspace"/>
    <w:rsid w:val="002E5A3A"/>
    <w:rPr>
      <w:rFonts w:ascii="EYInterstate Light" w:eastAsia="Times New Roman" w:hAnsi="EYInterstate Light" w:cs="Times New Roman"/>
      <w:color w:val="auto"/>
      <w:sz w:val="22"/>
      <w:szCs w:val="22"/>
    </w:rPr>
  </w:style>
  <w:style w:type="numbering" w:customStyle="1" w:styleId="NoList1">
    <w:name w:val="No List1"/>
    <w:next w:val="NoList"/>
    <w:uiPriority w:val="99"/>
    <w:semiHidden/>
    <w:unhideWhenUsed/>
    <w:rsid w:val="00150A13"/>
  </w:style>
  <w:style w:type="table" w:customStyle="1" w:styleId="TableGrid3">
    <w:name w:val="Table Grid3"/>
    <w:basedOn w:val="TableNormal"/>
    <w:next w:val="TableGrid"/>
    <w:uiPriority w:val="39"/>
    <w:rsid w:val="00150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MCDefaultTableStyle1">
    <w:name w:val="PMC Default Table Style1"/>
    <w:basedOn w:val="TableNormal"/>
    <w:uiPriority w:val="99"/>
    <w:rsid w:val="00150A13"/>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table" w:customStyle="1" w:styleId="PMCTableStyle21">
    <w:name w:val="PMC Table Style 21"/>
    <w:basedOn w:val="TableNormal"/>
    <w:uiPriority w:val="99"/>
    <w:rsid w:val="00150A13"/>
    <w:pPr>
      <w:spacing w:before="60" w:after="60"/>
    </w:pPr>
    <w:tblPr>
      <w:tblStyleRowBandSize w:val="1"/>
      <w:tblBorders>
        <w:top w:val="single" w:sz="4" w:space="0" w:color="E4E9EE" w:themeColor="accent1" w:themeTint="1A"/>
        <w:left w:val="single" w:sz="4" w:space="0" w:color="E4E9EE" w:themeColor="accent1" w:themeTint="1A"/>
        <w:bottom w:val="single" w:sz="12" w:space="0" w:color="014463" w:themeColor="text2"/>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FFFFFF" w:themeColor="background1"/>
        <w:sz w:val="18"/>
      </w:rPr>
      <w:tblPr/>
      <w:tcPr>
        <w:shd w:val="clear" w:color="auto" w:fill="014463" w:themeFill="text2"/>
      </w:tcPr>
    </w:tblStylePr>
    <w:tblStylePr w:type="lastRow">
      <w:tblPr/>
      <w:tcPr>
        <w:shd w:val="clear" w:color="auto" w:fill="E6E6E6"/>
      </w:tcPr>
    </w:tblStylePr>
    <w:tblStylePr w:type="band2Horz">
      <w:rPr>
        <w:rFonts w:asciiTheme="minorHAnsi" w:hAnsiTheme="minorHAnsi"/>
        <w:b w:val="0"/>
        <w:color w:val="262626" w:themeColor="text1" w:themeTint="D9"/>
      </w:rPr>
      <w:tblPr/>
      <w:tcPr>
        <w:shd w:val="clear" w:color="auto" w:fill="FFFFFF" w:themeFill="background1"/>
      </w:tcPr>
    </w:tblStylePr>
  </w:style>
  <w:style w:type="table" w:customStyle="1" w:styleId="Clear1">
    <w:name w:val="Clear1"/>
    <w:basedOn w:val="TableNormal"/>
    <w:uiPriority w:val="99"/>
    <w:rsid w:val="00150A13"/>
    <w:pPr>
      <w:spacing w:after="0" w:line="240" w:lineRule="auto"/>
    </w:pPr>
    <w:rPr>
      <w:color w:val="014463" w:themeColor="text2"/>
      <w:szCs w:val="18"/>
    </w:rPr>
    <w:tblPr>
      <w:tblCellMar>
        <w:left w:w="0" w:type="dxa"/>
        <w:right w:w="0" w:type="dxa"/>
      </w:tblCellMar>
    </w:tblPr>
  </w:style>
  <w:style w:type="table" w:customStyle="1" w:styleId="TableGrid11">
    <w:name w:val="Table Grid11"/>
    <w:basedOn w:val="TableNormal"/>
    <w:next w:val="TableGrid"/>
    <w:uiPriority w:val="39"/>
    <w:rsid w:val="00150A13"/>
    <w:pPr>
      <w:spacing w:before="60" w:after="60" w:line="240" w:lineRule="auto"/>
    </w:pPr>
    <w:rPr>
      <w:rFonts w:ascii="Arial" w:hAnsi="Arial"/>
      <w:color w:val="auto"/>
      <w:szCs w:val="22"/>
    </w:rPr>
    <w:tblPr>
      <w:tblBorders>
        <w:top w:val="single" w:sz="2" w:space="0" w:color="BFBFBF"/>
        <w:bottom w:val="single" w:sz="2" w:space="0" w:color="BFBFBF"/>
        <w:insideH w:val="single" w:sz="2" w:space="0" w:color="BFBFBF"/>
      </w:tblBorders>
    </w:tblPr>
    <w:tcPr>
      <w:tcMar>
        <w:top w:w="108" w:type="dxa"/>
        <w:bottom w:w="108" w:type="dxa"/>
      </w:tcMar>
    </w:tcPr>
    <w:tblStylePr w:type="firstRow">
      <w:rPr>
        <w:rFonts w:ascii="Arial" w:hAnsi="Arial"/>
        <w:b/>
      </w:rPr>
    </w:tblStylePr>
  </w:style>
  <w:style w:type="numbering" w:customStyle="1" w:styleId="EYPlainBulletList1">
    <w:name w:val="EYPlainBulletList1"/>
    <w:uiPriority w:val="99"/>
    <w:rsid w:val="00150A13"/>
  </w:style>
  <w:style w:type="numbering" w:customStyle="1" w:styleId="ListHeadings1">
    <w:name w:val="List Headings1"/>
    <w:uiPriority w:val="99"/>
    <w:rsid w:val="00150A13"/>
  </w:style>
  <w:style w:type="table" w:customStyle="1" w:styleId="VHBATable11">
    <w:name w:val="VHBA Table 11"/>
    <w:basedOn w:val="TableNormal"/>
    <w:uiPriority w:val="99"/>
    <w:rsid w:val="00150A13"/>
    <w:pPr>
      <w:spacing w:after="0" w:line="240" w:lineRule="auto"/>
    </w:pPr>
    <w:rPr>
      <w:rFonts w:ascii="Arial" w:eastAsia="Times New Roman" w:hAnsi="Arial" w:cs="Times New Roman"/>
      <w:color w:val="auto"/>
      <w:sz w:val="16"/>
      <w:lang w:eastAsia="en-AU"/>
    </w:rPr>
    <w:tblPr/>
    <w:tblStylePr w:type="firstRow">
      <w:rPr>
        <w:rFonts w:ascii="Arial" w:hAnsi="Arial"/>
        <w:b/>
        <w:i w:val="0"/>
        <w:color w:val="FFFFFF" w:themeColor="background1"/>
        <w:sz w:val="20"/>
      </w:rPr>
      <w:tblPr/>
      <w:tcPr>
        <w:shd w:val="clear" w:color="auto" w:fill="A00024"/>
      </w:tcPr>
    </w:tblStylePr>
    <w:tblStylePr w:type="lastRow">
      <w:rPr>
        <w:rFonts w:ascii="Arial" w:hAnsi="Arial"/>
        <w:sz w:val="20"/>
      </w:rPr>
    </w:tblStylePr>
    <w:tblStylePr w:type="firstCol">
      <w:rPr>
        <w:rFonts w:ascii="Arial" w:hAnsi="Arial"/>
        <w:sz w:val="20"/>
      </w:rPr>
      <w:tblPr/>
      <w:tcPr>
        <w:shd w:val="clear" w:color="auto" w:fill="F3BA97" w:themeFill="accent4" w:themeFillTint="66"/>
      </w:tcPr>
    </w:tblStylePr>
    <w:tblStylePr w:type="lastCol">
      <w:rPr>
        <w:rFonts w:ascii="Arial" w:hAnsi="Arial"/>
        <w:sz w:val="20"/>
      </w:rPr>
    </w:tblStylePr>
  </w:style>
  <w:style w:type="table" w:customStyle="1" w:styleId="TableGridDHHSblue11">
    <w:name w:val="Table Grid DHHS blue11"/>
    <w:basedOn w:val="TableNormal"/>
    <w:uiPriority w:val="59"/>
    <w:rsid w:val="00150A13"/>
    <w:pPr>
      <w:spacing w:after="0" w:line="240" w:lineRule="auto"/>
    </w:pPr>
    <w:rPr>
      <w:rFonts w:ascii="Arial" w:eastAsia="Times New Roman" w:hAnsi="Arial" w:cs="Times New Roman"/>
      <w:color w:val="auto"/>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0074BC"/>
      </w:tcPr>
    </w:tblStylePr>
  </w:style>
  <w:style w:type="table" w:customStyle="1" w:styleId="TableGrid21">
    <w:name w:val="Table Grid21"/>
    <w:basedOn w:val="TableNormal"/>
    <w:next w:val="TableGrid"/>
    <w:uiPriority w:val="39"/>
    <w:rsid w:val="00150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150A13"/>
    <w:pPr>
      <w:spacing w:after="0" w:line="240" w:lineRule="auto"/>
    </w:pPr>
    <w:rPr>
      <w:color w:val="auto"/>
      <w:sz w:val="22"/>
      <w:szCs w:val="22"/>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5766">
      <w:bodyDiv w:val="1"/>
      <w:marLeft w:val="0"/>
      <w:marRight w:val="0"/>
      <w:marTop w:val="0"/>
      <w:marBottom w:val="0"/>
      <w:divBdr>
        <w:top w:val="none" w:sz="0" w:space="0" w:color="auto"/>
        <w:left w:val="none" w:sz="0" w:space="0" w:color="auto"/>
        <w:bottom w:val="none" w:sz="0" w:space="0" w:color="auto"/>
        <w:right w:val="none" w:sz="0" w:space="0" w:color="auto"/>
      </w:divBdr>
    </w:div>
    <w:div w:id="51851904">
      <w:bodyDiv w:val="1"/>
      <w:marLeft w:val="0"/>
      <w:marRight w:val="0"/>
      <w:marTop w:val="0"/>
      <w:marBottom w:val="0"/>
      <w:divBdr>
        <w:top w:val="none" w:sz="0" w:space="0" w:color="auto"/>
        <w:left w:val="none" w:sz="0" w:space="0" w:color="auto"/>
        <w:bottom w:val="none" w:sz="0" w:space="0" w:color="auto"/>
        <w:right w:val="none" w:sz="0" w:space="0" w:color="auto"/>
      </w:divBdr>
    </w:div>
    <w:div w:id="57869888">
      <w:bodyDiv w:val="1"/>
      <w:marLeft w:val="0"/>
      <w:marRight w:val="0"/>
      <w:marTop w:val="0"/>
      <w:marBottom w:val="0"/>
      <w:divBdr>
        <w:top w:val="none" w:sz="0" w:space="0" w:color="auto"/>
        <w:left w:val="none" w:sz="0" w:space="0" w:color="auto"/>
        <w:bottom w:val="none" w:sz="0" w:space="0" w:color="auto"/>
        <w:right w:val="none" w:sz="0" w:space="0" w:color="auto"/>
      </w:divBdr>
    </w:div>
    <w:div w:id="77480776">
      <w:bodyDiv w:val="1"/>
      <w:marLeft w:val="0"/>
      <w:marRight w:val="0"/>
      <w:marTop w:val="0"/>
      <w:marBottom w:val="0"/>
      <w:divBdr>
        <w:top w:val="none" w:sz="0" w:space="0" w:color="auto"/>
        <w:left w:val="none" w:sz="0" w:space="0" w:color="auto"/>
        <w:bottom w:val="none" w:sz="0" w:space="0" w:color="auto"/>
        <w:right w:val="none" w:sz="0" w:space="0" w:color="auto"/>
      </w:divBdr>
    </w:div>
    <w:div w:id="91366585">
      <w:bodyDiv w:val="1"/>
      <w:marLeft w:val="0"/>
      <w:marRight w:val="0"/>
      <w:marTop w:val="0"/>
      <w:marBottom w:val="0"/>
      <w:divBdr>
        <w:top w:val="none" w:sz="0" w:space="0" w:color="auto"/>
        <w:left w:val="none" w:sz="0" w:space="0" w:color="auto"/>
        <w:bottom w:val="none" w:sz="0" w:space="0" w:color="auto"/>
        <w:right w:val="none" w:sz="0" w:space="0" w:color="auto"/>
      </w:divBdr>
    </w:div>
    <w:div w:id="130489981">
      <w:bodyDiv w:val="1"/>
      <w:marLeft w:val="0"/>
      <w:marRight w:val="0"/>
      <w:marTop w:val="0"/>
      <w:marBottom w:val="0"/>
      <w:divBdr>
        <w:top w:val="none" w:sz="0" w:space="0" w:color="auto"/>
        <w:left w:val="none" w:sz="0" w:space="0" w:color="auto"/>
        <w:bottom w:val="none" w:sz="0" w:space="0" w:color="auto"/>
        <w:right w:val="none" w:sz="0" w:space="0" w:color="auto"/>
      </w:divBdr>
    </w:div>
    <w:div w:id="174030279">
      <w:bodyDiv w:val="1"/>
      <w:marLeft w:val="0"/>
      <w:marRight w:val="0"/>
      <w:marTop w:val="0"/>
      <w:marBottom w:val="0"/>
      <w:divBdr>
        <w:top w:val="none" w:sz="0" w:space="0" w:color="auto"/>
        <w:left w:val="none" w:sz="0" w:space="0" w:color="auto"/>
        <w:bottom w:val="none" w:sz="0" w:space="0" w:color="auto"/>
        <w:right w:val="none" w:sz="0" w:space="0" w:color="auto"/>
      </w:divBdr>
    </w:div>
    <w:div w:id="176119230">
      <w:bodyDiv w:val="1"/>
      <w:marLeft w:val="0"/>
      <w:marRight w:val="0"/>
      <w:marTop w:val="0"/>
      <w:marBottom w:val="0"/>
      <w:divBdr>
        <w:top w:val="none" w:sz="0" w:space="0" w:color="auto"/>
        <w:left w:val="none" w:sz="0" w:space="0" w:color="auto"/>
        <w:bottom w:val="none" w:sz="0" w:space="0" w:color="auto"/>
        <w:right w:val="none" w:sz="0" w:space="0" w:color="auto"/>
      </w:divBdr>
    </w:div>
    <w:div w:id="207838503">
      <w:bodyDiv w:val="1"/>
      <w:marLeft w:val="0"/>
      <w:marRight w:val="0"/>
      <w:marTop w:val="0"/>
      <w:marBottom w:val="0"/>
      <w:divBdr>
        <w:top w:val="none" w:sz="0" w:space="0" w:color="auto"/>
        <w:left w:val="none" w:sz="0" w:space="0" w:color="auto"/>
        <w:bottom w:val="none" w:sz="0" w:space="0" w:color="auto"/>
        <w:right w:val="none" w:sz="0" w:space="0" w:color="auto"/>
      </w:divBdr>
    </w:div>
    <w:div w:id="208108339">
      <w:bodyDiv w:val="1"/>
      <w:marLeft w:val="0"/>
      <w:marRight w:val="0"/>
      <w:marTop w:val="0"/>
      <w:marBottom w:val="0"/>
      <w:divBdr>
        <w:top w:val="none" w:sz="0" w:space="0" w:color="auto"/>
        <w:left w:val="none" w:sz="0" w:space="0" w:color="auto"/>
        <w:bottom w:val="none" w:sz="0" w:space="0" w:color="auto"/>
        <w:right w:val="none" w:sz="0" w:space="0" w:color="auto"/>
      </w:divBdr>
    </w:div>
    <w:div w:id="228468662">
      <w:bodyDiv w:val="1"/>
      <w:marLeft w:val="0"/>
      <w:marRight w:val="0"/>
      <w:marTop w:val="0"/>
      <w:marBottom w:val="0"/>
      <w:divBdr>
        <w:top w:val="none" w:sz="0" w:space="0" w:color="auto"/>
        <w:left w:val="none" w:sz="0" w:space="0" w:color="auto"/>
        <w:bottom w:val="none" w:sz="0" w:space="0" w:color="auto"/>
        <w:right w:val="none" w:sz="0" w:space="0" w:color="auto"/>
      </w:divBdr>
    </w:div>
    <w:div w:id="236675391">
      <w:bodyDiv w:val="1"/>
      <w:marLeft w:val="0"/>
      <w:marRight w:val="0"/>
      <w:marTop w:val="0"/>
      <w:marBottom w:val="0"/>
      <w:divBdr>
        <w:top w:val="none" w:sz="0" w:space="0" w:color="auto"/>
        <w:left w:val="none" w:sz="0" w:space="0" w:color="auto"/>
        <w:bottom w:val="none" w:sz="0" w:space="0" w:color="auto"/>
        <w:right w:val="none" w:sz="0" w:space="0" w:color="auto"/>
      </w:divBdr>
    </w:div>
    <w:div w:id="250283444">
      <w:bodyDiv w:val="1"/>
      <w:marLeft w:val="0"/>
      <w:marRight w:val="0"/>
      <w:marTop w:val="0"/>
      <w:marBottom w:val="0"/>
      <w:divBdr>
        <w:top w:val="none" w:sz="0" w:space="0" w:color="auto"/>
        <w:left w:val="none" w:sz="0" w:space="0" w:color="auto"/>
        <w:bottom w:val="none" w:sz="0" w:space="0" w:color="auto"/>
        <w:right w:val="none" w:sz="0" w:space="0" w:color="auto"/>
      </w:divBdr>
    </w:div>
    <w:div w:id="255476728">
      <w:bodyDiv w:val="1"/>
      <w:marLeft w:val="0"/>
      <w:marRight w:val="0"/>
      <w:marTop w:val="0"/>
      <w:marBottom w:val="0"/>
      <w:divBdr>
        <w:top w:val="none" w:sz="0" w:space="0" w:color="auto"/>
        <w:left w:val="none" w:sz="0" w:space="0" w:color="auto"/>
        <w:bottom w:val="none" w:sz="0" w:space="0" w:color="auto"/>
        <w:right w:val="none" w:sz="0" w:space="0" w:color="auto"/>
      </w:divBdr>
    </w:div>
    <w:div w:id="336619899">
      <w:bodyDiv w:val="1"/>
      <w:marLeft w:val="0"/>
      <w:marRight w:val="0"/>
      <w:marTop w:val="0"/>
      <w:marBottom w:val="0"/>
      <w:divBdr>
        <w:top w:val="none" w:sz="0" w:space="0" w:color="auto"/>
        <w:left w:val="none" w:sz="0" w:space="0" w:color="auto"/>
        <w:bottom w:val="none" w:sz="0" w:space="0" w:color="auto"/>
        <w:right w:val="none" w:sz="0" w:space="0" w:color="auto"/>
      </w:divBdr>
    </w:div>
    <w:div w:id="350106309">
      <w:bodyDiv w:val="1"/>
      <w:marLeft w:val="0"/>
      <w:marRight w:val="0"/>
      <w:marTop w:val="0"/>
      <w:marBottom w:val="0"/>
      <w:divBdr>
        <w:top w:val="none" w:sz="0" w:space="0" w:color="auto"/>
        <w:left w:val="none" w:sz="0" w:space="0" w:color="auto"/>
        <w:bottom w:val="none" w:sz="0" w:space="0" w:color="auto"/>
        <w:right w:val="none" w:sz="0" w:space="0" w:color="auto"/>
      </w:divBdr>
    </w:div>
    <w:div w:id="370033854">
      <w:bodyDiv w:val="1"/>
      <w:marLeft w:val="0"/>
      <w:marRight w:val="0"/>
      <w:marTop w:val="0"/>
      <w:marBottom w:val="0"/>
      <w:divBdr>
        <w:top w:val="none" w:sz="0" w:space="0" w:color="auto"/>
        <w:left w:val="none" w:sz="0" w:space="0" w:color="auto"/>
        <w:bottom w:val="none" w:sz="0" w:space="0" w:color="auto"/>
        <w:right w:val="none" w:sz="0" w:space="0" w:color="auto"/>
      </w:divBdr>
    </w:div>
    <w:div w:id="409545044">
      <w:bodyDiv w:val="1"/>
      <w:marLeft w:val="0"/>
      <w:marRight w:val="0"/>
      <w:marTop w:val="0"/>
      <w:marBottom w:val="0"/>
      <w:divBdr>
        <w:top w:val="none" w:sz="0" w:space="0" w:color="auto"/>
        <w:left w:val="none" w:sz="0" w:space="0" w:color="auto"/>
        <w:bottom w:val="none" w:sz="0" w:space="0" w:color="auto"/>
        <w:right w:val="none" w:sz="0" w:space="0" w:color="auto"/>
      </w:divBdr>
    </w:div>
    <w:div w:id="431510539">
      <w:bodyDiv w:val="1"/>
      <w:marLeft w:val="0"/>
      <w:marRight w:val="0"/>
      <w:marTop w:val="0"/>
      <w:marBottom w:val="0"/>
      <w:divBdr>
        <w:top w:val="none" w:sz="0" w:space="0" w:color="auto"/>
        <w:left w:val="none" w:sz="0" w:space="0" w:color="auto"/>
        <w:bottom w:val="none" w:sz="0" w:space="0" w:color="auto"/>
        <w:right w:val="none" w:sz="0" w:space="0" w:color="auto"/>
      </w:divBdr>
    </w:div>
    <w:div w:id="446511733">
      <w:bodyDiv w:val="1"/>
      <w:marLeft w:val="0"/>
      <w:marRight w:val="0"/>
      <w:marTop w:val="0"/>
      <w:marBottom w:val="0"/>
      <w:divBdr>
        <w:top w:val="none" w:sz="0" w:space="0" w:color="auto"/>
        <w:left w:val="none" w:sz="0" w:space="0" w:color="auto"/>
        <w:bottom w:val="none" w:sz="0" w:space="0" w:color="auto"/>
        <w:right w:val="none" w:sz="0" w:space="0" w:color="auto"/>
      </w:divBdr>
    </w:div>
    <w:div w:id="464587120">
      <w:bodyDiv w:val="1"/>
      <w:marLeft w:val="0"/>
      <w:marRight w:val="0"/>
      <w:marTop w:val="0"/>
      <w:marBottom w:val="0"/>
      <w:divBdr>
        <w:top w:val="none" w:sz="0" w:space="0" w:color="auto"/>
        <w:left w:val="none" w:sz="0" w:space="0" w:color="auto"/>
        <w:bottom w:val="none" w:sz="0" w:space="0" w:color="auto"/>
        <w:right w:val="none" w:sz="0" w:space="0" w:color="auto"/>
      </w:divBdr>
    </w:div>
    <w:div w:id="479620206">
      <w:bodyDiv w:val="1"/>
      <w:marLeft w:val="0"/>
      <w:marRight w:val="0"/>
      <w:marTop w:val="0"/>
      <w:marBottom w:val="0"/>
      <w:divBdr>
        <w:top w:val="none" w:sz="0" w:space="0" w:color="auto"/>
        <w:left w:val="none" w:sz="0" w:space="0" w:color="auto"/>
        <w:bottom w:val="none" w:sz="0" w:space="0" w:color="auto"/>
        <w:right w:val="none" w:sz="0" w:space="0" w:color="auto"/>
      </w:divBdr>
    </w:div>
    <w:div w:id="488636491">
      <w:bodyDiv w:val="1"/>
      <w:marLeft w:val="0"/>
      <w:marRight w:val="0"/>
      <w:marTop w:val="0"/>
      <w:marBottom w:val="0"/>
      <w:divBdr>
        <w:top w:val="none" w:sz="0" w:space="0" w:color="auto"/>
        <w:left w:val="none" w:sz="0" w:space="0" w:color="auto"/>
        <w:bottom w:val="none" w:sz="0" w:space="0" w:color="auto"/>
        <w:right w:val="none" w:sz="0" w:space="0" w:color="auto"/>
      </w:divBdr>
    </w:div>
    <w:div w:id="509829722">
      <w:bodyDiv w:val="1"/>
      <w:marLeft w:val="0"/>
      <w:marRight w:val="0"/>
      <w:marTop w:val="0"/>
      <w:marBottom w:val="0"/>
      <w:divBdr>
        <w:top w:val="none" w:sz="0" w:space="0" w:color="auto"/>
        <w:left w:val="none" w:sz="0" w:space="0" w:color="auto"/>
        <w:bottom w:val="none" w:sz="0" w:space="0" w:color="auto"/>
        <w:right w:val="none" w:sz="0" w:space="0" w:color="auto"/>
      </w:divBdr>
    </w:div>
    <w:div w:id="537619997">
      <w:bodyDiv w:val="1"/>
      <w:marLeft w:val="0"/>
      <w:marRight w:val="0"/>
      <w:marTop w:val="0"/>
      <w:marBottom w:val="0"/>
      <w:divBdr>
        <w:top w:val="none" w:sz="0" w:space="0" w:color="auto"/>
        <w:left w:val="none" w:sz="0" w:space="0" w:color="auto"/>
        <w:bottom w:val="none" w:sz="0" w:space="0" w:color="auto"/>
        <w:right w:val="none" w:sz="0" w:space="0" w:color="auto"/>
      </w:divBdr>
    </w:div>
    <w:div w:id="540023492">
      <w:bodyDiv w:val="1"/>
      <w:marLeft w:val="0"/>
      <w:marRight w:val="0"/>
      <w:marTop w:val="0"/>
      <w:marBottom w:val="0"/>
      <w:divBdr>
        <w:top w:val="none" w:sz="0" w:space="0" w:color="auto"/>
        <w:left w:val="none" w:sz="0" w:space="0" w:color="auto"/>
        <w:bottom w:val="none" w:sz="0" w:space="0" w:color="auto"/>
        <w:right w:val="none" w:sz="0" w:space="0" w:color="auto"/>
      </w:divBdr>
    </w:div>
    <w:div w:id="543102587">
      <w:bodyDiv w:val="1"/>
      <w:marLeft w:val="0"/>
      <w:marRight w:val="0"/>
      <w:marTop w:val="0"/>
      <w:marBottom w:val="0"/>
      <w:divBdr>
        <w:top w:val="none" w:sz="0" w:space="0" w:color="auto"/>
        <w:left w:val="none" w:sz="0" w:space="0" w:color="auto"/>
        <w:bottom w:val="none" w:sz="0" w:space="0" w:color="auto"/>
        <w:right w:val="none" w:sz="0" w:space="0" w:color="auto"/>
      </w:divBdr>
    </w:div>
    <w:div w:id="556093140">
      <w:bodyDiv w:val="1"/>
      <w:marLeft w:val="0"/>
      <w:marRight w:val="0"/>
      <w:marTop w:val="0"/>
      <w:marBottom w:val="0"/>
      <w:divBdr>
        <w:top w:val="none" w:sz="0" w:space="0" w:color="auto"/>
        <w:left w:val="none" w:sz="0" w:space="0" w:color="auto"/>
        <w:bottom w:val="none" w:sz="0" w:space="0" w:color="auto"/>
        <w:right w:val="none" w:sz="0" w:space="0" w:color="auto"/>
      </w:divBdr>
    </w:div>
    <w:div w:id="579949271">
      <w:bodyDiv w:val="1"/>
      <w:marLeft w:val="0"/>
      <w:marRight w:val="0"/>
      <w:marTop w:val="0"/>
      <w:marBottom w:val="0"/>
      <w:divBdr>
        <w:top w:val="none" w:sz="0" w:space="0" w:color="auto"/>
        <w:left w:val="none" w:sz="0" w:space="0" w:color="auto"/>
        <w:bottom w:val="none" w:sz="0" w:space="0" w:color="auto"/>
        <w:right w:val="none" w:sz="0" w:space="0" w:color="auto"/>
      </w:divBdr>
    </w:div>
    <w:div w:id="583031648">
      <w:bodyDiv w:val="1"/>
      <w:marLeft w:val="0"/>
      <w:marRight w:val="0"/>
      <w:marTop w:val="0"/>
      <w:marBottom w:val="0"/>
      <w:divBdr>
        <w:top w:val="none" w:sz="0" w:space="0" w:color="auto"/>
        <w:left w:val="none" w:sz="0" w:space="0" w:color="auto"/>
        <w:bottom w:val="none" w:sz="0" w:space="0" w:color="auto"/>
        <w:right w:val="none" w:sz="0" w:space="0" w:color="auto"/>
      </w:divBdr>
    </w:div>
    <w:div w:id="585695890">
      <w:bodyDiv w:val="1"/>
      <w:marLeft w:val="0"/>
      <w:marRight w:val="0"/>
      <w:marTop w:val="0"/>
      <w:marBottom w:val="0"/>
      <w:divBdr>
        <w:top w:val="none" w:sz="0" w:space="0" w:color="auto"/>
        <w:left w:val="none" w:sz="0" w:space="0" w:color="auto"/>
        <w:bottom w:val="none" w:sz="0" w:space="0" w:color="auto"/>
        <w:right w:val="none" w:sz="0" w:space="0" w:color="auto"/>
      </w:divBdr>
    </w:div>
    <w:div w:id="595285701">
      <w:bodyDiv w:val="1"/>
      <w:marLeft w:val="0"/>
      <w:marRight w:val="0"/>
      <w:marTop w:val="0"/>
      <w:marBottom w:val="0"/>
      <w:divBdr>
        <w:top w:val="none" w:sz="0" w:space="0" w:color="auto"/>
        <w:left w:val="none" w:sz="0" w:space="0" w:color="auto"/>
        <w:bottom w:val="none" w:sz="0" w:space="0" w:color="auto"/>
        <w:right w:val="none" w:sz="0" w:space="0" w:color="auto"/>
      </w:divBdr>
    </w:div>
    <w:div w:id="602034232">
      <w:bodyDiv w:val="1"/>
      <w:marLeft w:val="0"/>
      <w:marRight w:val="0"/>
      <w:marTop w:val="0"/>
      <w:marBottom w:val="0"/>
      <w:divBdr>
        <w:top w:val="none" w:sz="0" w:space="0" w:color="auto"/>
        <w:left w:val="none" w:sz="0" w:space="0" w:color="auto"/>
        <w:bottom w:val="none" w:sz="0" w:space="0" w:color="auto"/>
        <w:right w:val="none" w:sz="0" w:space="0" w:color="auto"/>
      </w:divBdr>
    </w:div>
    <w:div w:id="606694075">
      <w:bodyDiv w:val="1"/>
      <w:marLeft w:val="0"/>
      <w:marRight w:val="0"/>
      <w:marTop w:val="0"/>
      <w:marBottom w:val="0"/>
      <w:divBdr>
        <w:top w:val="none" w:sz="0" w:space="0" w:color="auto"/>
        <w:left w:val="none" w:sz="0" w:space="0" w:color="auto"/>
        <w:bottom w:val="none" w:sz="0" w:space="0" w:color="auto"/>
        <w:right w:val="none" w:sz="0" w:space="0" w:color="auto"/>
      </w:divBdr>
    </w:div>
    <w:div w:id="663359531">
      <w:bodyDiv w:val="1"/>
      <w:marLeft w:val="0"/>
      <w:marRight w:val="0"/>
      <w:marTop w:val="0"/>
      <w:marBottom w:val="0"/>
      <w:divBdr>
        <w:top w:val="none" w:sz="0" w:space="0" w:color="auto"/>
        <w:left w:val="none" w:sz="0" w:space="0" w:color="auto"/>
        <w:bottom w:val="none" w:sz="0" w:space="0" w:color="auto"/>
        <w:right w:val="none" w:sz="0" w:space="0" w:color="auto"/>
      </w:divBdr>
    </w:div>
    <w:div w:id="663826471">
      <w:bodyDiv w:val="1"/>
      <w:marLeft w:val="0"/>
      <w:marRight w:val="0"/>
      <w:marTop w:val="0"/>
      <w:marBottom w:val="0"/>
      <w:divBdr>
        <w:top w:val="none" w:sz="0" w:space="0" w:color="auto"/>
        <w:left w:val="none" w:sz="0" w:space="0" w:color="auto"/>
        <w:bottom w:val="none" w:sz="0" w:space="0" w:color="auto"/>
        <w:right w:val="none" w:sz="0" w:space="0" w:color="auto"/>
      </w:divBdr>
    </w:div>
    <w:div w:id="725614957">
      <w:bodyDiv w:val="1"/>
      <w:marLeft w:val="0"/>
      <w:marRight w:val="0"/>
      <w:marTop w:val="0"/>
      <w:marBottom w:val="0"/>
      <w:divBdr>
        <w:top w:val="none" w:sz="0" w:space="0" w:color="auto"/>
        <w:left w:val="none" w:sz="0" w:space="0" w:color="auto"/>
        <w:bottom w:val="none" w:sz="0" w:space="0" w:color="auto"/>
        <w:right w:val="none" w:sz="0" w:space="0" w:color="auto"/>
      </w:divBdr>
    </w:div>
    <w:div w:id="728192780">
      <w:bodyDiv w:val="1"/>
      <w:marLeft w:val="0"/>
      <w:marRight w:val="0"/>
      <w:marTop w:val="0"/>
      <w:marBottom w:val="0"/>
      <w:divBdr>
        <w:top w:val="none" w:sz="0" w:space="0" w:color="auto"/>
        <w:left w:val="none" w:sz="0" w:space="0" w:color="auto"/>
        <w:bottom w:val="none" w:sz="0" w:space="0" w:color="auto"/>
        <w:right w:val="none" w:sz="0" w:space="0" w:color="auto"/>
      </w:divBdr>
    </w:div>
    <w:div w:id="731125740">
      <w:bodyDiv w:val="1"/>
      <w:marLeft w:val="0"/>
      <w:marRight w:val="0"/>
      <w:marTop w:val="0"/>
      <w:marBottom w:val="0"/>
      <w:divBdr>
        <w:top w:val="none" w:sz="0" w:space="0" w:color="auto"/>
        <w:left w:val="none" w:sz="0" w:space="0" w:color="auto"/>
        <w:bottom w:val="none" w:sz="0" w:space="0" w:color="auto"/>
        <w:right w:val="none" w:sz="0" w:space="0" w:color="auto"/>
      </w:divBdr>
    </w:div>
    <w:div w:id="743334019">
      <w:bodyDiv w:val="1"/>
      <w:marLeft w:val="0"/>
      <w:marRight w:val="0"/>
      <w:marTop w:val="0"/>
      <w:marBottom w:val="0"/>
      <w:divBdr>
        <w:top w:val="none" w:sz="0" w:space="0" w:color="auto"/>
        <w:left w:val="none" w:sz="0" w:space="0" w:color="auto"/>
        <w:bottom w:val="none" w:sz="0" w:space="0" w:color="auto"/>
        <w:right w:val="none" w:sz="0" w:space="0" w:color="auto"/>
      </w:divBdr>
    </w:div>
    <w:div w:id="779685081">
      <w:bodyDiv w:val="1"/>
      <w:marLeft w:val="0"/>
      <w:marRight w:val="0"/>
      <w:marTop w:val="0"/>
      <w:marBottom w:val="0"/>
      <w:divBdr>
        <w:top w:val="none" w:sz="0" w:space="0" w:color="auto"/>
        <w:left w:val="none" w:sz="0" w:space="0" w:color="auto"/>
        <w:bottom w:val="none" w:sz="0" w:space="0" w:color="auto"/>
        <w:right w:val="none" w:sz="0" w:space="0" w:color="auto"/>
      </w:divBdr>
    </w:div>
    <w:div w:id="793594159">
      <w:bodyDiv w:val="1"/>
      <w:marLeft w:val="0"/>
      <w:marRight w:val="0"/>
      <w:marTop w:val="0"/>
      <w:marBottom w:val="0"/>
      <w:divBdr>
        <w:top w:val="none" w:sz="0" w:space="0" w:color="auto"/>
        <w:left w:val="none" w:sz="0" w:space="0" w:color="auto"/>
        <w:bottom w:val="none" w:sz="0" w:space="0" w:color="auto"/>
        <w:right w:val="none" w:sz="0" w:space="0" w:color="auto"/>
      </w:divBdr>
    </w:div>
    <w:div w:id="824787407">
      <w:bodyDiv w:val="1"/>
      <w:marLeft w:val="0"/>
      <w:marRight w:val="0"/>
      <w:marTop w:val="0"/>
      <w:marBottom w:val="0"/>
      <w:divBdr>
        <w:top w:val="none" w:sz="0" w:space="0" w:color="auto"/>
        <w:left w:val="none" w:sz="0" w:space="0" w:color="auto"/>
        <w:bottom w:val="none" w:sz="0" w:space="0" w:color="auto"/>
        <w:right w:val="none" w:sz="0" w:space="0" w:color="auto"/>
      </w:divBdr>
    </w:div>
    <w:div w:id="877277998">
      <w:bodyDiv w:val="1"/>
      <w:marLeft w:val="0"/>
      <w:marRight w:val="0"/>
      <w:marTop w:val="0"/>
      <w:marBottom w:val="0"/>
      <w:divBdr>
        <w:top w:val="none" w:sz="0" w:space="0" w:color="auto"/>
        <w:left w:val="none" w:sz="0" w:space="0" w:color="auto"/>
        <w:bottom w:val="none" w:sz="0" w:space="0" w:color="auto"/>
        <w:right w:val="none" w:sz="0" w:space="0" w:color="auto"/>
      </w:divBdr>
    </w:div>
    <w:div w:id="889540416">
      <w:bodyDiv w:val="1"/>
      <w:marLeft w:val="0"/>
      <w:marRight w:val="0"/>
      <w:marTop w:val="0"/>
      <w:marBottom w:val="0"/>
      <w:divBdr>
        <w:top w:val="none" w:sz="0" w:space="0" w:color="auto"/>
        <w:left w:val="none" w:sz="0" w:space="0" w:color="auto"/>
        <w:bottom w:val="none" w:sz="0" w:space="0" w:color="auto"/>
        <w:right w:val="none" w:sz="0" w:space="0" w:color="auto"/>
      </w:divBdr>
    </w:div>
    <w:div w:id="892618028">
      <w:bodyDiv w:val="1"/>
      <w:marLeft w:val="0"/>
      <w:marRight w:val="0"/>
      <w:marTop w:val="0"/>
      <w:marBottom w:val="0"/>
      <w:divBdr>
        <w:top w:val="none" w:sz="0" w:space="0" w:color="auto"/>
        <w:left w:val="none" w:sz="0" w:space="0" w:color="auto"/>
        <w:bottom w:val="none" w:sz="0" w:space="0" w:color="auto"/>
        <w:right w:val="none" w:sz="0" w:space="0" w:color="auto"/>
      </w:divBdr>
    </w:div>
    <w:div w:id="899631490">
      <w:bodyDiv w:val="1"/>
      <w:marLeft w:val="0"/>
      <w:marRight w:val="0"/>
      <w:marTop w:val="0"/>
      <w:marBottom w:val="0"/>
      <w:divBdr>
        <w:top w:val="none" w:sz="0" w:space="0" w:color="auto"/>
        <w:left w:val="none" w:sz="0" w:space="0" w:color="auto"/>
        <w:bottom w:val="none" w:sz="0" w:space="0" w:color="auto"/>
        <w:right w:val="none" w:sz="0" w:space="0" w:color="auto"/>
      </w:divBdr>
    </w:div>
    <w:div w:id="902060486">
      <w:bodyDiv w:val="1"/>
      <w:marLeft w:val="0"/>
      <w:marRight w:val="0"/>
      <w:marTop w:val="0"/>
      <w:marBottom w:val="0"/>
      <w:divBdr>
        <w:top w:val="none" w:sz="0" w:space="0" w:color="auto"/>
        <w:left w:val="none" w:sz="0" w:space="0" w:color="auto"/>
        <w:bottom w:val="none" w:sz="0" w:space="0" w:color="auto"/>
        <w:right w:val="none" w:sz="0" w:space="0" w:color="auto"/>
      </w:divBdr>
    </w:div>
    <w:div w:id="925042611">
      <w:bodyDiv w:val="1"/>
      <w:marLeft w:val="0"/>
      <w:marRight w:val="0"/>
      <w:marTop w:val="0"/>
      <w:marBottom w:val="0"/>
      <w:divBdr>
        <w:top w:val="none" w:sz="0" w:space="0" w:color="auto"/>
        <w:left w:val="none" w:sz="0" w:space="0" w:color="auto"/>
        <w:bottom w:val="none" w:sz="0" w:space="0" w:color="auto"/>
        <w:right w:val="none" w:sz="0" w:space="0" w:color="auto"/>
      </w:divBdr>
    </w:div>
    <w:div w:id="931740625">
      <w:bodyDiv w:val="1"/>
      <w:marLeft w:val="0"/>
      <w:marRight w:val="0"/>
      <w:marTop w:val="0"/>
      <w:marBottom w:val="0"/>
      <w:divBdr>
        <w:top w:val="none" w:sz="0" w:space="0" w:color="auto"/>
        <w:left w:val="none" w:sz="0" w:space="0" w:color="auto"/>
        <w:bottom w:val="none" w:sz="0" w:space="0" w:color="auto"/>
        <w:right w:val="none" w:sz="0" w:space="0" w:color="auto"/>
      </w:divBdr>
    </w:div>
    <w:div w:id="965962685">
      <w:bodyDiv w:val="1"/>
      <w:marLeft w:val="0"/>
      <w:marRight w:val="0"/>
      <w:marTop w:val="0"/>
      <w:marBottom w:val="0"/>
      <w:divBdr>
        <w:top w:val="none" w:sz="0" w:space="0" w:color="auto"/>
        <w:left w:val="none" w:sz="0" w:space="0" w:color="auto"/>
        <w:bottom w:val="none" w:sz="0" w:space="0" w:color="auto"/>
        <w:right w:val="none" w:sz="0" w:space="0" w:color="auto"/>
      </w:divBdr>
    </w:div>
    <w:div w:id="986786907">
      <w:bodyDiv w:val="1"/>
      <w:marLeft w:val="0"/>
      <w:marRight w:val="0"/>
      <w:marTop w:val="0"/>
      <w:marBottom w:val="0"/>
      <w:divBdr>
        <w:top w:val="none" w:sz="0" w:space="0" w:color="auto"/>
        <w:left w:val="none" w:sz="0" w:space="0" w:color="auto"/>
        <w:bottom w:val="none" w:sz="0" w:space="0" w:color="auto"/>
        <w:right w:val="none" w:sz="0" w:space="0" w:color="auto"/>
      </w:divBdr>
    </w:div>
    <w:div w:id="1009722012">
      <w:bodyDiv w:val="1"/>
      <w:marLeft w:val="0"/>
      <w:marRight w:val="0"/>
      <w:marTop w:val="0"/>
      <w:marBottom w:val="0"/>
      <w:divBdr>
        <w:top w:val="none" w:sz="0" w:space="0" w:color="auto"/>
        <w:left w:val="none" w:sz="0" w:space="0" w:color="auto"/>
        <w:bottom w:val="none" w:sz="0" w:space="0" w:color="auto"/>
        <w:right w:val="none" w:sz="0" w:space="0" w:color="auto"/>
      </w:divBdr>
    </w:div>
    <w:div w:id="1036152978">
      <w:bodyDiv w:val="1"/>
      <w:marLeft w:val="0"/>
      <w:marRight w:val="0"/>
      <w:marTop w:val="0"/>
      <w:marBottom w:val="0"/>
      <w:divBdr>
        <w:top w:val="none" w:sz="0" w:space="0" w:color="auto"/>
        <w:left w:val="none" w:sz="0" w:space="0" w:color="auto"/>
        <w:bottom w:val="none" w:sz="0" w:space="0" w:color="auto"/>
        <w:right w:val="none" w:sz="0" w:space="0" w:color="auto"/>
      </w:divBdr>
    </w:div>
    <w:div w:id="1064109398">
      <w:bodyDiv w:val="1"/>
      <w:marLeft w:val="0"/>
      <w:marRight w:val="0"/>
      <w:marTop w:val="0"/>
      <w:marBottom w:val="0"/>
      <w:divBdr>
        <w:top w:val="none" w:sz="0" w:space="0" w:color="auto"/>
        <w:left w:val="none" w:sz="0" w:space="0" w:color="auto"/>
        <w:bottom w:val="none" w:sz="0" w:space="0" w:color="auto"/>
        <w:right w:val="none" w:sz="0" w:space="0" w:color="auto"/>
      </w:divBdr>
    </w:div>
    <w:div w:id="1077167550">
      <w:bodyDiv w:val="1"/>
      <w:marLeft w:val="0"/>
      <w:marRight w:val="0"/>
      <w:marTop w:val="0"/>
      <w:marBottom w:val="0"/>
      <w:divBdr>
        <w:top w:val="none" w:sz="0" w:space="0" w:color="auto"/>
        <w:left w:val="none" w:sz="0" w:space="0" w:color="auto"/>
        <w:bottom w:val="none" w:sz="0" w:space="0" w:color="auto"/>
        <w:right w:val="none" w:sz="0" w:space="0" w:color="auto"/>
      </w:divBdr>
    </w:div>
    <w:div w:id="1089349434">
      <w:bodyDiv w:val="1"/>
      <w:marLeft w:val="0"/>
      <w:marRight w:val="0"/>
      <w:marTop w:val="0"/>
      <w:marBottom w:val="0"/>
      <w:divBdr>
        <w:top w:val="none" w:sz="0" w:space="0" w:color="auto"/>
        <w:left w:val="none" w:sz="0" w:space="0" w:color="auto"/>
        <w:bottom w:val="none" w:sz="0" w:space="0" w:color="auto"/>
        <w:right w:val="none" w:sz="0" w:space="0" w:color="auto"/>
      </w:divBdr>
      <w:divsChild>
        <w:div w:id="1662662541">
          <w:marLeft w:val="0"/>
          <w:marRight w:val="0"/>
          <w:marTop w:val="0"/>
          <w:marBottom w:val="0"/>
          <w:divBdr>
            <w:top w:val="none" w:sz="0" w:space="0" w:color="auto"/>
            <w:left w:val="none" w:sz="0" w:space="0" w:color="auto"/>
            <w:bottom w:val="none" w:sz="0" w:space="0" w:color="auto"/>
            <w:right w:val="none" w:sz="0" w:space="0" w:color="auto"/>
          </w:divBdr>
          <w:divsChild>
            <w:div w:id="2800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8954">
      <w:bodyDiv w:val="1"/>
      <w:marLeft w:val="0"/>
      <w:marRight w:val="0"/>
      <w:marTop w:val="0"/>
      <w:marBottom w:val="0"/>
      <w:divBdr>
        <w:top w:val="none" w:sz="0" w:space="0" w:color="auto"/>
        <w:left w:val="none" w:sz="0" w:space="0" w:color="auto"/>
        <w:bottom w:val="none" w:sz="0" w:space="0" w:color="auto"/>
        <w:right w:val="none" w:sz="0" w:space="0" w:color="auto"/>
      </w:divBdr>
    </w:div>
    <w:div w:id="1142650295">
      <w:bodyDiv w:val="1"/>
      <w:marLeft w:val="0"/>
      <w:marRight w:val="0"/>
      <w:marTop w:val="0"/>
      <w:marBottom w:val="0"/>
      <w:divBdr>
        <w:top w:val="none" w:sz="0" w:space="0" w:color="auto"/>
        <w:left w:val="none" w:sz="0" w:space="0" w:color="auto"/>
        <w:bottom w:val="none" w:sz="0" w:space="0" w:color="auto"/>
        <w:right w:val="none" w:sz="0" w:space="0" w:color="auto"/>
      </w:divBdr>
    </w:div>
    <w:div w:id="1187133203">
      <w:bodyDiv w:val="1"/>
      <w:marLeft w:val="0"/>
      <w:marRight w:val="0"/>
      <w:marTop w:val="0"/>
      <w:marBottom w:val="0"/>
      <w:divBdr>
        <w:top w:val="none" w:sz="0" w:space="0" w:color="auto"/>
        <w:left w:val="none" w:sz="0" w:space="0" w:color="auto"/>
        <w:bottom w:val="none" w:sz="0" w:space="0" w:color="auto"/>
        <w:right w:val="none" w:sz="0" w:space="0" w:color="auto"/>
      </w:divBdr>
    </w:div>
    <w:div w:id="1204291590">
      <w:bodyDiv w:val="1"/>
      <w:marLeft w:val="0"/>
      <w:marRight w:val="0"/>
      <w:marTop w:val="0"/>
      <w:marBottom w:val="0"/>
      <w:divBdr>
        <w:top w:val="none" w:sz="0" w:space="0" w:color="auto"/>
        <w:left w:val="none" w:sz="0" w:space="0" w:color="auto"/>
        <w:bottom w:val="none" w:sz="0" w:space="0" w:color="auto"/>
        <w:right w:val="none" w:sz="0" w:space="0" w:color="auto"/>
      </w:divBdr>
    </w:div>
    <w:div w:id="1210000205">
      <w:bodyDiv w:val="1"/>
      <w:marLeft w:val="0"/>
      <w:marRight w:val="0"/>
      <w:marTop w:val="0"/>
      <w:marBottom w:val="0"/>
      <w:divBdr>
        <w:top w:val="none" w:sz="0" w:space="0" w:color="auto"/>
        <w:left w:val="none" w:sz="0" w:space="0" w:color="auto"/>
        <w:bottom w:val="none" w:sz="0" w:space="0" w:color="auto"/>
        <w:right w:val="none" w:sz="0" w:space="0" w:color="auto"/>
      </w:divBdr>
    </w:div>
    <w:div w:id="1217202359">
      <w:bodyDiv w:val="1"/>
      <w:marLeft w:val="0"/>
      <w:marRight w:val="0"/>
      <w:marTop w:val="0"/>
      <w:marBottom w:val="0"/>
      <w:divBdr>
        <w:top w:val="none" w:sz="0" w:space="0" w:color="auto"/>
        <w:left w:val="none" w:sz="0" w:space="0" w:color="auto"/>
        <w:bottom w:val="none" w:sz="0" w:space="0" w:color="auto"/>
        <w:right w:val="none" w:sz="0" w:space="0" w:color="auto"/>
      </w:divBdr>
    </w:div>
    <w:div w:id="1218054966">
      <w:bodyDiv w:val="1"/>
      <w:marLeft w:val="0"/>
      <w:marRight w:val="0"/>
      <w:marTop w:val="0"/>
      <w:marBottom w:val="0"/>
      <w:divBdr>
        <w:top w:val="none" w:sz="0" w:space="0" w:color="auto"/>
        <w:left w:val="none" w:sz="0" w:space="0" w:color="auto"/>
        <w:bottom w:val="none" w:sz="0" w:space="0" w:color="auto"/>
        <w:right w:val="none" w:sz="0" w:space="0" w:color="auto"/>
      </w:divBdr>
    </w:div>
    <w:div w:id="1231958849">
      <w:bodyDiv w:val="1"/>
      <w:marLeft w:val="0"/>
      <w:marRight w:val="0"/>
      <w:marTop w:val="0"/>
      <w:marBottom w:val="0"/>
      <w:divBdr>
        <w:top w:val="none" w:sz="0" w:space="0" w:color="auto"/>
        <w:left w:val="none" w:sz="0" w:space="0" w:color="auto"/>
        <w:bottom w:val="none" w:sz="0" w:space="0" w:color="auto"/>
        <w:right w:val="none" w:sz="0" w:space="0" w:color="auto"/>
      </w:divBdr>
    </w:div>
    <w:div w:id="1269578195">
      <w:bodyDiv w:val="1"/>
      <w:marLeft w:val="0"/>
      <w:marRight w:val="0"/>
      <w:marTop w:val="0"/>
      <w:marBottom w:val="0"/>
      <w:divBdr>
        <w:top w:val="none" w:sz="0" w:space="0" w:color="auto"/>
        <w:left w:val="none" w:sz="0" w:space="0" w:color="auto"/>
        <w:bottom w:val="none" w:sz="0" w:space="0" w:color="auto"/>
        <w:right w:val="none" w:sz="0" w:space="0" w:color="auto"/>
      </w:divBdr>
      <w:divsChild>
        <w:div w:id="1199204347">
          <w:marLeft w:val="0"/>
          <w:marRight w:val="0"/>
          <w:marTop w:val="0"/>
          <w:marBottom w:val="0"/>
          <w:divBdr>
            <w:top w:val="none" w:sz="0" w:space="0" w:color="auto"/>
            <w:left w:val="none" w:sz="0" w:space="0" w:color="auto"/>
            <w:bottom w:val="none" w:sz="0" w:space="0" w:color="auto"/>
            <w:right w:val="none" w:sz="0" w:space="0" w:color="auto"/>
          </w:divBdr>
          <w:divsChild>
            <w:div w:id="103392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5932">
      <w:bodyDiv w:val="1"/>
      <w:marLeft w:val="0"/>
      <w:marRight w:val="0"/>
      <w:marTop w:val="0"/>
      <w:marBottom w:val="0"/>
      <w:divBdr>
        <w:top w:val="none" w:sz="0" w:space="0" w:color="auto"/>
        <w:left w:val="none" w:sz="0" w:space="0" w:color="auto"/>
        <w:bottom w:val="none" w:sz="0" w:space="0" w:color="auto"/>
        <w:right w:val="none" w:sz="0" w:space="0" w:color="auto"/>
      </w:divBdr>
    </w:div>
    <w:div w:id="1296133224">
      <w:bodyDiv w:val="1"/>
      <w:marLeft w:val="0"/>
      <w:marRight w:val="0"/>
      <w:marTop w:val="0"/>
      <w:marBottom w:val="0"/>
      <w:divBdr>
        <w:top w:val="none" w:sz="0" w:space="0" w:color="auto"/>
        <w:left w:val="none" w:sz="0" w:space="0" w:color="auto"/>
        <w:bottom w:val="none" w:sz="0" w:space="0" w:color="auto"/>
        <w:right w:val="none" w:sz="0" w:space="0" w:color="auto"/>
      </w:divBdr>
    </w:div>
    <w:div w:id="1332223614">
      <w:bodyDiv w:val="1"/>
      <w:marLeft w:val="0"/>
      <w:marRight w:val="0"/>
      <w:marTop w:val="0"/>
      <w:marBottom w:val="0"/>
      <w:divBdr>
        <w:top w:val="none" w:sz="0" w:space="0" w:color="auto"/>
        <w:left w:val="none" w:sz="0" w:space="0" w:color="auto"/>
        <w:bottom w:val="none" w:sz="0" w:space="0" w:color="auto"/>
        <w:right w:val="none" w:sz="0" w:space="0" w:color="auto"/>
      </w:divBdr>
    </w:div>
    <w:div w:id="1348942365">
      <w:bodyDiv w:val="1"/>
      <w:marLeft w:val="0"/>
      <w:marRight w:val="0"/>
      <w:marTop w:val="0"/>
      <w:marBottom w:val="0"/>
      <w:divBdr>
        <w:top w:val="none" w:sz="0" w:space="0" w:color="auto"/>
        <w:left w:val="none" w:sz="0" w:space="0" w:color="auto"/>
        <w:bottom w:val="none" w:sz="0" w:space="0" w:color="auto"/>
        <w:right w:val="none" w:sz="0" w:space="0" w:color="auto"/>
      </w:divBdr>
    </w:div>
    <w:div w:id="1350451286">
      <w:bodyDiv w:val="1"/>
      <w:marLeft w:val="0"/>
      <w:marRight w:val="0"/>
      <w:marTop w:val="0"/>
      <w:marBottom w:val="0"/>
      <w:divBdr>
        <w:top w:val="none" w:sz="0" w:space="0" w:color="auto"/>
        <w:left w:val="none" w:sz="0" w:space="0" w:color="auto"/>
        <w:bottom w:val="none" w:sz="0" w:space="0" w:color="auto"/>
        <w:right w:val="none" w:sz="0" w:space="0" w:color="auto"/>
      </w:divBdr>
    </w:div>
    <w:div w:id="1355887094">
      <w:bodyDiv w:val="1"/>
      <w:marLeft w:val="0"/>
      <w:marRight w:val="0"/>
      <w:marTop w:val="0"/>
      <w:marBottom w:val="0"/>
      <w:divBdr>
        <w:top w:val="none" w:sz="0" w:space="0" w:color="auto"/>
        <w:left w:val="none" w:sz="0" w:space="0" w:color="auto"/>
        <w:bottom w:val="none" w:sz="0" w:space="0" w:color="auto"/>
        <w:right w:val="none" w:sz="0" w:space="0" w:color="auto"/>
      </w:divBdr>
    </w:div>
    <w:div w:id="1369986624">
      <w:bodyDiv w:val="1"/>
      <w:marLeft w:val="0"/>
      <w:marRight w:val="0"/>
      <w:marTop w:val="0"/>
      <w:marBottom w:val="0"/>
      <w:divBdr>
        <w:top w:val="none" w:sz="0" w:space="0" w:color="auto"/>
        <w:left w:val="none" w:sz="0" w:space="0" w:color="auto"/>
        <w:bottom w:val="none" w:sz="0" w:space="0" w:color="auto"/>
        <w:right w:val="none" w:sz="0" w:space="0" w:color="auto"/>
      </w:divBdr>
      <w:divsChild>
        <w:div w:id="1626887507">
          <w:marLeft w:val="0"/>
          <w:marRight w:val="0"/>
          <w:marTop w:val="0"/>
          <w:marBottom w:val="0"/>
          <w:divBdr>
            <w:top w:val="single" w:sz="6" w:space="0" w:color="5B616B"/>
            <w:left w:val="single" w:sz="6" w:space="0" w:color="5B616B"/>
            <w:bottom w:val="single" w:sz="6" w:space="0" w:color="5B616B"/>
            <w:right w:val="single" w:sz="6" w:space="0" w:color="5B616B"/>
          </w:divBdr>
        </w:div>
        <w:div w:id="1747461865">
          <w:marLeft w:val="0"/>
          <w:marRight w:val="0"/>
          <w:marTop w:val="0"/>
          <w:marBottom w:val="0"/>
          <w:divBdr>
            <w:top w:val="none" w:sz="0" w:space="0" w:color="auto"/>
            <w:left w:val="none" w:sz="0" w:space="0" w:color="auto"/>
            <w:bottom w:val="none" w:sz="0" w:space="0" w:color="auto"/>
            <w:right w:val="none" w:sz="0" w:space="0" w:color="auto"/>
          </w:divBdr>
          <w:divsChild>
            <w:div w:id="19052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02951">
      <w:bodyDiv w:val="1"/>
      <w:marLeft w:val="0"/>
      <w:marRight w:val="0"/>
      <w:marTop w:val="0"/>
      <w:marBottom w:val="0"/>
      <w:divBdr>
        <w:top w:val="none" w:sz="0" w:space="0" w:color="auto"/>
        <w:left w:val="none" w:sz="0" w:space="0" w:color="auto"/>
        <w:bottom w:val="none" w:sz="0" w:space="0" w:color="auto"/>
        <w:right w:val="none" w:sz="0" w:space="0" w:color="auto"/>
      </w:divBdr>
    </w:div>
    <w:div w:id="1399279424">
      <w:bodyDiv w:val="1"/>
      <w:marLeft w:val="0"/>
      <w:marRight w:val="0"/>
      <w:marTop w:val="0"/>
      <w:marBottom w:val="0"/>
      <w:divBdr>
        <w:top w:val="none" w:sz="0" w:space="0" w:color="auto"/>
        <w:left w:val="none" w:sz="0" w:space="0" w:color="auto"/>
        <w:bottom w:val="none" w:sz="0" w:space="0" w:color="auto"/>
        <w:right w:val="none" w:sz="0" w:space="0" w:color="auto"/>
      </w:divBdr>
    </w:div>
    <w:div w:id="1406029752">
      <w:bodyDiv w:val="1"/>
      <w:marLeft w:val="0"/>
      <w:marRight w:val="0"/>
      <w:marTop w:val="0"/>
      <w:marBottom w:val="0"/>
      <w:divBdr>
        <w:top w:val="none" w:sz="0" w:space="0" w:color="auto"/>
        <w:left w:val="none" w:sz="0" w:space="0" w:color="auto"/>
        <w:bottom w:val="none" w:sz="0" w:space="0" w:color="auto"/>
        <w:right w:val="none" w:sz="0" w:space="0" w:color="auto"/>
      </w:divBdr>
    </w:div>
    <w:div w:id="1432166853">
      <w:bodyDiv w:val="1"/>
      <w:marLeft w:val="0"/>
      <w:marRight w:val="0"/>
      <w:marTop w:val="0"/>
      <w:marBottom w:val="0"/>
      <w:divBdr>
        <w:top w:val="none" w:sz="0" w:space="0" w:color="auto"/>
        <w:left w:val="none" w:sz="0" w:space="0" w:color="auto"/>
        <w:bottom w:val="none" w:sz="0" w:space="0" w:color="auto"/>
        <w:right w:val="none" w:sz="0" w:space="0" w:color="auto"/>
      </w:divBdr>
    </w:div>
    <w:div w:id="1436706405">
      <w:bodyDiv w:val="1"/>
      <w:marLeft w:val="0"/>
      <w:marRight w:val="0"/>
      <w:marTop w:val="0"/>
      <w:marBottom w:val="0"/>
      <w:divBdr>
        <w:top w:val="none" w:sz="0" w:space="0" w:color="auto"/>
        <w:left w:val="none" w:sz="0" w:space="0" w:color="auto"/>
        <w:bottom w:val="none" w:sz="0" w:space="0" w:color="auto"/>
        <w:right w:val="none" w:sz="0" w:space="0" w:color="auto"/>
      </w:divBdr>
    </w:div>
    <w:div w:id="1445618337">
      <w:bodyDiv w:val="1"/>
      <w:marLeft w:val="0"/>
      <w:marRight w:val="0"/>
      <w:marTop w:val="0"/>
      <w:marBottom w:val="0"/>
      <w:divBdr>
        <w:top w:val="none" w:sz="0" w:space="0" w:color="auto"/>
        <w:left w:val="none" w:sz="0" w:space="0" w:color="auto"/>
        <w:bottom w:val="none" w:sz="0" w:space="0" w:color="auto"/>
        <w:right w:val="none" w:sz="0" w:space="0" w:color="auto"/>
      </w:divBdr>
    </w:div>
    <w:div w:id="1454058140">
      <w:bodyDiv w:val="1"/>
      <w:marLeft w:val="0"/>
      <w:marRight w:val="0"/>
      <w:marTop w:val="0"/>
      <w:marBottom w:val="0"/>
      <w:divBdr>
        <w:top w:val="none" w:sz="0" w:space="0" w:color="auto"/>
        <w:left w:val="none" w:sz="0" w:space="0" w:color="auto"/>
        <w:bottom w:val="none" w:sz="0" w:space="0" w:color="auto"/>
        <w:right w:val="none" w:sz="0" w:space="0" w:color="auto"/>
      </w:divBdr>
    </w:div>
    <w:div w:id="1474252248">
      <w:bodyDiv w:val="1"/>
      <w:marLeft w:val="0"/>
      <w:marRight w:val="0"/>
      <w:marTop w:val="0"/>
      <w:marBottom w:val="0"/>
      <w:divBdr>
        <w:top w:val="none" w:sz="0" w:space="0" w:color="auto"/>
        <w:left w:val="none" w:sz="0" w:space="0" w:color="auto"/>
        <w:bottom w:val="none" w:sz="0" w:space="0" w:color="auto"/>
        <w:right w:val="none" w:sz="0" w:space="0" w:color="auto"/>
      </w:divBdr>
    </w:div>
    <w:div w:id="1479222881">
      <w:bodyDiv w:val="1"/>
      <w:marLeft w:val="0"/>
      <w:marRight w:val="0"/>
      <w:marTop w:val="0"/>
      <w:marBottom w:val="0"/>
      <w:divBdr>
        <w:top w:val="none" w:sz="0" w:space="0" w:color="auto"/>
        <w:left w:val="none" w:sz="0" w:space="0" w:color="auto"/>
        <w:bottom w:val="none" w:sz="0" w:space="0" w:color="auto"/>
        <w:right w:val="none" w:sz="0" w:space="0" w:color="auto"/>
      </w:divBdr>
    </w:div>
    <w:div w:id="1488281825">
      <w:bodyDiv w:val="1"/>
      <w:marLeft w:val="0"/>
      <w:marRight w:val="0"/>
      <w:marTop w:val="0"/>
      <w:marBottom w:val="0"/>
      <w:divBdr>
        <w:top w:val="none" w:sz="0" w:space="0" w:color="auto"/>
        <w:left w:val="none" w:sz="0" w:space="0" w:color="auto"/>
        <w:bottom w:val="none" w:sz="0" w:space="0" w:color="auto"/>
        <w:right w:val="none" w:sz="0" w:space="0" w:color="auto"/>
      </w:divBdr>
    </w:div>
    <w:div w:id="1490290645">
      <w:bodyDiv w:val="1"/>
      <w:marLeft w:val="0"/>
      <w:marRight w:val="0"/>
      <w:marTop w:val="0"/>
      <w:marBottom w:val="0"/>
      <w:divBdr>
        <w:top w:val="none" w:sz="0" w:space="0" w:color="auto"/>
        <w:left w:val="none" w:sz="0" w:space="0" w:color="auto"/>
        <w:bottom w:val="none" w:sz="0" w:space="0" w:color="auto"/>
        <w:right w:val="none" w:sz="0" w:space="0" w:color="auto"/>
      </w:divBdr>
    </w:div>
    <w:div w:id="1509753729">
      <w:bodyDiv w:val="1"/>
      <w:marLeft w:val="0"/>
      <w:marRight w:val="0"/>
      <w:marTop w:val="0"/>
      <w:marBottom w:val="0"/>
      <w:divBdr>
        <w:top w:val="none" w:sz="0" w:space="0" w:color="auto"/>
        <w:left w:val="none" w:sz="0" w:space="0" w:color="auto"/>
        <w:bottom w:val="none" w:sz="0" w:space="0" w:color="auto"/>
        <w:right w:val="none" w:sz="0" w:space="0" w:color="auto"/>
      </w:divBdr>
    </w:div>
    <w:div w:id="1520503473">
      <w:bodyDiv w:val="1"/>
      <w:marLeft w:val="0"/>
      <w:marRight w:val="0"/>
      <w:marTop w:val="0"/>
      <w:marBottom w:val="0"/>
      <w:divBdr>
        <w:top w:val="none" w:sz="0" w:space="0" w:color="auto"/>
        <w:left w:val="none" w:sz="0" w:space="0" w:color="auto"/>
        <w:bottom w:val="none" w:sz="0" w:space="0" w:color="auto"/>
        <w:right w:val="none" w:sz="0" w:space="0" w:color="auto"/>
      </w:divBdr>
    </w:div>
    <w:div w:id="1538275909">
      <w:bodyDiv w:val="1"/>
      <w:marLeft w:val="0"/>
      <w:marRight w:val="0"/>
      <w:marTop w:val="0"/>
      <w:marBottom w:val="0"/>
      <w:divBdr>
        <w:top w:val="none" w:sz="0" w:space="0" w:color="auto"/>
        <w:left w:val="none" w:sz="0" w:space="0" w:color="auto"/>
        <w:bottom w:val="none" w:sz="0" w:space="0" w:color="auto"/>
        <w:right w:val="none" w:sz="0" w:space="0" w:color="auto"/>
      </w:divBdr>
    </w:div>
    <w:div w:id="1547645617">
      <w:bodyDiv w:val="1"/>
      <w:marLeft w:val="0"/>
      <w:marRight w:val="0"/>
      <w:marTop w:val="0"/>
      <w:marBottom w:val="0"/>
      <w:divBdr>
        <w:top w:val="none" w:sz="0" w:space="0" w:color="auto"/>
        <w:left w:val="none" w:sz="0" w:space="0" w:color="auto"/>
        <w:bottom w:val="none" w:sz="0" w:space="0" w:color="auto"/>
        <w:right w:val="none" w:sz="0" w:space="0" w:color="auto"/>
      </w:divBdr>
    </w:div>
    <w:div w:id="1549950270">
      <w:bodyDiv w:val="1"/>
      <w:marLeft w:val="0"/>
      <w:marRight w:val="0"/>
      <w:marTop w:val="0"/>
      <w:marBottom w:val="0"/>
      <w:divBdr>
        <w:top w:val="none" w:sz="0" w:space="0" w:color="auto"/>
        <w:left w:val="none" w:sz="0" w:space="0" w:color="auto"/>
        <w:bottom w:val="none" w:sz="0" w:space="0" w:color="auto"/>
        <w:right w:val="none" w:sz="0" w:space="0" w:color="auto"/>
      </w:divBdr>
    </w:div>
    <w:div w:id="1567641526">
      <w:bodyDiv w:val="1"/>
      <w:marLeft w:val="0"/>
      <w:marRight w:val="0"/>
      <w:marTop w:val="0"/>
      <w:marBottom w:val="0"/>
      <w:divBdr>
        <w:top w:val="none" w:sz="0" w:space="0" w:color="auto"/>
        <w:left w:val="none" w:sz="0" w:space="0" w:color="auto"/>
        <w:bottom w:val="none" w:sz="0" w:space="0" w:color="auto"/>
        <w:right w:val="none" w:sz="0" w:space="0" w:color="auto"/>
      </w:divBdr>
    </w:div>
    <w:div w:id="1569270875">
      <w:bodyDiv w:val="1"/>
      <w:marLeft w:val="0"/>
      <w:marRight w:val="0"/>
      <w:marTop w:val="0"/>
      <w:marBottom w:val="0"/>
      <w:divBdr>
        <w:top w:val="none" w:sz="0" w:space="0" w:color="auto"/>
        <w:left w:val="none" w:sz="0" w:space="0" w:color="auto"/>
        <w:bottom w:val="none" w:sz="0" w:space="0" w:color="auto"/>
        <w:right w:val="none" w:sz="0" w:space="0" w:color="auto"/>
      </w:divBdr>
    </w:div>
    <w:div w:id="1607495939">
      <w:bodyDiv w:val="1"/>
      <w:marLeft w:val="0"/>
      <w:marRight w:val="0"/>
      <w:marTop w:val="0"/>
      <w:marBottom w:val="0"/>
      <w:divBdr>
        <w:top w:val="none" w:sz="0" w:space="0" w:color="auto"/>
        <w:left w:val="none" w:sz="0" w:space="0" w:color="auto"/>
        <w:bottom w:val="none" w:sz="0" w:space="0" w:color="auto"/>
        <w:right w:val="none" w:sz="0" w:space="0" w:color="auto"/>
      </w:divBdr>
    </w:div>
    <w:div w:id="1612667208">
      <w:bodyDiv w:val="1"/>
      <w:marLeft w:val="0"/>
      <w:marRight w:val="0"/>
      <w:marTop w:val="0"/>
      <w:marBottom w:val="0"/>
      <w:divBdr>
        <w:top w:val="none" w:sz="0" w:space="0" w:color="auto"/>
        <w:left w:val="none" w:sz="0" w:space="0" w:color="auto"/>
        <w:bottom w:val="none" w:sz="0" w:space="0" w:color="auto"/>
        <w:right w:val="none" w:sz="0" w:space="0" w:color="auto"/>
      </w:divBdr>
    </w:div>
    <w:div w:id="1613898401">
      <w:bodyDiv w:val="1"/>
      <w:marLeft w:val="0"/>
      <w:marRight w:val="0"/>
      <w:marTop w:val="0"/>
      <w:marBottom w:val="0"/>
      <w:divBdr>
        <w:top w:val="none" w:sz="0" w:space="0" w:color="auto"/>
        <w:left w:val="none" w:sz="0" w:space="0" w:color="auto"/>
        <w:bottom w:val="none" w:sz="0" w:space="0" w:color="auto"/>
        <w:right w:val="none" w:sz="0" w:space="0" w:color="auto"/>
      </w:divBdr>
    </w:div>
    <w:div w:id="1632832389">
      <w:bodyDiv w:val="1"/>
      <w:marLeft w:val="0"/>
      <w:marRight w:val="0"/>
      <w:marTop w:val="0"/>
      <w:marBottom w:val="0"/>
      <w:divBdr>
        <w:top w:val="none" w:sz="0" w:space="0" w:color="auto"/>
        <w:left w:val="none" w:sz="0" w:space="0" w:color="auto"/>
        <w:bottom w:val="none" w:sz="0" w:space="0" w:color="auto"/>
        <w:right w:val="none" w:sz="0" w:space="0" w:color="auto"/>
      </w:divBdr>
    </w:div>
    <w:div w:id="1677338903">
      <w:bodyDiv w:val="1"/>
      <w:marLeft w:val="0"/>
      <w:marRight w:val="0"/>
      <w:marTop w:val="0"/>
      <w:marBottom w:val="0"/>
      <w:divBdr>
        <w:top w:val="none" w:sz="0" w:space="0" w:color="auto"/>
        <w:left w:val="none" w:sz="0" w:space="0" w:color="auto"/>
        <w:bottom w:val="none" w:sz="0" w:space="0" w:color="auto"/>
        <w:right w:val="none" w:sz="0" w:space="0" w:color="auto"/>
      </w:divBdr>
    </w:div>
    <w:div w:id="1708338808">
      <w:bodyDiv w:val="1"/>
      <w:marLeft w:val="0"/>
      <w:marRight w:val="0"/>
      <w:marTop w:val="0"/>
      <w:marBottom w:val="0"/>
      <w:divBdr>
        <w:top w:val="none" w:sz="0" w:space="0" w:color="auto"/>
        <w:left w:val="none" w:sz="0" w:space="0" w:color="auto"/>
        <w:bottom w:val="none" w:sz="0" w:space="0" w:color="auto"/>
        <w:right w:val="none" w:sz="0" w:space="0" w:color="auto"/>
      </w:divBdr>
    </w:div>
    <w:div w:id="1744721714">
      <w:bodyDiv w:val="1"/>
      <w:marLeft w:val="0"/>
      <w:marRight w:val="0"/>
      <w:marTop w:val="0"/>
      <w:marBottom w:val="0"/>
      <w:divBdr>
        <w:top w:val="none" w:sz="0" w:space="0" w:color="auto"/>
        <w:left w:val="none" w:sz="0" w:space="0" w:color="auto"/>
        <w:bottom w:val="none" w:sz="0" w:space="0" w:color="auto"/>
        <w:right w:val="none" w:sz="0" w:space="0" w:color="auto"/>
      </w:divBdr>
    </w:div>
    <w:div w:id="1760635879">
      <w:bodyDiv w:val="1"/>
      <w:marLeft w:val="0"/>
      <w:marRight w:val="0"/>
      <w:marTop w:val="0"/>
      <w:marBottom w:val="0"/>
      <w:divBdr>
        <w:top w:val="none" w:sz="0" w:space="0" w:color="auto"/>
        <w:left w:val="none" w:sz="0" w:space="0" w:color="auto"/>
        <w:bottom w:val="none" w:sz="0" w:space="0" w:color="auto"/>
        <w:right w:val="none" w:sz="0" w:space="0" w:color="auto"/>
      </w:divBdr>
    </w:div>
    <w:div w:id="1822312089">
      <w:bodyDiv w:val="1"/>
      <w:marLeft w:val="0"/>
      <w:marRight w:val="0"/>
      <w:marTop w:val="0"/>
      <w:marBottom w:val="0"/>
      <w:divBdr>
        <w:top w:val="none" w:sz="0" w:space="0" w:color="auto"/>
        <w:left w:val="none" w:sz="0" w:space="0" w:color="auto"/>
        <w:bottom w:val="none" w:sz="0" w:space="0" w:color="auto"/>
        <w:right w:val="none" w:sz="0" w:space="0" w:color="auto"/>
      </w:divBdr>
    </w:div>
    <w:div w:id="1834028765">
      <w:bodyDiv w:val="1"/>
      <w:marLeft w:val="0"/>
      <w:marRight w:val="0"/>
      <w:marTop w:val="0"/>
      <w:marBottom w:val="0"/>
      <w:divBdr>
        <w:top w:val="none" w:sz="0" w:space="0" w:color="auto"/>
        <w:left w:val="none" w:sz="0" w:space="0" w:color="auto"/>
        <w:bottom w:val="none" w:sz="0" w:space="0" w:color="auto"/>
        <w:right w:val="none" w:sz="0" w:space="0" w:color="auto"/>
      </w:divBdr>
    </w:div>
    <w:div w:id="1848788576">
      <w:bodyDiv w:val="1"/>
      <w:marLeft w:val="0"/>
      <w:marRight w:val="0"/>
      <w:marTop w:val="0"/>
      <w:marBottom w:val="0"/>
      <w:divBdr>
        <w:top w:val="none" w:sz="0" w:space="0" w:color="auto"/>
        <w:left w:val="none" w:sz="0" w:space="0" w:color="auto"/>
        <w:bottom w:val="none" w:sz="0" w:space="0" w:color="auto"/>
        <w:right w:val="none" w:sz="0" w:space="0" w:color="auto"/>
      </w:divBdr>
    </w:div>
    <w:div w:id="1859615977">
      <w:bodyDiv w:val="1"/>
      <w:marLeft w:val="0"/>
      <w:marRight w:val="0"/>
      <w:marTop w:val="0"/>
      <w:marBottom w:val="0"/>
      <w:divBdr>
        <w:top w:val="none" w:sz="0" w:space="0" w:color="auto"/>
        <w:left w:val="none" w:sz="0" w:space="0" w:color="auto"/>
        <w:bottom w:val="none" w:sz="0" w:space="0" w:color="auto"/>
        <w:right w:val="none" w:sz="0" w:space="0" w:color="auto"/>
      </w:divBdr>
    </w:div>
    <w:div w:id="1902669843">
      <w:bodyDiv w:val="1"/>
      <w:marLeft w:val="0"/>
      <w:marRight w:val="0"/>
      <w:marTop w:val="0"/>
      <w:marBottom w:val="0"/>
      <w:divBdr>
        <w:top w:val="none" w:sz="0" w:space="0" w:color="auto"/>
        <w:left w:val="none" w:sz="0" w:space="0" w:color="auto"/>
        <w:bottom w:val="none" w:sz="0" w:space="0" w:color="auto"/>
        <w:right w:val="none" w:sz="0" w:space="0" w:color="auto"/>
      </w:divBdr>
    </w:div>
    <w:div w:id="1917200152">
      <w:bodyDiv w:val="1"/>
      <w:marLeft w:val="0"/>
      <w:marRight w:val="0"/>
      <w:marTop w:val="0"/>
      <w:marBottom w:val="0"/>
      <w:divBdr>
        <w:top w:val="none" w:sz="0" w:space="0" w:color="auto"/>
        <w:left w:val="none" w:sz="0" w:space="0" w:color="auto"/>
        <w:bottom w:val="none" w:sz="0" w:space="0" w:color="auto"/>
        <w:right w:val="none" w:sz="0" w:space="0" w:color="auto"/>
      </w:divBdr>
    </w:div>
    <w:div w:id="1959600613">
      <w:bodyDiv w:val="1"/>
      <w:marLeft w:val="0"/>
      <w:marRight w:val="0"/>
      <w:marTop w:val="0"/>
      <w:marBottom w:val="0"/>
      <w:divBdr>
        <w:top w:val="none" w:sz="0" w:space="0" w:color="auto"/>
        <w:left w:val="none" w:sz="0" w:space="0" w:color="auto"/>
        <w:bottom w:val="none" w:sz="0" w:space="0" w:color="auto"/>
        <w:right w:val="none" w:sz="0" w:space="0" w:color="auto"/>
      </w:divBdr>
    </w:div>
    <w:div w:id="1983120312">
      <w:bodyDiv w:val="1"/>
      <w:marLeft w:val="0"/>
      <w:marRight w:val="0"/>
      <w:marTop w:val="0"/>
      <w:marBottom w:val="0"/>
      <w:divBdr>
        <w:top w:val="none" w:sz="0" w:space="0" w:color="auto"/>
        <w:left w:val="none" w:sz="0" w:space="0" w:color="auto"/>
        <w:bottom w:val="none" w:sz="0" w:space="0" w:color="auto"/>
        <w:right w:val="none" w:sz="0" w:space="0" w:color="auto"/>
      </w:divBdr>
    </w:div>
    <w:div w:id="1987002345">
      <w:bodyDiv w:val="1"/>
      <w:marLeft w:val="0"/>
      <w:marRight w:val="0"/>
      <w:marTop w:val="0"/>
      <w:marBottom w:val="0"/>
      <w:divBdr>
        <w:top w:val="none" w:sz="0" w:space="0" w:color="auto"/>
        <w:left w:val="none" w:sz="0" w:space="0" w:color="auto"/>
        <w:bottom w:val="none" w:sz="0" w:space="0" w:color="auto"/>
        <w:right w:val="none" w:sz="0" w:space="0" w:color="auto"/>
      </w:divBdr>
    </w:div>
    <w:div w:id="2007051342">
      <w:bodyDiv w:val="1"/>
      <w:marLeft w:val="0"/>
      <w:marRight w:val="0"/>
      <w:marTop w:val="0"/>
      <w:marBottom w:val="0"/>
      <w:divBdr>
        <w:top w:val="none" w:sz="0" w:space="0" w:color="auto"/>
        <w:left w:val="none" w:sz="0" w:space="0" w:color="auto"/>
        <w:bottom w:val="none" w:sz="0" w:space="0" w:color="auto"/>
        <w:right w:val="none" w:sz="0" w:space="0" w:color="auto"/>
      </w:divBdr>
    </w:div>
    <w:div w:id="2030134828">
      <w:bodyDiv w:val="1"/>
      <w:marLeft w:val="0"/>
      <w:marRight w:val="0"/>
      <w:marTop w:val="0"/>
      <w:marBottom w:val="0"/>
      <w:divBdr>
        <w:top w:val="none" w:sz="0" w:space="0" w:color="auto"/>
        <w:left w:val="none" w:sz="0" w:space="0" w:color="auto"/>
        <w:bottom w:val="none" w:sz="0" w:space="0" w:color="auto"/>
        <w:right w:val="none" w:sz="0" w:space="0" w:color="auto"/>
      </w:divBdr>
    </w:div>
    <w:div w:id="2044596959">
      <w:bodyDiv w:val="1"/>
      <w:marLeft w:val="0"/>
      <w:marRight w:val="0"/>
      <w:marTop w:val="0"/>
      <w:marBottom w:val="0"/>
      <w:divBdr>
        <w:top w:val="none" w:sz="0" w:space="0" w:color="auto"/>
        <w:left w:val="none" w:sz="0" w:space="0" w:color="auto"/>
        <w:bottom w:val="none" w:sz="0" w:space="0" w:color="auto"/>
        <w:right w:val="none" w:sz="0" w:space="0" w:color="auto"/>
      </w:divBdr>
    </w:div>
    <w:div w:id="2053267060">
      <w:bodyDiv w:val="1"/>
      <w:marLeft w:val="0"/>
      <w:marRight w:val="0"/>
      <w:marTop w:val="0"/>
      <w:marBottom w:val="0"/>
      <w:divBdr>
        <w:top w:val="none" w:sz="0" w:space="0" w:color="auto"/>
        <w:left w:val="none" w:sz="0" w:space="0" w:color="auto"/>
        <w:bottom w:val="none" w:sz="0" w:space="0" w:color="auto"/>
        <w:right w:val="none" w:sz="0" w:space="0" w:color="auto"/>
      </w:divBdr>
    </w:div>
    <w:div w:id="2081902626">
      <w:bodyDiv w:val="1"/>
      <w:marLeft w:val="0"/>
      <w:marRight w:val="0"/>
      <w:marTop w:val="0"/>
      <w:marBottom w:val="0"/>
      <w:divBdr>
        <w:top w:val="none" w:sz="0" w:space="0" w:color="auto"/>
        <w:left w:val="none" w:sz="0" w:space="0" w:color="auto"/>
        <w:bottom w:val="none" w:sz="0" w:space="0" w:color="auto"/>
        <w:right w:val="none" w:sz="0" w:space="0" w:color="auto"/>
      </w:divBdr>
    </w:div>
    <w:div w:id="2093966898">
      <w:bodyDiv w:val="1"/>
      <w:marLeft w:val="0"/>
      <w:marRight w:val="0"/>
      <w:marTop w:val="0"/>
      <w:marBottom w:val="0"/>
      <w:divBdr>
        <w:top w:val="none" w:sz="0" w:space="0" w:color="auto"/>
        <w:left w:val="none" w:sz="0" w:space="0" w:color="auto"/>
        <w:bottom w:val="none" w:sz="0" w:space="0" w:color="auto"/>
        <w:right w:val="none" w:sz="0" w:space="0" w:color="auto"/>
      </w:divBdr>
    </w:div>
    <w:div w:id="2107192346">
      <w:bodyDiv w:val="1"/>
      <w:marLeft w:val="0"/>
      <w:marRight w:val="0"/>
      <w:marTop w:val="0"/>
      <w:marBottom w:val="0"/>
      <w:divBdr>
        <w:top w:val="none" w:sz="0" w:space="0" w:color="auto"/>
        <w:left w:val="none" w:sz="0" w:space="0" w:color="auto"/>
        <w:bottom w:val="none" w:sz="0" w:space="0" w:color="auto"/>
        <w:right w:val="none" w:sz="0" w:space="0" w:color="auto"/>
      </w:divBdr>
    </w:div>
    <w:div w:id="2113549208">
      <w:bodyDiv w:val="1"/>
      <w:marLeft w:val="0"/>
      <w:marRight w:val="0"/>
      <w:marTop w:val="0"/>
      <w:marBottom w:val="0"/>
      <w:divBdr>
        <w:top w:val="none" w:sz="0" w:space="0" w:color="auto"/>
        <w:left w:val="none" w:sz="0" w:space="0" w:color="auto"/>
        <w:bottom w:val="none" w:sz="0" w:space="0" w:color="auto"/>
        <w:right w:val="none" w:sz="0" w:space="0" w:color="auto"/>
      </w:divBdr>
    </w:div>
    <w:div w:id="2128547178">
      <w:bodyDiv w:val="1"/>
      <w:marLeft w:val="0"/>
      <w:marRight w:val="0"/>
      <w:marTop w:val="0"/>
      <w:marBottom w:val="0"/>
      <w:divBdr>
        <w:top w:val="none" w:sz="0" w:space="0" w:color="auto"/>
        <w:left w:val="none" w:sz="0" w:space="0" w:color="auto"/>
        <w:bottom w:val="none" w:sz="0" w:space="0" w:color="auto"/>
        <w:right w:val="none" w:sz="0" w:space="0" w:color="auto"/>
      </w:divBdr>
    </w:div>
    <w:div w:id="213786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K:/National%20Strat%20Comms/Publications/2017%20Design%20Files/2017%20SWA%20Branding%20update%20170111/1.%20Working%20Files/1st%20Round%20Files/copyrightrequests@swa.gov.au" TargetMode="Externa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header" Target="header9.xml"/><Relationship Id="rId7" Type="http://schemas.openxmlformats.org/officeDocument/2006/relationships/image" Target="media/image1.jpg"/><Relationship Id="rId12" Type="http://schemas.openxmlformats.org/officeDocument/2006/relationships/hyperlink" Target="http://creativecommons.org/licenses/by/4.0" TargetMode="Externa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image" Target="media/image8.png"/><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3.xml"/><Relationship Id="rId29" Type="http://schemas.openxmlformats.org/officeDocument/2006/relationships/header" Target="header8.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5.png"/><Relationship Id="rId32" Type="http://schemas.openxmlformats.org/officeDocument/2006/relationships/image" Target="media/image7.png"/><Relationship Id="rId37" Type="http://schemas.openxmlformats.org/officeDocument/2006/relationships/header" Target="header11.xml"/><Relationship Id="rId40"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www.dewr.gov.au/workplace-relations-australia/consultations-and-reviews/occupational-health-and-safety-harmonisation" TargetMode="External"/><Relationship Id="rId23" Type="http://schemas.openxmlformats.org/officeDocument/2006/relationships/image" Target="media/image4.png"/><Relationship Id="rId28" Type="http://schemas.openxmlformats.org/officeDocument/2006/relationships/footer" Target="footer6.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2.xm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safeworkaustralia.gov.au/resources-and-publications/corporate-publications/decision-regulation-impact-statement-review-model-work-health-and-safety-laws" TargetMode="External"/><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footer" Target="footer7.xml"/><Relationship Id="rId35" Type="http://schemas.openxmlformats.org/officeDocument/2006/relationships/header" Target="header10.xml"/></Relationships>
</file>

<file path=word/_rels/footnotes.xml.rels><?xml version="1.0" encoding="UTF-8" standalone="yes"?>
<Relationships xmlns="http://schemas.openxmlformats.org/package/2006/relationships"><Relationship Id="rId1" Type="http://schemas.openxmlformats.org/officeDocument/2006/relationships/hyperlink" Target="https://www1.health.gov.au/internet/main/publishing.nsf/Content/562CF83B7AECFC8FCA2584420002B113/$File/NDDT-Final-Report-June-202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9620ADD92642389C5D4B3C4F0DC506"/>
        <w:category>
          <w:name w:val="General"/>
          <w:gallery w:val="placeholder"/>
        </w:category>
        <w:types>
          <w:type w:val="bbPlcHdr"/>
        </w:types>
        <w:behaviors>
          <w:behavior w:val="content"/>
        </w:behaviors>
        <w:guid w:val="{0E69F682-416D-4040-98E0-4FB4AA2416D9}"/>
      </w:docPartPr>
      <w:docPartBody>
        <w:p w:rsidR="00E920D8" w:rsidRDefault="00811F5B">
          <w:pPr>
            <w:pStyle w:val="219620ADD92642389C5D4B3C4F0DC506"/>
          </w:pPr>
          <w:r w:rsidRPr="007F2558">
            <w:rPr>
              <w:bCs/>
              <w:color w:val="5B9BD5" w:themeColor="accent1"/>
              <w:sz w:val="16"/>
              <w:szCs w:val="16"/>
            </w:rPr>
            <w:t>[Document Heading]</w:t>
          </w:r>
        </w:p>
      </w:docPartBody>
    </w:docPart>
    <w:docPart>
      <w:docPartPr>
        <w:name w:val="4A1B4207812C47D4A115D0D13B555E30"/>
        <w:category>
          <w:name w:val="General"/>
          <w:gallery w:val="placeholder"/>
        </w:category>
        <w:types>
          <w:type w:val="bbPlcHdr"/>
        </w:types>
        <w:behaviors>
          <w:behavior w:val="content"/>
        </w:behaviors>
        <w:guid w:val="{2488B15D-E625-4A74-9AB9-0E813D3AB356}"/>
      </w:docPartPr>
      <w:docPartBody>
        <w:p w:rsidR="00E920D8" w:rsidRDefault="00811F5B">
          <w:pPr>
            <w:pStyle w:val="4A1B4207812C47D4A115D0D13B555E30"/>
          </w:pPr>
          <w:r w:rsidRPr="005A0DE7">
            <w:rPr>
              <w:color w:val="5B9BD5" w:themeColor="accent1"/>
              <w:sz w:val="16"/>
              <w:szCs w:val="16"/>
            </w:rPr>
            <w:t>[Section Name]</w:t>
          </w:r>
        </w:p>
      </w:docPartBody>
    </w:docPart>
    <w:docPart>
      <w:docPartPr>
        <w:name w:val="8FA75C6A6517453A8BB1CBCC6A673432"/>
        <w:category>
          <w:name w:val="General"/>
          <w:gallery w:val="placeholder"/>
        </w:category>
        <w:types>
          <w:type w:val="bbPlcHdr"/>
        </w:types>
        <w:behaviors>
          <w:behavior w:val="content"/>
        </w:behaviors>
        <w:guid w:val="{5DD9C059-2350-45F8-AC21-21FE86D2F6E9}"/>
      </w:docPartPr>
      <w:docPartBody>
        <w:p w:rsidR="00E920D8" w:rsidRDefault="00811F5B">
          <w:pPr>
            <w:pStyle w:val="8FA75C6A6517453A8BB1CBCC6A673432"/>
          </w:pPr>
          <w:r w:rsidRPr="005A0DE7">
            <w:rPr>
              <w:bCs/>
              <w:color w:val="5B9BD5" w:themeColor="accent1"/>
              <w:sz w:val="16"/>
              <w:szCs w:val="16"/>
            </w:rPr>
            <w:t>[Document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EYInterstate Light">
    <w:altName w:val="Calibri"/>
    <w:charset w:val="00"/>
    <w:family w:val="auto"/>
    <w:pitch w:val="variable"/>
    <w:sig w:usb0="A00002AF" w:usb1="5000206A"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F5B"/>
    <w:rsid w:val="00021B4B"/>
    <w:rsid w:val="00030507"/>
    <w:rsid w:val="00041F9B"/>
    <w:rsid w:val="0005548A"/>
    <w:rsid w:val="00061B51"/>
    <w:rsid w:val="000706F5"/>
    <w:rsid w:val="000A3586"/>
    <w:rsid w:val="000C20F3"/>
    <w:rsid w:val="000D7920"/>
    <w:rsid w:val="00103E13"/>
    <w:rsid w:val="00120BBF"/>
    <w:rsid w:val="00127140"/>
    <w:rsid w:val="00133FCF"/>
    <w:rsid w:val="00141FB9"/>
    <w:rsid w:val="001444A7"/>
    <w:rsid w:val="001510C4"/>
    <w:rsid w:val="00162C77"/>
    <w:rsid w:val="00166EC0"/>
    <w:rsid w:val="001714A1"/>
    <w:rsid w:val="0018070A"/>
    <w:rsid w:val="001A37BC"/>
    <w:rsid w:val="001B71AF"/>
    <w:rsid w:val="0022348C"/>
    <w:rsid w:val="002278D9"/>
    <w:rsid w:val="00263FCA"/>
    <w:rsid w:val="0028120D"/>
    <w:rsid w:val="00285EA9"/>
    <w:rsid w:val="00286340"/>
    <w:rsid w:val="002A5FA2"/>
    <w:rsid w:val="002C67DE"/>
    <w:rsid w:val="002D4F3E"/>
    <w:rsid w:val="00301356"/>
    <w:rsid w:val="00304D2C"/>
    <w:rsid w:val="00321BCA"/>
    <w:rsid w:val="00352923"/>
    <w:rsid w:val="00363D6A"/>
    <w:rsid w:val="0037303E"/>
    <w:rsid w:val="00387F92"/>
    <w:rsid w:val="00390020"/>
    <w:rsid w:val="003A0829"/>
    <w:rsid w:val="003B073A"/>
    <w:rsid w:val="003C06D3"/>
    <w:rsid w:val="003C0BC4"/>
    <w:rsid w:val="003C33A5"/>
    <w:rsid w:val="003E7C92"/>
    <w:rsid w:val="003F2DA3"/>
    <w:rsid w:val="00414B7D"/>
    <w:rsid w:val="00432AA5"/>
    <w:rsid w:val="00443CBE"/>
    <w:rsid w:val="00450D88"/>
    <w:rsid w:val="00452ABD"/>
    <w:rsid w:val="00465F9F"/>
    <w:rsid w:val="004C5D5E"/>
    <w:rsid w:val="004E44F2"/>
    <w:rsid w:val="00550FAE"/>
    <w:rsid w:val="005A0C2F"/>
    <w:rsid w:val="005C235E"/>
    <w:rsid w:val="005D6863"/>
    <w:rsid w:val="0060017F"/>
    <w:rsid w:val="00611000"/>
    <w:rsid w:val="00663E37"/>
    <w:rsid w:val="00665635"/>
    <w:rsid w:val="006924D9"/>
    <w:rsid w:val="00693307"/>
    <w:rsid w:val="006A1BC7"/>
    <w:rsid w:val="006B5ADE"/>
    <w:rsid w:val="006D3527"/>
    <w:rsid w:val="006E5627"/>
    <w:rsid w:val="00714591"/>
    <w:rsid w:val="007259CD"/>
    <w:rsid w:val="00727A89"/>
    <w:rsid w:val="00751A86"/>
    <w:rsid w:val="00775A20"/>
    <w:rsid w:val="0080361E"/>
    <w:rsid w:val="00811F5B"/>
    <w:rsid w:val="0082661A"/>
    <w:rsid w:val="00832E6C"/>
    <w:rsid w:val="00843814"/>
    <w:rsid w:val="00843897"/>
    <w:rsid w:val="008B75AF"/>
    <w:rsid w:val="008C34CF"/>
    <w:rsid w:val="008E50B9"/>
    <w:rsid w:val="008F3FB9"/>
    <w:rsid w:val="00927BC8"/>
    <w:rsid w:val="0093063B"/>
    <w:rsid w:val="009442DC"/>
    <w:rsid w:val="00946D09"/>
    <w:rsid w:val="009765C5"/>
    <w:rsid w:val="009A25F7"/>
    <w:rsid w:val="009A3B6C"/>
    <w:rsid w:val="009C1DD3"/>
    <w:rsid w:val="009E55C6"/>
    <w:rsid w:val="009E7555"/>
    <w:rsid w:val="009F63B2"/>
    <w:rsid w:val="009F66C7"/>
    <w:rsid w:val="00A27060"/>
    <w:rsid w:val="00A37B5C"/>
    <w:rsid w:val="00A54BC3"/>
    <w:rsid w:val="00A72C0E"/>
    <w:rsid w:val="00AE105A"/>
    <w:rsid w:val="00AF041C"/>
    <w:rsid w:val="00B176BF"/>
    <w:rsid w:val="00B241E7"/>
    <w:rsid w:val="00B30513"/>
    <w:rsid w:val="00B33E99"/>
    <w:rsid w:val="00B521C3"/>
    <w:rsid w:val="00B6255D"/>
    <w:rsid w:val="00B64B57"/>
    <w:rsid w:val="00BB424A"/>
    <w:rsid w:val="00BD6E12"/>
    <w:rsid w:val="00BF1EE0"/>
    <w:rsid w:val="00BF5FBF"/>
    <w:rsid w:val="00C11741"/>
    <w:rsid w:val="00C277A3"/>
    <w:rsid w:val="00C45EB0"/>
    <w:rsid w:val="00C90344"/>
    <w:rsid w:val="00CB2A13"/>
    <w:rsid w:val="00CE6C15"/>
    <w:rsid w:val="00CF35F9"/>
    <w:rsid w:val="00CF6699"/>
    <w:rsid w:val="00D30632"/>
    <w:rsid w:val="00D442ED"/>
    <w:rsid w:val="00D53D6C"/>
    <w:rsid w:val="00D5486C"/>
    <w:rsid w:val="00D54E9D"/>
    <w:rsid w:val="00D600DC"/>
    <w:rsid w:val="00D6212E"/>
    <w:rsid w:val="00D67275"/>
    <w:rsid w:val="00D9678C"/>
    <w:rsid w:val="00DA0EB2"/>
    <w:rsid w:val="00DB66F6"/>
    <w:rsid w:val="00DD0BCB"/>
    <w:rsid w:val="00DD2F5B"/>
    <w:rsid w:val="00DD417F"/>
    <w:rsid w:val="00DE12D9"/>
    <w:rsid w:val="00DE4221"/>
    <w:rsid w:val="00E1159B"/>
    <w:rsid w:val="00E21794"/>
    <w:rsid w:val="00E514E8"/>
    <w:rsid w:val="00E9121E"/>
    <w:rsid w:val="00E920D8"/>
    <w:rsid w:val="00EA5B9C"/>
    <w:rsid w:val="00ED7CA4"/>
    <w:rsid w:val="00EF5857"/>
    <w:rsid w:val="00F072A9"/>
    <w:rsid w:val="00F5140B"/>
    <w:rsid w:val="00F7121B"/>
    <w:rsid w:val="00F822A8"/>
    <w:rsid w:val="00FA76E6"/>
    <w:rsid w:val="00FB4C3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9620ADD92642389C5D4B3C4F0DC506">
    <w:name w:val="219620ADD92642389C5D4B3C4F0DC506"/>
  </w:style>
  <w:style w:type="paragraph" w:customStyle="1" w:styleId="4A1B4207812C47D4A115D0D13B555E30">
    <w:name w:val="4A1B4207812C47D4A115D0D13B555E30"/>
  </w:style>
  <w:style w:type="paragraph" w:customStyle="1" w:styleId="8FA75C6A6517453A8BB1CBCC6A673432">
    <w:name w:val="8FA75C6A6517453A8BB1CBCC6A673432"/>
  </w:style>
  <w:style w:type="character" w:styleId="PlaceholderText">
    <w:name w:val="Placeholder Text"/>
    <w:basedOn w:val="DefaultParagraphFont"/>
    <w:uiPriority w:val="99"/>
    <w:semiHidden/>
    <w:rsid w:val="000305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PMC Corp Word">
      <a:dk1>
        <a:srgbClr val="000000"/>
      </a:dk1>
      <a:lt1>
        <a:sysClr val="window" lastClr="FFFFFF"/>
      </a:lt1>
      <a:dk2>
        <a:srgbClr val="014463"/>
      </a:dk2>
      <a:lt2>
        <a:srgbClr val="D1D1D1"/>
      </a:lt2>
      <a:accent1>
        <a:srgbClr val="25303B"/>
      </a:accent1>
      <a:accent2>
        <a:srgbClr val="014463"/>
      </a:accent2>
      <a:accent3>
        <a:srgbClr val="0A6446"/>
      </a:accent3>
      <a:accent4>
        <a:srgbClr val="C85A17"/>
      </a:accent4>
      <a:accent5>
        <a:srgbClr val="F7A600"/>
      </a:accent5>
      <a:accent6>
        <a:srgbClr val="A91117"/>
      </a:accent6>
      <a:hlink>
        <a:srgbClr val="015F8B"/>
      </a:hlink>
      <a:folHlink>
        <a:srgbClr val="015F8B"/>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103</Pages>
  <Words>50434</Words>
  <Characters>287476</Characters>
  <Application>Microsoft Office Word</Application>
  <DocSecurity>0</DocSecurity>
  <Lines>2395</Lines>
  <Paragraphs>674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337236</CharactersWithSpaces>
  <SharedDoc>false</SharedDoc>
  <HLinks>
    <vt:vector size="366" baseType="variant">
      <vt:variant>
        <vt:i4>3735664</vt:i4>
      </vt:variant>
      <vt:variant>
        <vt:i4>393</vt:i4>
      </vt:variant>
      <vt:variant>
        <vt:i4>0</vt:i4>
      </vt:variant>
      <vt:variant>
        <vt:i4>5</vt:i4>
      </vt:variant>
      <vt:variant>
        <vt:lpwstr>https://www.dewr.gov.au/workplace-relations-australia/consultations-and-reviews/occupational-health-and-safety-harmonisation</vt:lpwstr>
      </vt:variant>
      <vt:variant>
        <vt:lpwstr>national-review-into-model-occupational-health-and-safety-laws-20082009</vt:lpwstr>
      </vt:variant>
      <vt:variant>
        <vt:i4>1769483</vt:i4>
      </vt:variant>
      <vt:variant>
        <vt:i4>390</vt:i4>
      </vt:variant>
      <vt:variant>
        <vt:i4>0</vt:i4>
      </vt:variant>
      <vt:variant>
        <vt:i4>5</vt:i4>
      </vt:variant>
      <vt:variant>
        <vt:lpwstr>https://www.safeworkaustralia.gov.au/resources-and-publications/corporate-publications/decision-regulation-impact-statement-review-model-work-health-and-safety-laws</vt:lpwstr>
      </vt:variant>
      <vt:variant>
        <vt:lpwstr/>
      </vt:variant>
      <vt:variant>
        <vt:i4>1835056</vt:i4>
      </vt:variant>
      <vt:variant>
        <vt:i4>338</vt:i4>
      </vt:variant>
      <vt:variant>
        <vt:i4>0</vt:i4>
      </vt:variant>
      <vt:variant>
        <vt:i4>5</vt:i4>
      </vt:variant>
      <vt:variant>
        <vt:lpwstr/>
      </vt:variant>
      <vt:variant>
        <vt:lpwstr>_Toc125558140</vt:lpwstr>
      </vt:variant>
      <vt:variant>
        <vt:i4>1769520</vt:i4>
      </vt:variant>
      <vt:variant>
        <vt:i4>332</vt:i4>
      </vt:variant>
      <vt:variant>
        <vt:i4>0</vt:i4>
      </vt:variant>
      <vt:variant>
        <vt:i4>5</vt:i4>
      </vt:variant>
      <vt:variant>
        <vt:lpwstr/>
      </vt:variant>
      <vt:variant>
        <vt:lpwstr>_Toc125558139</vt:lpwstr>
      </vt:variant>
      <vt:variant>
        <vt:i4>1769520</vt:i4>
      </vt:variant>
      <vt:variant>
        <vt:i4>326</vt:i4>
      </vt:variant>
      <vt:variant>
        <vt:i4>0</vt:i4>
      </vt:variant>
      <vt:variant>
        <vt:i4>5</vt:i4>
      </vt:variant>
      <vt:variant>
        <vt:lpwstr/>
      </vt:variant>
      <vt:variant>
        <vt:lpwstr>_Toc125558138</vt:lpwstr>
      </vt:variant>
      <vt:variant>
        <vt:i4>1769520</vt:i4>
      </vt:variant>
      <vt:variant>
        <vt:i4>320</vt:i4>
      </vt:variant>
      <vt:variant>
        <vt:i4>0</vt:i4>
      </vt:variant>
      <vt:variant>
        <vt:i4>5</vt:i4>
      </vt:variant>
      <vt:variant>
        <vt:lpwstr/>
      </vt:variant>
      <vt:variant>
        <vt:lpwstr>_Toc125558137</vt:lpwstr>
      </vt:variant>
      <vt:variant>
        <vt:i4>1769520</vt:i4>
      </vt:variant>
      <vt:variant>
        <vt:i4>314</vt:i4>
      </vt:variant>
      <vt:variant>
        <vt:i4>0</vt:i4>
      </vt:variant>
      <vt:variant>
        <vt:i4>5</vt:i4>
      </vt:variant>
      <vt:variant>
        <vt:lpwstr/>
      </vt:variant>
      <vt:variant>
        <vt:lpwstr>_Toc125558136</vt:lpwstr>
      </vt:variant>
      <vt:variant>
        <vt:i4>1769520</vt:i4>
      </vt:variant>
      <vt:variant>
        <vt:i4>308</vt:i4>
      </vt:variant>
      <vt:variant>
        <vt:i4>0</vt:i4>
      </vt:variant>
      <vt:variant>
        <vt:i4>5</vt:i4>
      </vt:variant>
      <vt:variant>
        <vt:lpwstr/>
      </vt:variant>
      <vt:variant>
        <vt:lpwstr>_Toc125558135</vt:lpwstr>
      </vt:variant>
      <vt:variant>
        <vt:i4>1769520</vt:i4>
      </vt:variant>
      <vt:variant>
        <vt:i4>302</vt:i4>
      </vt:variant>
      <vt:variant>
        <vt:i4>0</vt:i4>
      </vt:variant>
      <vt:variant>
        <vt:i4>5</vt:i4>
      </vt:variant>
      <vt:variant>
        <vt:lpwstr/>
      </vt:variant>
      <vt:variant>
        <vt:lpwstr>_Toc125558134</vt:lpwstr>
      </vt:variant>
      <vt:variant>
        <vt:i4>1769520</vt:i4>
      </vt:variant>
      <vt:variant>
        <vt:i4>296</vt:i4>
      </vt:variant>
      <vt:variant>
        <vt:i4>0</vt:i4>
      </vt:variant>
      <vt:variant>
        <vt:i4>5</vt:i4>
      </vt:variant>
      <vt:variant>
        <vt:lpwstr/>
      </vt:variant>
      <vt:variant>
        <vt:lpwstr>_Toc125558133</vt:lpwstr>
      </vt:variant>
      <vt:variant>
        <vt:i4>1769520</vt:i4>
      </vt:variant>
      <vt:variant>
        <vt:i4>290</vt:i4>
      </vt:variant>
      <vt:variant>
        <vt:i4>0</vt:i4>
      </vt:variant>
      <vt:variant>
        <vt:i4>5</vt:i4>
      </vt:variant>
      <vt:variant>
        <vt:lpwstr/>
      </vt:variant>
      <vt:variant>
        <vt:lpwstr>_Toc125558132</vt:lpwstr>
      </vt:variant>
      <vt:variant>
        <vt:i4>1769520</vt:i4>
      </vt:variant>
      <vt:variant>
        <vt:i4>284</vt:i4>
      </vt:variant>
      <vt:variant>
        <vt:i4>0</vt:i4>
      </vt:variant>
      <vt:variant>
        <vt:i4>5</vt:i4>
      </vt:variant>
      <vt:variant>
        <vt:lpwstr/>
      </vt:variant>
      <vt:variant>
        <vt:lpwstr>_Toc125558131</vt:lpwstr>
      </vt:variant>
      <vt:variant>
        <vt:i4>1769520</vt:i4>
      </vt:variant>
      <vt:variant>
        <vt:i4>278</vt:i4>
      </vt:variant>
      <vt:variant>
        <vt:i4>0</vt:i4>
      </vt:variant>
      <vt:variant>
        <vt:i4>5</vt:i4>
      </vt:variant>
      <vt:variant>
        <vt:lpwstr/>
      </vt:variant>
      <vt:variant>
        <vt:lpwstr>_Toc125558130</vt:lpwstr>
      </vt:variant>
      <vt:variant>
        <vt:i4>1703984</vt:i4>
      </vt:variant>
      <vt:variant>
        <vt:i4>272</vt:i4>
      </vt:variant>
      <vt:variant>
        <vt:i4>0</vt:i4>
      </vt:variant>
      <vt:variant>
        <vt:i4>5</vt:i4>
      </vt:variant>
      <vt:variant>
        <vt:lpwstr/>
      </vt:variant>
      <vt:variant>
        <vt:lpwstr>_Toc125558129</vt:lpwstr>
      </vt:variant>
      <vt:variant>
        <vt:i4>1703984</vt:i4>
      </vt:variant>
      <vt:variant>
        <vt:i4>266</vt:i4>
      </vt:variant>
      <vt:variant>
        <vt:i4>0</vt:i4>
      </vt:variant>
      <vt:variant>
        <vt:i4>5</vt:i4>
      </vt:variant>
      <vt:variant>
        <vt:lpwstr/>
      </vt:variant>
      <vt:variant>
        <vt:lpwstr>_Toc125558128</vt:lpwstr>
      </vt:variant>
      <vt:variant>
        <vt:i4>1703984</vt:i4>
      </vt:variant>
      <vt:variant>
        <vt:i4>260</vt:i4>
      </vt:variant>
      <vt:variant>
        <vt:i4>0</vt:i4>
      </vt:variant>
      <vt:variant>
        <vt:i4>5</vt:i4>
      </vt:variant>
      <vt:variant>
        <vt:lpwstr/>
      </vt:variant>
      <vt:variant>
        <vt:lpwstr>_Toc125558127</vt:lpwstr>
      </vt:variant>
      <vt:variant>
        <vt:i4>1703984</vt:i4>
      </vt:variant>
      <vt:variant>
        <vt:i4>254</vt:i4>
      </vt:variant>
      <vt:variant>
        <vt:i4>0</vt:i4>
      </vt:variant>
      <vt:variant>
        <vt:i4>5</vt:i4>
      </vt:variant>
      <vt:variant>
        <vt:lpwstr/>
      </vt:variant>
      <vt:variant>
        <vt:lpwstr>_Toc125558126</vt:lpwstr>
      </vt:variant>
      <vt:variant>
        <vt:i4>1703984</vt:i4>
      </vt:variant>
      <vt:variant>
        <vt:i4>248</vt:i4>
      </vt:variant>
      <vt:variant>
        <vt:i4>0</vt:i4>
      </vt:variant>
      <vt:variant>
        <vt:i4>5</vt:i4>
      </vt:variant>
      <vt:variant>
        <vt:lpwstr/>
      </vt:variant>
      <vt:variant>
        <vt:lpwstr>_Toc125558125</vt:lpwstr>
      </vt:variant>
      <vt:variant>
        <vt:i4>1703984</vt:i4>
      </vt:variant>
      <vt:variant>
        <vt:i4>242</vt:i4>
      </vt:variant>
      <vt:variant>
        <vt:i4>0</vt:i4>
      </vt:variant>
      <vt:variant>
        <vt:i4>5</vt:i4>
      </vt:variant>
      <vt:variant>
        <vt:lpwstr/>
      </vt:variant>
      <vt:variant>
        <vt:lpwstr>_Toc125558124</vt:lpwstr>
      </vt:variant>
      <vt:variant>
        <vt:i4>1703984</vt:i4>
      </vt:variant>
      <vt:variant>
        <vt:i4>236</vt:i4>
      </vt:variant>
      <vt:variant>
        <vt:i4>0</vt:i4>
      </vt:variant>
      <vt:variant>
        <vt:i4>5</vt:i4>
      </vt:variant>
      <vt:variant>
        <vt:lpwstr/>
      </vt:variant>
      <vt:variant>
        <vt:lpwstr>_Toc125558123</vt:lpwstr>
      </vt:variant>
      <vt:variant>
        <vt:i4>1703984</vt:i4>
      </vt:variant>
      <vt:variant>
        <vt:i4>230</vt:i4>
      </vt:variant>
      <vt:variant>
        <vt:i4>0</vt:i4>
      </vt:variant>
      <vt:variant>
        <vt:i4>5</vt:i4>
      </vt:variant>
      <vt:variant>
        <vt:lpwstr/>
      </vt:variant>
      <vt:variant>
        <vt:lpwstr>_Toc125558122</vt:lpwstr>
      </vt:variant>
      <vt:variant>
        <vt:i4>1703984</vt:i4>
      </vt:variant>
      <vt:variant>
        <vt:i4>224</vt:i4>
      </vt:variant>
      <vt:variant>
        <vt:i4>0</vt:i4>
      </vt:variant>
      <vt:variant>
        <vt:i4>5</vt:i4>
      </vt:variant>
      <vt:variant>
        <vt:lpwstr/>
      </vt:variant>
      <vt:variant>
        <vt:lpwstr>_Toc125558121</vt:lpwstr>
      </vt:variant>
      <vt:variant>
        <vt:i4>1703984</vt:i4>
      </vt:variant>
      <vt:variant>
        <vt:i4>218</vt:i4>
      </vt:variant>
      <vt:variant>
        <vt:i4>0</vt:i4>
      </vt:variant>
      <vt:variant>
        <vt:i4>5</vt:i4>
      </vt:variant>
      <vt:variant>
        <vt:lpwstr/>
      </vt:variant>
      <vt:variant>
        <vt:lpwstr>_Toc125558120</vt:lpwstr>
      </vt:variant>
      <vt:variant>
        <vt:i4>1638448</vt:i4>
      </vt:variant>
      <vt:variant>
        <vt:i4>212</vt:i4>
      </vt:variant>
      <vt:variant>
        <vt:i4>0</vt:i4>
      </vt:variant>
      <vt:variant>
        <vt:i4>5</vt:i4>
      </vt:variant>
      <vt:variant>
        <vt:lpwstr/>
      </vt:variant>
      <vt:variant>
        <vt:lpwstr>_Toc125558119</vt:lpwstr>
      </vt:variant>
      <vt:variant>
        <vt:i4>1638448</vt:i4>
      </vt:variant>
      <vt:variant>
        <vt:i4>206</vt:i4>
      </vt:variant>
      <vt:variant>
        <vt:i4>0</vt:i4>
      </vt:variant>
      <vt:variant>
        <vt:i4>5</vt:i4>
      </vt:variant>
      <vt:variant>
        <vt:lpwstr/>
      </vt:variant>
      <vt:variant>
        <vt:lpwstr>_Toc125558118</vt:lpwstr>
      </vt:variant>
      <vt:variant>
        <vt:i4>1638448</vt:i4>
      </vt:variant>
      <vt:variant>
        <vt:i4>200</vt:i4>
      </vt:variant>
      <vt:variant>
        <vt:i4>0</vt:i4>
      </vt:variant>
      <vt:variant>
        <vt:i4>5</vt:i4>
      </vt:variant>
      <vt:variant>
        <vt:lpwstr/>
      </vt:variant>
      <vt:variant>
        <vt:lpwstr>_Toc125558117</vt:lpwstr>
      </vt:variant>
      <vt:variant>
        <vt:i4>1638448</vt:i4>
      </vt:variant>
      <vt:variant>
        <vt:i4>194</vt:i4>
      </vt:variant>
      <vt:variant>
        <vt:i4>0</vt:i4>
      </vt:variant>
      <vt:variant>
        <vt:i4>5</vt:i4>
      </vt:variant>
      <vt:variant>
        <vt:lpwstr/>
      </vt:variant>
      <vt:variant>
        <vt:lpwstr>_Toc125558116</vt:lpwstr>
      </vt:variant>
      <vt:variant>
        <vt:i4>1638448</vt:i4>
      </vt:variant>
      <vt:variant>
        <vt:i4>188</vt:i4>
      </vt:variant>
      <vt:variant>
        <vt:i4>0</vt:i4>
      </vt:variant>
      <vt:variant>
        <vt:i4>5</vt:i4>
      </vt:variant>
      <vt:variant>
        <vt:lpwstr/>
      </vt:variant>
      <vt:variant>
        <vt:lpwstr>_Toc125558115</vt:lpwstr>
      </vt:variant>
      <vt:variant>
        <vt:i4>1638448</vt:i4>
      </vt:variant>
      <vt:variant>
        <vt:i4>182</vt:i4>
      </vt:variant>
      <vt:variant>
        <vt:i4>0</vt:i4>
      </vt:variant>
      <vt:variant>
        <vt:i4>5</vt:i4>
      </vt:variant>
      <vt:variant>
        <vt:lpwstr/>
      </vt:variant>
      <vt:variant>
        <vt:lpwstr>_Toc125558114</vt:lpwstr>
      </vt:variant>
      <vt:variant>
        <vt:i4>1638448</vt:i4>
      </vt:variant>
      <vt:variant>
        <vt:i4>176</vt:i4>
      </vt:variant>
      <vt:variant>
        <vt:i4>0</vt:i4>
      </vt:variant>
      <vt:variant>
        <vt:i4>5</vt:i4>
      </vt:variant>
      <vt:variant>
        <vt:lpwstr/>
      </vt:variant>
      <vt:variant>
        <vt:lpwstr>_Toc125558113</vt:lpwstr>
      </vt:variant>
      <vt:variant>
        <vt:i4>1638448</vt:i4>
      </vt:variant>
      <vt:variant>
        <vt:i4>170</vt:i4>
      </vt:variant>
      <vt:variant>
        <vt:i4>0</vt:i4>
      </vt:variant>
      <vt:variant>
        <vt:i4>5</vt:i4>
      </vt:variant>
      <vt:variant>
        <vt:lpwstr/>
      </vt:variant>
      <vt:variant>
        <vt:lpwstr>_Toc125558112</vt:lpwstr>
      </vt:variant>
      <vt:variant>
        <vt:i4>1638448</vt:i4>
      </vt:variant>
      <vt:variant>
        <vt:i4>164</vt:i4>
      </vt:variant>
      <vt:variant>
        <vt:i4>0</vt:i4>
      </vt:variant>
      <vt:variant>
        <vt:i4>5</vt:i4>
      </vt:variant>
      <vt:variant>
        <vt:lpwstr/>
      </vt:variant>
      <vt:variant>
        <vt:lpwstr>_Toc125558111</vt:lpwstr>
      </vt:variant>
      <vt:variant>
        <vt:i4>1638448</vt:i4>
      </vt:variant>
      <vt:variant>
        <vt:i4>158</vt:i4>
      </vt:variant>
      <vt:variant>
        <vt:i4>0</vt:i4>
      </vt:variant>
      <vt:variant>
        <vt:i4>5</vt:i4>
      </vt:variant>
      <vt:variant>
        <vt:lpwstr/>
      </vt:variant>
      <vt:variant>
        <vt:lpwstr>_Toc125558110</vt:lpwstr>
      </vt:variant>
      <vt:variant>
        <vt:i4>1572912</vt:i4>
      </vt:variant>
      <vt:variant>
        <vt:i4>152</vt:i4>
      </vt:variant>
      <vt:variant>
        <vt:i4>0</vt:i4>
      </vt:variant>
      <vt:variant>
        <vt:i4>5</vt:i4>
      </vt:variant>
      <vt:variant>
        <vt:lpwstr/>
      </vt:variant>
      <vt:variant>
        <vt:lpwstr>_Toc125558109</vt:lpwstr>
      </vt:variant>
      <vt:variant>
        <vt:i4>1572912</vt:i4>
      </vt:variant>
      <vt:variant>
        <vt:i4>146</vt:i4>
      </vt:variant>
      <vt:variant>
        <vt:i4>0</vt:i4>
      </vt:variant>
      <vt:variant>
        <vt:i4>5</vt:i4>
      </vt:variant>
      <vt:variant>
        <vt:lpwstr/>
      </vt:variant>
      <vt:variant>
        <vt:lpwstr>_Toc125558108</vt:lpwstr>
      </vt:variant>
      <vt:variant>
        <vt:i4>1572912</vt:i4>
      </vt:variant>
      <vt:variant>
        <vt:i4>140</vt:i4>
      </vt:variant>
      <vt:variant>
        <vt:i4>0</vt:i4>
      </vt:variant>
      <vt:variant>
        <vt:i4>5</vt:i4>
      </vt:variant>
      <vt:variant>
        <vt:lpwstr/>
      </vt:variant>
      <vt:variant>
        <vt:lpwstr>_Toc125558107</vt:lpwstr>
      </vt:variant>
      <vt:variant>
        <vt:i4>1572912</vt:i4>
      </vt:variant>
      <vt:variant>
        <vt:i4>134</vt:i4>
      </vt:variant>
      <vt:variant>
        <vt:i4>0</vt:i4>
      </vt:variant>
      <vt:variant>
        <vt:i4>5</vt:i4>
      </vt:variant>
      <vt:variant>
        <vt:lpwstr/>
      </vt:variant>
      <vt:variant>
        <vt:lpwstr>_Toc125558106</vt:lpwstr>
      </vt:variant>
      <vt:variant>
        <vt:i4>1572912</vt:i4>
      </vt:variant>
      <vt:variant>
        <vt:i4>128</vt:i4>
      </vt:variant>
      <vt:variant>
        <vt:i4>0</vt:i4>
      </vt:variant>
      <vt:variant>
        <vt:i4>5</vt:i4>
      </vt:variant>
      <vt:variant>
        <vt:lpwstr/>
      </vt:variant>
      <vt:variant>
        <vt:lpwstr>_Toc125558105</vt:lpwstr>
      </vt:variant>
      <vt:variant>
        <vt:i4>1572912</vt:i4>
      </vt:variant>
      <vt:variant>
        <vt:i4>122</vt:i4>
      </vt:variant>
      <vt:variant>
        <vt:i4>0</vt:i4>
      </vt:variant>
      <vt:variant>
        <vt:i4>5</vt:i4>
      </vt:variant>
      <vt:variant>
        <vt:lpwstr/>
      </vt:variant>
      <vt:variant>
        <vt:lpwstr>_Toc125558104</vt:lpwstr>
      </vt:variant>
      <vt:variant>
        <vt:i4>1572912</vt:i4>
      </vt:variant>
      <vt:variant>
        <vt:i4>116</vt:i4>
      </vt:variant>
      <vt:variant>
        <vt:i4>0</vt:i4>
      </vt:variant>
      <vt:variant>
        <vt:i4>5</vt:i4>
      </vt:variant>
      <vt:variant>
        <vt:lpwstr/>
      </vt:variant>
      <vt:variant>
        <vt:lpwstr>_Toc125558103</vt:lpwstr>
      </vt:variant>
      <vt:variant>
        <vt:i4>1572912</vt:i4>
      </vt:variant>
      <vt:variant>
        <vt:i4>110</vt:i4>
      </vt:variant>
      <vt:variant>
        <vt:i4>0</vt:i4>
      </vt:variant>
      <vt:variant>
        <vt:i4>5</vt:i4>
      </vt:variant>
      <vt:variant>
        <vt:lpwstr/>
      </vt:variant>
      <vt:variant>
        <vt:lpwstr>_Toc125558102</vt:lpwstr>
      </vt:variant>
      <vt:variant>
        <vt:i4>1572912</vt:i4>
      </vt:variant>
      <vt:variant>
        <vt:i4>104</vt:i4>
      </vt:variant>
      <vt:variant>
        <vt:i4>0</vt:i4>
      </vt:variant>
      <vt:variant>
        <vt:i4>5</vt:i4>
      </vt:variant>
      <vt:variant>
        <vt:lpwstr/>
      </vt:variant>
      <vt:variant>
        <vt:lpwstr>_Toc125558101</vt:lpwstr>
      </vt:variant>
      <vt:variant>
        <vt:i4>1572912</vt:i4>
      </vt:variant>
      <vt:variant>
        <vt:i4>98</vt:i4>
      </vt:variant>
      <vt:variant>
        <vt:i4>0</vt:i4>
      </vt:variant>
      <vt:variant>
        <vt:i4>5</vt:i4>
      </vt:variant>
      <vt:variant>
        <vt:lpwstr/>
      </vt:variant>
      <vt:variant>
        <vt:lpwstr>_Toc125558100</vt:lpwstr>
      </vt:variant>
      <vt:variant>
        <vt:i4>1114161</vt:i4>
      </vt:variant>
      <vt:variant>
        <vt:i4>92</vt:i4>
      </vt:variant>
      <vt:variant>
        <vt:i4>0</vt:i4>
      </vt:variant>
      <vt:variant>
        <vt:i4>5</vt:i4>
      </vt:variant>
      <vt:variant>
        <vt:lpwstr/>
      </vt:variant>
      <vt:variant>
        <vt:lpwstr>_Toc125558099</vt:lpwstr>
      </vt:variant>
      <vt:variant>
        <vt:i4>1114161</vt:i4>
      </vt:variant>
      <vt:variant>
        <vt:i4>86</vt:i4>
      </vt:variant>
      <vt:variant>
        <vt:i4>0</vt:i4>
      </vt:variant>
      <vt:variant>
        <vt:i4>5</vt:i4>
      </vt:variant>
      <vt:variant>
        <vt:lpwstr/>
      </vt:variant>
      <vt:variant>
        <vt:lpwstr>_Toc125558098</vt:lpwstr>
      </vt:variant>
      <vt:variant>
        <vt:i4>1114161</vt:i4>
      </vt:variant>
      <vt:variant>
        <vt:i4>80</vt:i4>
      </vt:variant>
      <vt:variant>
        <vt:i4>0</vt:i4>
      </vt:variant>
      <vt:variant>
        <vt:i4>5</vt:i4>
      </vt:variant>
      <vt:variant>
        <vt:lpwstr/>
      </vt:variant>
      <vt:variant>
        <vt:lpwstr>_Toc125558097</vt:lpwstr>
      </vt:variant>
      <vt:variant>
        <vt:i4>1114161</vt:i4>
      </vt:variant>
      <vt:variant>
        <vt:i4>74</vt:i4>
      </vt:variant>
      <vt:variant>
        <vt:i4>0</vt:i4>
      </vt:variant>
      <vt:variant>
        <vt:i4>5</vt:i4>
      </vt:variant>
      <vt:variant>
        <vt:lpwstr/>
      </vt:variant>
      <vt:variant>
        <vt:lpwstr>_Toc125558096</vt:lpwstr>
      </vt:variant>
      <vt:variant>
        <vt:i4>1114161</vt:i4>
      </vt:variant>
      <vt:variant>
        <vt:i4>68</vt:i4>
      </vt:variant>
      <vt:variant>
        <vt:i4>0</vt:i4>
      </vt:variant>
      <vt:variant>
        <vt:i4>5</vt:i4>
      </vt:variant>
      <vt:variant>
        <vt:lpwstr/>
      </vt:variant>
      <vt:variant>
        <vt:lpwstr>_Toc125558095</vt:lpwstr>
      </vt:variant>
      <vt:variant>
        <vt:i4>1114161</vt:i4>
      </vt:variant>
      <vt:variant>
        <vt:i4>62</vt:i4>
      </vt:variant>
      <vt:variant>
        <vt:i4>0</vt:i4>
      </vt:variant>
      <vt:variant>
        <vt:i4>5</vt:i4>
      </vt:variant>
      <vt:variant>
        <vt:lpwstr/>
      </vt:variant>
      <vt:variant>
        <vt:lpwstr>_Toc125558094</vt:lpwstr>
      </vt:variant>
      <vt:variant>
        <vt:i4>1114161</vt:i4>
      </vt:variant>
      <vt:variant>
        <vt:i4>56</vt:i4>
      </vt:variant>
      <vt:variant>
        <vt:i4>0</vt:i4>
      </vt:variant>
      <vt:variant>
        <vt:i4>5</vt:i4>
      </vt:variant>
      <vt:variant>
        <vt:lpwstr/>
      </vt:variant>
      <vt:variant>
        <vt:lpwstr>_Toc125558093</vt:lpwstr>
      </vt:variant>
      <vt:variant>
        <vt:i4>1114161</vt:i4>
      </vt:variant>
      <vt:variant>
        <vt:i4>50</vt:i4>
      </vt:variant>
      <vt:variant>
        <vt:i4>0</vt:i4>
      </vt:variant>
      <vt:variant>
        <vt:i4>5</vt:i4>
      </vt:variant>
      <vt:variant>
        <vt:lpwstr/>
      </vt:variant>
      <vt:variant>
        <vt:lpwstr>_Toc125558092</vt:lpwstr>
      </vt:variant>
      <vt:variant>
        <vt:i4>1114161</vt:i4>
      </vt:variant>
      <vt:variant>
        <vt:i4>44</vt:i4>
      </vt:variant>
      <vt:variant>
        <vt:i4>0</vt:i4>
      </vt:variant>
      <vt:variant>
        <vt:i4>5</vt:i4>
      </vt:variant>
      <vt:variant>
        <vt:lpwstr/>
      </vt:variant>
      <vt:variant>
        <vt:lpwstr>_Toc125558091</vt:lpwstr>
      </vt:variant>
      <vt:variant>
        <vt:i4>1114161</vt:i4>
      </vt:variant>
      <vt:variant>
        <vt:i4>38</vt:i4>
      </vt:variant>
      <vt:variant>
        <vt:i4>0</vt:i4>
      </vt:variant>
      <vt:variant>
        <vt:i4>5</vt:i4>
      </vt:variant>
      <vt:variant>
        <vt:lpwstr/>
      </vt:variant>
      <vt:variant>
        <vt:lpwstr>_Toc125558090</vt:lpwstr>
      </vt:variant>
      <vt:variant>
        <vt:i4>1048625</vt:i4>
      </vt:variant>
      <vt:variant>
        <vt:i4>32</vt:i4>
      </vt:variant>
      <vt:variant>
        <vt:i4>0</vt:i4>
      </vt:variant>
      <vt:variant>
        <vt:i4>5</vt:i4>
      </vt:variant>
      <vt:variant>
        <vt:lpwstr/>
      </vt:variant>
      <vt:variant>
        <vt:lpwstr>_Toc125558089</vt:lpwstr>
      </vt:variant>
      <vt:variant>
        <vt:i4>1048625</vt:i4>
      </vt:variant>
      <vt:variant>
        <vt:i4>26</vt:i4>
      </vt:variant>
      <vt:variant>
        <vt:i4>0</vt:i4>
      </vt:variant>
      <vt:variant>
        <vt:i4>5</vt:i4>
      </vt:variant>
      <vt:variant>
        <vt:lpwstr/>
      </vt:variant>
      <vt:variant>
        <vt:lpwstr>_Toc125558088</vt:lpwstr>
      </vt:variant>
      <vt:variant>
        <vt:i4>1048625</vt:i4>
      </vt:variant>
      <vt:variant>
        <vt:i4>20</vt:i4>
      </vt:variant>
      <vt:variant>
        <vt:i4>0</vt:i4>
      </vt:variant>
      <vt:variant>
        <vt:i4>5</vt:i4>
      </vt:variant>
      <vt:variant>
        <vt:lpwstr/>
      </vt:variant>
      <vt:variant>
        <vt:lpwstr>_Toc125558087</vt:lpwstr>
      </vt:variant>
      <vt:variant>
        <vt:i4>1048625</vt:i4>
      </vt:variant>
      <vt:variant>
        <vt:i4>14</vt:i4>
      </vt:variant>
      <vt:variant>
        <vt:i4>0</vt:i4>
      </vt:variant>
      <vt:variant>
        <vt:i4>5</vt:i4>
      </vt:variant>
      <vt:variant>
        <vt:lpwstr/>
      </vt:variant>
      <vt:variant>
        <vt:lpwstr>_Toc125558086</vt:lpwstr>
      </vt:variant>
      <vt:variant>
        <vt:i4>1048625</vt:i4>
      </vt:variant>
      <vt:variant>
        <vt:i4>8</vt:i4>
      </vt:variant>
      <vt:variant>
        <vt:i4>0</vt:i4>
      </vt:variant>
      <vt:variant>
        <vt:i4>5</vt:i4>
      </vt:variant>
      <vt:variant>
        <vt:lpwstr/>
      </vt:variant>
      <vt:variant>
        <vt:lpwstr>_Toc125558085</vt:lpwstr>
      </vt:variant>
      <vt:variant>
        <vt:i4>5898324</vt:i4>
      </vt:variant>
      <vt:variant>
        <vt:i4>3</vt:i4>
      </vt:variant>
      <vt:variant>
        <vt:i4>0</vt:i4>
      </vt:variant>
      <vt:variant>
        <vt:i4>5</vt:i4>
      </vt:variant>
      <vt:variant>
        <vt:lpwstr>K:\National Strat Comms\Publications\2017 Design Files\2017 SWA Branding update 170111\1. Working Files\1st Round Files\copyrightrequests@swa.gov.au</vt:lpwstr>
      </vt:variant>
      <vt:variant>
        <vt:lpwstr/>
      </vt:variant>
      <vt:variant>
        <vt:i4>6488166</vt:i4>
      </vt:variant>
      <vt:variant>
        <vt:i4>0</vt:i4>
      </vt:variant>
      <vt:variant>
        <vt:i4>0</vt:i4>
      </vt:variant>
      <vt:variant>
        <vt:i4>5</vt:i4>
      </vt:variant>
      <vt:variant>
        <vt:lpwstr>http://creativecommons.org/licenses/by/4.0</vt:lpwstr>
      </vt:variant>
      <vt:variant>
        <vt:lpwstr/>
      </vt:variant>
      <vt:variant>
        <vt:i4>8323123</vt:i4>
      </vt:variant>
      <vt:variant>
        <vt:i4>0</vt:i4>
      </vt:variant>
      <vt:variant>
        <vt:i4>0</vt:i4>
      </vt:variant>
      <vt:variant>
        <vt:i4>5</vt:i4>
      </vt:variant>
      <vt:variant>
        <vt:lpwstr>https://www1.health.gov.au/internet/main/publishing.nsf/Content/562CF83B7AECFC8FCA2584420002B113/$File/NDDT-Final-Report-June-2021.pdf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2023-03-01T06:18:00Z</dcterms:created>
  <dcterms:modified xsi:type="dcterms:W3CDTF">2023-03-01T06:18:00Z</dcterms:modified>
</cp:coreProperties>
</file>